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42337" w14:textId="0217755D" w:rsidR="005A1C11" w:rsidRDefault="00050AB1" w:rsidP="0006142E">
      <w:pPr>
        <w:jc w:val="center"/>
        <w:rPr>
          <w:b/>
          <w:sz w:val="28"/>
          <w:szCs w:val="28"/>
        </w:rPr>
      </w:pPr>
      <w:r w:rsidRPr="00050AB1">
        <w:rPr>
          <w:b/>
          <w:sz w:val="28"/>
          <w:szCs w:val="28"/>
        </w:rPr>
        <w:t>EU Green Deal and Circular Economy Transition: Impacts and Interactions</w:t>
      </w:r>
      <w:r w:rsidR="00AF0789">
        <w:rPr>
          <w:rStyle w:val="FootnoteReference"/>
          <w:b/>
          <w:sz w:val="28"/>
          <w:szCs w:val="28"/>
        </w:rPr>
        <w:footnoteReference w:id="1"/>
      </w:r>
    </w:p>
    <w:p w14:paraId="054A42C9" w14:textId="77777777" w:rsidR="00AF0789" w:rsidRDefault="00AF0789" w:rsidP="0006142E">
      <w:pPr>
        <w:jc w:val="center"/>
        <w:rPr>
          <w:rFonts w:ascii="Verdana" w:hAnsi="Verdana"/>
          <w:color w:val="000000"/>
          <w:sz w:val="18"/>
          <w:szCs w:val="18"/>
          <w:shd w:val="clear" w:color="auto" w:fill="FFFFFF"/>
        </w:rPr>
      </w:pPr>
    </w:p>
    <w:p w14:paraId="39E8493D" w14:textId="17ADE581" w:rsidR="00050AB1" w:rsidRDefault="00050AB1" w:rsidP="0006142E">
      <w:pPr>
        <w:jc w:val="center"/>
        <w:rPr>
          <w:b/>
          <w:sz w:val="28"/>
          <w:szCs w:val="28"/>
        </w:rPr>
      </w:pPr>
      <w:r>
        <w:rPr>
          <w:rFonts w:ascii="Verdana" w:hAnsi="Verdana"/>
          <w:color w:val="000000"/>
          <w:sz w:val="18"/>
          <w:szCs w:val="18"/>
          <w:shd w:val="clear" w:color="auto" w:fill="FFFFFF"/>
        </w:rPr>
        <w:t>Maksym Chepeliev - Center for Global Trade Analysis, Purdue University</w:t>
      </w:r>
      <w:r>
        <w:rPr>
          <w:rFonts w:ascii="Verdana" w:hAnsi="Verdana"/>
          <w:color w:val="000000"/>
          <w:sz w:val="18"/>
          <w:szCs w:val="18"/>
        </w:rPr>
        <w:br/>
      </w:r>
      <w:r>
        <w:rPr>
          <w:rFonts w:ascii="Verdana" w:hAnsi="Verdana"/>
          <w:color w:val="000000"/>
          <w:sz w:val="18"/>
          <w:szCs w:val="18"/>
          <w:shd w:val="clear" w:color="auto" w:fill="FFFFFF"/>
        </w:rPr>
        <w:t>Angel Aguiar - Center for Global Trade Analysis, Purdue University</w:t>
      </w:r>
      <w:r>
        <w:rPr>
          <w:rFonts w:ascii="Verdana" w:hAnsi="Verdana"/>
          <w:color w:val="000000"/>
          <w:sz w:val="18"/>
          <w:szCs w:val="18"/>
        </w:rPr>
        <w:br/>
      </w:r>
      <w:r>
        <w:rPr>
          <w:rFonts w:ascii="Verdana" w:hAnsi="Verdana"/>
          <w:color w:val="000000"/>
          <w:sz w:val="18"/>
          <w:szCs w:val="18"/>
          <w:shd w:val="clear" w:color="auto" w:fill="FFFFFF"/>
        </w:rPr>
        <w:t>Thomas Farole - The World Bank</w:t>
      </w:r>
      <w:r>
        <w:rPr>
          <w:rFonts w:ascii="Verdana" w:hAnsi="Verdana"/>
          <w:color w:val="000000"/>
          <w:sz w:val="18"/>
          <w:szCs w:val="18"/>
        </w:rPr>
        <w:br/>
      </w:r>
      <w:r>
        <w:rPr>
          <w:rFonts w:ascii="Verdana" w:hAnsi="Verdana"/>
          <w:color w:val="000000"/>
          <w:sz w:val="18"/>
          <w:szCs w:val="18"/>
          <w:shd w:val="clear" w:color="auto" w:fill="FFFFFF"/>
        </w:rPr>
        <w:t>Andrea Liverani - The World Bank</w:t>
      </w:r>
      <w:r>
        <w:rPr>
          <w:rFonts w:ascii="Verdana" w:hAnsi="Verdana"/>
          <w:color w:val="000000"/>
          <w:sz w:val="18"/>
          <w:szCs w:val="18"/>
        </w:rPr>
        <w:br/>
      </w:r>
      <w:r>
        <w:rPr>
          <w:rFonts w:ascii="Verdana" w:hAnsi="Verdana"/>
          <w:color w:val="000000"/>
          <w:sz w:val="18"/>
          <w:szCs w:val="18"/>
          <w:shd w:val="clear" w:color="auto" w:fill="FFFFFF"/>
        </w:rPr>
        <w:t>Dominique van der Mensbrugghe - Center for Global Trade Analysis, Purdue University</w:t>
      </w:r>
    </w:p>
    <w:p w14:paraId="553BAB97" w14:textId="6D32B33E" w:rsidR="00050AB1" w:rsidRDefault="00050AB1" w:rsidP="0006142E">
      <w:pPr>
        <w:jc w:val="center"/>
        <w:rPr>
          <w:b/>
        </w:rPr>
      </w:pPr>
    </w:p>
    <w:p w14:paraId="4D13473C" w14:textId="17E8F2F7" w:rsidR="00050AB1" w:rsidRDefault="00050AB1" w:rsidP="0006142E">
      <w:pPr>
        <w:jc w:val="center"/>
        <w:rPr>
          <w:b/>
        </w:rPr>
      </w:pPr>
      <w:r>
        <w:rPr>
          <w:b/>
        </w:rPr>
        <w:t>Abstract</w:t>
      </w:r>
    </w:p>
    <w:p w14:paraId="655E794A" w14:textId="0A869C40" w:rsidR="00D86976" w:rsidRDefault="00144AA3" w:rsidP="00F7569F">
      <w:pPr>
        <w:spacing w:after="160"/>
        <w:ind w:firstLine="0"/>
      </w:pPr>
      <w:r>
        <w:rPr>
          <w:rFonts w:eastAsia="Times New Roman" w:cs="Times New Roman"/>
          <w:sz w:val="20"/>
        </w:rPr>
        <w:t>R</w:t>
      </w:r>
      <w:r w:rsidRPr="00746224">
        <w:rPr>
          <w:rFonts w:eastAsia="Times New Roman" w:cs="Times New Roman"/>
          <w:sz w:val="20"/>
        </w:rPr>
        <w:t xml:space="preserve">apidly increasing material extraction is putting major pressure on ecosystems. </w:t>
      </w:r>
      <w:r>
        <w:rPr>
          <w:rFonts w:eastAsia="Times New Roman" w:cs="Times New Roman"/>
          <w:sz w:val="20"/>
        </w:rPr>
        <w:t>F</w:t>
      </w:r>
      <w:r w:rsidRPr="00746224">
        <w:rPr>
          <w:rFonts w:eastAsia="Times New Roman" w:cs="Times New Roman"/>
          <w:sz w:val="20"/>
        </w:rPr>
        <w:t xml:space="preserve">uture increases in incomes and population could result in over 2.5 times growth in global material demand by 2050, putting even more pressure on </w:t>
      </w:r>
      <w:r>
        <w:rPr>
          <w:rFonts w:eastAsia="Times New Roman" w:cs="Times New Roman"/>
          <w:sz w:val="20"/>
        </w:rPr>
        <w:t>environment</w:t>
      </w:r>
      <w:r w:rsidRPr="00746224">
        <w:rPr>
          <w:rFonts w:eastAsia="Times New Roman" w:cs="Times New Roman"/>
          <w:sz w:val="20"/>
        </w:rPr>
        <w:t xml:space="preserve">. </w:t>
      </w:r>
      <w:r>
        <w:rPr>
          <w:rFonts w:eastAsia="Times New Roman" w:cs="Times New Roman"/>
          <w:sz w:val="20"/>
        </w:rPr>
        <w:t>Thus, a</w:t>
      </w:r>
      <w:r w:rsidRPr="00746224">
        <w:rPr>
          <w:rFonts w:eastAsia="Times New Roman" w:cs="Times New Roman"/>
          <w:sz w:val="20"/>
        </w:rPr>
        <w:t xml:space="preserve">n absolute decoupling of material use from GDP and income is of major importance </w:t>
      </w:r>
      <w:r>
        <w:rPr>
          <w:rFonts w:eastAsia="Times New Roman" w:cs="Times New Roman"/>
          <w:sz w:val="20"/>
        </w:rPr>
        <w:t>to preserve the</w:t>
      </w:r>
      <w:r w:rsidRPr="00746224">
        <w:rPr>
          <w:rFonts w:eastAsia="Times New Roman" w:cs="Times New Roman"/>
          <w:sz w:val="20"/>
        </w:rPr>
        <w:t xml:space="preserve"> safe operating boundaries.</w:t>
      </w:r>
      <w:r>
        <w:rPr>
          <w:rFonts w:eastAsia="Times New Roman" w:cs="Times New Roman"/>
          <w:sz w:val="20"/>
        </w:rPr>
        <w:t xml:space="preserve"> I</w:t>
      </w:r>
      <w:r w:rsidRPr="00746224">
        <w:rPr>
          <w:rFonts w:eastAsia="Times New Roman" w:cs="Times New Roman"/>
          <w:sz w:val="20"/>
        </w:rPr>
        <w:t xml:space="preserve">t is </w:t>
      </w:r>
      <w:r>
        <w:rPr>
          <w:rFonts w:eastAsia="Times New Roman" w:cs="Times New Roman"/>
          <w:sz w:val="20"/>
        </w:rPr>
        <w:t>vital</w:t>
      </w:r>
      <w:r w:rsidRPr="00746224">
        <w:rPr>
          <w:rFonts w:eastAsia="Times New Roman" w:cs="Times New Roman"/>
          <w:sz w:val="20"/>
        </w:rPr>
        <w:t xml:space="preserve"> to understand how current policy efforts, in</w:t>
      </w:r>
      <w:r>
        <w:rPr>
          <w:rFonts w:eastAsia="Times New Roman" w:cs="Times New Roman"/>
          <w:sz w:val="20"/>
        </w:rPr>
        <w:t>cluding</w:t>
      </w:r>
      <w:r w:rsidRPr="00746224">
        <w:rPr>
          <w:rFonts w:eastAsia="Times New Roman" w:cs="Times New Roman"/>
          <w:sz w:val="20"/>
        </w:rPr>
        <w:t xml:space="preserve"> climate mitigation, could impact material use patterns and what complementary circular economy</w:t>
      </w:r>
      <w:r>
        <w:rPr>
          <w:rFonts w:eastAsia="Times New Roman" w:cs="Times New Roman"/>
          <w:sz w:val="20"/>
        </w:rPr>
        <w:t xml:space="preserve"> (CE)</w:t>
      </w:r>
      <w:r w:rsidRPr="00746224">
        <w:rPr>
          <w:rFonts w:eastAsia="Times New Roman" w:cs="Times New Roman"/>
          <w:sz w:val="20"/>
        </w:rPr>
        <w:t xml:space="preserve"> policies </w:t>
      </w:r>
      <w:r>
        <w:rPr>
          <w:rFonts w:eastAsia="Times New Roman" w:cs="Times New Roman"/>
          <w:sz w:val="20"/>
        </w:rPr>
        <w:t>should</w:t>
      </w:r>
      <w:r w:rsidRPr="00746224">
        <w:rPr>
          <w:rFonts w:eastAsia="Times New Roman" w:cs="Times New Roman"/>
          <w:sz w:val="20"/>
        </w:rPr>
        <w:t xml:space="preserve"> be implemented to support </w:t>
      </w:r>
      <w:r>
        <w:rPr>
          <w:rFonts w:eastAsia="Times New Roman" w:cs="Times New Roman"/>
          <w:sz w:val="20"/>
        </w:rPr>
        <w:t>dematerialization</w:t>
      </w:r>
      <w:r w:rsidRPr="00746224">
        <w:rPr>
          <w:rFonts w:eastAsia="Times New Roman" w:cs="Times New Roman"/>
          <w:sz w:val="20"/>
        </w:rPr>
        <w:t>.</w:t>
      </w:r>
      <w:r>
        <w:rPr>
          <w:rFonts w:eastAsia="Times New Roman" w:cs="Times New Roman"/>
          <w:sz w:val="20"/>
          <w:szCs w:val="24"/>
        </w:rPr>
        <w:t xml:space="preserve"> Here w</w:t>
      </w:r>
      <w:r w:rsidRPr="00746224">
        <w:rPr>
          <w:rFonts w:eastAsia="Times New Roman" w:cs="Times New Roman"/>
          <w:sz w:val="20"/>
          <w:szCs w:val="24"/>
        </w:rPr>
        <w:t xml:space="preserve">e </w:t>
      </w:r>
      <w:r>
        <w:rPr>
          <w:rFonts w:eastAsia="Times New Roman" w:cs="Times New Roman"/>
          <w:sz w:val="20"/>
          <w:szCs w:val="24"/>
        </w:rPr>
        <w:t>develop a special version of the Global Trade Analysis Project</w:t>
      </w:r>
      <w:r w:rsidRPr="00746224">
        <w:rPr>
          <w:rFonts w:eastAsia="Times New Roman" w:cs="Times New Roman"/>
          <w:sz w:val="20"/>
          <w:szCs w:val="24"/>
        </w:rPr>
        <w:t xml:space="preserve"> </w:t>
      </w:r>
      <w:r>
        <w:rPr>
          <w:rFonts w:eastAsia="Times New Roman" w:cs="Times New Roman"/>
          <w:sz w:val="20"/>
          <w:szCs w:val="24"/>
        </w:rPr>
        <w:t>(</w:t>
      </w:r>
      <w:r w:rsidRPr="00746224">
        <w:rPr>
          <w:rFonts w:eastAsia="Times New Roman" w:cs="Times New Roman"/>
          <w:sz w:val="20"/>
          <w:szCs w:val="24"/>
        </w:rPr>
        <w:t>GTAP</w:t>
      </w:r>
      <w:r>
        <w:rPr>
          <w:rFonts w:eastAsia="Times New Roman" w:cs="Times New Roman"/>
          <w:sz w:val="20"/>
          <w:szCs w:val="24"/>
        </w:rPr>
        <w:t>)</w:t>
      </w:r>
      <w:r w:rsidRPr="00746224">
        <w:rPr>
          <w:rFonts w:eastAsia="Times New Roman" w:cs="Times New Roman"/>
          <w:sz w:val="20"/>
          <w:szCs w:val="24"/>
        </w:rPr>
        <w:t xml:space="preserve"> </w:t>
      </w:r>
      <w:r>
        <w:rPr>
          <w:rFonts w:eastAsia="Times New Roman" w:cs="Times New Roman"/>
          <w:sz w:val="20"/>
          <w:szCs w:val="24"/>
        </w:rPr>
        <w:t xml:space="preserve">database </w:t>
      </w:r>
      <w:r w:rsidRPr="00746224">
        <w:rPr>
          <w:rFonts w:eastAsia="Times New Roman" w:cs="Times New Roman"/>
          <w:sz w:val="20"/>
          <w:szCs w:val="24"/>
        </w:rPr>
        <w:t>(GTAP-CE)</w:t>
      </w:r>
      <w:r>
        <w:rPr>
          <w:rFonts w:eastAsia="Times New Roman" w:cs="Times New Roman"/>
          <w:sz w:val="20"/>
          <w:szCs w:val="24"/>
        </w:rPr>
        <w:t xml:space="preserve"> with detailed representation of primary, secondary, and recycling activities for metals (steel, aluminum, copper, etc.) and plastics. We also incorporate </w:t>
      </w:r>
      <w:r w:rsidRPr="00746224">
        <w:rPr>
          <w:rFonts w:eastAsia="Times New Roman" w:cs="Times New Roman"/>
          <w:sz w:val="20"/>
          <w:szCs w:val="24"/>
        </w:rPr>
        <w:t>quantity flows of metal ores and non-metallic minerals.</w:t>
      </w:r>
      <w:r>
        <w:rPr>
          <w:rFonts w:eastAsia="Times New Roman" w:cs="Times New Roman"/>
          <w:sz w:val="20"/>
          <w:szCs w:val="24"/>
        </w:rPr>
        <w:t xml:space="preserve"> We investigate a </w:t>
      </w:r>
      <w:r w:rsidRPr="00746224">
        <w:rPr>
          <w:rFonts w:eastAsia="Times New Roman" w:cs="Times New Roman"/>
          <w:sz w:val="20"/>
          <w:szCs w:val="24"/>
        </w:rPr>
        <w:t xml:space="preserve">set of scenarios </w:t>
      </w:r>
      <w:r>
        <w:rPr>
          <w:rFonts w:eastAsia="Times New Roman" w:cs="Times New Roman"/>
          <w:sz w:val="20"/>
          <w:szCs w:val="24"/>
        </w:rPr>
        <w:t xml:space="preserve">focusing on Europe </w:t>
      </w:r>
      <w:r w:rsidRPr="00746224">
        <w:rPr>
          <w:rFonts w:eastAsia="Times New Roman" w:cs="Times New Roman"/>
          <w:sz w:val="20"/>
          <w:szCs w:val="24"/>
        </w:rPr>
        <w:t xml:space="preserve">that include mitigation and </w:t>
      </w:r>
      <w:r>
        <w:rPr>
          <w:rFonts w:eastAsia="Times New Roman" w:cs="Times New Roman"/>
          <w:sz w:val="20"/>
          <w:szCs w:val="24"/>
        </w:rPr>
        <w:t>CE</w:t>
      </w:r>
      <w:r w:rsidRPr="00746224">
        <w:rPr>
          <w:rFonts w:eastAsia="Times New Roman" w:cs="Times New Roman"/>
          <w:sz w:val="20"/>
          <w:szCs w:val="24"/>
        </w:rPr>
        <w:t>-specific policies</w:t>
      </w:r>
      <w:r>
        <w:rPr>
          <w:rFonts w:eastAsia="Times New Roman" w:cs="Times New Roman"/>
          <w:sz w:val="20"/>
          <w:szCs w:val="24"/>
        </w:rPr>
        <w:t xml:space="preserve"> using a </w:t>
      </w:r>
      <w:r w:rsidRPr="00746224">
        <w:rPr>
          <w:rFonts w:eastAsia="Times New Roman" w:cs="Times New Roman"/>
          <w:sz w:val="20"/>
          <w:szCs w:val="24"/>
        </w:rPr>
        <w:t xml:space="preserve">dynamic </w:t>
      </w:r>
      <w:r>
        <w:rPr>
          <w:rFonts w:eastAsia="Times New Roman" w:cs="Times New Roman"/>
          <w:sz w:val="20"/>
          <w:szCs w:val="24"/>
        </w:rPr>
        <w:t>general equilibrium model (ENVISAGE)</w:t>
      </w:r>
      <w:r w:rsidRPr="00746224">
        <w:rPr>
          <w:rFonts w:eastAsia="Times New Roman" w:cs="Times New Roman"/>
          <w:sz w:val="20"/>
          <w:szCs w:val="24"/>
        </w:rPr>
        <w:t xml:space="preserve">. A set of </w:t>
      </w:r>
      <w:r>
        <w:rPr>
          <w:rFonts w:eastAsia="Times New Roman" w:cs="Times New Roman"/>
          <w:sz w:val="20"/>
          <w:szCs w:val="24"/>
        </w:rPr>
        <w:t>CE</w:t>
      </w:r>
      <w:r w:rsidRPr="00746224">
        <w:rPr>
          <w:rFonts w:eastAsia="Times New Roman" w:cs="Times New Roman"/>
          <w:sz w:val="20"/>
          <w:szCs w:val="24"/>
        </w:rPr>
        <w:t xml:space="preserve">-specific </w:t>
      </w:r>
      <w:r>
        <w:rPr>
          <w:rFonts w:eastAsia="Times New Roman" w:cs="Times New Roman"/>
          <w:sz w:val="20"/>
          <w:szCs w:val="24"/>
        </w:rPr>
        <w:t>policies</w:t>
      </w:r>
      <w:r w:rsidRPr="00746224">
        <w:rPr>
          <w:rFonts w:eastAsia="Times New Roman" w:cs="Times New Roman"/>
          <w:sz w:val="20"/>
          <w:szCs w:val="24"/>
        </w:rPr>
        <w:t xml:space="preserve"> include</w:t>
      </w:r>
      <w:r w:rsidR="001D5133">
        <w:rPr>
          <w:rFonts w:eastAsia="Times New Roman" w:cs="Times New Roman"/>
          <w:sz w:val="20"/>
          <w:szCs w:val="24"/>
        </w:rPr>
        <w:t>s</w:t>
      </w:r>
      <w:r>
        <w:rPr>
          <w:rFonts w:eastAsia="Times New Roman" w:cs="Times New Roman"/>
          <w:sz w:val="20"/>
          <w:szCs w:val="24"/>
        </w:rPr>
        <w:t xml:space="preserve"> fiscal</w:t>
      </w:r>
      <w:r w:rsidRPr="00746224">
        <w:rPr>
          <w:rFonts w:eastAsia="Times New Roman" w:cs="Times New Roman"/>
          <w:sz w:val="20"/>
          <w:szCs w:val="24"/>
        </w:rPr>
        <w:t xml:space="preserve"> </w:t>
      </w:r>
      <w:r>
        <w:rPr>
          <w:rFonts w:eastAsia="Times New Roman" w:cs="Times New Roman"/>
          <w:sz w:val="20"/>
          <w:szCs w:val="24"/>
        </w:rPr>
        <w:t>measures</w:t>
      </w:r>
      <w:r w:rsidRPr="00746224">
        <w:rPr>
          <w:rFonts w:eastAsia="Times New Roman" w:cs="Times New Roman"/>
          <w:sz w:val="20"/>
          <w:szCs w:val="24"/>
        </w:rPr>
        <w:t xml:space="preserve"> </w:t>
      </w:r>
      <w:r>
        <w:rPr>
          <w:rFonts w:eastAsia="Times New Roman" w:cs="Times New Roman"/>
          <w:sz w:val="20"/>
          <w:szCs w:val="24"/>
        </w:rPr>
        <w:t>to stimulate recycling and penalize primary production,</w:t>
      </w:r>
      <w:r w:rsidRPr="00746224">
        <w:rPr>
          <w:rFonts w:eastAsia="Times New Roman" w:cs="Times New Roman"/>
          <w:sz w:val="20"/>
          <w:szCs w:val="24"/>
        </w:rPr>
        <w:t xml:space="preserve"> </w:t>
      </w:r>
      <w:r>
        <w:rPr>
          <w:rFonts w:eastAsia="Times New Roman" w:cs="Times New Roman"/>
          <w:sz w:val="20"/>
          <w:szCs w:val="24"/>
        </w:rPr>
        <w:t xml:space="preserve">extraction levies (for non-metallic minerals), and demand-side measures, such as shifts in </w:t>
      </w:r>
      <w:r w:rsidRPr="00746224">
        <w:rPr>
          <w:rFonts w:eastAsia="Times New Roman" w:cs="Times New Roman"/>
          <w:sz w:val="20"/>
          <w:szCs w:val="24"/>
        </w:rPr>
        <w:t>consumption patterns toward dematerialization, change</w:t>
      </w:r>
      <w:r>
        <w:rPr>
          <w:rFonts w:eastAsia="Times New Roman" w:cs="Times New Roman"/>
          <w:sz w:val="20"/>
          <w:szCs w:val="24"/>
        </w:rPr>
        <w:t>s</w:t>
      </w:r>
      <w:r w:rsidRPr="00746224">
        <w:rPr>
          <w:rFonts w:eastAsia="Times New Roman" w:cs="Times New Roman"/>
          <w:sz w:val="20"/>
          <w:szCs w:val="24"/>
        </w:rPr>
        <w:t xml:space="preserve"> in the product design </w:t>
      </w:r>
      <w:r>
        <w:rPr>
          <w:rFonts w:eastAsia="Times New Roman" w:cs="Times New Roman"/>
          <w:sz w:val="20"/>
          <w:szCs w:val="24"/>
        </w:rPr>
        <w:t>and</w:t>
      </w:r>
      <w:r w:rsidRPr="00746224">
        <w:rPr>
          <w:rFonts w:eastAsia="Times New Roman" w:cs="Times New Roman"/>
          <w:sz w:val="20"/>
          <w:szCs w:val="24"/>
        </w:rPr>
        <w:t xml:space="preserve"> produc</w:t>
      </w:r>
      <w:r>
        <w:rPr>
          <w:rFonts w:eastAsia="Times New Roman" w:cs="Times New Roman"/>
          <w:sz w:val="20"/>
          <w:szCs w:val="24"/>
        </w:rPr>
        <w:t>t</w:t>
      </w:r>
      <w:r w:rsidRPr="00746224">
        <w:rPr>
          <w:rFonts w:eastAsia="Times New Roman" w:cs="Times New Roman"/>
          <w:sz w:val="20"/>
          <w:szCs w:val="24"/>
        </w:rPr>
        <w:t xml:space="preserve"> life</w:t>
      </w:r>
      <w:r>
        <w:rPr>
          <w:rFonts w:eastAsia="Times New Roman" w:cs="Times New Roman"/>
          <w:sz w:val="20"/>
          <w:szCs w:val="24"/>
        </w:rPr>
        <w:t>time</w:t>
      </w:r>
      <w:r w:rsidRPr="00746224">
        <w:rPr>
          <w:rFonts w:eastAsia="Times New Roman" w:cs="Times New Roman"/>
          <w:sz w:val="20"/>
          <w:szCs w:val="24"/>
        </w:rPr>
        <w:t xml:space="preserve"> extension</w:t>
      </w:r>
      <w:r>
        <w:rPr>
          <w:rFonts w:eastAsia="Times New Roman" w:cs="Times New Roman"/>
          <w:sz w:val="20"/>
          <w:szCs w:val="24"/>
        </w:rPr>
        <w:t xml:space="preserve">s. We also model various border tax adjustments covering embodied raw materials and consider alternative revenue recycling mechanisms. Our results indicate that </w:t>
      </w:r>
      <w:r>
        <w:rPr>
          <w:rFonts w:eastAsia="Times New Roman" w:cs="Times New Roman"/>
          <w:sz w:val="20"/>
          <w:szCs w:val="20"/>
        </w:rPr>
        <w:t>EU mitigation</w:t>
      </w:r>
      <w:r w:rsidRPr="001915A6">
        <w:rPr>
          <w:rFonts w:eastAsia="Times New Roman" w:cs="Times New Roman"/>
          <w:sz w:val="20"/>
          <w:szCs w:val="20"/>
        </w:rPr>
        <w:t xml:space="preserve"> measures will have a</w:t>
      </w:r>
      <w:r>
        <w:rPr>
          <w:rFonts w:eastAsia="Times New Roman" w:cs="Times New Roman"/>
          <w:sz w:val="20"/>
          <w:szCs w:val="20"/>
        </w:rPr>
        <w:t xml:space="preserve"> moderate</w:t>
      </w:r>
      <w:r w:rsidRPr="001915A6">
        <w:rPr>
          <w:rFonts w:eastAsia="Times New Roman" w:cs="Times New Roman"/>
          <w:sz w:val="20"/>
          <w:szCs w:val="20"/>
        </w:rPr>
        <w:t xml:space="preserve"> impact on material use. Similarly, materials-focused measures will have only a modest impact on CO</w:t>
      </w:r>
      <w:r w:rsidRPr="001915A6">
        <w:rPr>
          <w:rFonts w:eastAsia="Times New Roman" w:cs="Times New Roman"/>
          <w:sz w:val="20"/>
          <w:szCs w:val="20"/>
          <w:vertAlign w:val="subscript"/>
        </w:rPr>
        <w:t>2</w:t>
      </w:r>
      <w:r w:rsidRPr="001915A6">
        <w:rPr>
          <w:rFonts w:eastAsia="Times New Roman" w:cs="Times New Roman"/>
          <w:sz w:val="20"/>
          <w:szCs w:val="20"/>
        </w:rPr>
        <w:t xml:space="preserve"> emissions</w:t>
      </w:r>
      <w:r w:rsidR="001D5133">
        <w:t xml:space="preserve">. </w:t>
      </w:r>
      <w:r w:rsidR="001D5133">
        <w:rPr>
          <w:rFonts w:eastAsia="Times New Roman" w:cs="Times New Roman"/>
          <w:sz w:val="20"/>
          <w:szCs w:val="20"/>
        </w:rPr>
        <w:t>A</w:t>
      </w:r>
      <w:r w:rsidR="001D5133" w:rsidRPr="001915A6">
        <w:rPr>
          <w:rFonts w:eastAsia="Times New Roman" w:cs="Times New Roman"/>
          <w:sz w:val="20"/>
          <w:szCs w:val="20"/>
        </w:rPr>
        <w:t xml:space="preserve">ggregate material </w:t>
      </w:r>
      <w:r w:rsidR="001D5133">
        <w:rPr>
          <w:rFonts w:eastAsia="Times New Roman" w:cs="Times New Roman"/>
          <w:sz w:val="20"/>
          <w:szCs w:val="20"/>
        </w:rPr>
        <w:t>use</w:t>
      </w:r>
      <w:r w:rsidR="001D5133" w:rsidRPr="001915A6">
        <w:rPr>
          <w:rFonts w:eastAsia="Times New Roman" w:cs="Times New Roman"/>
          <w:sz w:val="20"/>
          <w:szCs w:val="20"/>
        </w:rPr>
        <w:t xml:space="preserve"> in </w:t>
      </w:r>
      <w:r w:rsidR="001D5133">
        <w:rPr>
          <w:rFonts w:eastAsia="Times New Roman" w:cs="Times New Roman"/>
          <w:sz w:val="20"/>
          <w:szCs w:val="20"/>
        </w:rPr>
        <w:t xml:space="preserve">the </w:t>
      </w:r>
      <w:r w:rsidR="001D5133" w:rsidRPr="001915A6">
        <w:rPr>
          <w:rFonts w:eastAsia="Times New Roman" w:cs="Times New Roman"/>
          <w:sz w:val="20"/>
          <w:szCs w:val="20"/>
        </w:rPr>
        <w:t>EU could decline</w:t>
      </w:r>
      <w:r w:rsidR="001D5133">
        <w:rPr>
          <w:rFonts w:eastAsia="Times New Roman" w:cs="Times New Roman"/>
          <w:sz w:val="20"/>
          <w:szCs w:val="20"/>
        </w:rPr>
        <w:t xml:space="preserve"> up to</w:t>
      </w:r>
      <w:r w:rsidR="001D5133" w:rsidRPr="001915A6">
        <w:rPr>
          <w:rFonts w:eastAsia="Times New Roman" w:cs="Times New Roman"/>
          <w:sz w:val="20"/>
          <w:szCs w:val="20"/>
        </w:rPr>
        <w:t xml:space="preserve"> </w:t>
      </w:r>
      <w:r w:rsidR="001D5133">
        <w:rPr>
          <w:rFonts w:eastAsia="Times New Roman" w:cs="Times New Roman"/>
          <w:sz w:val="20"/>
          <w:szCs w:val="20"/>
        </w:rPr>
        <w:t>8</w:t>
      </w:r>
      <w:r w:rsidR="001D5133" w:rsidRPr="001915A6">
        <w:rPr>
          <w:rFonts w:eastAsia="Times New Roman" w:cs="Times New Roman"/>
          <w:sz w:val="20"/>
          <w:szCs w:val="20"/>
        </w:rPr>
        <w:t>-</w:t>
      </w:r>
      <w:r w:rsidR="001D5133">
        <w:rPr>
          <w:rFonts w:eastAsia="Times New Roman" w:cs="Times New Roman"/>
          <w:sz w:val="20"/>
          <w:szCs w:val="20"/>
        </w:rPr>
        <w:t>11</w:t>
      </w:r>
      <w:r w:rsidR="001D5133" w:rsidRPr="001915A6">
        <w:rPr>
          <w:rFonts w:eastAsia="Times New Roman" w:cs="Times New Roman"/>
          <w:sz w:val="20"/>
          <w:szCs w:val="20"/>
        </w:rPr>
        <w:t>% (relative to baseline</w:t>
      </w:r>
      <w:r w:rsidR="001D5133">
        <w:rPr>
          <w:rFonts w:eastAsia="Times New Roman" w:cs="Times New Roman"/>
          <w:sz w:val="20"/>
          <w:szCs w:val="20"/>
        </w:rPr>
        <w:t xml:space="preserve"> in 2030</w:t>
      </w:r>
      <w:r w:rsidR="001D5133" w:rsidRPr="001915A6">
        <w:rPr>
          <w:rFonts w:eastAsia="Times New Roman" w:cs="Times New Roman"/>
          <w:sz w:val="20"/>
          <w:szCs w:val="20"/>
        </w:rPr>
        <w:t>) under alternative CE policies</w:t>
      </w:r>
      <w:r w:rsidR="001D5133">
        <w:rPr>
          <w:rFonts w:eastAsia="Times New Roman" w:cs="Times New Roman"/>
          <w:sz w:val="20"/>
          <w:szCs w:val="20"/>
        </w:rPr>
        <w:t xml:space="preserve"> allowing to achieve absolute decoupling</w:t>
      </w:r>
      <w:r w:rsidR="001D5133">
        <w:t xml:space="preserve">. </w:t>
      </w:r>
      <w:r w:rsidR="001D5133" w:rsidRPr="001D5133">
        <w:rPr>
          <w:sz w:val="20"/>
          <w:szCs w:val="20"/>
        </w:rPr>
        <w:t>We also find that u</w:t>
      </w:r>
      <w:r w:rsidR="001D5133" w:rsidRPr="001D5133">
        <w:rPr>
          <w:bCs/>
          <w:sz w:val="20"/>
          <w:szCs w:val="20"/>
        </w:rPr>
        <w:t xml:space="preserve">sing CE production taxes’ revenue to </w:t>
      </w:r>
      <w:r w:rsidR="001D5133" w:rsidRPr="00F7569F">
        <w:rPr>
          <w:bCs/>
          <w:sz w:val="20"/>
          <w:szCs w:val="20"/>
        </w:rPr>
        <w:t>reduce labor taxes</w:t>
      </w:r>
      <w:r w:rsidR="001D5133" w:rsidRPr="001D5133">
        <w:rPr>
          <w:bCs/>
          <w:sz w:val="20"/>
          <w:szCs w:val="20"/>
        </w:rPr>
        <w:t xml:space="preserve"> would lead to </w:t>
      </w:r>
      <w:r w:rsidR="001D5133" w:rsidRPr="00F7569F">
        <w:rPr>
          <w:sz w:val="20"/>
          <w:szCs w:val="20"/>
        </w:rPr>
        <w:t>increase of growth and welfare</w:t>
      </w:r>
      <w:r w:rsidR="001D5133" w:rsidRPr="001D5133">
        <w:t>.</w:t>
      </w:r>
      <w:r w:rsidR="00D86976">
        <w:br w:type="page"/>
      </w:r>
    </w:p>
    <w:p w14:paraId="75570044" w14:textId="77777777" w:rsidR="00D86976" w:rsidRDefault="00D86976" w:rsidP="00D86976">
      <w:pPr>
        <w:jc w:val="center"/>
        <w:rPr>
          <w:b/>
          <w:sz w:val="28"/>
          <w:szCs w:val="28"/>
        </w:rPr>
      </w:pPr>
      <w:r w:rsidRPr="00050AB1">
        <w:rPr>
          <w:b/>
          <w:sz w:val="28"/>
          <w:szCs w:val="28"/>
        </w:rPr>
        <w:lastRenderedPageBreak/>
        <w:t>EU Green Deal and Circular Economy Transition: Impacts and Interactions</w:t>
      </w:r>
    </w:p>
    <w:p w14:paraId="6827D5F0" w14:textId="77777777" w:rsidR="00AD218C" w:rsidRPr="00AA4EB6" w:rsidRDefault="00490C84" w:rsidP="008C2892">
      <w:pPr>
        <w:pStyle w:val="Heading1"/>
      </w:pPr>
      <w:r>
        <w:t xml:space="preserve">1. </w:t>
      </w:r>
      <w:r w:rsidR="00AA4EB6" w:rsidRPr="00AA4EB6">
        <w:t>Introduction</w:t>
      </w:r>
    </w:p>
    <w:p w14:paraId="5FA275E5" w14:textId="77777777" w:rsidR="00961908" w:rsidRDefault="00961908" w:rsidP="0006142E">
      <w:pPr>
        <w:ind w:firstLine="540"/>
      </w:pPr>
      <w:r>
        <w:t>Over the past 70 years, humanity has experienced an unprecedented improvement in the quality of life. Extreme poverty at a global scale has decreased from over 63% in 1950 to less than 10%, the share of literate world population exceeds 86% - a 30 percentage point increase since the mid-20th century and child mortality has fallen by almost 6 times since 1940 (</w:t>
      </w:r>
      <w:proofErr w:type="spellStart"/>
      <w:r>
        <w:t>Roser</w:t>
      </w:r>
      <w:proofErr w:type="spellEnd"/>
      <w:r>
        <w:t xml:space="preserve">, 2020). These changes have been accompanied with rapid income growth, as global per capita GDP has increased three times since 1960 (WB, 2021). </w:t>
      </w:r>
    </w:p>
    <w:p w14:paraId="5080FE0C" w14:textId="77777777" w:rsidR="00961908" w:rsidRDefault="00961908" w:rsidP="0006142E">
      <w:pPr>
        <w:ind w:firstLine="540"/>
      </w:pPr>
      <w:r>
        <w:t>Constantly growing incomes have substantially increased demand for material goods and therefore materials extraction has grown from 22 billion tons in 1970 to 70 billion tons in 2010 (</w:t>
      </w:r>
      <w:proofErr w:type="spellStart"/>
      <w:r>
        <w:t>Schandl</w:t>
      </w:r>
      <w:proofErr w:type="spellEnd"/>
      <w:r>
        <w:t xml:space="preserve"> et al., 2017). Analyzing a longer time period, </w:t>
      </w:r>
      <w:proofErr w:type="spellStart"/>
      <w:r>
        <w:t>Krausmann</w:t>
      </w:r>
      <w:proofErr w:type="spellEnd"/>
      <w:r>
        <w:t xml:space="preserve"> et al. (2018) show that between 1945 and 2015 global materials extraction has increased over seven times and that the growth rate has accelerated in recent decades. Consistent with these findings, the literature reports a relatively high resource elasticity of GDP, suggesting that 1% increase in GDP leads to around an 0.8% increase in consumption-based material use both in high-income and low-income countries (Haberl et al., 2020; Steinberger et al., 2013), thus providing a rather weak evidence even for existence of a relative decoupling between GDP growth and material use. </w:t>
      </w:r>
    </w:p>
    <w:p w14:paraId="109E5DC5" w14:textId="77777777" w:rsidR="00961908" w:rsidRDefault="00961908" w:rsidP="0006142E">
      <w:pPr>
        <w:ind w:firstLine="540"/>
      </w:pPr>
      <w:r>
        <w:t xml:space="preserve">Contributing to the improvement of consumers’ wellbeing, rapidly increasing material extraction is putting major pressure on ecosystems (Otero et al., 2020; Marques et al., 2019). According to the report of the International Resource Panel (IRP, 2019), biomass, metals, non-metallic minerals and fossil fuels together are responsible for over 90% of water stress and land-use related biodiversity loss. Future increases in incomes and population could result in over 2.5 times growth in global material demand by 2050, putting even more pressure on the Earth’s ecosystem. Such trends could also put at risk the success of future climate mitigation policies, as materials management is a major contributor of the global greenhouse gas emissions (IRP, 2019). Thus, an absolute decoupling of material use from GDP and income is of a major importance in the context of preserving safe operating boundaries (Steffen et al., 2015). </w:t>
      </w:r>
    </w:p>
    <w:p w14:paraId="6FAD4F4F" w14:textId="22216633" w:rsidR="00961908" w:rsidRDefault="00961908" w:rsidP="0006142E">
      <w:pPr>
        <w:ind w:firstLine="540"/>
      </w:pPr>
      <w:r>
        <w:t>In this context, it is important to understand how the current policy efforts, in particular, in terms of climate mitigation, could impact material use patterns and what complementary circular economy policies can be implemented to support the transition towards more sustainable consumption practices. To explore this point, in the current study we focus on Europe and, in particular, four Eastern European Member States – Poland, Romania, Bulgaria and Croatia. In a first step, we introduce two major modifications to the GTAP circular economy (GTAP-CE) database that has been initially developed in Chepeliev et al. (2021). First, we implement targeted refinements to the representation of energy inputs to the production process of primary and secondary activities, which allows for a better representation of differences in energy and emission intensities across sectors (Figure 1). Second, we incorporate quantity flows of metal ores and non-metallic minerals to the developed database, thus enabling for an inclusive production- and consumption-based material accounting in terms of volume flows.</w:t>
      </w:r>
    </w:p>
    <w:p w14:paraId="765A85C5" w14:textId="09CACF34" w:rsidR="00D31FE1" w:rsidRDefault="00D31FE1" w:rsidP="0006142E">
      <w:pPr>
        <w:ind w:firstLine="540"/>
      </w:pPr>
    </w:p>
    <w:p w14:paraId="447BC273" w14:textId="4BB7B1C6" w:rsidR="00D31FE1" w:rsidRDefault="00D31FE1" w:rsidP="00D86976">
      <w:pPr>
        <w:ind w:firstLine="0"/>
        <w:jc w:val="center"/>
      </w:pPr>
      <w:r w:rsidRPr="00746224">
        <w:rPr>
          <w:rFonts w:eastAsia="Times New Roman" w:cs="Times New Roman"/>
          <w:b/>
          <w:noProof/>
          <w:sz w:val="20"/>
        </w:rPr>
        <w:lastRenderedPageBreak/>
        <w:drawing>
          <wp:inline distT="0" distB="0" distL="0" distR="0" wp14:anchorId="612BC821" wp14:editId="4F07FAB4">
            <wp:extent cx="5318077" cy="3840480"/>
            <wp:effectExtent l="0" t="0" r="0" b="7620"/>
            <wp:docPr id="29" name="Picture 29" descr="Chart, bar chart, box and whisker chart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art, bar chart, box and whisker chart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18077" cy="3840480"/>
                    </a:xfrm>
                    <a:prstGeom prst="rect">
                      <a:avLst/>
                    </a:prstGeom>
                    <a:noFill/>
                    <a:ln>
                      <a:noFill/>
                    </a:ln>
                  </pic:spPr>
                </pic:pic>
              </a:graphicData>
            </a:graphic>
          </wp:inline>
        </w:drawing>
      </w:r>
    </w:p>
    <w:p w14:paraId="2892321C" w14:textId="77777777" w:rsidR="00D31FE1" w:rsidRPr="00DF01C8" w:rsidRDefault="00D31FE1" w:rsidP="00DF01C8">
      <w:pPr>
        <w:ind w:left="540" w:firstLine="0"/>
        <w:rPr>
          <w:b/>
          <w:szCs w:val="24"/>
        </w:rPr>
      </w:pPr>
      <w:r w:rsidRPr="00DF01C8">
        <w:rPr>
          <w:b/>
          <w:szCs w:val="24"/>
        </w:rPr>
        <w:t xml:space="preserve">Figure 1. Carbon intensity of metals and plastic production by emission scopes (kgCO2 per 1USD, left axis) and the share of corresponding technology production in total output (%, right axis), EU-27 and UK aggregate </w:t>
      </w:r>
    </w:p>
    <w:p w14:paraId="4EBD84C0" w14:textId="422D8769" w:rsidR="00D31FE1" w:rsidRPr="00DF01C8" w:rsidRDefault="00D31FE1" w:rsidP="00DF01C8">
      <w:pPr>
        <w:ind w:left="540" w:firstLine="7"/>
        <w:rPr>
          <w:i/>
          <w:sz w:val="20"/>
          <w:szCs w:val="20"/>
        </w:rPr>
      </w:pPr>
      <w:r w:rsidRPr="00DF01C8">
        <w:rPr>
          <w:i/>
          <w:sz w:val="20"/>
          <w:szCs w:val="20"/>
        </w:rPr>
        <w:t xml:space="preserve">Notes: Only CO2 emission from fossil fuel combustion are reported on the figure. Definition of emission scopes is available at </w:t>
      </w:r>
      <w:hyperlink r:id="rId9" w:history="1">
        <w:r w:rsidRPr="00DF01C8">
          <w:rPr>
            <w:i/>
            <w:sz w:val="20"/>
            <w:szCs w:val="20"/>
          </w:rPr>
          <w:t>https://www.epa.gov/climateleadership/scope-1-and-scope-2-inventory-guidance</w:t>
        </w:r>
      </w:hyperlink>
      <w:r w:rsidR="00DF01C8">
        <w:rPr>
          <w:i/>
          <w:sz w:val="20"/>
          <w:szCs w:val="20"/>
        </w:rPr>
        <w:t xml:space="preserve"> </w:t>
      </w:r>
      <w:r w:rsidRPr="00DF01C8">
        <w:rPr>
          <w:i/>
          <w:sz w:val="20"/>
          <w:szCs w:val="20"/>
        </w:rPr>
        <w:t xml:space="preserve"> </w:t>
      </w:r>
    </w:p>
    <w:p w14:paraId="36C0F045" w14:textId="77777777" w:rsidR="00961908" w:rsidRDefault="00961908" w:rsidP="0006142E">
      <w:pPr>
        <w:ind w:firstLine="540"/>
        <w:rPr>
          <w:szCs w:val="24"/>
        </w:rPr>
      </w:pPr>
    </w:p>
    <w:p w14:paraId="04475B93" w14:textId="715B728C" w:rsidR="00802E3F" w:rsidRPr="00AA4EB6" w:rsidRDefault="00B70BA6" w:rsidP="00224FB7">
      <w:pPr>
        <w:ind w:firstLine="540"/>
        <w:rPr>
          <w:szCs w:val="24"/>
        </w:rPr>
      </w:pPr>
      <w:r w:rsidRPr="00AA4EB6">
        <w:rPr>
          <w:szCs w:val="24"/>
        </w:rPr>
        <w:t xml:space="preserve">So far, only </w:t>
      </w:r>
      <w:r w:rsidR="00A61D53" w:rsidRPr="00AA4EB6">
        <w:rPr>
          <w:szCs w:val="24"/>
        </w:rPr>
        <w:t>a handful of</w:t>
      </w:r>
      <w:r w:rsidRPr="00AA4EB6">
        <w:rPr>
          <w:szCs w:val="24"/>
        </w:rPr>
        <w:t xml:space="preserve"> EU countries have adopted national resource efficiency or circular economy strategies/action plans (Figure 2). </w:t>
      </w:r>
      <w:r w:rsidR="001C2372" w:rsidRPr="00AA4EB6">
        <w:rPr>
          <w:szCs w:val="24"/>
        </w:rPr>
        <w:t xml:space="preserve">In some cases, especially in the Eastern European developing EU member states, policy makers are not well equipped with sufficient knowledge of the circularity principles and </w:t>
      </w:r>
      <w:r w:rsidR="00D14D66">
        <w:rPr>
          <w:szCs w:val="24"/>
        </w:rPr>
        <w:t xml:space="preserve">the </w:t>
      </w:r>
      <w:r w:rsidR="001C2372" w:rsidRPr="00AA4EB6">
        <w:rPr>
          <w:szCs w:val="24"/>
        </w:rPr>
        <w:t>potential impact of corresponding policies on their national economies (Domenech and Bahn-</w:t>
      </w:r>
      <w:proofErr w:type="spellStart"/>
      <w:r w:rsidR="001C2372" w:rsidRPr="00AA4EB6">
        <w:rPr>
          <w:szCs w:val="24"/>
        </w:rPr>
        <w:t>Walkowiak</w:t>
      </w:r>
      <w:proofErr w:type="spellEnd"/>
      <w:r w:rsidR="001C2372" w:rsidRPr="00AA4EB6">
        <w:rPr>
          <w:szCs w:val="24"/>
        </w:rPr>
        <w:t xml:space="preserve">, 2019). </w:t>
      </w:r>
      <w:r w:rsidR="00A6611E" w:rsidRPr="00A6611E">
        <w:rPr>
          <w:szCs w:val="24"/>
        </w:rPr>
        <w:t>Thus</w:t>
      </w:r>
      <w:r w:rsidR="00D14D66">
        <w:rPr>
          <w:szCs w:val="24"/>
        </w:rPr>
        <w:t>,</w:t>
      </w:r>
      <w:r w:rsidR="00C364F2">
        <w:rPr>
          <w:szCs w:val="24"/>
        </w:rPr>
        <w:t xml:space="preserve"> an</w:t>
      </w:r>
      <w:r w:rsidR="00A6611E" w:rsidRPr="00A6611E">
        <w:rPr>
          <w:szCs w:val="24"/>
        </w:rPr>
        <w:t xml:space="preserve"> assessment of the regional/local measures, including identification of the potential economic implications and policy trade-offs of such transition is of a high importance for policy makers.</w:t>
      </w:r>
      <w:r w:rsidR="00A6611E">
        <w:rPr>
          <w:szCs w:val="24"/>
        </w:rPr>
        <w:t xml:space="preserve"> </w:t>
      </w:r>
      <w:r w:rsidR="00A6611E" w:rsidRPr="00AA4EB6">
        <w:rPr>
          <w:szCs w:val="24"/>
        </w:rPr>
        <w:t>It is also important to understand how other policy efforts</w:t>
      </w:r>
      <w:r w:rsidR="00646ABD">
        <w:rPr>
          <w:szCs w:val="24"/>
        </w:rPr>
        <w:t xml:space="preserve"> implemented in the EU</w:t>
      </w:r>
      <w:r w:rsidR="00A6611E" w:rsidRPr="00AA4EB6">
        <w:rPr>
          <w:szCs w:val="24"/>
        </w:rPr>
        <w:t>, such as</w:t>
      </w:r>
      <w:r w:rsidR="00A6611E">
        <w:rPr>
          <w:szCs w:val="24"/>
        </w:rPr>
        <w:t xml:space="preserve"> a</w:t>
      </w:r>
      <w:r w:rsidR="00A6611E" w:rsidRPr="00AA4EB6">
        <w:rPr>
          <w:szCs w:val="24"/>
        </w:rPr>
        <w:t xml:space="preserve"> more ambitious climate mitigation polic</w:t>
      </w:r>
      <w:r w:rsidR="00A6611E">
        <w:rPr>
          <w:szCs w:val="24"/>
        </w:rPr>
        <w:t>ies</w:t>
      </w:r>
      <w:r w:rsidR="00A6611E" w:rsidRPr="00AA4EB6">
        <w:rPr>
          <w:szCs w:val="24"/>
        </w:rPr>
        <w:t xml:space="preserve"> </w:t>
      </w:r>
      <w:r w:rsidR="00A6611E">
        <w:rPr>
          <w:szCs w:val="24"/>
        </w:rPr>
        <w:t>(</w:t>
      </w:r>
      <w:r w:rsidR="004B2946">
        <w:rPr>
          <w:szCs w:val="24"/>
        </w:rPr>
        <w:t>e.g.,</w:t>
      </w:r>
      <w:r w:rsidR="00A6611E">
        <w:rPr>
          <w:szCs w:val="24"/>
        </w:rPr>
        <w:t xml:space="preserve"> ‘fit for 55’ package)</w:t>
      </w:r>
      <w:r w:rsidR="00A6611E" w:rsidRPr="00AA4EB6">
        <w:rPr>
          <w:szCs w:val="24"/>
        </w:rPr>
        <w:t>,</w:t>
      </w:r>
      <w:r w:rsidR="00A6611E">
        <w:rPr>
          <w:rStyle w:val="FootnoteReference"/>
          <w:szCs w:val="24"/>
        </w:rPr>
        <w:footnoteReference w:id="2"/>
      </w:r>
      <w:r w:rsidR="00A6611E" w:rsidRPr="00AA4EB6">
        <w:rPr>
          <w:szCs w:val="24"/>
        </w:rPr>
        <w:t xml:space="preserve"> would interact with the circularity agenda</w:t>
      </w:r>
      <w:r w:rsidR="00A6611E">
        <w:rPr>
          <w:szCs w:val="24"/>
        </w:rPr>
        <w:t xml:space="preserve">, </w:t>
      </w:r>
      <w:r w:rsidR="00A6611E" w:rsidRPr="00AA4EB6">
        <w:rPr>
          <w:szCs w:val="24"/>
        </w:rPr>
        <w:t>as well as how the circular economy measur</w:t>
      </w:r>
      <w:r w:rsidR="00A6611E">
        <w:rPr>
          <w:szCs w:val="24"/>
        </w:rPr>
        <w:t>es can be used to complement other existing policy goals</w:t>
      </w:r>
      <w:r w:rsidR="00A6611E" w:rsidRPr="00AA4EB6">
        <w:rPr>
          <w:szCs w:val="24"/>
        </w:rPr>
        <w:t>.</w:t>
      </w:r>
    </w:p>
    <w:p w14:paraId="4090C48F" w14:textId="77777777" w:rsidR="00B70BA6" w:rsidRPr="00B65008" w:rsidRDefault="00B70BA6" w:rsidP="00D86976">
      <w:pPr>
        <w:ind w:firstLine="0"/>
        <w:jc w:val="center"/>
        <w:rPr>
          <w:szCs w:val="24"/>
        </w:rPr>
      </w:pPr>
      <w:r>
        <w:rPr>
          <w:rFonts w:ascii="Open Sans" w:hAnsi="Open Sans" w:cs="Open Sans"/>
          <w:noProof/>
          <w:color w:val="8E004D"/>
        </w:rPr>
        <w:lastRenderedPageBreak/>
        <w:drawing>
          <wp:inline distT="0" distB="0" distL="0" distR="0" wp14:anchorId="28A6F1FC" wp14:editId="279E2717">
            <wp:extent cx="3800901" cy="3249854"/>
            <wp:effectExtent l="0" t="0" r="0" b="8255"/>
            <wp:docPr id="6" name="Picture 6">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43834" cy="3286562"/>
                    </a:xfrm>
                    <a:prstGeom prst="rect">
                      <a:avLst/>
                    </a:prstGeom>
                    <a:noFill/>
                    <a:ln>
                      <a:noFill/>
                    </a:ln>
                  </pic:spPr>
                </pic:pic>
              </a:graphicData>
            </a:graphic>
          </wp:inline>
        </w:drawing>
      </w:r>
    </w:p>
    <w:p w14:paraId="0CD17799" w14:textId="77777777" w:rsidR="00802E3F" w:rsidRPr="00AA4EB6" w:rsidRDefault="0006142E" w:rsidP="0006142E">
      <w:pPr>
        <w:rPr>
          <w:b/>
          <w:szCs w:val="24"/>
        </w:rPr>
      </w:pPr>
      <w:r w:rsidRPr="00AA4EB6">
        <w:rPr>
          <w:b/>
          <w:szCs w:val="24"/>
        </w:rPr>
        <w:t>Figure 2. Circular economy strategies or action plans adoption status</w:t>
      </w:r>
    </w:p>
    <w:p w14:paraId="5AE5CD4C" w14:textId="77777777" w:rsidR="0006142E" w:rsidRPr="0006142E" w:rsidRDefault="0006142E">
      <w:pPr>
        <w:rPr>
          <w:sz w:val="20"/>
          <w:szCs w:val="20"/>
        </w:rPr>
      </w:pPr>
      <w:r w:rsidRPr="0006142E">
        <w:rPr>
          <w:i/>
          <w:sz w:val="20"/>
          <w:szCs w:val="20"/>
        </w:rPr>
        <w:t>Source:</w:t>
      </w:r>
      <w:r w:rsidRPr="0006142E">
        <w:rPr>
          <w:sz w:val="20"/>
          <w:szCs w:val="20"/>
        </w:rPr>
        <w:t xml:space="preserve"> EEA (20</w:t>
      </w:r>
      <w:r>
        <w:rPr>
          <w:sz w:val="20"/>
          <w:szCs w:val="20"/>
        </w:rPr>
        <w:t>20</w:t>
      </w:r>
      <w:r w:rsidRPr="0006142E">
        <w:rPr>
          <w:sz w:val="20"/>
          <w:szCs w:val="20"/>
        </w:rPr>
        <w:t>).</w:t>
      </w:r>
    </w:p>
    <w:p w14:paraId="405E6234" w14:textId="77777777" w:rsidR="00D86976" w:rsidRDefault="00D86976" w:rsidP="00EF7B9F">
      <w:pPr>
        <w:ind w:firstLine="540"/>
        <w:rPr>
          <w:szCs w:val="24"/>
        </w:rPr>
      </w:pPr>
    </w:p>
    <w:p w14:paraId="3D01B699" w14:textId="7FEA39DB" w:rsidR="00FF27B1" w:rsidRDefault="00734C43" w:rsidP="00EF7B9F">
      <w:pPr>
        <w:ind w:firstLine="540"/>
        <w:rPr>
          <w:szCs w:val="24"/>
        </w:rPr>
      </w:pPr>
      <w:r w:rsidRPr="00AA4EB6">
        <w:rPr>
          <w:szCs w:val="24"/>
        </w:rPr>
        <w:t xml:space="preserve">While most of the existing literature has </w:t>
      </w:r>
      <w:r w:rsidR="00D14D66">
        <w:rPr>
          <w:szCs w:val="24"/>
        </w:rPr>
        <w:t xml:space="preserve">a </w:t>
      </w:r>
      <w:r w:rsidRPr="00AA4EB6">
        <w:rPr>
          <w:szCs w:val="24"/>
        </w:rPr>
        <w:t xml:space="preserve">global </w:t>
      </w:r>
      <w:r w:rsidR="00A6611E">
        <w:rPr>
          <w:szCs w:val="24"/>
        </w:rPr>
        <w:t>focus</w:t>
      </w:r>
      <w:r w:rsidRPr="00AA4EB6">
        <w:rPr>
          <w:szCs w:val="24"/>
        </w:rPr>
        <w:t xml:space="preserve"> (e.g.  Winning et al., 2017; McCarthy et al., 2018; Wiebe et al., 2019; Aguilar-Hernandez et al., 2020)</w:t>
      </w:r>
      <w:r w:rsidR="00224FB7" w:rsidRPr="00AA4EB6">
        <w:rPr>
          <w:szCs w:val="24"/>
        </w:rPr>
        <w:t>,</w:t>
      </w:r>
      <w:r w:rsidRPr="00AA4EB6">
        <w:rPr>
          <w:szCs w:val="24"/>
        </w:rPr>
        <w:t xml:space="preserve"> future progress in the area of circular economy transition would likely </w:t>
      </w:r>
      <w:r w:rsidR="00224FB7" w:rsidRPr="00AA4EB6">
        <w:rPr>
          <w:szCs w:val="24"/>
        </w:rPr>
        <w:t>depend</w:t>
      </w:r>
      <w:r w:rsidRPr="00AA4EB6">
        <w:rPr>
          <w:szCs w:val="24"/>
        </w:rPr>
        <w:t xml:space="preserve"> </w:t>
      </w:r>
      <w:r w:rsidR="00224FB7" w:rsidRPr="00AA4EB6">
        <w:rPr>
          <w:szCs w:val="24"/>
        </w:rPr>
        <w:t>on</w:t>
      </w:r>
      <w:r w:rsidRPr="00AA4EB6">
        <w:rPr>
          <w:szCs w:val="24"/>
        </w:rPr>
        <w:t xml:space="preserve"> country level</w:t>
      </w:r>
      <w:r w:rsidR="00224FB7" w:rsidRPr="00AA4EB6">
        <w:rPr>
          <w:szCs w:val="24"/>
        </w:rPr>
        <w:t xml:space="preserve"> action</w:t>
      </w:r>
      <w:r w:rsidR="00D14D66">
        <w:rPr>
          <w:szCs w:val="24"/>
        </w:rPr>
        <w:t>s</w:t>
      </w:r>
      <w:r w:rsidRPr="00AA4EB6">
        <w:rPr>
          <w:szCs w:val="24"/>
        </w:rPr>
        <w:t>.</w:t>
      </w:r>
      <w:r w:rsidR="008C2892">
        <w:rPr>
          <w:szCs w:val="24"/>
        </w:rPr>
        <w:t xml:space="preserve"> To address this point, </w:t>
      </w:r>
      <w:r w:rsidR="00A6611E">
        <w:rPr>
          <w:szCs w:val="24"/>
        </w:rPr>
        <w:t>our analysis</w:t>
      </w:r>
      <w:r w:rsidR="008C2892" w:rsidRPr="00AA4EB6">
        <w:rPr>
          <w:szCs w:val="24"/>
        </w:rPr>
        <w:t xml:space="preserve"> </w:t>
      </w:r>
      <w:r w:rsidR="00D14D66">
        <w:rPr>
          <w:szCs w:val="24"/>
        </w:rPr>
        <w:t xml:space="preserve">focuses </w:t>
      </w:r>
      <w:r w:rsidR="008C2892" w:rsidRPr="00AA4EB6">
        <w:rPr>
          <w:szCs w:val="24"/>
        </w:rPr>
        <w:t xml:space="preserve">on </w:t>
      </w:r>
      <w:r w:rsidR="00D14D66">
        <w:rPr>
          <w:szCs w:val="24"/>
        </w:rPr>
        <w:t xml:space="preserve">the </w:t>
      </w:r>
      <w:r w:rsidR="008C2892" w:rsidRPr="00AA4EB6">
        <w:rPr>
          <w:szCs w:val="24"/>
        </w:rPr>
        <w:t>EU</w:t>
      </w:r>
      <w:r w:rsidR="00A6611E">
        <w:rPr>
          <w:szCs w:val="24"/>
        </w:rPr>
        <w:t xml:space="preserve"> economy</w:t>
      </w:r>
      <w:r w:rsidR="008C2892" w:rsidRPr="00AA4EB6">
        <w:rPr>
          <w:szCs w:val="24"/>
        </w:rPr>
        <w:t xml:space="preserve"> and</w:t>
      </w:r>
      <w:r w:rsidR="00EF7B9F">
        <w:rPr>
          <w:szCs w:val="24"/>
        </w:rPr>
        <w:t xml:space="preserve">, in particular, </w:t>
      </w:r>
      <w:r w:rsidR="008C2892" w:rsidRPr="00AA4EB6">
        <w:rPr>
          <w:szCs w:val="24"/>
        </w:rPr>
        <w:t>four Eastern European Member States – Poland, Romania, Bulgaria and Croatia.</w:t>
      </w:r>
      <w:r w:rsidR="008C2892">
        <w:rPr>
          <w:szCs w:val="24"/>
        </w:rPr>
        <w:t xml:space="preserve"> </w:t>
      </w:r>
      <w:r w:rsidR="00F341EB">
        <w:rPr>
          <w:szCs w:val="24"/>
        </w:rPr>
        <w:t xml:space="preserve">We </w:t>
      </w:r>
      <w:r w:rsidR="00C117CE">
        <w:rPr>
          <w:szCs w:val="24"/>
        </w:rPr>
        <w:t>develop</w:t>
      </w:r>
      <w:r w:rsidR="00646ABD">
        <w:rPr>
          <w:szCs w:val="24"/>
        </w:rPr>
        <w:t xml:space="preserve"> a set of policy scenarios that include various climate mitigation and circular economy-specific policies and measures (Figure 3).</w:t>
      </w:r>
    </w:p>
    <w:p w14:paraId="57BA8603" w14:textId="77777777" w:rsidR="00D86976" w:rsidRDefault="00D86976" w:rsidP="00EF7B9F">
      <w:pPr>
        <w:ind w:firstLine="540"/>
        <w:rPr>
          <w:szCs w:val="24"/>
        </w:rPr>
      </w:pPr>
    </w:p>
    <w:p w14:paraId="0653870D" w14:textId="7F850501" w:rsidR="00DF01C8" w:rsidRDefault="00144AA3" w:rsidP="00DF01C8">
      <w:pPr>
        <w:ind w:firstLine="0"/>
        <w:rPr>
          <w:szCs w:val="24"/>
        </w:rPr>
      </w:pPr>
      <w:r>
        <w:rPr>
          <w:noProof/>
        </w:rPr>
        <w:lastRenderedPageBreak/>
        <mc:AlternateContent>
          <mc:Choice Requires="wps">
            <w:drawing>
              <wp:anchor distT="0" distB="0" distL="114300" distR="114300" simplePos="0" relativeHeight="251659264" behindDoc="0" locked="0" layoutInCell="1" allowOverlap="1" wp14:anchorId="7F5D5216" wp14:editId="443E58D4">
                <wp:simplePos x="0" y="0"/>
                <wp:positionH relativeFrom="column">
                  <wp:posOffset>5049520</wp:posOffset>
                </wp:positionH>
                <wp:positionV relativeFrom="paragraph">
                  <wp:posOffset>893759</wp:posOffset>
                </wp:positionV>
                <wp:extent cx="1221474" cy="818865"/>
                <wp:effectExtent l="0" t="0" r="17145" b="19685"/>
                <wp:wrapNone/>
                <wp:docPr id="4" name="Rectangle 4"/>
                <wp:cNvGraphicFramePr/>
                <a:graphic xmlns:a="http://schemas.openxmlformats.org/drawingml/2006/main">
                  <a:graphicData uri="http://schemas.microsoft.com/office/word/2010/wordprocessingShape">
                    <wps:wsp>
                      <wps:cNvSpPr/>
                      <wps:spPr>
                        <a:xfrm>
                          <a:off x="0" y="0"/>
                          <a:ext cx="1221474" cy="818865"/>
                        </a:xfrm>
                        <a:prstGeom prst="rect">
                          <a:avLst/>
                        </a:prstGeom>
                        <a:solidFill>
                          <a:srgbClr val="FFF3CD"/>
                        </a:solidFill>
                        <a:ln w="12700" cap="flat" cmpd="sng" algn="ctr">
                          <a:solidFill>
                            <a:srgbClr val="FFC000"/>
                          </a:solidFill>
                          <a:prstDash val="solid"/>
                          <a:miter lim="800000"/>
                        </a:ln>
                        <a:effectLst/>
                      </wps:spPr>
                      <wps:txbx>
                        <w:txbxContent>
                          <w:p w14:paraId="34E12177" w14:textId="592BCB22" w:rsidR="00144AA3" w:rsidRPr="00913555" w:rsidRDefault="00144AA3" w:rsidP="00144AA3">
                            <w:pPr>
                              <w:ind w:firstLine="0"/>
                              <w:jc w:val="center"/>
                              <w:rPr>
                                <w:b/>
                                <w:color w:val="000000" w:themeColor="text1"/>
                                <w:sz w:val="20"/>
                                <w:szCs w:val="20"/>
                              </w:rPr>
                            </w:pPr>
                            <w:r>
                              <w:rPr>
                                <w:b/>
                                <w:color w:val="000000" w:themeColor="text1"/>
                                <w:sz w:val="20"/>
                                <w:szCs w:val="20"/>
                              </w:rPr>
                              <w:t>Combined scenario</w:t>
                            </w:r>
                          </w:p>
                          <w:p w14:paraId="3BCDAFD1" w14:textId="15EC6D11" w:rsidR="00144AA3" w:rsidRPr="00913555" w:rsidRDefault="00144AA3" w:rsidP="00144AA3">
                            <w:pPr>
                              <w:ind w:firstLine="0"/>
                              <w:jc w:val="center"/>
                              <w:rPr>
                                <w:color w:val="000000" w:themeColor="text1"/>
                                <w:sz w:val="20"/>
                                <w:szCs w:val="20"/>
                              </w:rPr>
                            </w:pPr>
                            <w:r w:rsidRPr="00913555">
                              <w:rPr>
                                <w:color w:val="000000" w:themeColor="text1"/>
                                <w:sz w:val="20"/>
                                <w:szCs w:val="20"/>
                              </w:rPr>
                              <w:t>(</w:t>
                            </w:r>
                            <w:r>
                              <w:rPr>
                                <w:color w:val="000000" w:themeColor="text1"/>
                                <w:sz w:val="20"/>
                                <w:szCs w:val="20"/>
                              </w:rPr>
                              <w:t>Combination of fiscal policies and demand-side measures</w:t>
                            </w:r>
                            <w:r w:rsidRPr="00913555">
                              <w:rPr>
                                <w:color w:val="000000" w:themeColor="text1"/>
                                <w:sz w:val="20"/>
                                <w:szCs w:val="2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5D5216" id="Rectangle 4" o:spid="_x0000_s1026" style="position:absolute;left:0;text-align:left;margin-left:397.6pt;margin-top:70.35pt;width:96.2pt;height: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" fillcolor="#fff3cd" strokecolor="#ffc000" strokeweight="1pt">
                <v:textbox inset="0,0,0,0">
                  <w:txbxContent>
                    <w:p w14:paraId="34E12177" w14:textId="592BCB22" w:rsidR="00144AA3" w:rsidRPr="00913555" w:rsidRDefault="00144AA3" w:rsidP="00144AA3">
                      <w:pPr>
                        <w:ind w:firstLine="0"/>
                        <w:jc w:val="center"/>
                        <w:rPr>
                          <w:b/>
                          <w:color w:val="000000" w:themeColor="text1"/>
                          <w:sz w:val="20"/>
                          <w:szCs w:val="20"/>
                        </w:rPr>
                      </w:pPr>
                      <w:r>
                        <w:rPr>
                          <w:b/>
                          <w:color w:val="000000" w:themeColor="text1"/>
                          <w:sz w:val="20"/>
                          <w:szCs w:val="20"/>
                        </w:rPr>
                        <w:t>Combined scenario</w:t>
                      </w:r>
                    </w:p>
                    <w:p w14:paraId="3BCDAFD1" w14:textId="15EC6D11" w:rsidR="00144AA3" w:rsidRPr="00913555" w:rsidRDefault="00144AA3" w:rsidP="00144AA3">
                      <w:pPr>
                        <w:ind w:firstLine="0"/>
                        <w:jc w:val="center"/>
                        <w:rPr>
                          <w:color w:val="000000" w:themeColor="text1"/>
                          <w:sz w:val="20"/>
                          <w:szCs w:val="20"/>
                        </w:rPr>
                      </w:pPr>
                      <w:r w:rsidRPr="00913555">
                        <w:rPr>
                          <w:color w:val="000000" w:themeColor="text1"/>
                          <w:sz w:val="20"/>
                          <w:szCs w:val="20"/>
                        </w:rPr>
                        <w:t>(</w:t>
                      </w:r>
                      <w:r>
                        <w:rPr>
                          <w:color w:val="000000" w:themeColor="text1"/>
                          <w:sz w:val="20"/>
                          <w:szCs w:val="20"/>
                        </w:rPr>
                        <w:t>Combination of fiscal policies and demand-side measures</w:t>
                      </w:r>
                      <w:r w:rsidRPr="00913555">
                        <w:rPr>
                          <w:color w:val="000000" w:themeColor="text1"/>
                          <w:sz w:val="20"/>
                          <w:szCs w:val="20"/>
                        </w:rPr>
                        <w:t>)</w:t>
                      </w: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521AE9C1" wp14:editId="026A34E5">
                <wp:simplePos x="0" y="0"/>
                <wp:positionH relativeFrom="column">
                  <wp:posOffset>3698543</wp:posOffset>
                </wp:positionH>
                <wp:positionV relativeFrom="paragraph">
                  <wp:posOffset>1288350</wp:posOffset>
                </wp:positionV>
                <wp:extent cx="1351129" cy="45719"/>
                <wp:effectExtent l="19050" t="95250" r="0" b="69215"/>
                <wp:wrapNone/>
                <wp:docPr id="5" name="Straight Arrow Connector 5"/>
                <wp:cNvGraphicFramePr/>
                <a:graphic xmlns:a="http://schemas.openxmlformats.org/drawingml/2006/main">
                  <a:graphicData uri="http://schemas.microsoft.com/office/word/2010/wordprocessingShape">
                    <wps:wsp>
                      <wps:cNvCnPr/>
                      <wps:spPr>
                        <a:xfrm flipV="1">
                          <a:off x="0" y="0"/>
                          <a:ext cx="1351129" cy="45719"/>
                        </a:xfrm>
                        <a:prstGeom prst="straightConnector1">
                          <a:avLst/>
                        </a:prstGeom>
                        <a:noFill/>
                        <a:ln w="41275"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0A44372" id="_x0000_t32" coordsize="21600,21600" o:spt="32" o:oned="t" path="m,l21600,21600e" filled="f">
                <v:path arrowok="t" fillok="f" o:connecttype="none"/>
                <o:lock v:ext="edit" shapetype="t"/>
              </v:shapetype>
              <v:shape id="Straight Arrow Connector 5" o:spid="_x0000_s1026" type="#_x0000_t32" style="position:absolute;margin-left:291.2pt;margin-top:101.45pt;width:106.4pt;height:3.6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" strokecolor="#ffc000" strokeweight="3.25pt">
                <v:stroke endarrow="block" joinstyle="miter"/>
              </v:shape>
            </w:pict>
          </mc:Fallback>
        </mc:AlternateContent>
      </w:r>
      <w:r w:rsidR="00DF01C8" w:rsidRPr="00746224">
        <w:rPr>
          <w:rFonts w:eastAsia="Times New Roman" w:cs="Times New Roman"/>
          <w:noProof/>
        </w:rPr>
        <mc:AlternateContent>
          <mc:Choice Requires="wpg">
            <w:drawing>
              <wp:inline distT="0" distB="0" distL="0" distR="0" wp14:anchorId="576FF50F" wp14:editId="1018D184">
                <wp:extent cx="6053455" cy="3752850"/>
                <wp:effectExtent l="0" t="0" r="23495" b="1905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53455" cy="3752850"/>
                          <a:chOff x="0" y="0"/>
                          <a:chExt cx="6260465" cy="3258820"/>
                        </a:xfrm>
                      </wpg:grpSpPr>
                      <wps:wsp>
                        <wps:cNvPr id="14" name="Rectangle 1"/>
                        <wps:cNvSpPr/>
                        <wps:spPr>
                          <a:xfrm>
                            <a:off x="392687" y="28049"/>
                            <a:ext cx="1231265" cy="1097560"/>
                          </a:xfrm>
                          <a:prstGeom prst="rect">
                            <a:avLst/>
                          </a:prstGeom>
                          <a:solidFill>
                            <a:srgbClr val="5B9BD5"/>
                          </a:solidFill>
                          <a:ln w="12700" cap="flat" cmpd="sng" algn="ctr">
                            <a:solidFill>
                              <a:srgbClr val="5B9BD5">
                                <a:shade val="50000"/>
                              </a:srgbClr>
                            </a:solidFill>
                            <a:prstDash val="solid"/>
                            <a:miter lim="800000"/>
                          </a:ln>
                          <a:effectLst/>
                        </wps:spPr>
                        <wps:txbx>
                          <w:txbxContent>
                            <w:p w14:paraId="0782F8E8" w14:textId="77777777" w:rsidR="00497566" w:rsidRDefault="00497566" w:rsidP="00DF01C8">
                              <w:pPr>
                                <w:spacing w:line="240" w:lineRule="auto"/>
                                <w:ind w:firstLine="0"/>
                                <w:jc w:val="center"/>
                                <w:rPr>
                                  <w:sz w:val="20"/>
                                </w:rPr>
                              </w:pPr>
                              <w:r w:rsidRPr="00913555">
                                <w:rPr>
                                  <w:b/>
                                  <w:sz w:val="20"/>
                                </w:rPr>
                                <w:t>Baseline scenario</w:t>
                              </w:r>
                              <w:r w:rsidRPr="00913555">
                                <w:rPr>
                                  <w:sz w:val="20"/>
                                </w:rPr>
                                <w:t xml:space="preserve"> </w:t>
                              </w:r>
                            </w:p>
                            <w:p w14:paraId="4EE3CB71" w14:textId="77777777" w:rsidR="00497566" w:rsidRPr="00751813" w:rsidRDefault="00497566" w:rsidP="00DF01C8">
                              <w:pPr>
                                <w:spacing w:line="240" w:lineRule="auto"/>
                                <w:ind w:firstLine="0"/>
                                <w:jc w:val="center"/>
                                <w:rPr>
                                  <w:b/>
                                  <w:sz w:val="20"/>
                                </w:rPr>
                              </w:pPr>
                              <w:r w:rsidRPr="00751813">
                                <w:rPr>
                                  <w:b/>
                                  <w:sz w:val="20"/>
                                </w:rPr>
                                <w:t>Business as usual (BAU)</w:t>
                              </w:r>
                            </w:p>
                            <w:p w14:paraId="1A1DABB7" w14:textId="6217D9BA" w:rsidR="00497566" w:rsidRPr="00913555" w:rsidRDefault="00497566" w:rsidP="00DF01C8">
                              <w:pPr>
                                <w:spacing w:line="240" w:lineRule="auto"/>
                                <w:ind w:firstLine="0"/>
                                <w:jc w:val="center"/>
                                <w:rPr>
                                  <w:sz w:val="20"/>
                                </w:rPr>
                              </w:pPr>
                              <w:r w:rsidRPr="00913555">
                                <w:rPr>
                                  <w:sz w:val="20"/>
                                </w:rPr>
                                <w:t xml:space="preserve">till 2030 </w:t>
                              </w:r>
                              <w:r>
                                <w:rPr>
                                  <w:sz w:val="20"/>
                                </w:rPr>
                                <w:t xml:space="preserve">-includes </w:t>
                              </w:r>
                              <w:r w:rsidRPr="00913555">
                                <w:rPr>
                                  <w:sz w:val="20"/>
                                </w:rPr>
                                <w:t>NDC mitigation policies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2" name="Group 6"/>
                        <wpg:cNvGrpSpPr/>
                        <wpg:grpSpPr>
                          <a:xfrm>
                            <a:off x="0" y="0"/>
                            <a:ext cx="6260465" cy="3258820"/>
                            <a:chOff x="84146" y="0"/>
                            <a:chExt cx="6261147" cy="3259237"/>
                          </a:xfrm>
                        </wpg:grpSpPr>
                        <wps:wsp>
                          <wps:cNvPr id="33" name="Straight Arrow Connector 2"/>
                          <wps:cNvCnPr/>
                          <wps:spPr>
                            <a:xfrm>
                              <a:off x="1710993" y="230003"/>
                              <a:ext cx="1234440" cy="0"/>
                            </a:xfrm>
                            <a:prstGeom prst="straightConnector1">
                              <a:avLst/>
                            </a:prstGeom>
                            <a:noFill/>
                            <a:ln w="41275" cap="flat" cmpd="sng" algn="ctr">
                              <a:solidFill>
                                <a:srgbClr val="92D050"/>
                              </a:solidFill>
                              <a:prstDash val="solid"/>
                              <a:miter lim="800000"/>
                              <a:tailEnd type="triangle"/>
                            </a:ln>
                            <a:effectLst/>
                          </wps:spPr>
                          <wps:bodyPr/>
                        </wps:wsp>
                        <wps:wsp>
                          <wps:cNvPr id="34" name="Rectangle 3"/>
                          <wps:cNvSpPr/>
                          <wps:spPr>
                            <a:xfrm>
                              <a:off x="2945153" y="0"/>
                              <a:ext cx="1778000" cy="620703"/>
                            </a:xfrm>
                            <a:prstGeom prst="rect">
                              <a:avLst/>
                            </a:prstGeom>
                            <a:solidFill>
                              <a:srgbClr val="70AD47">
                                <a:lumMod val="20000"/>
                                <a:lumOff val="80000"/>
                              </a:srgbClr>
                            </a:solidFill>
                            <a:ln w="12700" cap="flat" cmpd="sng" algn="ctr">
                              <a:solidFill>
                                <a:srgbClr val="92D050"/>
                              </a:solidFill>
                              <a:prstDash val="solid"/>
                              <a:miter lim="800000"/>
                            </a:ln>
                            <a:effectLst/>
                          </wps:spPr>
                          <wps:txbx>
                            <w:txbxContent>
                              <w:p w14:paraId="10CEDF72" w14:textId="489F7944" w:rsidR="00497566" w:rsidRDefault="00497566" w:rsidP="00DF01C8">
                                <w:pPr>
                                  <w:ind w:firstLine="0"/>
                                  <w:jc w:val="center"/>
                                  <w:rPr>
                                    <w:b/>
                                    <w:color w:val="000000" w:themeColor="text1"/>
                                    <w:sz w:val="20"/>
                                    <w:szCs w:val="20"/>
                                  </w:rPr>
                                </w:pPr>
                                <w:r w:rsidRPr="00913555">
                                  <w:rPr>
                                    <w:b/>
                                    <w:color w:val="000000" w:themeColor="text1"/>
                                    <w:sz w:val="20"/>
                                    <w:szCs w:val="20"/>
                                  </w:rPr>
                                  <w:t>EGD</w:t>
                                </w:r>
                                <w:r>
                                  <w:rPr>
                                    <w:b/>
                                    <w:color w:val="000000" w:themeColor="text1"/>
                                    <w:sz w:val="20"/>
                                    <w:szCs w:val="20"/>
                                  </w:rPr>
                                  <w:t xml:space="preserve"> mitigation</w:t>
                                </w:r>
                                <w:r w:rsidRPr="00913555">
                                  <w:rPr>
                                    <w:b/>
                                    <w:color w:val="000000" w:themeColor="text1"/>
                                    <w:sz w:val="20"/>
                                    <w:szCs w:val="20"/>
                                  </w:rPr>
                                  <w:t xml:space="preserve"> </w:t>
                                </w:r>
                                <w:r>
                                  <w:rPr>
                                    <w:b/>
                                    <w:color w:val="000000" w:themeColor="text1"/>
                                    <w:sz w:val="20"/>
                                    <w:szCs w:val="20"/>
                                  </w:rPr>
                                  <w:t>(EGD-NDC)</w:t>
                                </w:r>
                              </w:p>
                              <w:p w14:paraId="6A11785F" w14:textId="2E987D50" w:rsidR="00497566" w:rsidRPr="00913555" w:rsidRDefault="00497566" w:rsidP="00DF01C8">
                                <w:pPr>
                                  <w:ind w:firstLine="0"/>
                                  <w:jc w:val="center"/>
                                  <w:rPr>
                                    <w:b/>
                                    <w:color w:val="000000" w:themeColor="text1"/>
                                    <w:sz w:val="20"/>
                                    <w:szCs w:val="20"/>
                                  </w:rPr>
                                </w:pPr>
                                <w:r w:rsidRPr="00913555">
                                  <w:rPr>
                                    <w:b/>
                                    <w:color w:val="000000" w:themeColor="text1"/>
                                    <w:sz w:val="20"/>
                                    <w:szCs w:val="20"/>
                                  </w:rPr>
                                  <w:t>Baseline + EU Green Deal emission reduction targets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Text Box 2"/>
                          <wps:cNvSpPr txBox="1">
                            <a:spLocks noChangeArrowheads="1"/>
                          </wps:cNvSpPr>
                          <wps:spPr bwMode="auto">
                            <a:xfrm>
                              <a:off x="1789532" y="386986"/>
                              <a:ext cx="1023563" cy="386715"/>
                            </a:xfrm>
                            <a:prstGeom prst="rect">
                              <a:avLst/>
                            </a:prstGeom>
                            <a:noFill/>
                            <a:ln w="28575">
                              <a:solidFill>
                                <a:srgbClr val="92D050"/>
                              </a:solidFill>
                              <a:miter lim="800000"/>
                              <a:headEnd/>
                              <a:tailEnd/>
                            </a:ln>
                          </wps:spPr>
                          <wps:txbx>
                            <w:txbxContent>
                              <w:p w14:paraId="34893F0D" w14:textId="77777777" w:rsidR="00497566" w:rsidRPr="00913555" w:rsidRDefault="00497566" w:rsidP="00DF01C8">
                                <w:pPr>
                                  <w:ind w:firstLine="0"/>
                                  <w:jc w:val="center"/>
                                  <w:rPr>
                                    <w:sz w:val="20"/>
                                  </w:rPr>
                                </w:pPr>
                                <w:r w:rsidRPr="00913555">
                                  <w:rPr>
                                    <w:sz w:val="20"/>
                                  </w:rPr>
                                  <w:t>Climate mitigation policies</w:t>
                                </w:r>
                              </w:p>
                            </w:txbxContent>
                          </wps:txbx>
                          <wps:bodyPr rot="0" vert="horz" wrap="square" lIns="0" tIns="0" rIns="0" bIns="0" anchor="t" anchorCtr="0">
                            <a:noAutofit/>
                          </wps:bodyPr>
                        </wps:wsp>
                        <wps:wsp>
                          <wps:cNvPr id="36" name="Straight Arrow Connector 7"/>
                          <wps:cNvCnPr/>
                          <wps:spPr>
                            <a:xfrm flipH="1">
                              <a:off x="2995641" y="650739"/>
                              <a:ext cx="241098" cy="420736"/>
                            </a:xfrm>
                            <a:prstGeom prst="straightConnector1">
                              <a:avLst/>
                            </a:prstGeom>
                            <a:noFill/>
                            <a:ln w="41275" cap="flat" cmpd="sng" algn="ctr">
                              <a:solidFill>
                                <a:srgbClr val="FFC000"/>
                              </a:solidFill>
                              <a:prstDash val="solid"/>
                              <a:miter lim="800000"/>
                              <a:tailEnd type="triangle"/>
                            </a:ln>
                            <a:effectLst/>
                          </wps:spPr>
                          <wps:bodyPr/>
                        </wps:wsp>
                        <wps:wsp>
                          <wps:cNvPr id="37" name="Rectangle 8"/>
                          <wps:cNvSpPr/>
                          <wps:spPr>
                            <a:xfrm>
                              <a:off x="1940996" y="1071475"/>
                              <a:ext cx="1937982" cy="436729"/>
                            </a:xfrm>
                            <a:prstGeom prst="rect">
                              <a:avLst/>
                            </a:prstGeom>
                            <a:solidFill>
                              <a:srgbClr val="FFF3CD"/>
                            </a:solidFill>
                            <a:ln w="12700" cap="flat" cmpd="sng" algn="ctr">
                              <a:solidFill>
                                <a:srgbClr val="FFC000"/>
                              </a:solidFill>
                              <a:prstDash val="solid"/>
                              <a:miter lim="800000"/>
                            </a:ln>
                            <a:effectLst/>
                          </wps:spPr>
                          <wps:txbx>
                            <w:txbxContent>
                              <w:p w14:paraId="32ABE00B" w14:textId="153AE6D1" w:rsidR="00497566" w:rsidRPr="00913555" w:rsidRDefault="00497566" w:rsidP="00DF01C8">
                                <w:pPr>
                                  <w:jc w:val="center"/>
                                  <w:rPr>
                                    <w:b/>
                                    <w:color w:val="000000" w:themeColor="text1"/>
                                    <w:sz w:val="20"/>
                                    <w:szCs w:val="20"/>
                                  </w:rPr>
                                </w:pPr>
                                <w:r w:rsidRPr="00913555">
                                  <w:rPr>
                                    <w:b/>
                                    <w:color w:val="000000" w:themeColor="text1"/>
                                    <w:sz w:val="20"/>
                                    <w:szCs w:val="20"/>
                                  </w:rPr>
                                  <w:t>EGD</w:t>
                                </w:r>
                                <w:r>
                                  <w:rPr>
                                    <w:b/>
                                    <w:color w:val="000000" w:themeColor="text1"/>
                                    <w:sz w:val="20"/>
                                    <w:szCs w:val="20"/>
                                  </w:rPr>
                                  <w:t>-NDC</w:t>
                                </w:r>
                                <w:r w:rsidRPr="00913555">
                                  <w:rPr>
                                    <w:b/>
                                    <w:color w:val="000000" w:themeColor="text1"/>
                                    <w:sz w:val="20"/>
                                    <w:szCs w:val="20"/>
                                  </w:rPr>
                                  <w:t xml:space="preserve"> + </w:t>
                                </w:r>
                              </w:p>
                              <w:p w14:paraId="06BEC9F6" w14:textId="77777777" w:rsidR="00497566" w:rsidRPr="00913555" w:rsidRDefault="00497566" w:rsidP="00DF01C8">
                                <w:pPr>
                                  <w:jc w:val="center"/>
                                  <w:rPr>
                                    <w:b/>
                                    <w:color w:val="000000" w:themeColor="text1"/>
                                    <w:sz w:val="20"/>
                                    <w:szCs w:val="20"/>
                                  </w:rPr>
                                </w:pPr>
                                <w:r w:rsidRPr="00913555">
                                  <w:rPr>
                                    <w:b/>
                                    <w:color w:val="000000" w:themeColor="text1"/>
                                    <w:sz w:val="20"/>
                                    <w:szCs w:val="20"/>
                                  </w:rPr>
                                  <w:t>Circular economy measures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8" name="Text Box 2"/>
                          <wps:cNvSpPr txBox="1">
                            <a:spLocks noChangeArrowheads="1"/>
                          </wps:cNvSpPr>
                          <wps:spPr bwMode="auto">
                            <a:xfrm>
                              <a:off x="3292962" y="779765"/>
                              <a:ext cx="1553845" cy="207010"/>
                            </a:xfrm>
                            <a:prstGeom prst="rect">
                              <a:avLst/>
                            </a:prstGeom>
                            <a:noFill/>
                            <a:ln w="28575">
                              <a:solidFill>
                                <a:srgbClr val="FFC000"/>
                              </a:solidFill>
                              <a:miter lim="800000"/>
                              <a:headEnd/>
                              <a:tailEnd/>
                            </a:ln>
                          </wps:spPr>
                          <wps:txbx>
                            <w:txbxContent>
                              <w:p w14:paraId="734C81D2" w14:textId="77777777" w:rsidR="00497566" w:rsidRPr="00913555" w:rsidRDefault="00497566" w:rsidP="00DF01C8">
                                <w:pPr>
                                  <w:ind w:firstLine="0"/>
                                  <w:jc w:val="center"/>
                                  <w:rPr>
                                    <w:sz w:val="20"/>
                                    <w:szCs w:val="20"/>
                                  </w:rPr>
                                </w:pPr>
                                <w:r w:rsidRPr="00913555">
                                  <w:rPr>
                                    <w:sz w:val="20"/>
                                    <w:szCs w:val="20"/>
                                  </w:rPr>
                                  <w:t>Circular economy policies</w:t>
                                </w:r>
                              </w:p>
                            </w:txbxContent>
                          </wps:txbx>
                          <wps:bodyPr rot="0" vert="horz" wrap="square" lIns="0" tIns="0" rIns="0" bIns="0" anchor="t" anchorCtr="0">
                            <a:noAutofit/>
                          </wps:bodyPr>
                        </wps:wsp>
                        <wps:wsp>
                          <wps:cNvPr id="193" name="Rectangle 11"/>
                          <wps:cNvSpPr/>
                          <wps:spPr>
                            <a:xfrm>
                              <a:off x="84146" y="1772439"/>
                              <a:ext cx="1110689" cy="1486602"/>
                            </a:xfrm>
                            <a:prstGeom prst="rect">
                              <a:avLst/>
                            </a:prstGeom>
                            <a:solidFill>
                              <a:srgbClr val="FFF3CD"/>
                            </a:solidFill>
                            <a:ln w="12700" cap="flat" cmpd="sng" algn="ctr">
                              <a:solidFill>
                                <a:srgbClr val="FFC000"/>
                              </a:solidFill>
                              <a:prstDash val="solid"/>
                              <a:miter lim="800000"/>
                            </a:ln>
                            <a:effectLst/>
                          </wps:spPr>
                          <wps:txbx>
                            <w:txbxContent>
                              <w:p w14:paraId="17BA2B3B" w14:textId="77777777" w:rsidR="00497566" w:rsidRPr="00751813" w:rsidRDefault="00497566" w:rsidP="00DF01C8">
                                <w:pPr>
                                  <w:ind w:firstLine="0"/>
                                  <w:jc w:val="center"/>
                                  <w:rPr>
                                    <w:b/>
                                    <w:color w:val="000000" w:themeColor="text1"/>
                                    <w:sz w:val="20"/>
                                  </w:rPr>
                                </w:pPr>
                                <w:r w:rsidRPr="00751813">
                                  <w:rPr>
                                    <w:b/>
                                    <w:sz w:val="20"/>
                                    <w:szCs w:val="20"/>
                                  </w:rPr>
                                  <w:t>Reducing extraction and production / recycling</w:t>
                                </w:r>
                                <w:r w:rsidRPr="00751813">
                                  <w:rPr>
                                    <w:b/>
                                    <w:color w:val="000000" w:themeColor="text1"/>
                                    <w:sz w:val="20"/>
                                  </w:rPr>
                                  <w:t xml:space="preserve"> </w:t>
                                </w:r>
                              </w:p>
                              <w:p w14:paraId="2D420571" w14:textId="38044AE6" w:rsidR="00497566" w:rsidRPr="00913555" w:rsidRDefault="00497566" w:rsidP="00DF01C8">
                                <w:pPr>
                                  <w:ind w:firstLine="0"/>
                                  <w:jc w:val="center"/>
                                  <w:rPr>
                                    <w:color w:val="000000" w:themeColor="text1"/>
                                    <w:sz w:val="20"/>
                                  </w:rPr>
                                </w:pPr>
                                <w:r w:rsidRPr="00913555">
                                  <w:rPr>
                                    <w:color w:val="000000" w:themeColor="text1"/>
                                    <w:sz w:val="20"/>
                                  </w:rPr>
                                  <w:t>(30% tax on primary production + 30% subsidy to secondary production) + sensitivity analysis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4" name="Straight Arrow Connector 12"/>
                          <wps:cNvCnPr/>
                          <wps:spPr>
                            <a:xfrm flipH="1">
                              <a:off x="807813" y="1391235"/>
                              <a:ext cx="1132856" cy="375518"/>
                            </a:xfrm>
                            <a:prstGeom prst="straightConnector1">
                              <a:avLst/>
                            </a:prstGeom>
                            <a:noFill/>
                            <a:ln w="41275" cap="flat" cmpd="sng" algn="ctr">
                              <a:solidFill>
                                <a:srgbClr val="FFC000"/>
                              </a:solidFill>
                              <a:prstDash val="solid"/>
                              <a:miter lim="800000"/>
                              <a:tailEnd type="triangle"/>
                            </a:ln>
                            <a:effectLst/>
                          </wps:spPr>
                          <wps:bodyPr/>
                        </wps:wsp>
                        <wps:wsp>
                          <wps:cNvPr id="195" name="Rectangle 15"/>
                          <wps:cNvSpPr/>
                          <wps:spPr>
                            <a:xfrm>
                              <a:off x="1318306" y="1783922"/>
                              <a:ext cx="1200275" cy="1475315"/>
                            </a:xfrm>
                            <a:prstGeom prst="rect">
                              <a:avLst/>
                            </a:prstGeom>
                            <a:solidFill>
                              <a:srgbClr val="FFF3CD"/>
                            </a:solidFill>
                            <a:ln w="12700" cap="flat" cmpd="sng" algn="ctr">
                              <a:solidFill>
                                <a:srgbClr val="FFC000"/>
                              </a:solidFill>
                              <a:prstDash val="solid"/>
                              <a:miter lim="800000"/>
                            </a:ln>
                            <a:effectLst/>
                          </wps:spPr>
                          <wps:txbx>
                            <w:txbxContent>
                              <w:p w14:paraId="54E45D59" w14:textId="77777777" w:rsidR="00497566" w:rsidRPr="00751813" w:rsidRDefault="00497566" w:rsidP="00DF01C8">
                                <w:pPr>
                                  <w:ind w:firstLine="0"/>
                                  <w:jc w:val="center"/>
                                  <w:rPr>
                                    <w:b/>
                                    <w:color w:val="000000" w:themeColor="text1"/>
                                    <w:sz w:val="20"/>
                                    <w:szCs w:val="20"/>
                                  </w:rPr>
                                </w:pPr>
                                <w:r w:rsidRPr="00751813">
                                  <w:rPr>
                                    <w:b/>
                                    <w:sz w:val="20"/>
                                    <w:szCs w:val="20"/>
                                  </w:rPr>
                                  <w:t>Shifting consumer preferences away from materials</w:t>
                                </w:r>
                                <w:r w:rsidRPr="00751813">
                                  <w:rPr>
                                    <w:b/>
                                    <w:color w:val="000000" w:themeColor="text1"/>
                                    <w:sz w:val="20"/>
                                    <w:szCs w:val="20"/>
                                  </w:rPr>
                                  <w:t xml:space="preserve"> </w:t>
                                </w:r>
                              </w:p>
                              <w:p w14:paraId="2A61FD0C" w14:textId="4337F5FA" w:rsidR="00497566" w:rsidRPr="00913555" w:rsidRDefault="00497566" w:rsidP="00DF01C8">
                                <w:pPr>
                                  <w:ind w:firstLine="0"/>
                                  <w:jc w:val="center"/>
                                  <w:rPr>
                                    <w:color w:val="000000" w:themeColor="text1"/>
                                    <w:sz w:val="20"/>
                                    <w:szCs w:val="20"/>
                                  </w:rPr>
                                </w:pPr>
                                <w:r w:rsidRPr="00913555">
                                  <w:rPr>
                                    <w:color w:val="000000" w:themeColor="text1"/>
                                    <w:sz w:val="20"/>
                                    <w:szCs w:val="20"/>
                                  </w:rPr>
                                  <w:t>(20% reduction in final consumption of materials and compensating increase in other consumption)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6" name="Rectangle 16"/>
                          <wps:cNvSpPr/>
                          <wps:spPr>
                            <a:xfrm>
                              <a:off x="2642223" y="1772702"/>
                              <a:ext cx="1138793" cy="1486325"/>
                            </a:xfrm>
                            <a:prstGeom prst="rect">
                              <a:avLst/>
                            </a:prstGeom>
                            <a:solidFill>
                              <a:srgbClr val="FFF3CD"/>
                            </a:solidFill>
                            <a:ln w="12700" cap="flat" cmpd="sng" algn="ctr">
                              <a:solidFill>
                                <a:srgbClr val="FFC000"/>
                              </a:solidFill>
                              <a:prstDash val="solid"/>
                              <a:miter lim="800000"/>
                            </a:ln>
                            <a:effectLst/>
                          </wps:spPr>
                          <wps:txbx>
                            <w:txbxContent>
                              <w:p w14:paraId="0E6D0C05" w14:textId="77777777" w:rsidR="00497566" w:rsidRPr="00751813" w:rsidRDefault="00497566" w:rsidP="00DF01C8">
                                <w:pPr>
                                  <w:ind w:firstLine="0"/>
                                  <w:jc w:val="center"/>
                                  <w:rPr>
                                    <w:b/>
                                    <w:color w:val="000000" w:themeColor="text1"/>
                                    <w:sz w:val="20"/>
                                    <w:szCs w:val="20"/>
                                  </w:rPr>
                                </w:pPr>
                                <w:r w:rsidRPr="00751813">
                                  <w:rPr>
                                    <w:b/>
                                    <w:sz w:val="20"/>
                                    <w:szCs w:val="20"/>
                                  </w:rPr>
                                  <w:t>Redesign / ‘designing out’ materials</w:t>
                                </w:r>
                                <w:r w:rsidRPr="00751813">
                                  <w:rPr>
                                    <w:b/>
                                    <w:color w:val="000000" w:themeColor="text1"/>
                                    <w:sz w:val="20"/>
                                    <w:szCs w:val="20"/>
                                  </w:rPr>
                                  <w:t xml:space="preserve"> </w:t>
                                </w:r>
                              </w:p>
                              <w:p w14:paraId="2FC2EEA4" w14:textId="529738DB" w:rsidR="00497566" w:rsidRDefault="00497566" w:rsidP="00DF01C8">
                                <w:pPr>
                                  <w:ind w:firstLine="0"/>
                                  <w:jc w:val="center"/>
                                  <w:rPr>
                                    <w:color w:val="000000" w:themeColor="text1"/>
                                  </w:rPr>
                                </w:pPr>
                                <w:r w:rsidRPr="00913555">
                                  <w:rPr>
                                    <w:color w:val="000000" w:themeColor="text1"/>
                                    <w:sz w:val="20"/>
                                    <w:szCs w:val="20"/>
                                  </w:rPr>
                                  <w:t>(2% annual reduction in the intermediate use of materials and compensating increase in the use of services</w:t>
                                </w:r>
                                <w:r>
                                  <w:rPr>
                                    <w:color w:val="000000" w:themeColor="text1"/>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7" name="Straight Arrow Connector 17"/>
                          <wps:cNvCnPr/>
                          <wps:spPr>
                            <a:xfrm flipH="1">
                              <a:off x="1789531" y="1503431"/>
                              <a:ext cx="568832" cy="275750"/>
                            </a:xfrm>
                            <a:prstGeom prst="straightConnector1">
                              <a:avLst/>
                            </a:prstGeom>
                            <a:noFill/>
                            <a:ln w="41275" cap="flat" cmpd="sng" algn="ctr">
                              <a:solidFill>
                                <a:srgbClr val="FFC000"/>
                              </a:solidFill>
                              <a:prstDash val="solid"/>
                              <a:miter lim="800000"/>
                              <a:tailEnd type="triangle"/>
                            </a:ln>
                            <a:effectLst/>
                          </wps:spPr>
                          <wps:bodyPr/>
                        </wps:wsp>
                        <wps:wsp>
                          <wps:cNvPr id="202" name="Straight Arrow Connector 18"/>
                          <wps:cNvCnPr/>
                          <wps:spPr>
                            <a:xfrm>
                              <a:off x="2922714" y="1503431"/>
                              <a:ext cx="45719" cy="246832"/>
                            </a:xfrm>
                            <a:prstGeom prst="straightConnector1">
                              <a:avLst/>
                            </a:prstGeom>
                            <a:noFill/>
                            <a:ln w="41275" cap="flat" cmpd="sng" algn="ctr">
                              <a:solidFill>
                                <a:srgbClr val="FFC000"/>
                              </a:solidFill>
                              <a:prstDash val="solid"/>
                              <a:miter lim="800000"/>
                              <a:tailEnd type="triangle"/>
                            </a:ln>
                            <a:effectLst/>
                          </wps:spPr>
                          <wps:bodyPr/>
                        </wps:wsp>
                        <wps:wsp>
                          <wps:cNvPr id="207" name="Rectangle 19"/>
                          <wps:cNvSpPr/>
                          <wps:spPr>
                            <a:xfrm>
                              <a:off x="3910041" y="1772702"/>
                              <a:ext cx="1149985" cy="1474470"/>
                            </a:xfrm>
                            <a:prstGeom prst="rect">
                              <a:avLst/>
                            </a:prstGeom>
                            <a:solidFill>
                              <a:srgbClr val="FFF3CD"/>
                            </a:solidFill>
                            <a:ln w="12700" cap="flat" cmpd="sng" algn="ctr">
                              <a:solidFill>
                                <a:srgbClr val="FFC000"/>
                              </a:solidFill>
                              <a:prstDash val="solid"/>
                              <a:miter lim="800000"/>
                            </a:ln>
                            <a:effectLst/>
                          </wps:spPr>
                          <wps:txbx>
                            <w:txbxContent>
                              <w:p w14:paraId="7D8B8F0A" w14:textId="77777777" w:rsidR="00497566" w:rsidRPr="00751813" w:rsidRDefault="00497566" w:rsidP="00DF01C8">
                                <w:pPr>
                                  <w:ind w:firstLine="0"/>
                                  <w:jc w:val="center"/>
                                  <w:rPr>
                                    <w:b/>
                                    <w:color w:val="000000" w:themeColor="text1"/>
                                    <w:sz w:val="20"/>
                                    <w:szCs w:val="20"/>
                                  </w:rPr>
                                </w:pPr>
                                <w:r w:rsidRPr="00751813">
                                  <w:rPr>
                                    <w:b/>
                                    <w:sz w:val="20"/>
                                    <w:szCs w:val="20"/>
                                  </w:rPr>
                                  <w:t>Extending product lifetime</w:t>
                                </w:r>
                                <w:r w:rsidRPr="00751813">
                                  <w:rPr>
                                    <w:b/>
                                    <w:color w:val="000000" w:themeColor="text1"/>
                                    <w:sz w:val="20"/>
                                    <w:szCs w:val="20"/>
                                  </w:rPr>
                                  <w:t xml:space="preserve"> </w:t>
                                </w:r>
                              </w:p>
                              <w:p w14:paraId="35F4D080" w14:textId="020B10AE" w:rsidR="00497566" w:rsidRPr="00913555" w:rsidRDefault="00497566" w:rsidP="00DF01C8">
                                <w:pPr>
                                  <w:ind w:firstLine="0"/>
                                  <w:jc w:val="center"/>
                                  <w:rPr>
                                    <w:color w:val="000000" w:themeColor="text1"/>
                                    <w:sz w:val="20"/>
                                    <w:szCs w:val="20"/>
                                  </w:rPr>
                                </w:pPr>
                                <w:r w:rsidRPr="00913555">
                                  <w:rPr>
                                    <w:color w:val="000000" w:themeColor="text1"/>
                                    <w:sz w:val="20"/>
                                    <w:szCs w:val="20"/>
                                  </w:rPr>
                                  <w:t>(20% reduction in the final consumption of manufactured goods and compensating increase in the demand for services)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 name="Straight Arrow Connector 20"/>
                          <wps:cNvCnPr/>
                          <wps:spPr>
                            <a:xfrm>
                              <a:off x="3433207" y="1503431"/>
                              <a:ext cx="655955" cy="259033"/>
                            </a:xfrm>
                            <a:prstGeom prst="straightConnector1">
                              <a:avLst/>
                            </a:prstGeom>
                            <a:noFill/>
                            <a:ln w="41275" cap="flat" cmpd="sng" algn="ctr">
                              <a:solidFill>
                                <a:srgbClr val="FFC000"/>
                              </a:solidFill>
                              <a:prstDash val="solid"/>
                              <a:miter lim="800000"/>
                              <a:tailEnd type="triangle"/>
                            </a:ln>
                            <a:effectLst/>
                          </wps:spPr>
                          <wps:bodyPr/>
                        </wps:wsp>
                        <wps:wsp>
                          <wps:cNvPr id="214" name="Rectangle 4"/>
                          <wps:cNvSpPr/>
                          <wps:spPr>
                            <a:xfrm>
                              <a:off x="5233958" y="1772702"/>
                              <a:ext cx="1111335" cy="1474470"/>
                            </a:xfrm>
                            <a:prstGeom prst="rect">
                              <a:avLst/>
                            </a:prstGeom>
                            <a:solidFill>
                              <a:srgbClr val="FFF3CD"/>
                            </a:solidFill>
                            <a:ln w="12700" cap="flat" cmpd="sng" algn="ctr">
                              <a:solidFill>
                                <a:srgbClr val="FFC000"/>
                              </a:solidFill>
                              <a:prstDash val="solid"/>
                              <a:miter lim="800000"/>
                            </a:ln>
                            <a:effectLst/>
                          </wps:spPr>
                          <wps:txbx>
                            <w:txbxContent>
                              <w:p w14:paraId="7DE87EFC" w14:textId="77777777" w:rsidR="00497566" w:rsidRPr="00913555" w:rsidRDefault="00497566" w:rsidP="00DF01C8">
                                <w:pPr>
                                  <w:ind w:firstLine="0"/>
                                  <w:jc w:val="center"/>
                                  <w:rPr>
                                    <w:b/>
                                    <w:color w:val="000000" w:themeColor="text1"/>
                                    <w:sz w:val="20"/>
                                    <w:szCs w:val="20"/>
                                  </w:rPr>
                                </w:pPr>
                                <w:r>
                                  <w:rPr>
                                    <w:b/>
                                    <w:color w:val="000000" w:themeColor="text1"/>
                                    <w:sz w:val="20"/>
                                    <w:szCs w:val="20"/>
                                  </w:rPr>
                                  <w:t xml:space="preserve">Extraction levy </w:t>
                                </w:r>
                              </w:p>
                              <w:p w14:paraId="5B5C9523" w14:textId="77777777" w:rsidR="00497566" w:rsidRPr="00913555" w:rsidRDefault="00497566" w:rsidP="00DF01C8">
                                <w:pPr>
                                  <w:ind w:firstLine="0"/>
                                  <w:jc w:val="center"/>
                                  <w:rPr>
                                    <w:color w:val="000000" w:themeColor="text1"/>
                                    <w:sz w:val="20"/>
                                    <w:szCs w:val="20"/>
                                  </w:rPr>
                                </w:pPr>
                                <w:r w:rsidRPr="00913555">
                                  <w:rPr>
                                    <w:color w:val="000000" w:themeColor="text1"/>
                                    <w:sz w:val="20"/>
                                    <w:szCs w:val="20"/>
                                  </w:rPr>
                                  <w:t xml:space="preserve">(20% </w:t>
                                </w:r>
                                <w:r>
                                  <w:rPr>
                                    <w:color w:val="000000" w:themeColor="text1"/>
                                    <w:sz w:val="20"/>
                                    <w:szCs w:val="20"/>
                                  </w:rPr>
                                  <w:t>tax on mining and imports of non-metallic minerals + export rebate, following practices of selected European countries</w:t>
                                </w:r>
                                <w:r w:rsidRPr="00913555">
                                  <w:rPr>
                                    <w:color w:val="000000" w:themeColor="text1"/>
                                    <w:sz w:val="20"/>
                                    <w:szCs w:val="2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15" name="Straight Arrow Connector 5"/>
                          <wps:cNvCnPr/>
                          <wps:spPr>
                            <a:xfrm>
                              <a:off x="3876382" y="1323917"/>
                              <a:ext cx="1531480" cy="437959"/>
                            </a:xfrm>
                            <a:prstGeom prst="straightConnector1">
                              <a:avLst/>
                            </a:prstGeom>
                            <a:noFill/>
                            <a:ln w="41275" cap="flat" cmpd="sng" algn="ctr">
                              <a:solidFill>
                                <a:srgbClr val="FFC000"/>
                              </a:solidFill>
                              <a:prstDash val="solid"/>
                              <a:miter lim="800000"/>
                              <a:tailEnd type="triangle"/>
                            </a:ln>
                            <a:effectLst/>
                          </wps:spPr>
                          <wps:bodyPr/>
                        </wps:wsp>
                      </wpg:grpSp>
                    </wpg:wgp>
                  </a:graphicData>
                </a:graphic>
              </wp:inline>
            </w:drawing>
          </mc:Choice>
          <mc:Fallback>
            <w:pict>
              <v:group w14:anchorId="576FF50F" id="Group 13" o:spid="_x0000_s1027" style="width:476.65pt;height:295.5pt;mso-position-horizontal-relative:char;mso-position-vertical-relative:line" coordsize="62604,32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">
                <v:rect id="Rectangle 1" o:spid="_x0000_s1028" style="position:absolute;left:3926;top:280;width:12313;height:109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" fillcolor="#5b9bd5" strokecolor="#41719c" strokeweight="1pt">
                  <v:textbox>
                    <w:txbxContent>
                      <w:p w14:paraId="0782F8E8" w14:textId="77777777" w:rsidR="00497566" w:rsidRDefault="00497566" w:rsidP="00DF01C8">
                        <w:pPr>
                          <w:spacing w:line="240" w:lineRule="auto"/>
                          <w:ind w:firstLine="0"/>
                          <w:jc w:val="center"/>
                          <w:rPr>
                            <w:sz w:val="20"/>
                          </w:rPr>
                        </w:pPr>
                        <w:r w:rsidRPr="00913555">
                          <w:rPr>
                            <w:b/>
                            <w:sz w:val="20"/>
                          </w:rPr>
                          <w:t>Baseline scenario</w:t>
                        </w:r>
                        <w:r w:rsidRPr="00913555">
                          <w:rPr>
                            <w:sz w:val="20"/>
                          </w:rPr>
                          <w:t xml:space="preserve"> </w:t>
                        </w:r>
                      </w:p>
                      <w:p w14:paraId="4EE3CB71" w14:textId="77777777" w:rsidR="00497566" w:rsidRPr="00751813" w:rsidRDefault="00497566" w:rsidP="00DF01C8">
                        <w:pPr>
                          <w:spacing w:line="240" w:lineRule="auto"/>
                          <w:ind w:firstLine="0"/>
                          <w:jc w:val="center"/>
                          <w:rPr>
                            <w:b/>
                            <w:sz w:val="20"/>
                          </w:rPr>
                        </w:pPr>
                        <w:r w:rsidRPr="00751813">
                          <w:rPr>
                            <w:b/>
                            <w:sz w:val="20"/>
                          </w:rPr>
                          <w:t>Business as usual (BAU)</w:t>
                        </w:r>
                      </w:p>
                      <w:p w14:paraId="1A1DABB7" w14:textId="6217D9BA" w:rsidR="00497566" w:rsidRPr="00913555" w:rsidRDefault="00497566" w:rsidP="00DF01C8">
                        <w:pPr>
                          <w:spacing w:line="240" w:lineRule="auto"/>
                          <w:ind w:firstLine="0"/>
                          <w:jc w:val="center"/>
                          <w:rPr>
                            <w:sz w:val="20"/>
                          </w:rPr>
                        </w:pPr>
                        <w:r w:rsidRPr="00913555">
                          <w:rPr>
                            <w:sz w:val="20"/>
                          </w:rPr>
                          <w:t xml:space="preserve">till 2030 </w:t>
                        </w:r>
                        <w:r>
                          <w:rPr>
                            <w:sz w:val="20"/>
                          </w:rPr>
                          <w:t xml:space="preserve">-includes </w:t>
                        </w:r>
                        <w:r w:rsidRPr="00913555">
                          <w:rPr>
                            <w:sz w:val="20"/>
                          </w:rPr>
                          <w:t>NDC mitigation policies</w:t>
                        </w:r>
                      </w:p>
                    </w:txbxContent>
                  </v:textbox>
                </v:rect>
                <v:group id="Group 6" o:spid="_x0000_s1029" style="position:absolute;width:62604;height:32588" coordorigin="841" coordsize="62611,32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type id="_x0000_t32" coordsize="21600,21600" o:spt="32" o:oned="t" path="m,l21600,21600e" filled="f">
                    <v:path arrowok="t" fillok="f" o:connecttype="none"/>
                    <o:lock v:ext="edit" shapetype="t"/>
                  </v:shapetype>
                  <v:shape id="Straight Arrow Connector 2" o:spid="_x0000_s1030" type="#_x0000_t32" style="position:absolute;left:17109;top:2300;width:1234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" strokecolor="#92d050" strokeweight="3.25pt">
                    <v:stroke endarrow="block" joinstyle="miter"/>
                  </v:shape>
                  <v:rect id="Rectangle 3" o:spid="_x0000_s1031" style="position:absolute;left:29451;width:17780;height:62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" fillcolor="#e2f0d9" strokecolor="#92d050" strokeweight="1pt">
                    <v:textbox>
                      <w:txbxContent>
                        <w:p w14:paraId="10CEDF72" w14:textId="489F7944" w:rsidR="00497566" w:rsidRDefault="00497566" w:rsidP="00DF01C8">
                          <w:pPr>
                            <w:ind w:firstLine="0"/>
                            <w:jc w:val="center"/>
                            <w:rPr>
                              <w:b/>
                              <w:color w:val="000000" w:themeColor="text1"/>
                              <w:sz w:val="20"/>
                              <w:szCs w:val="20"/>
                            </w:rPr>
                          </w:pPr>
                          <w:r w:rsidRPr="00913555">
                            <w:rPr>
                              <w:b/>
                              <w:color w:val="000000" w:themeColor="text1"/>
                              <w:sz w:val="20"/>
                              <w:szCs w:val="20"/>
                            </w:rPr>
                            <w:t>EGD</w:t>
                          </w:r>
                          <w:r>
                            <w:rPr>
                              <w:b/>
                              <w:color w:val="000000" w:themeColor="text1"/>
                              <w:sz w:val="20"/>
                              <w:szCs w:val="20"/>
                            </w:rPr>
                            <w:t xml:space="preserve"> mitigation</w:t>
                          </w:r>
                          <w:r w:rsidRPr="00913555">
                            <w:rPr>
                              <w:b/>
                              <w:color w:val="000000" w:themeColor="text1"/>
                              <w:sz w:val="20"/>
                              <w:szCs w:val="20"/>
                            </w:rPr>
                            <w:t xml:space="preserve"> </w:t>
                          </w:r>
                          <w:r>
                            <w:rPr>
                              <w:b/>
                              <w:color w:val="000000" w:themeColor="text1"/>
                              <w:sz w:val="20"/>
                              <w:szCs w:val="20"/>
                            </w:rPr>
                            <w:t>(EGD-NDC)</w:t>
                          </w:r>
                        </w:p>
                        <w:p w14:paraId="6A11785F" w14:textId="2E987D50" w:rsidR="00497566" w:rsidRPr="00913555" w:rsidRDefault="00497566" w:rsidP="00DF01C8">
                          <w:pPr>
                            <w:ind w:firstLine="0"/>
                            <w:jc w:val="center"/>
                            <w:rPr>
                              <w:b/>
                              <w:color w:val="000000" w:themeColor="text1"/>
                              <w:sz w:val="20"/>
                              <w:szCs w:val="20"/>
                            </w:rPr>
                          </w:pPr>
                          <w:r w:rsidRPr="00913555">
                            <w:rPr>
                              <w:b/>
                              <w:color w:val="000000" w:themeColor="text1"/>
                              <w:sz w:val="20"/>
                              <w:szCs w:val="20"/>
                            </w:rPr>
                            <w:t>Baseline + EU Green Deal emission reduction targets</w:t>
                          </w:r>
                        </w:p>
                      </w:txbxContent>
                    </v:textbox>
                  </v:rect>
                  <v:shapetype id="_x0000_t202" coordsize="21600,21600" o:spt="202" path="m,l,21600r21600,l21600,xe">
                    <v:stroke joinstyle="miter"/>
                    <v:path gradientshapeok="t" o:connecttype="rect"/>
                  </v:shapetype>
                  <v:shape id="Text Box 2" o:spid="_x0000_s1032" type="#_x0000_t202" style="position:absolute;left:17895;top:3869;width:10235;height:3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" filled="f" strokecolor="#92d050" strokeweight="2.25pt">
                    <v:textbox inset="0,0,0,0">
                      <w:txbxContent>
                        <w:p w14:paraId="34893F0D" w14:textId="77777777" w:rsidR="00497566" w:rsidRPr="00913555" w:rsidRDefault="00497566" w:rsidP="00DF01C8">
                          <w:pPr>
                            <w:ind w:firstLine="0"/>
                            <w:jc w:val="center"/>
                            <w:rPr>
                              <w:sz w:val="20"/>
                            </w:rPr>
                          </w:pPr>
                          <w:r w:rsidRPr="00913555">
                            <w:rPr>
                              <w:sz w:val="20"/>
                            </w:rPr>
                            <w:t>Climate mitigation policies</w:t>
                          </w:r>
                        </w:p>
                      </w:txbxContent>
                    </v:textbox>
                  </v:shape>
                  <v:shape id="Straight Arrow Connector 7" o:spid="_x0000_s1033" type="#_x0000_t32" style="position:absolute;left:29956;top:6507;width:2411;height:42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" strokecolor="#ffc000" strokeweight="3.25pt">
                    <v:stroke endarrow="block" joinstyle="miter"/>
                  </v:shape>
                  <v:rect id="Rectangle 8" o:spid="_x0000_s1034" style="position:absolute;left:19409;top:10714;width:19380;height:43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" fillcolor="#fff3cd" strokecolor="#ffc000" strokeweight="1pt">
                    <v:textbox inset="0,0,0,0">
                      <w:txbxContent>
                        <w:p w14:paraId="32ABE00B" w14:textId="153AE6D1" w:rsidR="00497566" w:rsidRPr="00913555" w:rsidRDefault="00497566" w:rsidP="00DF01C8">
                          <w:pPr>
                            <w:jc w:val="center"/>
                            <w:rPr>
                              <w:b/>
                              <w:color w:val="000000" w:themeColor="text1"/>
                              <w:sz w:val="20"/>
                              <w:szCs w:val="20"/>
                            </w:rPr>
                          </w:pPr>
                          <w:r w:rsidRPr="00913555">
                            <w:rPr>
                              <w:b/>
                              <w:color w:val="000000" w:themeColor="text1"/>
                              <w:sz w:val="20"/>
                              <w:szCs w:val="20"/>
                            </w:rPr>
                            <w:t>EGD</w:t>
                          </w:r>
                          <w:r>
                            <w:rPr>
                              <w:b/>
                              <w:color w:val="000000" w:themeColor="text1"/>
                              <w:sz w:val="20"/>
                              <w:szCs w:val="20"/>
                            </w:rPr>
                            <w:t>-NDC</w:t>
                          </w:r>
                          <w:r w:rsidRPr="00913555">
                            <w:rPr>
                              <w:b/>
                              <w:color w:val="000000" w:themeColor="text1"/>
                              <w:sz w:val="20"/>
                              <w:szCs w:val="20"/>
                            </w:rPr>
                            <w:t xml:space="preserve"> + </w:t>
                          </w:r>
                        </w:p>
                        <w:p w14:paraId="06BEC9F6" w14:textId="77777777" w:rsidR="00497566" w:rsidRPr="00913555" w:rsidRDefault="00497566" w:rsidP="00DF01C8">
                          <w:pPr>
                            <w:jc w:val="center"/>
                            <w:rPr>
                              <w:b/>
                              <w:color w:val="000000" w:themeColor="text1"/>
                              <w:sz w:val="20"/>
                              <w:szCs w:val="20"/>
                            </w:rPr>
                          </w:pPr>
                          <w:r w:rsidRPr="00913555">
                            <w:rPr>
                              <w:b/>
                              <w:color w:val="000000" w:themeColor="text1"/>
                              <w:sz w:val="20"/>
                              <w:szCs w:val="20"/>
                            </w:rPr>
                            <w:t>Circular economy measures</w:t>
                          </w:r>
                        </w:p>
                      </w:txbxContent>
                    </v:textbox>
                  </v:rect>
                  <v:shape id="Text Box 2" o:spid="_x0000_s1035" type="#_x0000_t202" style="position:absolute;left:32929;top:7797;width:15539;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" filled="f" strokecolor="#ffc000" strokeweight="2.25pt">
                    <v:textbox inset="0,0,0,0">
                      <w:txbxContent>
                        <w:p w14:paraId="734C81D2" w14:textId="77777777" w:rsidR="00497566" w:rsidRPr="00913555" w:rsidRDefault="00497566" w:rsidP="00DF01C8">
                          <w:pPr>
                            <w:ind w:firstLine="0"/>
                            <w:jc w:val="center"/>
                            <w:rPr>
                              <w:sz w:val="20"/>
                              <w:szCs w:val="20"/>
                            </w:rPr>
                          </w:pPr>
                          <w:r w:rsidRPr="00913555">
                            <w:rPr>
                              <w:sz w:val="20"/>
                              <w:szCs w:val="20"/>
                            </w:rPr>
                            <w:t>Circular economy policies</w:t>
                          </w:r>
                        </w:p>
                      </w:txbxContent>
                    </v:textbox>
                  </v:shape>
                  <v:rect id="Rectangle 11" o:spid="_x0000_s1036" style="position:absolute;left:841;top:17724;width:11107;height:148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" fillcolor="#fff3cd" strokecolor="#ffc000" strokeweight="1pt">
                    <v:textbox inset="0,0,0,0">
                      <w:txbxContent>
                        <w:p w14:paraId="17BA2B3B" w14:textId="77777777" w:rsidR="00497566" w:rsidRPr="00751813" w:rsidRDefault="00497566" w:rsidP="00DF01C8">
                          <w:pPr>
                            <w:ind w:firstLine="0"/>
                            <w:jc w:val="center"/>
                            <w:rPr>
                              <w:b/>
                              <w:color w:val="000000" w:themeColor="text1"/>
                              <w:sz w:val="20"/>
                            </w:rPr>
                          </w:pPr>
                          <w:r w:rsidRPr="00751813">
                            <w:rPr>
                              <w:b/>
                              <w:sz w:val="20"/>
                              <w:szCs w:val="20"/>
                            </w:rPr>
                            <w:t>Reducing extraction and production / recycling</w:t>
                          </w:r>
                          <w:r w:rsidRPr="00751813">
                            <w:rPr>
                              <w:b/>
                              <w:color w:val="000000" w:themeColor="text1"/>
                              <w:sz w:val="20"/>
                            </w:rPr>
                            <w:t xml:space="preserve"> </w:t>
                          </w:r>
                        </w:p>
                        <w:p w14:paraId="2D420571" w14:textId="38044AE6" w:rsidR="00497566" w:rsidRPr="00913555" w:rsidRDefault="00497566" w:rsidP="00DF01C8">
                          <w:pPr>
                            <w:ind w:firstLine="0"/>
                            <w:jc w:val="center"/>
                            <w:rPr>
                              <w:color w:val="000000" w:themeColor="text1"/>
                              <w:sz w:val="20"/>
                            </w:rPr>
                          </w:pPr>
                          <w:r w:rsidRPr="00913555">
                            <w:rPr>
                              <w:color w:val="000000" w:themeColor="text1"/>
                              <w:sz w:val="20"/>
                            </w:rPr>
                            <w:t>(30% tax on primary production + 30% subsidy to secondary production) + sensitivity analysis</w:t>
                          </w:r>
                        </w:p>
                      </w:txbxContent>
                    </v:textbox>
                  </v:rect>
                  <v:shape id="Straight Arrow Connector 12" o:spid="_x0000_s1037" type="#_x0000_t32" style="position:absolute;left:8078;top:13912;width:11328;height:375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" strokecolor="#ffc000" strokeweight="3.25pt">
                    <v:stroke endarrow="block" joinstyle="miter"/>
                  </v:shape>
                  <v:rect id="Rectangle 15" o:spid="_x0000_s1038" style="position:absolute;left:13183;top:17839;width:12002;height:14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" fillcolor="#fff3cd" strokecolor="#ffc000" strokeweight="1pt">
                    <v:textbox inset="0,0,0,0">
                      <w:txbxContent>
                        <w:p w14:paraId="54E45D59" w14:textId="77777777" w:rsidR="00497566" w:rsidRPr="00751813" w:rsidRDefault="00497566" w:rsidP="00DF01C8">
                          <w:pPr>
                            <w:ind w:firstLine="0"/>
                            <w:jc w:val="center"/>
                            <w:rPr>
                              <w:b/>
                              <w:color w:val="000000" w:themeColor="text1"/>
                              <w:sz w:val="20"/>
                              <w:szCs w:val="20"/>
                            </w:rPr>
                          </w:pPr>
                          <w:r w:rsidRPr="00751813">
                            <w:rPr>
                              <w:b/>
                              <w:sz w:val="20"/>
                              <w:szCs w:val="20"/>
                            </w:rPr>
                            <w:t>Shifting consumer preferences away from materials</w:t>
                          </w:r>
                          <w:r w:rsidRPr="00751813">
                            <w:rPr>
                              <w:b/>
                              <w:color w:val="000000" w:themeColor="text1"/>
                              <w:sz w:val="20"/>
                              <w:szCs w:val="20"/>
                            </w:rPr>
                            <w:t xml:space="preserve"> </w:t>
                          </w:r>
                        </w:p>
                        <w:p w14:paraId="2A61FD0C" w14:textId="4337F5FA" w:rsidR="00497566" w:rsidRPr="00913555" w:rsidRDefault="00497566" w:rsidP="00DF01C8">
                          <w:pPr>
                            <w:ind w:firstLine="0"/>
                            <w:jc w:val="center"/>
                            <w:rPr>
                              <w:color w:val="000000" w:themeColor="text1"/>
                              <w:sz w:val="20"/>
                              <w:szCs w:val="20"/>
                            </w:rPr>
                          </w:pPr>
                          <w:r w:rsidRPr="00913555">
                            <w:rPr>
                              <w:color w:val="000000" w:themeColor="text1"/>
                              <w:sz w:val="20"/>
                              <w:szCs w:val="20"/>
                            </w:rPr>
                            <w:t>(20% reduction in final consumption of materials and compensating increase in other consumption)</w:t>
                          </w:r>
                        </w:p>
                      </w:txbxContent>
                    </v:textbox>
                  </v:rect>
                  <v:rect id="Rectangle 16" o:spid="_x0000_s1039" style="position:absolute;left:26422;top:17727;width:11388;height:14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" fillcolor="#fff3cd" strokecolor="#ffc000" strokeweight="1pt">
                    <v:textbox inset="0,0,0,0">
                      <w:txbxContent>
                        <w:p w14:paraId="0E6D0C05" w14:textId="77777777" w:rsidR="00497566" w:rsidRPr="00751813" w:rsidRDefault="00497566" w:rsidP="00DF01C8">
                          <w:pPr>
                            <w:ind w:firstLine="0"/>
                            <w:jc w:val="center"/>
                            <w:rPr>
                              <w:b/>
                              <w:color w:val="000000" w:themeColor="text1"/>
                              <w:sz w:val="20"/>
                              <w:szCs w:val="20"/>
                            </w:rPr>
                          </w:pPr>
                          <w:r w:rsidRPr="00751813">
                            <w:rPr>
                              <w:b/>
                              <w:sz w:val="20"/>
                              <w:szCs w:val="20"/>
                            </w:rPr>
                            <w:t>Redesign / ‘designing out’ materials</w:t>
                          </w:r>
                          <w:r w:rsidRPr="00751813">
                            <w:rPr>
                              <w:b/>
                              <w:color w:val="000000" w:themeColor="text1"/>
                              <w:sz w:val="20"/>
                              <w:szCs w:val="20"/>
                            </w:rPr>
                            <w:t xml:space="preserve"> </w:t>
                          </w:r>
                        </w:p>
                        <w:p w14:paraId="2FC2EEA4" w14:textId="529738DB" w:rsidR="00497566" w:rsidRDefault="00497566" w:rsidP="00DF01C8">
                          <w:pPr>
                            <w:ind w:firstLine="0"/>
                            <w:jc w:val="center"/>
                            <w:rPr>
                              <w:color w:val="000000" w:themeColor="text1"/>
                            </w:rPr>
                          </w:pPr>
                          <w:r w:rsidRPr="00913555">
                            <w:rPr>
                              <w:color w:val="000000" w:themeColor="text1"/>
                              <w:sz w:val="20"/>
                              <w:szCs w:val="20"/>
                            </w:rPr>
                            <w:t>(2% annual reduction in the intermediate use of materials and compensating increase in the use of services</w:t>
                          </w:r>
                          <w:r>
                            <w:rPr>
                              <w:color w:val="000000" w:themeColor="text1"/>
                            </w:rPr>
                            <w:t>)</w:t>
                          </w:r>
                        </w:p>
                      </w:txbxContent>
                    </v:textbox>
                  </v:rect>
                  <v:shape id="Straight Arrow Connector 17" o:spid="_x0000_s1040" type="#_x0000_t32" style="position:absolute;left:17895;top:15034;width:5688;height:27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" strokecolor="#ffc000" strokeweight="3.25pt">
                    <v:stroke endarrow="block" joinstyle="miter"/>
                  </v:shape>
                  <v:shape id="Straight Arrow Connector 18" o:spid="_x0000_s1041" type="#_x0000_t32" style="position:absolute;left:29227;top:15034;width:457;height:24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" strokecolor="#ffc000" strokeweight="3.25pt">
                    <v:stroke endarrow="block" joinstyle="miter"/>
                  </v:shape>
                  <v:rect id="Rectangle 19" o:spid="_x0000_s1042" style="position:absolute;left:39100;top:17727;width:11500;height:14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" fillcolor="#fff3cd" strokecolor="#ffc000" strokeweight="1pt">
                    <v:textbox inset="0,0,0,0">
                      <w:txbxContent>
                        <w:p w14:paraId="7D8B8F0A" w14:textId="77777777" w:rsidR="00497566" w:rsidRPr="00751813" w:rsidRDefault="00497566" w:rsidP="00DF01C8">
                          <w:pPr>
                            <w:ind w:firstLine="0"/>
                            <w:jc w:val="center"/>
                            <w:rPr>
                              <w:b/>
                              <w:color w:val="000000" w:themeColor="text1"/>
                              <w:sz w:val="20"/>
                              <w:szCs w:val="20"/>
                            </w:rPr>
                          </w:pPr>
                          <w:r w:rsidRPr="00751813">
                            <w:rPr>
                              <w:b/>
                              <w:sz w:val="20"/>
                              <w:szCs w:val="20"/>
                            </w:rPr>
                            <w:t>Extending product lifetime</w:t>
                          </w:r>
                          <w:r w:rsidRPr="00751813">
                            <w:rPr>
                              <w:b/>
                              <w:color w:val="000000" w:themeColor="text1"/>
                              <w:sz w:val="20"/>
                              <w:szCs w:val="20"/>
                            </w:rPr>
                            <w:t xml:space="preserve"> </w:t>
                          </w:r>
                        </w:p>
                        <w:p w14:paraId="35F4D080" w14:textId="020B10AE" w:rsidR="00497566" w:rsidRPr="00913555" w:rsidRDefault="00497566" w:rsidP="00DF01C8">
                          <w:pPr>
                            <w:ind w:firstLine="0"/>
                            <w:jc w:val="center"/>
                            <w:rPr>
                              <w:color w:val="000000" w:themeColor="text1"/>
                              <w:sz w:val="20"/>
                              <w:szCs w:val="20"/>
                            </w:rPr>
                          </w:pPr>
                          <w:r w:rsidRPr="00913555">
                            <w:rPr>
                              <w:color w:val="000000" w:themeColor="text1"/>
                              <w:sz w:val="20"/>
                              <w:szCs w:val="20"/>
                            </w:rPr>
                            <w:t>(20% reduction in the final consumption of manufactured goods and compensating increase in the demand for services)</w:t>
                          </w:r>
                        </w:p>
                      </w:txbxContent>
                    </v:textbox>
                  </v:rect>
                  <v:shape id="Straight Arrow Connector 20" o:spid="_x0000_s1043" type="#_x0000_t32" style="position:absolute;left:34332;top:15034;width:6559;height:25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" strokecolor="#ffc000" strokeweight="3.25pt">
                    <v:stroke endarrow="block" joinstyle="miter"/>
                  </v:shape>
                  <v:rect id="_x0000_s1044" style="position:absolute;left:52339;top:17727;width:11113;height:14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" fillcolor="#fff3cd" strokecolor="#ffc000" strokeweight="1pt">
                    <v:textbox inset="0,0,0,0">
                      <w:txbxContent>
                        <w:p w14:paraId="7DE87EFC" w14:textId="77777777" w:rsidR="00497566" w:rsidRPr="00913555" w:rsidRDefault="00497566" w:rsidP="00DF01C8">
                          <w:pPr>
                            <w:ind w:firstLine="0"/>
                            <w:jc w:val="center"/>
                            <w:rPr>
                              <w:b/>
                              <w:color w:val="000000" w:themeColor="text1"/>
                              <w:sz w:val="20"/>
                              <w:szCs w:val="20"/>
                            </w:rPr>
                          </w:pPr>
                          <w:r>
                            <w:rPr>
                              <w:b/>
                              <w:color w:val="000000" w:themeColor="text1"/>
                              <w:sz w:val="20"/>
                              <w:szCs w:val="20"/>
                            </w:rPr>
                            <w:t xml:space="preserve">Extraction levy </w:t>
                          </w:r>
                        </w:p>
                        <w:p w14:paraId="5B5C9523" w14:textId="77777777" w:rsidR="00497566" w:rsidRPr="00913555" w:rsidRDefault="00497566" w:rsidP="00DF01C8">
                          <w:pPr>
                            <w:ind w:firstLine="0"/>
                            <w:jc w:val="center"/>
                            <w:rPr>
                              <w:color w:val="000000" w:themeColor="text1"/>
                              <w:sz w:val="20"/>
                              <w:szCs w:val="20"/>
                            </w:rPr>
                          </w:pPr>
                          <w:r w:rsidRPr="00913555">
                            <w:rPr>
                              <w:color w:val="000000" w:themeColor="text1"/>
                              <w:sz w:val="20"/>
                              <w:szCs w:val="20"/>
                            </w:rPr>
                            <w:t xml:space="preserve">(20% </w:t>
                          </w:r>
                          <w:r>
                            <w:rPr>
                              <w:color w:val="000000" w:themeColor="text1"/>
                              <w:sz w:val="20"/>
                              <w:szCs w:val="20"/>
                            </w:rPr>
                            <w:t>tax on mining and imports of non-metallic minerals + export rebate, following practices of selected European countries</w:t>
                          </w:r>
                          <w:r w:rsidRPr="00913555">
                            <w:rPr>
                              <w:color w:val="000000" w:themeColor="text1"/>
                              <w:sz w:val="20"/>
                              <w:szCs w:val="20"/>
                            </w:rPr>
                            <w:t>)</w:t>
                          </w:r>
                        </w:p>
                      </w:txbxContent>
                    </v:textbox>
                  </v:rect>
                  <v:shape id="Straight Arrow Connector 5" o:spid="_x0000_s1045" type="#_x0000_t32" style="position:absolute;left:38763;top:13239;width:15315;height:43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" strokecolor="#ffc000" strokeweight="3.25pt">
                    <v:stroke endarrow="block" joinstyle="miter"/>
                  </v:shape>
                </v:group>
                <w10:anchorlock/>
              </v:group>
            </w:pict>
          </mc:Fallback>
        </mc:AlternateContent>
      </w:r>
    </w:p>
    <w:p w14:paraId="75EA5BC0" w14:textId="540E4104" w:rsidR="00DF01C8" w:rsidRPr="008446ED" w:rsidRDefault="00DF01C8" w:rsidP="00DF01C8">
      <w:pPr>
        <w:rPr>
          <w:b/>
          <w:szCs w:val="24"/>
          <w:lang w:val="uk-UA"/>
        </w:rPr>
      </w:pPr>
      <w:r w:rsidRPr="00924A12">
        <w:rPr>
          <w:b/>
          <w:szCs w:val="24"/>
        </w:rPr>
        <w:t xml:space="preserve">Figure 3. </w:t>
      </w:r>
      <w:r>
        <w:rPr>
          <w:b/>
          <w:szCs w:val="24"/>
        </w:rPr>
        <w:t>Overview</w:t>
      </w:r>
      <w:r w:rsidRPr="00924A12">
        <w:rPr>
          <w:b/>
          <w:szCs w:val="24"/>
        </w:rPr>
        <w:t xml:space="preserve"> of the scenario assessment framework</w:t>
      </w:r>
    </w:p>
    <w:p w14:paraId="3ACEBB8D" w14:textId="77777777" w:rsidR="00DF01C8" w:rsidRPr="0006142E" w:rsidRDefault="00DF01C8" w:rsidP="00DF01C8">
      <w:pPr>
        <w:rPr>
          <w:sz w:val="20"/>
          <w:szCs w:val="20"/>
        </w:rPr>
      </w:pPr>
      <w:r w:rsidRPr="0006142E">
        <w:rPr>
          <w:i/>
          <w:sz w:val="20"/>
          <w:szCs w:val="20"/>
        </w:rPr>
        <w:t>Source:</w:t>
      </w:r>
      <w:r w:rsidRPr="0006142E">
        <w:rPr>
          <w:sz w:val="20"/>
          <w:szCs w:val="20"/>
        </w:rPr>
        <w:t xml:space="preserve"> </w:t>
      </w:r>
      <w:r>
        <w:rPr>
          <w:sz w:val="20"/>
          <w:szCs w:val="20"/>
        </w:rPr>
        <w:t>Developed by authors</w:t>
      </w:r>
      <w:r w:rsidRPr="0006142E">
        <w:rPr>
          <w:sz w:val="20"/>
          <w:szCs w:val="20"/>
        </w:rPr>
        <w:t>.</w:t>
      </w:r>
    </w:p>
    <w:p w14:paraId="68D3902D" w14:textId="174EF7B3" w:rsidR="00DF01C8" w:rsidRDefault="00DF01C8" w:rsidP="00EF7B9F">
      <w:pPr>
        <w:ind w:firstLine="540"/>
        <w:rPr>
          <w:szCs w:val="24"/>
        </w:rPr>
      </w:pPr>
    </w:p>
    <w:p w14:paraId="3B3987F3" w14:textId="72CEE84B" w:rsidR="00490C84" w:rsidRDefault="00FF27B1" w:rsidP="00FF27B1">
      <w:pPr>
        <w:ind w:firstLine="540"/>
        <w:rPr>
          <w:szCs w:val="24"/>
        </w:rPr>
      </w:pPr>
      <w:r>
        <w:rPr>
          <w:szCs w:val="24"/>
        </w:rPr>
        <w:t>To provide an assessment of these stylized policy scenarios</w:t>
      </w:r>
      <w:r w:rsidRPr="00C117CE">
        <w:rPr>
          <w:szCs w:val="24"/>
        </w:rPr>
        <w:t xml:space="preserve"> </w:t>
      </w:r>
      <w:r>
        <w:rPr>
          <w:szCs w:val="24"/>
        </w:rPr>
        <w:t xml:space="preserve">in a ‘what-if’ type framework, we utilize a global dynamic computable general equilibrium model ENVISAGE (van der Mensbrugghe, 2019). We further investigate implications of the policy measures on various dimensions of economic, social and environmental wellbeing, such as resource productivity, competitiveness, environmental sustainability, inclusion, economic security and developmental impacts. First, the baseline scenario that includes </w:t>
      </w:r>
      <w:r w:rsidR="00D14D66">
        <w:rPr>
          <w:szCs w:val="24"/>
        </w:rPr>
        <w:t xml:space="preserve">implementation </w:t>
      </w:r>
      <w:r>
        <w:rPr>
          <w:szCs w:val="24"/>
        </w:rPr>
        <w:t>of the Nationally Determined Contributions (NDCs) by countries of the world is constructed. Next, a more ambitious mitigation effort is implem</w:t>
      </w:r>
      <w:r w:rsidR="00490C84">
        <w:rPr>
          <w:szCs w:val="24"/>
        </w:rPr>
        <w:t xml:space="preserve">ented for the EU, which is </w:t>
      </w:r>
      <w:r>
        <w:rPr>
          <w:szCs w:val="24"/>
        </w:rPr>
        <w:t>consistent with the EU Green Deal emission reduction targets</w:t>
      </w:r>
      <w:r w:rsidR="00490C84">
        <w:rPr>
          <w:szCs w:val="24"/>
        </w:rPr>
        <w:t xml:space="preserve"> (55% reduction in emissions in 2030 relative to the 1990 level</w:t>
      </w:r>
      <w:r>
        <w:rPr>
          <w:szCs w:val="24"/>
        </w:rPr>
        <w:t>).</w:t>
      </w:r>
      <w:r w:rsidR="00490C84">
        <w:rPr>
          <w:szCs w:val="24"/>
        </w:rPr>
        <w:t xml:space="preserve"> A set of circular economy-specific measures is implemented next. These include policies toward increased recycling, overall reduction in material use, change in consumption patterns toward dematerialization, change in the product design with an increase in material use efficiency and production life extension. All these measures provide a stylized representation of different aspects of the circular economy transition and thus allow us to quantify their potential impacts and trade-offs within an economy wide modelling framework. </w:t>
      </w:r>
    </w:p>
    <w:p w14:paraId="5502FCBE" w14:textId="77777777" w:rsidR="00924A12" w:rsidRPr="00490C84" w:rsidRDefault="00490C84" w:rsidP="00AE5977">
      <w:pPr>
        <w:ind w:firstLine="540"/>
        <w:rPr>
          <w:szCs w:val="24"/>
        </w:rPr>
      </w:pPr>
      <w:r w:rsidRPr="00490C84">
        <w:rPr>
          <w:szCs w:val="24"/>
        </w:rPr>
        <w:t xml:space="preserve">The </w:t>
      </w:r>
      <w:r>
        <w:rPr>
          <w:szCs w:val="24"/>
        </w:rPr>
        <w:t xml:space="preserve">rest of the </w:t>
      </w:r>
      <w:r w:rsidR="0049436E">
        <w:rPr>
          <w:szCs w:val="24"/>
        </w:rPr>
        <w:t>chapter</w:t>
      </w:r>
      <w:r>
        <w:rPr>
          <w:szCs w:val="24"/>
        </w:rPr>
        <w:t xml:space="preserve"> is organized as follows. Section 2 provides an overview of the applied </w:t>
      </w:r>
      <w:r w:rsidR="00AE5977">
        <w:rPr>
          <w:szCs w:val="24"/>
        </w:rPr>
        <w:t>methodological</w:t>
      </w:r>
      <w:r>
        <w:rPr>
          <w:szCs w:val="24"/>
        </w:rPr>
        <w:t xml:space="preserve"> framework</w:t>
      </w:r>
      <w:r w:rsidR="00AE5977">
        <w:rPr>
          <w:szCs w:val="24"/>
        </w:rPr>
        <w:t xml:space="preserve">, including a discussion of the circular economy database </w:t>
      </w:r>
      <w:r w:rsidR="00D14D66">
        <w:rPr>
          <w:szCs w:val="24"/>
        </w:rPr>
        <w:t xml:space="preserve">that </w:t>
      </w:r>
      <w:r w:rsidR="00AE5977">
        <w:rPr>
          <w:szCs w:val="24"/>
        </w:rPr>
        <w:t>was developed for this study</w:t>
      </w:r>
      <w:r>
        <w:rPr>
          <w:szCs w:val="24"/>
        </w:rPr>
        <w:t>. Section 3</w:t>
      </w:r>
      <w:r w:rsidR="00AE5977">
        <w:rPr>
          <w:szCs w:val="24"/>
        </w:rPr>
        <w:t xml:space="preserve"> discusses the modelling results. Finally, Section 4 concludes.</w:t>
      </w:r>
    </w:p>
    <w:p w14:paraId="6EA6E0CF" w14:textId="77777777" w:rsidR="008C2892" w:rsidRDefault="00490C84" w:rsidP="008C2892">
      <w:pPr>
        <w:pStyle w:val="Heading1"/>
      </w:pPr>
      <w:r>
        <w:lastRenderedPageBreak/>
        <w:t xml:space="preserve">2. </w:t>
      </w:r>
      <w:r w:rsidR="008C2892">
        <w:t>Methodological framework</w:t>
      </w:r>
    </w:p>
    <w:p w14:paraId="130B5299" w14:textId="77777777" w:rsidR="00AA4EB6" w:rsidRDefault="00AE5977" w:rsidP="00AE5977">
      <w:pPr>
        <w:pStyle w:val="Heading2"/>
      </w:pPr>
      <w:r>
        <w:t>2.1. Global Trade Analysis Project (GTAP) circular economy database (GTAP-CE)</w:t>
      </w:r>
    </w:p>
    <w:p w14:paraId="346C728D" w14:textId="245D03B7" w:rsidR="00734C43" w:rsidRDefault="00393EA0" w:rsidP="00734C43">
      <w:pPr>
        <w:ind w:firstLine="540"/>
        <w:rPr>
          <w:szCs w:val="24"/>
        </w:rPr>
      </w:pPr>
      <w:r w:rsidRPr="00393EA0">
        <w:rPr>
          <w:szCs w:val="24"/>
        </w:rPr>
        <w:t>For a consistent assessment of the circular economy policies and measures within an economy wide modelling framework, an explicit representation of the corresponding production technologies (</w:t>
      </w:r>
      <w:r w:rsidR="004B2946" w:rsidRPr="00393EA0">
        <w:rPr>
          <w:szCs w:val="24"/>
        </w:rPr>
        <w:t>i.e.,</w:t>
      </w:r>
      <w:r w:rsidRPr="00393EA0">
        <w:rPr>
          <w:szCs w:val="24"/>
        </w:rPr>
        <w:t xml:space="preserve"> primary, secondary and recycling activities, as well as material use flows (</w:t>
      </w:r>
      <w:r w:rsidR="004B2946" w:rsidRPr="00393EA0">
        <w:rPr>
          <w:szCs w:val="24"/>
        </w:rPr>
        <w:t>e.g.,</w:t>
      </w:r>
      <w:r w:rsidRPr="00393EA0">
        <w:rPr>
          <w:szCs w:val="24"/>
        </w:rPr>
        <w:t xml:space="preserve"> metal ores, fossil fuels, non-metallic minerals, etc.) is needed. A standard Global Trade Analysis Project (GTAP) Data Base that underlies literally all global CGE modelling efforts, including those focused on the CE policies (</w:t>
      </w:r>
      <w:r w:rsidR="004B2946" w:rsidRPr="00393EA0">
        <w:rPr>
          <w:szCs w:val="24"/>
        </w:rPr>
        <w:t>e.g.,</w:t>
      </w:r>
      <w:r w:rsidRPr="00393EA0">
        <w:rPr>
          <w:szCs w:val="24"/>
        </w:rPr>
        <w:t xml:space="preserve"> Winning et al., 2017</w:t>
      </w:r>
      <w:r>
        <w:rPr>
          <w:szCs w:val="24"/>
        </w:rPr>
        <w:t xml:space="preserve">; OECD, 2018; </w:t>
      </w:r>
      <w:proofErr w:type="spellStart"/>
      <w:r>
        <w:rPr>
          <w:szCs w:val="24"/>
        </w:rPr>
        <w:t>Bibas</w:t>
      </w:r>
      <w:proofErr w:type="spellEnd"/>
      <w:r>
        <w:rPr>
          <w:szCs w:val="24"/>
        </w:rPr>
        <w:t xml:space="preserve"> et al., 2021) does not provide such details (except</w:t>
      </w:r>
      <w:r w:rsidR="001A459B">
        <w:rPr>
          <w:szCs w:val="24"/>
        </w:rPr>
        <w:t xml:space="preserve"> for the</w:t>
      </w:r>
      <w:r>
        <w:rPr>
          <w:szCs w:val="24"/>
        </w:rPr>
        <w:t xml:space="preserve"> fossil fuel </w:t>
      </w:r>
      <w:r w:rsidR="001A459B">
        <w:rPr>
          <w:szCs w:val="24"/>
        </w:rPr>
        <w:t xml:space="preserve">material flows). To overcome this limitation, a specific version of the GTAP database (GTAP-CE) has been developed for the current report. </w:t>
      </w:r>
    </w:p>
    <w:p w14:paraId="3F736330" w14:textId="1DD3B3BF" w:rsidR="001A459B" w:rsidRDefault="001A459B" w:rsidP="00FE0ED2">
      <w:pPr>
        <w:ind w:firstLine="540"/>
        <w:rPr>
          <w:szCs w:val="24"/>
        </w:rPr>
      </w:pPr>
      <w:r>
        <w:rPr>
          <w:szCs w:val="24"/>
        </w:rPr>
        <w:t xml:space="preserve">The GTAP-CE database introduces additional </w:t>
      </w:r>
      <w:r w:rsidR="00D14D66">
        <w:rPr>
          <w:szCs w:val="24"/>
        </w:rPr>
        <w:t xml:space="preserve">disaggregation </w:t>
      </w:r>
      <w:r>
        <w:rPr>
          <w:szCs w:val="24"/>
        </w:rPr>
        <w:t xml:space="preserve">of </w:t>
      </w:r>
      <w:r w:rsidR="00D14D66">
        <w:rPr>
          <w:szCs w:val="24"/>
        </w:rPr>
        <w:t>certain</w:t>
      </w:r>
      <w:r>
        <w:rPr>
          <w:szCs w:val="24"/>
        </w:rPr>
        <w:t xml:space="preserve"> GTAP sectors and incorporates material flow accounting for the selected commodities.</w:t>
      </w:r>
      <w:r w:rsidR="00827C85">
        <w:rPr>
          <w:szCs w:val="24"/>
        </w:rPr>
        <w:t xml:space="preserve"> The starting point for </w:t>
      </w:r>
      <w:r w:rsidR="00D14D66">
        <w:rPr>
          <w:szCs w:val="24"/>
        </w:rPr>
        <w:t>the disaggregation</w:t>
      </w:r>
      <w:r w:rsidR="00827C85">
        <w:rPr>
          <w:szCs w:val="24"/>
        </w:rPr>
        <w:t xml:space="preserve"> is </w:t>
      </w:r>
      <w:r w:rsidR="00D14D66">
        <w:rPr>
          <w:szCs w:val="24"/>
        </w:rPr>
        <w:t xml:space="preserve">the </w:t>
      </w:r>
      <w:r w:rsidR="00827C85">
        <w:rPr>
          <w:szCs w:val="24"/>
        </w:rPr>
        <w:t xml:space="preserve">GTAP-Power 10 database with 76 sectors, 141 regions and 2014 reference year (Chepeliev, 2020). Four sectors of the original GTAP-Power 10 database are further split into 23 sub-sectors, providing a more detailed </w:t>
      </w:r>
      <w:r w:rsidR="004B2946">
        <w:rPr>
          <w:szCs w:val="24"/>
        </w:rPr>
        <w:t>representation of</w:t>
      </w:r>
      <w:r w:rsidR="00827C85">
        <w:rPr>
          <w:szCs w:val="24"/>
        </w:rPr>
        <w:t xml:space="preserve"> categories like metallic and non-metallic minerals mining, rubber and plastic products, iron and steel, as well as non-ferrous metals</w:t>
      </w:r>
      <w:r>
        <w:rPr>
          <w:szCs w:val="24"/>
        </w:rPr>
        <w:t xml:space="preserve"> </w:t>
      </w:r>
      <w:r w:rsidR="00827C85">
        <w:rPr>
          <w:szCs w:val="24"/>
        </w:rPr>
        <w:t>(</w:t>
      </w:r>
      <w:r>
        <w:rPr>
          <w:szCs w:val="24"/>
        </w:rPr>
        <w:t>Figure 4</w:t>
      </w:r>
      <w:r w:rsidR="00827C85">
        <w:rPr>
          <w:szCs w:val="24"/>
        </w:rPr>
        <w:t>).</w:t>
      </w:r>
      <w:r>
        <w:rPr>
          <w:szCs w:val="24"/>
        </w:rPr>
        <w:t xml:space="preserve"> </w:t>
      </w:r>
      <w:r w:rsidR="008A2D3E">
        <w:rPr>
          <w:szCs w:val="24"/>
        </w:rPr>
        <w:t xml:space="preserve">Corresponding sectoral splits are developed for all 141 regions reported in the GTAP-Power 10 database. </w:t>
      </w:r>
    </w:p>
    <w:p w14:paraId="5FACBA18" w14:textId="77777777" w:rsidR="00D86976" w:rsidRDefault="00D86976" w:rsidP="00D86976">
      <w:pPr>
        <w:ind w:firstLine="540"/>
      </w:pPr>
      <w:r w:rsidRPr="00E12DF1">
        <w:rPr>
          <w:szCs w:val="24"/>
        </w:rPr>
        <w:t xml:space="preserve">The GTAP-CE database development process includes five core steps, as outlined on Figure 5. </w:t>
      </w:r>
      <w:r w:rsidRPr="00E12DF1">
        <w:rPr>
          <w:i/>
          <w:szCs w:val="24"/>
        </w:rPr>
        <w:t>First</w:t>
      </w:r>
      <w:r w:rsidRPr="00E12DF1">
        <w:rPr>
          <w:szCs w:val="24"/>
        </w:rPr>
        <w:t>, data on output quantities is collected from multiple data sources</w:t>
      </w:r>
      <w:r>
        <w:rPr>
          <w:szCs w:val="24"/>
        </w:rPr>
        <w:t xml:space="preserve"> (Appendix A)</w:t>
      </w:r>
      <w:r w:rsidRPr="00E12DF1">
        <w:rPr>
          <w:szCs w:val="24"/>
        </w:rPr>
        <w:t xml:space="preserve">. This data is complemented by the bilateral trade quantities and values from the CEPII BACI database (CEPII, 2021). Trade-based prices are combined with quantities of output to derive the output values by sectors of interest. </w:t>
      </w:r>
      <w:r w:rsidRPr="00E12DF1">
        <w:rPr>
          <w:i/>
          <w:szCs w:val="24"/>
        </w:rPr>
        <w:t>Second</w:t>
      </w:r>
      <w:r w:rsidRPr="00E12DF1">
        <w:rPr>
          <w:szCs w:val="24"/>
        </w:rPr>
        <w:t>, supply and cost structure assumptions are developed based on various data sources, such as individual country input-output tables, EXIOBASE MRIO and selected studies of the energy intensity of the primary and secondary production activities</w:t>
      </w:r>
      <w:r>
        <w:rPr>
          <w:szCs w:val="24"/>
        </w:rPr>
        <w:t xml:space="preserve"> (Appendix A)</w:t>
      </w:r>
      <w:r w:rsidRPr="00E12DF1">
        <w:rPr>
          <w:szCs w:val="24"/>
        </w:rPr>
        <w:t xml:space="preserve">. </w:t>
      </w:r>
      <w:r>
        <w:rPr>
          <w:szCs w:val="24"/>
        </w:rPr>
        <w:t>T</w:t>
      </w:r>
      <w:r w:rsidRPr="00E12DF1">
        <w:rPr>
          <w:szCs w:val="24"/>
        </w:rPr>
        <w:t xml:space="preserve">he </w:t>
      </w:r>
      <w:r w:rsidRPr="00E12DF1">
        <w:rPr>
          <w:i/>
          <w:szCs w:val="24"/>
        </w:rPr>
        <w:t>third step</w:t>
      </w:r>
      <w:r w:rsidRPr="00E12DF1">
        <w:rPr>
          <w:szCs w:val="24"/>
        </w:rPr>
        <w:t>, reconcile</w:t>
      </w:r>
      <w:r>
        <w:rPr>
          <w:szCs w:val="24"/>
        </w:rPr>
        <w:t>s</w:t>
      </w:r>
      <w:r w:rsidRPr="00E12DF1">
        <w:rPr>
          <w:szCs w:val="24"/>
        </w:rPr>
        <w:t xml:space="preserve"> and harmonize</w:t>
      </w:r>
      <w:r>
        <w:rPr>
          <w:szCs w:val="24"/>
        </w:rPr>
        <w:t>s the</w:t>
      </w:r>
      <w:r w:rsidRPr="00E12DF1">
        <w:rPr>
          <w:szCs w:val="24"/>
        </w:rPr>
        <w:t xml:space="preserve"> data collected </w:t>
      </w:r>
      <w:r>
        <w:rPr>
          <w:szCs w:val="24"/>
        </w:rPr>
        <w:t>i</w:t>
      </w:r>
      <w:r w:rsidRPr="00E12DF1">
        <w:rPr>
          <w:szCs w:val="24"/>
        </w:rPr>
        <w:t xml:space="preserve">n steps 1 and 2 to further develop the targets for the database split (step four). </w:t>
      </w:r>
      <w:r>
        <w:rPr>
          <w:szCs w:val="24"/>
        </w:rPr>
        <w:t xml:space="preserve">The </w:t>
      </w:r>
      <w:r>
        <w:rPr>
          <w:i/>
          <w:szCs w:val="24"/>
        </w:rPr>
        <w:t>f</w:t>
      </w:r>
      <w:r w:rsidRPr="00E12DF1">
        <w:rPr>
          <w:i/>
          <w:szCs w:val="24"/>
        </w:rPr>
        <w:t>ourth step</w:t>
      </w:r>
      <w:r w:rsidRPr="00E12DF1">
        <w:rPr>
          <w:szCs w:val="24"/>
        </w:rPr>
        <w:t xml:space="preserve"> implements the database disaggregation procedure, where constructed use and supply structures are incorporated to the GTAP-Power 10 database via the MSPLITCOM utility, which balances the GTAP database using the RAS procedure and preserves the original flows of the underlying GTAP database (Horridge, 2008). Further data adjustments have been implemented using the </w:t>
      </w:r>
      <w:proofErr w:type="spellStart"/>
      <w:r w:rsidRPr="00E12DF1">
        <w:rPr>
          <w:szCs w:val="24"/>
        </w:rPr>
        <w:t>GTAPAdjust</w:t>
      </w:r>
      <w:proofErr w:type="spellEnd"/>
      <w:r w:rsidRPr="00E12DF1">
        <w:rPr>
          <w:szCs w:val="24"/>
        </w:rPr>
        <w:t xml:space="preserve"> utility (Horridge, 2011). Finally, </w:t>
      </w:r>
      <w:r>
        <w:rPr>
          <w:szCs w:val="24"/>
        </w:rPr>
        <w:t>i</w:t>
      </w:r>
      <w:r w:rsidRPr="00E12DF1">
        <w:rPr>
          <w:szCs w:val="24"/>
        </w:rPr>
        <w:t xml:space="preserve">n the </w:t>
      </w:r>
      <w:r w:rsidRPr="00E12DF1">
        <w:rPr>
          <w:i/>
          <w:szCs w:val="24"/>
        </w:rPr>
        <w:t>fifth step</w:t>
      </w:r>
      <w:r w:rsidRPr="00E12DF1">
        <w:rPr>
          <w:szCs w:val="24"/>
        </w:rPr>
        <w:t>, we incorporate energy and emission flows to the disaggregated database.</w:t>
      </w:r>
      <w:r>
        <w:rPr>
          <w:szCs w:val="24"/>
        </w:rPr>
        <w:t xml:space="preserve"> We also map the quantity flows of the non-metallic minerals – production (UN, 2020) and bilateral trade accounts (CEPII, 2021) to the constructed database. As a result, the developed database represents value and volume flows of metal ores and metals, non-metallic minerals, fossil fuels and plastic. </w:t>
      </w:r>
      <w:r>
        <w:t xml:space="preserve"> </w:t>
      </w:r>
      <w:r>
        <w:rPr>
          <w:szCs w:val="24"/>
        </w:rPr>
        <w:t>A detailed overview of the underlying data and assumptions behind the GTAP-CE sectoral splits is provided in Appendix A.</w:t>
      </w:r>
    </w:p>
    <w:p w14:paraId="5DA36028" w14:textId="006C0337" w:rsidR="00D86976" w:rsidRDefault="00D86976" w:rsidP="00FE0ED2">
      <w:pPr>
        <w:ind w:firstLine="540"/>
        <w:rPr>
          <w:szCs w:val="24"/>
        </w:rPr>
      </w:pPr>
    </w:p>
    <w:p w14:paraId="4AC3F5F3" w14:textId="5ABF421E" w:rsidR="00D86976" w:rsidRDefault="00D86976" w:rsidP="00FE0ED2">
      <w:pPr>
        <w:ind w:firstLine="540"/>
        <w:rPr>
          <w:szCs w:val="24"/>
        </w:rPr>
      </w:pPr>
    </w:p>
    <w:p w14:paraId="76587234" w14:textId="3A223804" w:rsidR="00D86976" w:rsidRDefault="00D86976" w:rsidP="00FE0ED2">
      <w:pPr>
        <w:ind w:firstLine="540"/>
        <w:rPr>
          <w:szCs w:val="24"/>
        </w:rPr>
      </w:pPr>
    </w:p>
    <w:p w14:paraId="4DCBC67F" w14:textId="1D8AD632" w:rsidR="00D86976" w:rsidRDefault="00D86976" w:rsidP="00FE0ED2">
      <w:pPr>
        <w:ind w:firstLine="540"/>
        <w:rPr>
          <w:szCs w:val="24"/>
        </w:rPr>
      </w:pPr>
    </w:p>
    <w:p w14:paraId="724810C1" w14:textId="51B7BF16" w:rsidR="00D86976" w:rsidRDefault="00D86976" w:rsidP="00FE0ED2">
      <w:pPr>
        <w:ind w:firstLine="540"/>
        <w:rPr>
          <w:szCs w:val="24"/>
        </w:rPr>
      </w:pPr>
    </w:p>
    <w:p w14:paraId="112A9C51" w14:textId="2ABB836D" w:rsidR="00D86976" w:rsidRDefault="00D86976" w:rsidP="00FE0ED2">
      <w:pPr>
        <w:ind w:firstLine="540"/>
        <w:rPr>
          <w:szCs w:val="24"/>
        </w:rPr>
      </w:pPr>
    </w:p>
    <w:p w14:paraId="76ADC8AE" w14:textId="03F8C47C" w:rsidR="00D86976" w:rsidRDefault="00D86976" w:rsidP="00FE0ED2">
      <w:pPr>
        <w:ind w:firstLine="540"/>
        <w:rPr>
          <w:szCs w:val="24"/>
        </w:rPr>
      </w:pPr>
    </w:p>
    <w:p w14:paraId="79967387" w14:textId="77777777" w:rsidR="00D86976" w:rsidRPr="00393EA0" w:rsidRDefault="00D86976" w:rsidP="00FE0ED2">
      <w:pPr>
        <w:ind w:firstLine="540"/>
        <w:rPr>
          <w:szCs w:val="24"/>
        </w:rPr>
      </w:pPr>
    </w:p>
    <w:tbl>
      <w:tblPr>
        <w:tblW w:w="4690" w:type="pct"/>
        <w:jc w:val="center"/>
        <w:tblCellMar>
          <w:left w:w="0" w:type="dxa"/>
          <w:right w:w="0" w:type="dxa"/>
        </w:tblCellMar>
        <w:tblLook w:val="0220" w:firstRow="1" w:lastRow="0" w:firstColumn="0" w:lastColumn="0" w:noHBand="1" w:noVBand="0"/>
      </w:tblPr>
      <w:tblGrid>
        <w:gridCol w:w="868"/>
        <w:gridCol w:w="1423"/>
        <w:gridCol w:w="3534"/>
        <w:gridCol w:w="1099"/>
        <w:gridCol w:w="1999"/>
      </w:tblGrid>
      <w:tr w:rsidR="001A459B" w:rsidRPr="008A2D3E" w14:paraId="5C83E2B0" w14:textId="77777777" w:rsidTr="003A1EAD">
        <w:trPr>
          <w:trHeight w:val="587"/>
          <w:jc w:val="center"/>
        </w:trPr>
        <w:tc>
          <w:tcPr>
            <w:tcW w:w="486" w:type="pct"/>
            <w:tcBorders>
              <w:top w:val="single" w:sz="8" w:space="0" w:color="4472C4"/>
              <w:left w:val="single" w:sz="8" w:space="0" w:color="4472C4"/>
              <w:bottom w:val="single" w:sz="8" w:space="0" w:color="4472C4"/>
              <w:right w:val="nil"/>
            </w:tcBorders>
            <w:shd w:val="clear" w:color="auto" w:fill="4472C4"/>
            <w:tcMar>
              <w:top w:w="14" w:type="dxa"/>
              <w:left w:w="14" w:type="dxa"/>
              <w:bottom w:w="0" w:type="dxa"/>
              <w:right w:w="14" w:type="dxa"/>
            </w:tcMar>
            <w:vAlign w:val="center"/>
            <w:hideMark/>
          </w:tcPr>
          <w:p w14:paraId="48B10BB8" w14:textId="77777777" w:rsidR="001A459B" w:rsidRPr="008A2D3E" w:rsidRDefault="001A459B" w:rsidP="003A1EAD">
            <w:pPr>
              <w:spacing w:before="120" w:line="216" w:lineRule="auto"/>
              <w:ind w:firstLine="64"/>
              <w:contextualSpacing/>
              <w:jc w:val="center"/>
              <w:rPr>
                <w:color w:val="FFFFFF" w:themeColor="background1"/>
                <w:sz w:val="20"/>
              </w:rPr>
            </w:pPr>
            <w:r w:rsidRPr="008A2D3E">
              <w:rPr>
                <w:b/>
                <w:bCs/>
                <w:color w:val="FFFFFF" w:themeColor="background1"/>
                <w:sz w:val="20"/>
              </w:rPr>
              <w:t>No.</w:t>
            </w:r>
          </w:p>
        </w:tc>
        <w:tc>
          <w:tcPr>
            <w:tcW w:w="797" w:type="pct"/>
            <w:tcBorders>
              <w:top w:val="single" w:sz="8" w:space="0" w:color="4472C4"/>
              <w:left w:val="nil"/>
              <w:bottom w:val="single" w:sz="8" w:space="0" w:color="4472C4"/>
              <w:right w:val="nil"/>
            </w:tcBorders>
            <w:shd w:val="clear" w:color="auto" w:fill="4472C4"/>
            <w:tcMar>
              <w:top w:w="14" w:type="dxa"/>
              <w:left w:w="14" w:type="dxa"/>
              <w:bottom w:w="0" w:type="dxa"/>
              <w:right w:w="14" w:type="dxa"/>
            </w:tcMar>
            <w:vAlign w:val="center"/>
            <w:hideMark/>
          </w:tcPr>
          <w:p w14:paraId="4B1B5F2B" w14:textId="77777777" w:rsidR="001A459B" w:rsidRPr="008A2D3E" w:rsidRDefault="001A459B" w:rsidP="003A1EAD">
            <w:pPr>
              <w:spacing w:before="120" w:line="216" w:lineRule="auto"/>
              <w:ind w:firstLine="10"/>
              <w:contextualSpacing/>
              <w:jc w:val="center"/>
              <w:rPr>
                <w:color w:val="FFFFFF" w:themeColor="background1"/>
                <w:sz w:val="20"/>
              </w:rPr>
            </w:pPr>
            <w:r w:rsidRPr="008A2D3E">
              <w:rPr>
                <w:b/>
                <w:bCs/>
                <w:color w:val="FFFFFF" w:themeColor="background1"/>
                <w:sz w:val="20"/>
              </w:rPr>
              <w:t>New sector</w:t>
            </w:r>
          </w:p>
        </w:tc>
        <w:tc>
          <w:tcPr>
            <w:tcW w:w="1980" w:type="pct"/>
            <w:tcBorders>
              <w:top w:val="single" w:sz="8" w:space="0" w:color="4472C4"/>
              <w:left w:val="nil"/>
              <w:bottom w:val="single" w:sz="8" w:space="0" w:color="4472C4"/>
              <w:right w:val="nil"/>
            </w:tcBorders>
            <w:shd w:val="clear" w:color="auto" w:fill="4472C4"/>
            <w:tcMar>
              <w:top w:w="14" w:type="dxa"/>
              <w:left w:w="14" w:type="dxa"/>
              <w:bottom w:w="0" w:type="dxa"/>
              <w:right w:w="14" w:type="dxa"/>
            </w:tcMar>
            <w:vAlign w:val="center"/>
            <w:hideMark/>
          </w:tcPr>
          <w:p w14:paraId="741EDFD7" w14:textId="77777777" w:rsidR="001A459B" w:rsidRPr="008A2D3E" w:rsidRDefault="00827C85" w:rsidP="003A1EAD">
            <w:pPr>
              <w:spacing w:before="120" w:line="216" w:lineRule="auto"/>
              <w:ind w:firstLine="23"/>
              <w:contextualSpacing/>
              <w:jc w:val="center"/>
              <w:rPr>
                <w:color w:val="FFFFFF" w:themeColor="background1"/>
                <w:sz w:val="20"/>
              </w:rPr>
            </w:pPr>
            <w:r w:rsidRPr="008A2D3E">
              <w:rPr>
                <w:b/>
                <w:bCs/>
                <w:color w:val="FFFFFF" w:themeColor="background1"/>
                <w:sz w:val="20"/>
              </w:rPr>
              <w:t>New s</w:t>
            </w:r>
            <w:r w:rsidR="001A459B" w:rsidRPr="008A2D3E">
              <w:rPr>
                <w:b/>
                <w:bCs/>
                <w:color w:val="FFFFFF" w:themeColor="background1"/>
                <w:sz w:val="20"/>
              </w:rPr>
              <w:t>ector description</w:t>
            </w:r>
          </w:p>
        </w:tc>
        <w:tc>
          <w:tcPr>
            <w:tcW w:w="616" w:type="pct"/>
            <w:tcBorders>
              <w:top w:val="single" w:sz="8" w:space="0" w:color="4472C4"/>
              <w:left w:val="nil"/>
              <w:bottom w:val="single" w:sz="8" w:space="0" w:color="4472C4"/>
              <w:right w:val="nil"/>
            </w:tcBorders>
            <w:shd w:val="clear" w:color="auto" w:fill="4472C4"/>
            <w:tcMar>
              <w:top w:w="14" w:type="dxa"/>
              <w:left w:w="14" w:type="dxa"/>
              <w:bottom w:w="0" w:type="dxa"/>
              <w:right w:w="14" w:type="dxa"/>
            </w:tcMar>
            <w:vAlign w:val="center"/>
            <w:hideMark/>
          </w:tcPr>
          <w:p w14:paraId="5F7E3889" w14:textId="77777777" w:rsidR="001A459B" w:rsidRPr="008A2D3E" w:rsidRDefault="00827C85" w:rsidP="003A1EAD">
            <w:pPr>
              <w:spacing w:before="120" w:line="216" w:lineRule="auto"/>
              <w:ind w:firstLine="0"/>
              <w:contextualSpacing/>
              <w:jc w:val="center"/>
              <w:rPr>
                <w:color w:val="FFFFFF" w:themeColor="background1"/>
                <w:sz w:val="20"/>
              </w:rPr>
            </w:pPr>
            <w:r w:rsidRPr="008A2D3E">
              <w:rPr>
                <w:b/>
                <w:bCs/>
                <w:color w:val="FFFFFF" w:themeColor="background1"/>
                <w:sz w:val="20"/>
              </w:rPr>
              <w:t xml:space="preserve">Original </w:t>
            </w:r>
            <w:r w:rsidR="001A459B" w:rsidRPr="008A2D3E">
              <w:rPr>
                <w:b/>
                <w:bCs/>
                <w:color w:val="FFFFFF" w:themeColor="background1"/>
                <w:sz w:val="20"/>
              </w:rPr>
              <w:t>sector code</w:t>
            </w:r>
          </w:p>
        </w:tc>
        <w:tc>
          <w:tcPr>
            <w:tcW w:w="1120" w:type="pct"/>
            <w:tcBorders>
              <w:top w:val="single" w:sz="8" w:space="0" w:color="4472C4"/>
              <w:left w:val="nil"/>
              <w:bottom w:val="single" w:sz="8" w:space="0" w:color="4472C4"/>
              <w:right w:val="single" w:sz="8" w:space="0" w:color="4472C4"/>
            </w:tcBorders>
            <w:shd w:val="clear" w:color="auto" w:fill="4472C4"/>
            <w:tcMar>
              <w:top w:w="14" w:type="dxa"/>
              <w:left w:w="14" w:type="dxa"/>
              <w:bottom w:w="0" w:type="dxa"/>
              <w:right w:w="14" w:type="dxa"/>
            </w:tcMar>
            <w:vAlign w:val="center"/>
            <w:hideMark/>
          </w:tcPr>
          <w:p w14:paraId="084BBC4F" w14:textId="77777777" w:rsidR="001A459B" w:rsidRPr="008A2D3E" w:rsidRDefault="00827C85" w:rsidP="003A1EAD">
            <w:pPr>
              <w:spacing w:before="120" w:line="216" w:lineRule="auto"/>
              <w:ind w:firstLine="0"/>
              <w:contextualSpacing/>
              <w:jc w:val="center"/>
              <w:rPr>
                <w:color w:val="FFFFFF" w:themeColor="background1"/>
                <w:sz w:val="20"/>
              </w:rPr>
            </w:pPr>
            <w:r w:rsidRPr="008A2D3E">
              <w:rPr>
                <w:b/>
                <w:bCs/>
                <w:color w:val="FFFFFF" w:themeColor="background1"/>
                <w:sz w:val="20"/>
              </w:rPr>
              <w:t>Original sector d</w:t>
            </w:r>
            <w:r w:rsidR="001A459B" w:rsidRPr="008A2D3E">
              <w:rPr>
                <w:b/>
                <w:bCs/>
                <w:color w:val="FFFFFF" w:themeColor="background1"/>
                <w:sz w:val="20"/>
              </w:rPr>
              <w:t>escription</w:t>
            </w:r>
          </w:p>
        </w:tc>
      </w:tr>
      <w:tr w:rsidR="001A459B" w:rsidRPr="008A2D3E" w14:paraId="2CEB2632"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4A9C586C" w14:textId="77777777" w:rsidR="001A459B" w:rsidRPr="008A2D3E" w:rsidRDefault="001A459B" w:rsidP="003A1EAD">
            <w:pPr>
              <w:spacing w:before="120" w:line="216" w:lineRule="auto"/>
              <w:ind w:firstLine="64"/>
              <w:contextualSpacing/>
              <w:jc w:val="center"/>
              <w:rPr>
                <w:sz w:val="20"/>
              </w:rPr>
            </w:pPr>
            <w:r w:rsidRPr="008A2D3E">
              <w:rPr>
                <w:sz w:val="20"/>
              </w:rPr>
              <w:t>1</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center"/>
            <w:hideMark/>
          </w:tcPr>
          <w:p w14:paraId="6AF902F2" w14:textId="77777777" w:rsidR="001A459B" w:rsidRPr="008A2D3E" w:rsidRDefault="001A459B" w:rsidP="003A1EAD">
            <w:pPr>
              <w:spacing w:before="120" w:line="216" w:lineRule="auto"/>
              <w:ind w:firstLine="0"/>
              <w:contextualSpacing/>
              <w:jc w:val="center"/>
              <w:rPr>
                <w:sz w:val="20"/>
              </w:rPr>
            </w:pPr>
            <w:proofErr w:type="spellStart"/>
            <w:r w:rsidRPr="008A2D3E">
              <w:rPr>
                <w:sz w:val="20"/>
              </w:rPr>
              <w:t>nmn</w:t>
            </w:r>
            <w:proofErr w:type="spellEnd"/>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center"/>
            <w:hideMark/>
          </w:tcPr>
          <w:p w14:paraId="6DF2E457" w14:textId="77777777" w:rsidR="001A459B" w:rsidRPr="008A2D3E" w:rsidRDefault="001A459B" w:rsidP="003A1EAD">
            <w:pPr>
              <w:spacing w:before="120" w:line="216" w:lineRule="auto"/>
              <w:ind w:firstLine="23"/>
              <w:contextualSpacing/>
              <w:jc w:val="center"/>
              <w:rPr>
                <w:sz w:val="20"/>
              </w:rPr>
            </w:pPr>
            <w:r w:rsidRPr="008A2D3E">
              <w:rPr>
                <w:sz w:val="20"/>
              </w:rPr>
              <w:t>Non-metallic minerals mining</w:t>
            </w:r>
          </w:p>
        </w:tc>
        <w:tc>
          <w:tcPr>
            <w:tcW w:w="616" w:type="pct"/>
            <w:vMerge w:val="restar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center"/>
            <w:hideMark/>
          </w:tcPr>
          <w:p w14:paraId="1A2EC323" w14:textId="77777777" w:rsidR="001A459B" w:rsidRPr="008A2D3E" w:rsidRDefault="001A459B" w:rsidP="00FE0ED2">
            <w:pPr>
              <w:spacing w:before="120" w:line="216" w:lineRule="auto"/>
              <w:ind w:hanging="13"/>
              <w:contextualSpacing/>
              <w:jc w:val="center"/>
              <w:rPr>
                <w:sz w:val="20"/>
              </w:rPr>
            </w:pPr>
            <w:proofErr w:type="spellStart"/>
            <w:r w:rsidRPr="008A2D3E">
              <w:rPr>
                <w:sz w:val="20"/>
              </w:rPr>
              <w:t>oxt</w:t>
            </w:r>
            <w:proofErr w:type="spellEnd"/>
          </w:p>
        </w:tc>
        <w:tc>
          <w:tcPr>
            <w:tcW w:w="1120" w:type="pct"/>
            <w:vMerge w:val="restart"/>
            <w:tcBorders>
              <w:top w:val="single" w:sz="8" w:space="0" w:color="4472C4"/>
              <w:left w:val="nil"/>
              <w:bottom w:val="single" w:sz="8" w:space="0" w:color="4472C4"/>
              <w:right w:val="single" w:sz="8" w:space="0" w:color="4472C4"/>
            </w:tcBorders>
            <w:shd w:val="clear" w:color="auto" w:fill="E9EBF5"/>
            <w:tcMar>
              <w:top w:w="14" w:type="dxa"/>
              <w:left w:w="14" w:type="dxa"/>
              <w:bottom w:w="0" w:type="dxa"/>
              <w:right w:w="14" w:type="dxa"/>
            </w:tcMar>
            <w:vAlign w:val="center"/>
            <w:hideMark/>
          </w:tcPr>
          <w:p w14:paraId="0F00CDFD" w14:textId="77777777" w:rsidR="001A459B" w:rsidRPr="008A2D3E" w:rsidRDefault="001A459B" w:rsidP="003A1EAD">
            <w:pPr>
              <w:spacing w:before="120" w:line="216" w:lineRule="auto"/>
              <w:ind w:firstLine="0"/>
              <w:contextualSpacing/>
              <w:jc w:val="center"/>
              <w:rPr>
                <w:sz w:val="20"/>
              </w:rPr>
            </w:pPr>
            <w:r w:rsidRPr="008A2D3E">
              <w:rPr>
                <w:sz w:val="20"/>
              </w:rPr>
              <w:t>Other extraction</w:t>
            </w:r>
          </w:p>
        </w:tc>
      </w:tr>
      <w:tr w:rsidR="00827C85" w:rsidRPr="008A2D3E" w14:paraId="08820882"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54252A59" w14:textId="77777777" w:rsidR="001A459B" w:rsidRPr="008A2D3E" w:rsidRDefault="001A459B" w:rsidP="003A1EAD">
            <w:pPr>
              <w:spacing w:before="120" w:line="216" w:lineRule="auto"/>
              <w:ind w:firstLine="64"/>
              <w:contextualSpacing/>
              <w:jc w:val="center"/>
              <w:rPr>
                <w:sz w:val="20"/>
              </w:rPr>
            </w:pPr>
            <w:r w:rsidRPr="008A2D3E">
              <w:rPr>
                <w:sz w:val="20"/>
              </w:rPr>
              <w:t>2</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center"/>
            <w:hideMark/>
          </w:tcPr>
          <w:p w14:paraId="30D67E89" w14:textId="77777777" w:rsidR="001A459B" w:rsidRPr="008A2D3E" w:rsidRDefault="001A459B" w:rsidP="003A1EAD">
            <w:pPr>
              <w:spacing w:before="120" w:line="216" w:lineRule="auto"/>
              <w:ind w:firstLine="0"/>
              <w:contextualSpacing/>
              <w:jc w:val="center"/>
              <w:rPr>
                <w:sz w:val="20"/>
              </w:rPr>
            </w:pPr>
            <w:proofErr w:type="spellStart"/>
            <w:r w:rsidRPr="008A2D3E">
              <w:rPr>
                <w:sz w:val="20"/>
              </w:rPr>
              <w:t>mio</w:t>
            </w:r>
            <w:proofErr w:type="spellEnd"/>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center"/>
            <w:hideMark/>
          </w:tcPr>
          <w:p w14:paraId="2FC11E52" w14:textId="77777777" w:rsidR="001A459B" w:rsidRPr="008A2D3E" w:rsidRDefault="001A459B" w:rsidP="003A1EAD">
            <w:pPr>
              <w:spacing w:before="120" w:line="216" w:lineRule="auto"/>
              <w:ind w:firstLine="23"/>
              <w:contextualSpacing/>
              <w:jc w:val="center"/>
              <w:rPr>
                <w:sz w:val="20"/>
              </w:rPr>
            </w:pPr>
            <w:r w:rsidRPr="008A2D3E">
              <w:rPr>
                <w:sz w:val="20"/>
              </w:rPr>
              <w:t>Mining of iron ores</w:t>
            </w:r>
          </w:p>
        </w:tc>
        <w:tc>
          <w:tcPr>
            <w:tcW w:w="616" w:type="pct"/>
            <w:vMerge/>
            <w:tcBorders>
              <w:top w:val="single" w:sz="8" w:space="0" w:color="4472C4"/>
              <w:left w:val="nil"/>
              <w:bottom w:val="single" w:sz="8" w:space="0" w:color="4472C4"/>
              <w:right w:val="nil"/>
            </w:tcBorders>
            <w:vAlign w:val="center"/>
            <w:hideMark/>
          </w:tcPr>
          <w:p w14:paraId="1EB4ED62" w14:textId="77777777" w:rsidR="001A459B" w:rsidRPr="008A2D3E" w:rsidRDefault="001A459B" w:rsidP="00FE0ED2">
            <w:pPr>
              <w:spacing w:before="120" w:line="216" w:lineRule="auto"/>
              <w:ind w:hanging="13"/>
              <w:contextualSpacing/>
              <w:jc w:val="center"/>
              <w:rPr>
                <w:sz w:val="20"/>
              </w:rPr>
            </w:pPr>
          </w:p>
        </w:tc>
        <w:tc>
          <w:tcPr>
            <w:tcW w:w="1120" w:type="pct"/>
            <w:vMerge/>
            <w:tcBorders>
              <w:top w:val="single" w:sz="8" w:space="0" w:color="4472C4"/>
              <w:left w:val="nil"/>
              <w:bottom w:val="single" w:sz="8" w:space="0" w:color="4472C4"/>
              <w:right w:val="single" w:sz="8" w:space="0" w:color="4472C4"/>
            </w:tcBorders>
            <w:vAlign w:val="center"/>
            <w:hideMark/>
          </w:tcPr>
          <w:p w14:paraId="1E0387EB" w14:textId="77777777" w:rsidR="001A459B" w:rsidRPr="008A2D3E" w:rsidRDefault="001A459B" w:rsidP="003A1EAD">
            <w:pPr>
              <w:spacing w:before="120" w:line="216" w:lineRule="auto"/>
              <w:contextualSpacing/>
              <w:jc w:val="center"/>
              <w:rPr>
                <w:sz w:val="20"/>
              </w:rPr>
            </w:pPr>
          </w:p>
        </w:tc>
      </w:tr>
      <w:tr w:rsidR="00827C85" w:rsidRPr="008A2D3E" w14:paraId="7BC8E14D"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7F8D174C" w14:textId="77777777" w:rsidR="001A459B" w:rsidRPr="008A2D3E" w:rsidRDefault="001A459B" w:rsidP="003A1EAD">
            <w:pPr>
              <w:spacing w:before="120" w:line="216" w:lineRule="auto"/>
              <w:ind w:firstLine="64"/>
              <w:contextualSpacing/>
              <w:jc w:val="center"/>
              <w:rPr>
                <w:sz w:val="20"/>
              </w:rPr>
            </w:pPr>
            <w:r w:rsidRPr="008A2D3E">
              <w:rPr>
                <w:sz w:val="20"/>
              </w:rPr>
              <w:t>3</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center"/>
            <w:hideMark/>
          </w:tcPr>
          <w:p w14:paraId="62C3C807" w14:textId="77777777" w:rsidR="001A459B" w:rsidRPr="008A2D3E" w:rsidRDefault="001A459B" w:rsidP="003A1EAD">
            <w:pPr>
              <w:spacing w:before="120" w:line="216" w:lineRule="auto"/>
              <w:ind w:firstLine="0"/>
              <w:contextualSpacing/>
              <w:jc w:val="center"/>
              <w:rPr>
                <w:sz w:val="20"/>
              </w:rPr>
            </w:pPr>
            <w:proofErr w:type="spellStart"/>
            <w:r w:rsidRPr="008A2D3E">
              <w:rPr>
                <w:sz w:val="20"/>
              </w:rPr>
              <w:t>mao</w:t>
            </w:r>
            <w:proofErr w:type="spellEnd"/>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center"/>
            <w:hideMark/>
          </w:tcPr>
          <w:p w14:paraId="0BDD937B" w14:textId="77777777" w:rsidR="001A459B" w:rsidRPr="008A2D3E" w:rsidRDefault="001A459B" w:rsidP="003A1EAD">
            <w:pPr>
              <w:spacing w:before="120" w:line="216" w:lineRule="auto"/>
              <w:ind w:firstLine="23"/>
              <w:contextualSpacing/>
              <w:jc w:val="center"/>
              <w:rPr>
                <w:sz w:val="20"/>
              </w:rPr>
            </w:pPr>
            <w:r w:rsidRPr="008A2D3E">
              <w:rPr>
                <w:sz w:val="20"/>
              </w:rPr>
              <w:t>Mining of aluminum ores</w:t>
            </w:r>
          </w:p>
        </w:tc>
        <w:tc>
          <w:tcPr>
            <w:tcW w:w="616" w:type="pct"/>
            <w:vMerge/>
            <w:tcBorders>
              <w:top w:val="single" w:sz="8" w:space="0" w:color="4472C4"/>
              <w:left w:val="nil"/>
              <w:bottom w:val="single" w:sz="8" w:space="0" w:color="4472C4"/>
              <w:right w:val="nil"/>
            </w:tcBorders>
            <w:vAlign w:val="center"/>
            <w:hideMark/>
          </w:tcPr>
          <w:p w14:paraId="4E6F8E7B" w14:textId="77777777" w:rsidR="001A459B" w:rsidRPr="008A2D3E" w:rsidRDefault="001A459B" w:rsidP="00FE0ED2">
            <w:pPr>
              <w:spacing w:before="120" w:line="216" w:lineRule="auto"/>
              <w:ind w:hanging="13"/>
              <w:contextualSpacing/>
              <w:jc w:val="center"/>
              <w:rPr>
                <w:sz w:val="20"/>
              </w:rPr>
            </w:pPr>
          </w:p>
        </w:tc>
        <w:tc>
          <w:tcPr>
            <w:tcW w:w="1120" w:type="pct"/>
            <w:vMerge/>
            <w:tcBorders>
              <w:top w:val="single" w:sz="8" w:space="0" w:color="4472C4"/>
              <w:left w:val="nil"/>
              <w:bottom w:val="single" w:sz="8" w:space="0" w:color="4472C4"/>
              <w:right w:val="single" w:sz="8" w:space="0" w:color="4472C4"/>
            </w:tcBorders>
            <w:vAlign w:val="center"/>
            <w:hideMark/>
          </w:tcPr>
          <w:p w14:paraId="28B9D263" w14:textId="77777777" w:rsidR="001A459B" w:rsidRPr="008A2D3E" w:rsidRDefault="001A459B" w:rsidP="003A1EAD">
            <w:pPr>
              <w:spacing w:before="120" w:line="216" w:lineRule="auto"/>
              <w:contextualSpacing/>
              <w:jc w:val="center"/>
              <w:rPr>
                <w:sz w:val="20"/>
              </w:rPr>
            </w:pPr>
          </w:p>
        </w:tc>
      </w:tr>
      <w:tr w:rsidR="00827C85" w:rsidRPr="008A2D3E" w14:paraId="291D0628"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64782FCC" w14:textId="77777777" w:rsidR="001A459B" w:rsidRPr="008A2D3E" w:rsidRDefault="001A459B" w:rsidP="003A1EAD">
            <w:pPr>
              <w:spacing w:before="120" w:line="216" w:lineRule="auto"/>
              <w:ind w:firstLine="64"/>
              <w:contextualSpacing/>
              <w:jc w:val="center"/>
              <w:rPr>
                <w:sz w:val="20"/>
              </w:rPr>
            </w:pPr>
            <w:r w:rsidRPr="008A2D3E">
              <w:rPr>
                <w:sz w:val="20"/>
              </w:rPr>
              <w:t>4</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center"/>
            <w:hideMark/>
          </w:tcPr>
          <w:p w14:paraId="71CE8371" w14:textId="77777777" w:rsidR="001A459B" w:rsidRPr="008A2D3E" w:rsidRDefault="001A459B" w:rsidP="003A1EAD">
            <w:pPr>
              <w:spacing w:before="120" w:line="216" w:lineRule="auto"/>
              <w:ind w:firstLine="0"/>
              <w:contextualSpacing/>
              <w:jc w:val="center"/>
              <w:rPr>
                <w:sz w:val="20"/>
              </w:rPr>
            </w:pPr>
            <w:proofErr w:type="spellStart"/>
            <w:r w:rsidRPr="008A2D3E">
              <w:rPr>
                <w:sz w:val="20"/>
              </w:rPr>
              <w:t>mco</w:t>
            </w:r>
            <w:proofErr w:type="spellEnd"/>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center"/>
            <w:hideMark/>
          </w:tcPr>
          <w:p w14:paraId="1A957A31" w14:textId="77777777" w:rsidR="001A459B" w:rsidRPr="008A2D3E" w:rsidRDefault="001A459B" w:rsidP="003A1EAD">
            <w:pPr>
              <w:spacing w:before="120" w:line="216" w:lineRule="auto"/>
              <w:ind w:firstLine="23"/>
              <w:contextualSpacing/>
              <w:jc w:val="center"/>
              <w:rPr>
                <w:sz w:val="20"/>
              </w:rPr>
            </w:pPr>
            <w:r w:rsidRPr="008A2D3E">
              <w:rPr>
                <w:sz w:val="20"/>
              </w:rPr>
              <w:t>Mining of copper ores</w:t>
            </w:r>
          </w:p>
        </w:tc>
        <w:tc>
          <w:tcPr>
            <w:tcW w:w="616" w:type="pct"/>
            <w:vMerge/>
            <w:tcBorders>
              <w:top w:val="single" w:sz="8" w:space="0" w:color="4472C4"/>
              <w:left w:val="nil"/>
              <w:bottom w:val="single" w:sz="8" w:space="0" w:color="4472C4"/>
              <w:right w:val="nil"/>
            </w:tcBorders>
            <w:vAlign w:val="center"/>
            <w:hideMark/>
          </w:tcPr>
          <w:p w14:paraId="737D7241" w14:textId="77777777" w:rsidR="001A459B" w:rsidRPr="008A2D3E" w:rsidRDefault="001A459B" w:rsidP="00FE0ED2">
            <w:pPr>
              <w:spacing w:before="120" w:line="216" w:lineRule="auto"/>
              <w:ind w:hanging="13"/>
              <w:contextualSpacing/>
              <w:jc w:val="center"/>
              <w:rPr>
                <w:sz w:val="20"/>
              </w:rPr>
            </w:pPr>
          </w:p>
        </w:tc>
        <w:tc>
          <w:tcPr>
            <w:tcW w:w="1120" w:type="pct"/>
            <w:vMerge/>
            <w:tcBorders>
              <w:top w:val="single" w:sz="8" w:space="0" w:color="4472C4"/>
              <w:left w:val="nil"/>
              <w:bottom w:val="single" w:sz="8" w:space="0" w:color="4472C4"/>
              <w:right w:val="single" w:sz="8" w:space="0" w:color="4472C4"/>
            </w:tcBorders>
            <w:vAlign w:val="center"/>
            <w:hideMark/>
          </w:tcPr>
          <w:p w14:paraId="2E951A41" w14:textId="77777777" w:rsidR="001A459B" w:rsidRPr="008A2D3E" w:rsidRDefault="001A459B" w:rsidP="003A1EAD">
            <w:pPr>
              <w:spacing w:before="120" w:line="216" w:lineRule="auto"/>
              <w:contextualSpacing/>
              <w:jc w:val="center"/>
              <w:rPr>
                <w:sz w:val="20"/>
              </w:rPr>
            </w:pPr>
          </w:p>
        </w:tc>
      </w:tr>
      <w:tr w:rsidR="00827C85" w:rsidRPr="008A2D3E" w14:paraId="790D0DA5"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5981FE80" w14:textId="77777777" w:rsidR="001A459B" w:rsidRPr="008A2D3E" w:rsidRDefault="001A459B" w:rsidP="003A1EAD">
            <w:pPr>
              <w:spacing w:before="120" w:line="216" w:lineRule="auto"/>
              <w:ind w:firstLine="64"/>
              <w:contextualSpacing/>
              <w:jc w:val="center"/>
              <w:rPr>
                <w:sz w:val="20"/>
              </w:rPr>
            </w:pPr>
            <w:r w:rsidRPr="008A2D3E">
              <w:rPr>
                <w:sz w:val="20"/>
              </w:rPr>
              <w:t>5</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center"/>
            <w:hideMark/>
          </w:tcPr>
          <w:p w14:paraId="6B0D69C3" w14:textId="77777777" w:rsidR="001A459B" w:rsidRPr="008A2D3E" w:rsidRDefault="001A459B" w:rsidP="003A1EAD">
            <w:pPr>
              <w:spacing w:before="120" w:line="216" w:lineRule="auto"/>
              <w:ind w:firstLine="0"/>
              <w:contextualSpacing/>
              <w:jc w:val="center"/>
              <w:rPr>
                <w:sz w:val="20"/>
              </w:rPr>
            </w:pPr>
            <w:r w:rsidRPr="008A2D3E">
              <w:rPr>
                <w:sz w:val="20"/>
              </w:rPr>
              <w:t>moo</w:t>
            </w:r>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center"/>
            <w:hideMark/>
          </w:tcPr>
          <w:p w14:paraId="7C9F41F1" w14:textId="77777777" w:rsidR="001A459B" w:rsidRPr="008A2D3E" w:rsidRDefault="001A459B" w:rsidP="003A1EAD">
            <w:pPr>
              <w:spacing w:before="120" w:line="216" w:lineRule="auto"/>
              <w:ind w:firstLine="23"/>
              <w:contextualSpacing/>
              <w:jc w:val="center"/>
              <w:rPr>
                <w:sz w:val="20"/>
              </w:rPr>
            </w:pPr>
            <w:r w:rsidRPr="008A2D3E">
              <w:rPr>
                <w:sz w:val="20"/>
              </w:rPr>
              <w:t>Mining of other ores</w:t>
            </w:r>
          </w:p>
        </w:tc>
        <w:tc>
          <w:tcPr>
            <w:tcW w:w="616" w:type="pct"/>
            <w:vMerge/>
            <w:tcBorders>
              <w:top w:val="single" w:sz="8" w:space="0" w:color="4472C4"/>
              <w:left w:val="nil"/>
              <w:bottom w:val="single" w:sz="8" w:space="0" w:color="4472C4"/>
              <w:right w:val="nil"/>
            </w:tcBorders>
            <w:vAlign w:val="center"/>
            <w:hideMark/>
          </w:tcPr>
          <w:p w14:paraId="04B1AE2B" w14:textId="77777777" w:rsidR="001A459B" w:rsidRPr="008A2D3E" w:rsidRDefault="001A459B" w:rsidP="00FE0ED2">
            <w:pPr>
              <w:spacing w:before="120" w:line="216" w:lineRule="auto"/>
              <w:ind w:hanging="13"/>
              <w:contextualSpacing/>
              <w:jc w:val="center"/>
              <w:rPr>
                <w:sz w:val="20"/>
              </w:rPr>
            </w:pPr>
          </w:p>
        </w:tc>
        <w:tc>
          <w:tcPr>
            <w:tcW w:w="1120" w:type="pct"/>
            <w:vMerge/>
            <w:tcBorders>
              <w:top w:val="single" w:sz="8" w:space="0" w:color="4472C4"/>
              <w:left w:val="nil"/>
              <w:bottom w:val="single" w:sz="8" w:space="0" w:color="4472C4"/>
              <w:right w:val="single" w:sz="8" w:space="0" w:color="4472C4"/>
            </w:tcBorders>
            <w:vAlign w:val="center"/>
            <w:hideMark/>
          </w:tcPr>
          <w:p w14:paraId="2F736597" w14:textId="77777777" w:rsidR="001A459B" w:rsidRPr="008A2D3E" w:rsidRDefault="001A459B" w:rsidP="003A1EAD">
            <w:pPr>
              <w:spacing w:before="120" w:line="216" w:lineRule="auto"/>
              <w:contextualSpacing/>
              <w:jc w:val="center"/>
              <w:rPr>
                <w:sz w:val="20"/>
              </w:rPr>
            </w:pPr>
          </w:p>
        </w:tc>
      </w:tr>
      <w:tr w:rsidR="001A459B" w:rsidRPr="008A2D3E" w14:paraId="7836C60F"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04D17133" w14:textId="77777777" w:rsidR="001A459B" w:rsidRPr="008A2D3E" w:rsidRDefault="001A459B" w:rsidP="003A1EAD">
            <w:pPr>
              <w:spacing w:before="120" w:line="216" w:lineRule="auto"/>
              <w:ind w:firstLine="64"/>
              <w:contextualSpacing/>
              <w:jc w:val="center"/>
              <w:rPr>
                <w:sz w:val="20"/>
              </w:rPr>
            </w:pPr>
            <w:r w:rsidRPr="008A2D3E">
              <w:rPr>
                <w:sz w:val="20"/>
              </w:rPr>
              <w:t>6</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bottom"/>
            <w:hideMark/>
          </w:tcPr>
          <w:p w14:paraId="71F0678C" w14:textId="77777777" w:rsidR="001A459B" w:rsidRPr="008A2D3E" w:rsidRDefault="001A459B" w:rsidP="003A1EAD">
            <w:pPr>
              <w:spacing w:before="120" w:line="216" w:lineRule="auto"/>
              <w:ind w:firstLine="0"/>
              <w:contextualSpacing/>
              <w:jc w:val="center"/>
              <w:rPr>
                <w:sz w:val="20"/>
              </w:rPr>
            </w:pPr>
            <w:proofErr w:type="spellStart"/>
            <w:r w:rsidRPr="008A2D3E">
              <w:rPr>
                <w:sz w:val="20"/>
              </w:rPr>
              <w:t>rbr</w:t>
            </w:r>
            <w:proofErr w:type="spellEnd"/>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center"/>
            <w:hideMark/>
          </w:tcPr>
          <w:p w14:paraId="2EC164A4" w14:textId="77777777" w:rsidR="001A459B" w:rsidRPr="008A2D3E" w:rsidRDefault="001A459B" w:rsidP="003A1EAD">
            <w:pPr>
              <w:spacing w:before="120" w:line="216" w:lineRule="auto"/>
              <w:ind w:firstLine="23"/>
              <w:contextualSpacing/>
              <w:jc w:val="center"/>
              <w:rPr>
                <w:sz w:val="20"/>
              </w:rPr>
            </w:pPr>
            <w:r w:rsidRPr="008A2D3E">
              <w:rPr>
                <w:sz w:val="20"/>
              </w:rPr>
              <w:t>Rubber products</w:t>
            </w:r>
          </w:p>
        </w:tc>
        <w:tc>
          <w:tcPr>
            <w:tcW w:w="616" w:type="pct"/>
            <w:vMerge w:val="restar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center"/>
            <w:hideMark/>
          </w:tcPr>
          <w:p w14:paraId="4C3EA7F1" w14:textId="77777777" w:rsidR="001A459B" w:rsidRPr="008A2D3E" w:rsidRDefault="001A459B" w:rsidP="00FE0ED2">
            <w:pPr>
              <w:spacing w:before="120" w:line="216" w:lineRule="auto"/>
              <w:ind w:hanging="13"/>
              <w:contextualSpacing/>
              <w:jc w:val="center"/>
              <w:rPr>
                <w:sz w:val="20"/>
              </w:rPr>
            </w:pPr>
            <w:proofErr w:type="spellStart"/>
            <w:r w:rsidRPr="008A2D3E">
              <w:rPr>
                <w:sz w:val="20"/>
              </w:rPr>
              <w:t>rpp</w:t>
            </w:r>
            <w:proofErr w:type="spellEnd"/>
          </w:p>
        </w:tc>
        <w:tc>
          <w:tcPr>
            <w:tcW w:w="1120" w:type="pct"/>
            <w:vMerge w:val="restart"/>
            <w:tcBorders>
              <w:top w:val="single" w:sz="8" w:space="0" w:color="4472C4"/>
              <w:left w:val="nil"/>
              <w:bottom w:val="single" w:sz="8" w:space="0" w:color="4472C4"/>
              <w:right w:val="single" w:sz="8" w:space="0" w:color="4472C4"/>
            </w:tcBorders>
            <w:shd w:val="clear" w:color="auto" w:fill="E9EBF5"/>
            <w:tcMar>
              <w:top w:w="14" w:type="dxa"/>
              <w:left w:w="14" w:type="dxa"/>
              <w:bottom w:w="0" w:type="dxa"/>
              <w:right w:w="14" w:type="dxa"/>
            </w:tcMar>
            <w:vAlign w:val="center"/>
            <w:hideMark/>
          </w:tcPr>
          <w:p w14:paraId="1ABDA384" w14:textId="77777777" w:rsidR="001A459B" w:rsidRPr="008A2D3E" w:rsidRDefault="001A459B" w:rsidP="003A1EAD">
            <w:pPr>
              <w:spacing w:before="120" w:line="216" w:lineRule="auto"/>
              <w:ind w:firstLine="32"/>
              <w:contextualSpacing/>
              <w:jc w:val="center"/>
              <w:rPr>
                <w:sz w:val="20"/>
              </w:rPr>
            </w:pPr>
            <w:r w:rsidRPr="008A2D3E">
              <w:rPr>
                <w:sz w:val="20"/>
              </w:rPr>
              <w:t>Rubber and plastic products</w:t>
            </w:r>
          </w:p>
        </w:tc>
      </w:tr>
      <w:tr w:rsidR="00827C85" w:rsidRPr="008A2D3E" w14:paraId="2C867D75"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685915BF" w14:textId="77777777" w:rsidR="001A459B" w:rsidRPr="008A2D3E" w:rsidRDefault="001A459B" w:rsidP="003A1EAD">
            <w:pPr>
              <w:spacing w:before="120" w:line="216" w:lineRule="auto"/>
              <w:ind w:firstLine="64"/>
              <w:contextualSpacing/>
              <w:jc w:val="center"/>
              <w:rPr>
                <w:sz w:val="20"/>
              </w:rPr>
            </w:pPr>
            <w:r w:rsidRPr="008A2D3E">
              <w:rPr>
                <w:sz w:val="20"/>
              </w:rPr>
              <w:t>7</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bottom"/>
            <w:hideMark/>
          </w:tcPr>
          <w:p w14:paraId="3CA43A98" w14:textId="77777777" w:rsidR="001A459B" w:rsidRPr="008A2D3E" w:rsidRDefault="001A459B" w:rsidP="003A1EAD">
            <w:pPr>
              <w:spacing w:before="120" w:line="216" w:lineRule="auto"/>
              <w:ind w:firstLine="0"/>
              <w:contextualSpacing/>
              <w:jc w:val="center"/>
              <w:rPr>
                <w:sz w:val="20"/>
              </w:rPr>
            </w:pPr>
            <w:proofErr w:type="spellStart"/>
            <w:r w:rsidRPr="008A2D3E">
              <w:rPr>
                <w:sz w:val="20"/>
              </w:rPr>
              <w:t>plp</w:t>
            </w:r>
            <w:proofErr w:type="spellEnd"/>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center"/>
            <w:hideMark/>
          </w:tcPr>
          <w:p w14:paraId="0368BCE1" w14:textId="77777777" w:rsidR="001A459B" w:rsidRPr="008A2D3E" w:rsidRDefault="001A459B" w:rsidP="003A1EAD">
            <w:pPr>
              <w:spacing w:before="120" w:line="216" w:lineRule="auto"/>
              <w:ind w:firstLine="23"/>
              <w:contextualSpacing/>
              <w:jc w:val="center"/>
              <w:rPr>
                <w:sz w:val="20"/>
              </w:rPr>
            </w:pPr>
            <w:r w:rsidRPr="008A2D3E">
              <w:rPr>
                <w:sz w:val="20"/>
              </w:rPr>
              <w:t>Plastic products – primary</w:t>
            </w:r>
          </w:p>
        </w:tc>
        <w:tc>
          <w:tcPr>
            <w:tcW w:w="616" w:type="pct"/>
            <w:vMerge/>
            <w:tcBorders>
              <w:top w:val="single" w:sz="8" w:space="0" w:color="4472C4"/>
              <w:left w:val="nil"/>
              <w:bottom w:val="single" w:sz="8" w:space="0" w:color="4472C4"/>
              <w:right w:val="nil"/>
            </w:tcBorders>
            <w:vAlign w:val="center"/>
            <w:hideMark/>
          </w:tcPr>
          <w:p w14:paraId="6422A72D" w14:textId="77777777" w:rsidR="001A459B" w:rsidRPr="008A2D3E" w:rsidRDefault="001A459B" w:rsidP="00FE0ED2">
            <w:pPr>
              <w:spacing w:before="120" w:line="216" w:lineRule="auto"/>
              <w:ind w:hanging="13"/>
              <w:contextualSpacing/>
              <w:jc w:val="center"/>
              <w:rPr>
                <w:sz w:val="20"/>
              </w:rPr>
            </w:pPr>
          </w:p>
        </w:tc>
        <w:tc>
          <w:tcPr>
            <w:tcW w:w="1120" w:type="pct"/>
            <w:vMerge/>
            <w:tcBorders>
              <w:top w:val="single" w:sz="8" w:space="0" w:color="4472C4"/>
              <w:left w:val="nil"/>
              <w:bottom w:val="single" w:sz="8" w:space="0" w:color="4472C4"/>
              <w:right w:val="single" w:sz="8" w:space="0" w:color="4472C4"/>
            </w:tcBorders>
            <w:vAlign w:val="center"/>
            <w:hideMark/>
          </w:tcPr>
          <w:p w14:paraId="20746655" w14:textId="77777777" w:rsidR="001A459B" w:rsidRPr="008A2D3E" w:rsidRDefault="001A459B" w:rsidP="003A1EAD">
            <w:pPr>
              <w:spacing w:before="120" w:line="216" w:lineRule="auto"/>
              <w:contextualSpacing/>
              <w:jc w:val="center"/>
              <w:rPr>
                <w:sz w:val="20"/>
              </w:rPr>
            </w:pPr>
          </w:p>
        </w:tc>
      </w:tr>
      <w:tr w:rsidR="00827C85" w:rsidRPr="008A2D3E" w14:paraId="2FED4D48"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3E87BC48" w14:textId="77777777" w:rsidR="001A459B" w:rsidRPr="008A2D3E" w:rsidRDefault="001A459B" w:rsidP="003A1EAD">
            <w:pPr>
              <w:spacing w:before="120" w:line="216" w:lineRule="auto"/>
              <w:ind w:firstLine="64"/>
              <w:contextualSpacing/>
              <w:jc w:val="center"/>
              <w:rPr>
                <w:sz w:val="20"/>
              </w:rPr>
            </w:pPr>
            <w:r w:rsidRPr="008A2D3E">
              <w:rPr>
                <w:sz w:val="20"/>
              </w:rPr>
              <w:t>8</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bottom"/>
            <w:hideMark/>
          </w:tcPr>
          <w:p w14:paraId="784EFAA2" w14:textId="77777777" w:rsidR="001A459B" w:rsidRPr="008A2D3E" w:rsidRDefault="001A459B" w:rsidP="003A1EAD">
            <w:pPr>
              <w:spacing w:before="120" w:line="216" w:lineRule="auto"/>
              <w:ind w:firstLine="0"/>
              <w:contextualSpacing/>
              <w:jc w:val="center"/>
              <w:rPr>
                <w:sz w:val="20"/>
              </w:rPr>
            </w:pPr>
            <w:r w:rsidRPr="008A2D3E">
              <w:rPr>
                <w:sz w:val="20"/>
              </w:rPr>
              <w:t>pls</w:t>
            </w:r>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center"/>
            <w:hideMark/>
          </w:tcPr>
          <w:p w14:paraId="08F208F3" w14:textId="77777777" w:rsidR="001A459B" w:rsidRPr="008A2D3E" w:rsidRDefault="001A459B" w:rsidP="003A1EAD">
            <w:pPr>
              <w:spacing w:before="120" w:line="216" w:lineRule="auto"/>
              <w:ind w:firstLine="23"/>
              <w:contextualSpacing/>
              <w:jc w:val="center"/>
              <w:rPr>
                <w:sz w:val="20"/>
              </w:rPr>
            </w:pPr>
            <w:r w:rsidRPr="008A2D3E">
              <w:rPr>
                <w:sz w:val="20"/>
              </w:rPr>
              <w:t>Plastic products – secondary</w:t>
            </w:r>
          </w:p>
        </w:tc>
        <w:tc>
          <w:tcPr>
            <w:tcW w:w="616" w:type="pct"/>
            <w:vMerge/>
            <w:tcBorders>
              <w:top w:val="single" w:sz="8" w:space="0" w:color="4472C4"/>
              <w:left w:val="nil"/>
              <w:bottom w:val="single" w:sz="8" w:space="0" w:color="4472C4"/>
              <w:right w:val="nil"/>
            </w:tcBorders>
            <w:vAlign w:val="center"/>
            <w:hideMark/>
          </w:tcPr>
          <w:p w14:paraId="484DFB90" w14:textId="77777777" w:rsidR="001A459B" w:rsidRPr="008A2D3E" w:rsidRDefault="001A459B" w:rsidP="00FE0ED2">
            <w:pPr>
              <w:spacing w:before="120" w:line="216" w:lineRule="auto"/>
              <w:ind w:hanging="13"/>
              <w:contextualSpacing/>
              <w:jc w:val="center"/>
              <w:rPr>
                <w:sz w:val="20"/>
              </w:rPr>
            </w:pPr>
          </w:p>
        </w:tc>
        <w:tc>
          <w:tcPr>
            <w:tcW w:w="1120" w:type="pct"/>
            <w:vMerge/>
            <w:tcBorders>
              <w:top w:val="single" w:sz="8" w:space="0" w:color="4472C4"/>
              <w:left w:val="nil"/>
              <w:bottom w:val="single" w:sz="8" w:space="0" w:color="4472C4"/>
              <w:right w:val="single" w:sz="8" w:space="0" w:color="4472C4"/>
            </w:tcBorders>
            <w:vAlign w:val="center"/>
            <w:hideMark/>
          </w:tcPr>
          <w:p w14:paraId="72B8A05F" w14:textId="77777777" w:rsidR="001A459B" w:rsidRPr="008A2D3E" w:rsidRDefault="001A459B" w:rsidP="003A1EAD">
            <w:pPr>
              <w:spacing w:before="120" w:line="216" w:lineRule="auto"/>
              <w:contextualSpacing/>
              <w:jc w:val="center"/>
              <w:rPr>
                <w:sz w:val="20"/>
              </w:rPr>
            </w:pPr>
          </w:p>
        </w:tc>
      </w:tr>
      <w:tr w:rsidR="00827C85" w:rsidRPr="008A2D3E" w14:paraId="722228F2"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3DBA84DE" w14:textId="77777777" w:rsidR="001A459B" w:rsidRPr="008A2D3E" w:rsidRDefault="001A459B" w:rsidP="003A1EAD">
            <w:pPr>
              <w:spacing w:before="120" w:line="216" w:lineRule="auto"/>
              <w:ind w:firstLine="64"/>
              <w:contextualSpacing/>
              <w:jc w:val="center"/>
              <w:rPr>
                <w:sz w:val="20"/>
              </w:rPr>
            </w:pPr>
            <w:r w:rsidRPr="008A2D3E">
              <w:rPr>
                <w:sz w:val="20"/>
              </w:rPr>
              <w:t>9</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bottom"/>
            <w:hideMark/>
          </w:tcPr>
          <w:p w14:paraId="37881DF4" w14:textId="77777777" w:rsidR="001A459B" w:rsidRPr="008A2D3E" w:rsidRDefault="001A459B" w:rsidP="003A1EAD">
            <w:pPr>
              <w:spacing w:before="120" w:line="216" w:lineRule="auto"/>
              <w:ind w:firstLine="0"/>
              <w:contextualSpacing/>
              <w:jc w:val="center"/>
              <w:rPr>
                <w:sz w:val="20"/>
              </w:rPr>
            </w:pPr>
            <w:proofErr w:type="spellStart"/>
            <w:r w:rsidRPr="008A2D3E">
              <w:rPr>
                <w:sz w:val="20"/>
              </w:rPr>
              <w:t>plr</w:t>
            </w:r>
            <w:proofErr w:type="spellEnd"/>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center"/>
            <w:hideMark/>
          </w:tcPr>
          <w:p w14:paraId="7BF1E34B" w14:textId="77777777" w:rsidR="001A459B" w:rsidRPr="008A2D3E" w:rsidRDefault="001A459B" w:rsidP="003A1EAD">
            <w:pPr>
              <w:spacing w:before="120" w:line="216" w:lineRule="auto"/>
              <w:ind w:firstLine="23"/>
              <w:contextualSpacing/>
              <w:jc w:val="center"/>
              <w:rPr>
                <w:sz w:val="20"/>
              </w:rPr>
            </w:pPr>
            <w:r w:rsidRPr="008A2D3E">
              <w:rPr>
                <w:sz w:val="20"/>
              </w:rPr>
              <w:t>Recy</w:t>
            </w:r>
            <w:r w:rsidR="00BF608A">
              <w:rPr>
                <w:sz w:val="20"/>
              </w:rPr>
              <w:t>c</w:t>
            </w:r>
            <w:r w:rsidRPr="008A2D3E">
              <w:rPr>
                <w:sz w:val="20"/>
              </w:rPr>
              <w:t>ling - plastics</w:t>
            </w:r>
          </w:p>
        </w:tc>
        <w:tc>
          <w:tcPr>
            <w:tcW w:w="616" w:type="pct"/>
            <w:vMerge/>
            <w:tcBorders>
              <w:top w:val="single" w:sz="8" w:space="0" w:color="4472C4"/>
              <w:left w:val="nil"/>
              <w:bottom w:val="single" w:sz="8" w:space="0" w:color="4472C4"/>
              <w:right w:val="nil"/>
            </w:tcBorders>
            <w:vAlign w:val="center"/>
            <w:hideMark/>
          </w:tcPr>
          <w:p w14:paraId="09A9A34B" w14:textId="77777777" w:rsidR="001A459B" w:rsidRPr="008A2D3E" w:rsidRDefault="001A459B" w:rsidP="00FE0ED2">
            <w:pPr>
              <w:spacing w:before="120" w:line="216" w:lineRule="auto"/>
              <w:ind w:hanging="13"/>
              <w:contextualSpacing/>
              <w:jc w:val="center"/>
              <w:rPr>
                <w:sz w:val="20"/>
              </w:rPr>
            </w:pPr>
          </w:p>
        </w:tc>
        <w:tc>
          <w:tcPr>
            <w:tcW w:w="1120" w:type="pct"/>
            <w:vMerge/>
            <w:tcBorders>
              <w:top w:val="single" w:sz="8" w:space="0" w:color="4472C4"/>
              <w:left w:val="nil"/>
              <w:bottom w:val="single" w:sz="8" w:space="0" w:color="4472C4"/>
              <w:right w:val="single" w:sz="8" w:space="0" w:color="4472C4"/>
            </w:tcBorders>
            <w:vAlign w:val="center"/>
            <w:hideMark/>
          </w:tcPr>
          <w:p w14:paraId="4BEA2F37" w14:textId="77777777" w:rsidR="001A459B" w:rsidRPr="008A2D3E" w:rsidRDefault="001A459B" w:rsidP="003A1EAD">
            <w:pPr>
              <w:spacing w:before="120" w:line="216" w:lineRule="auto"/>
              <w:contextualSpacing/>
              <w:jc w:val="center"/>
              <w:rPr>
                <w:sz w:val="20"/>
              </w:rPr>
            </w:pPr>
          </w:p>
        </w:tc>
      </w:tr>
      <w:tr w:rsidR="001A459B" w:rsidRPr="008A2D3E" w14:paraId="2CA7EA43"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2389AF32" w14:textId="77777777" w:rsidR="001A459B" w:rsidRPr="008A2D3E" w:rsidRDefault="001A459B" w:rsidP="003A1EAD">
            <w:pPr>
              <w:spacing w:before="120" w:line="216" w:lineRule="auto"/>
              <w:ind w:firstLine="64"/>
              <w:contextualSpacing/>
              <w:jc w:val="center"/>
              <w:rPr>
                <w:sz w:val="20"/>
              </w:rPr>
            </w:pPr>
            <w:r w:rsidRPr="008A2D3E">
              <w:rPr>
                <w:sz w:val="20"/>
              </w:rPr>
              <w:t>10</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center"/>
            <w:hideMark/>
          </w:tcPr>
          <w:p w14:paraId="7412DE90" w14:textId="77777777" w:rsidR="001A459B" w:rsidRPr="008A2D3E" w:rsidRDefault="001A459B" w:rsidP="003A1EAD">
            <w:pPr>
              <w:spacing w:before="120" w:line="216" w:lineRule="auto"/>
              <w:ind w:firstLine="0"/>
              <w:contextualSpacing/>
              <w:jc w:val="center"/>
              <w:rPr>
                <w:sz w:val="20"/>
              </w:rPr>
            </w:pPr>
            <w:proofErr w:type="spellStart"/>
            <w:r w:rsidRPr="008A2D3E">
              <w:rPr>
                <w:sz w:val="20"/>
              </w:rPr>
              <w:t>isp</w:t>
            </w:r>
            <w:proofErr w:type="spellEnd"/>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center"/>
            <w:hideMark/>
          </w:tcPr>
          <w:p w14:paraId="12F12C82" w14:textId="77777777" w:rsidR="001A459B" w:rsidRPr="008A2D3E" w:rsidRDefault="001A459B" w:rsidP="003A1EAD">
            <w:pPr>
              <w:spacing w:before="120" w:line="216" w:lineRule="auto"/>
              <w:ind w:firstLine="23"/>
              <w:contextualSpacing/>
              <w:jc w:val="center"/>
              <w:rPr>
                <w:sz w:val="20"/>
              </w:rPr>
            </w:pPr>
            <w:r w:rsidRPr="008A2D3E">
              <w:rPr>
                <w:sz w:val="20"/>
              </w:rPr>
              <w:t>Iron and steel – primary</w:t>
            </w:r>
          </w:p>
        </w:tc>
        <w:tc>
          <w:tcPr>
            <w:tcW w:w="616" w:type="pct"/>
            <w:vMerge w:val="restar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center"/>
            <w:hideMark/>
          </w:tcPr>
          <w:p w14:paraId="494523CF" w14:textId="77777777" w:rsidR="001A459B" w:rsidRPr="008A2D3E" w:rsidRDefault="001A459B" w:rsidP="00FE0ED2">
            <w:pPr>
              <w:spacing w:before="120" w:line="216" w:lineRule="auto"/>
              <w:ind w:hanging="13"/>
              <w:contextualSpacing/>
              <w:jc w:val="center"/>
              <w:rPr>
                <w:sz w:val="20"/>
              </w:rPr>
            </w:pPr>
            <w:proofErr w:type="spellStart"/>
            <w:r w:rsidRPr="008A2D3E">
              <w:rPr>
                <w:sz w:val="20"/>
              </w:rPr>
              <w:t>i_s</w:t>
            </w:r>
            <w:proofErr w:type="spellEnd"/>
          </w:p>
        </w:tc>
        <w:tc>
          <w:tcPr>
            <w:tcW w:w="1120" w:type="pct"/>
            <w:vMerge w:val="restart"/>
            <w:tcBorders>
              <w:top w:val="single" w:sz="8" w:space="0" w:color="4472C4"/>
              <w:left w:val="nil"/>
              <w:bottom w:val="single" w:sz="8" w:space="0" w:color="4472C4"/>
              <w:right w:val="single" w:sz="8" w:space="0" w:color="4472C4"/>
            </w:tcBorders>
            <w:shd w:val="clear" w:color="auto" w:fill="E9EBF5"/>
            <w:tcMar>
              <w:top w:w="14" w:type="dxa"/>
              <w:left w:w="14" w:type="dxa"/>
              <w:bottom w:w="0" w:type="dxa"/>
              <w:right w:w="14" w:type="dxa"/>
            </w:tcMar>
            <w:vAlign w:val="center"/>
            <w:hideMark/>
          </w:tcPr>
          <w:p w14:paraId="7C7B98F5" w14:textId="77777777" w:rsidR="001A459B" w:rsidRPr="008A2D3E" w:rsidRDefault="001A459B" w:rsidP="003A1EAD">
            <w:pPr>
              <w:spacing w:before="120" w:line="216" w:lineRule="auto"/>
              <w:ind w:firstLine="32"/>
              <w:contextualSpacing/>
              <w:jc w:val="center"/>
              <w:rPr>
                <w:sz w:val="20"/>
              </w:rPr>
            </w:pPr>
            <w:r w:rsidRPr="008A2D3E">
              <w:rPr>
                <w:sz w:val="20"/>
              </w:rPr>
              <w:t>Ferrous metals</w:t>
            </w:r>
          </w:p>
        </w:tc>
      </w:tr>
      <w:tr w:rsidR="00827C85" w:rsidRPr="008A2D3E" w14:paraId="7870972C"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40D2DE89" w14:textId="77777777" w:rsidR="001A459B" w:rsidRPr="008A2D3E" w:rsidRDefault="001A459B" w:rsidP="003A1EAD">
            <w:pPr>
              <w:spacing w:before="120" w:line="216" w:lineRule="auto"/>
              <w:ind w:firstLine="64"/>
              <w:contextualSpacing/>
              <w:jc w:val="center"/>
              <w:rPr>
                <w:sz w:val="20"/>
              </w:rPr>
            </w:pPr>
            <w:r w:rsidRPr="008A2D3E">
              <w:rPr>
                <w:sz w:val="20"/>
              </w:rPr>
              <w:t>11</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center"/>
            <w:hideMark/>
          </w:tcPr>
          <w:p w14:paraId="74B01192" w14:textId="77777777" w:rsidR="001A459B" w:rsidRPr="008A2D3E" w:rsidRDefault="001A459B" w:rsidP="003A1EAD">
            <w:pPr>
              <w:spacing w:before="120" w:line="216" w:lineRule="auto"/>
              <w:ind w:firstLine="0"/>
              <w:contextualSpacing/>
              <w:jc w:val="center"/>
              <w:rPr>
                <w:sz w:val="20"/>
              </w:rPr>
            </w:pPr>
            <w:proofErr w:type="spellStart"/>
            <w:r w:rsidRPr="008A2D3E">
              <w:rPr>
                <w:sz w:val="20"/>
              </w:rPr>
              <w:t>iss</w:t>
            </w:r>
            <w:proofErr w:type="spellEnd"/>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center"/>
            <w:hideMark/>
          </w:tcPr>
          <w:p w14:paraId="219F0C25" w14:textId="77777777" w:rsidR="001A459B" w:rsidRPr="008A2D3E" w:rsidRDefault="001A459B" w:rsidP="003A1EAD">
            <w:pPr>
              <w:spacing w:before="120" w:line="216" w:lineRule="auto"/>
              <w:ind w:firstLine="23"/>
              <w:contextualSpacing/>
              <w:jc w:val="center"/>
              <w:rPr>
                <w:sz w:val="20"/>
              </w:rPr>
            </w:pPr>
            <w:r w:rsidRPr="008A2D3E">
              <w:rPr>
                <w:sz w:val="20"/>
              </w:rPr>
              <w:t>Iron and steel – secondary</w:t>
            </w:r>
          </w:p>
        </w:tc>
        <w:tc>
          <w:tcPr>
            <w:tcW w:w="616" w:type="pct"/>
            <w:vMerge/>
            <w:tcBorders>
              <w:top w:val="single" w:sz="8" w:space="0" w:color="4472C4"/>
              <w:left w:val="nil"/>
              <w:bottom w:val="single" w:sz="8" w:space="0" w:color="4472C4"/>
              <w:right w:val="nil"/>
            </w:tcBorders>
            <w:vAlign w:val="center"/>
            <w:hideMark/>
          </w:tcPr>
          <w:p w14:paraId="6DA1B5E4" w14:textId="77777777" w:rsidR="001A459B" w:rsidRPr="008A2D3E" w:rsidRDefault="001A459B" w:rsidP="00FE0ED2">
            <w:pPr>
              <w:spacing w:before="120" w:line="216" w:lineRule="auto"/>
              <w:ind w:hanging="13"/>
              <w:contextualSpacing/>
              <w:jc w:val="center"/>
              <w:rPr>
                <w:sz w:val="20"/>
              </w:rPr>
            </w:pPr>
          </w:p>
        </w:tc>
        <w:tc>
          <w:tcPr>
            <w:tcW w:w="1120" w:type="pct"/>
            <w:vMerge/>
            <w:tcBorders>
              <w:top w:val="single" w:sz="8" w:space="0" w:color="4472C4"/>
              <w:left w:val="nil"/>
              <w:bottom w:val="single" w:sz="8" w:space="0" w:color="4472C4"/>
              <w:right w:val="single" w:sz="8" w:space="0" w:color="4472C4"/>
            </w:tcBorders>
            <w:vAlign w:val="center"/>
            <w:hideMark/>
          </w:tcPr>
          <w:p w14:paraId="6FCBCC7C" w14:textId="77777777" w:rsidR="001A459B" w:rsidRPr="008A2D3E" w:rsidRDefault="001A459B" w:rsidP="003A1EAD">
            <w:pPr>
              <w:spacing w:before="120" w:line="216" w:lineRule="auto"/>
              <w:contextualSpacing/>
              <w:jc w:val="center"/>
              <w:rPr>
                <w:sz w:val="20"/>
              </w:rPr>
            </w:pPr>
          </w:p>
        </w:tc>
      </w:tr>
      <w:tr w:rsidR="00827C85" w:rsidRPr="008A2D3E" w14:paraId="13EA3C06"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12646301" w14:textId="77777777" w:rsidR="001A459B" w:rsidRPr="008A2D3E" w:rsidRDefault="001A459B" w:rsidP="003A1EAD">
            <w:pPr>
              <w:spacing w:before="120" w:line="216" w:lineRule="auto"/>
              <w:ind w:firstLine="64"/>
              <w:contextualSpacing/>
              <w:jc w:val="center"/>
              <w:rPr>
                <w:sz w:val="20"/>
              </w:rPr>
            </w:pPr>
            <w:r w:rsidRPr="008A2D3E">
              <w:rPr>
                <w:sz w:val="20"/>
              </w:rPr>
              <w:t>12</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bottom"/>
            <w:hideMark/>
          </w:tcPr>
          <w:p w14:paraId="3036E61F" w14:textId="77777777" w:rsidR="001A459B" w:rsidRPr="008A2D3E" w:rsidRDefault="001A459B" w:rsidP="003A1EAD">
            <w:pPr>
              <w:spacing w:before="120" w:line="216" w:lineRule="auto"/>
              <w:ind w:firstLine="0"/>
              <w:contextualSpacing/>
              <w:jc w:val="center"/>
              <w:rPr>
                <w:sz w:val="20"/>
              </w:rPr>
            </w:pPr>
            <w:proofErr w:type="spellStart"/>
            <w:r w:rsidRPr="008A2D3E">
              <w:rPr>
                <w:sz w:val="20"/>
              </w:rPr>
              <w:t>ris</w:t>
            </w:r>
            <w:proofErr w:type="spellEnd"/>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center"/>
            <w:hideMark/>
          </w:tcPr>
          <w:p w14:paraId="4526F50C" w14:textId="77777777" w:rsidR="001A459B" w:rsidRPr="008A2D3E" w:rsidRDefault="001A459B" w:rsidP="003A1EAD">
            <w:pPr>
              <w:spacing w:before="120" w:line="216" w:lineRule="auto"/>
              <w:ind w:firstLine="23"/>
              <w:contextualSpacing/>
              <w:jc w:val="center"/>
              <w:rPr>
                <w:sz w:val="20"/>
              </w:rPr>
            </w:pPr>
            <w:r w:rsidRPr="008A2D3E">
              <w:rPr>
                <w:sz w:val="20"/>
              </w:rPr>
              <w:t>Recycling - iron and steel</w:t>
            </w:r>
          </w:p>
        </w:tc>
        <w:tc>
          <w:tcPr>
            <w:tcW w:w="616" w:type="pct"/>
            <w:vMerge/>
            <w:tcBorders>
              <w:top w:val="single" w:sz="8" w:space="0" w:color="4472C4"/>
              <w:left w:val="nil"/>
              <w:bottom w:val="single" w:sz="8" w:space="0" w:color="4472C4"/>
              <w:right w:val="nil"/>
            </w:tcBorders>
            <w:vAlign w:val="center"/>
            <w:hideMark/>
          </w:tcPr>
          <w:p w14:paraId="0293B9A3" w14:textId="77777777" w:rsidR="001A459B" w:rsidRPr="008A2D3E" w:rsidRDefault="001A459B" w:rsidP="00FE0ED2">
            <w:pPr>
              <w:spacing w:before="120" w:line="216" w:lineRule="auto"/>
              <w:ind w:hanging="13"/>
              <w:contextualSpacing/>
              <w:jc w:val="center"/>
              <w:rPr>
                <w:sz w:val="20"/>
              </w:rPr>
            </w:pPr>
          </w:p>
        </w:tc>
        <w:tc>
          <w:tcPr>
            <w:tcW w:w="1120" w:type="pct"/>
            <w:vMerge/>
            <w:tcBorders>
              <w:top w:val="single" w:sz="8" w:space="0" w:color="4472C4"/>
              <w:left w:val="nil"/>
              <w:bottom w:val="single" w:sz="8" w:space="0" w:color="4472C4"/>
              <w:right w:val="single" w:sz="8" w:space="0" w:color="4472C4"/>
            </w:tcBorders>
            <w:vAlign w:val="center"/>
            <w:hideMark/>
          </w:tcPr>
          <w:p w14:paraId="78454162" w14:textId="77777777" w:rsidR="001A459B" w:rsidRPr="008A2D3E" w:rsidRDefault="001A459B" w:rsidP="003A1EAD">
            <w:pPr>
              <w:spacing w:before="120" w:line="216" w:lineRule="auto"/>
              <w:contextualSpacing/>
              <w:jc w:val="center"/>
              <w:rPr>
                <w:sz w:val="20"/>
              </w:rPr>
            </w:pPr>
          </w:p>
        </w:tc>
      </w:tr>
      <w:tr w:rsidR="00827C85" w:rsidRPr="008A2D3E" w14:paraId="2B9C020B"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1C0D807B" w14:textId="77777777" w:rsidR="001A459B" w:rsidRPr="008A2D3E" w:rsidRDefault="001A459B" w:rsidP="003A1EAD">
            <w:pPr>
              <w:spacing w:before="120" w:line="216" w:lineRule="auto"/>
              <w:ind w:firstLine="64"/>
              <w:contextualSpacing/>
              <w:jc w:val="center"/>
              <w:rPr>
                <w:sz w:val="20"/>
              </w:rPr>
            </w:pPr>
            <w:r w:rsidRPr="008A2D3E">
              <w:rPr>
                <w:sz w:val="20"/>
              </w:rPr>
              <w:t>13</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center"/>
            <w:hideMark/>
          </w:tcPr>
          <w:p w14:paraId="4D06C167" w14:textId="77777777" w:rsidR="001A459B" w:rsidRPr="008A2D3E" w:rsidRDefault="001A459B" w:rsidP="003A1EAD">
            <w:pPr>
              <w:spacing w:before="120" w:line="216" w:lineRule="auto"/>
              <w:ind w:firstLine="0"/>
              <w:contextualSpacing/>
              <w:jc w:val="center"/>
              <w:rPr>
                <w:sz w:val="20"/>
              </w:rPr>
            </w:pPr>
            <w:proofErr w:type="spellStart"/>
            <w:r w:rsidRPr="008A2D3E">
              <w:rPr>
                <w:sz w:val="20"/>
              </w:rPr>
              <w:t>isc</w:t>
            </w:r>
            <w:proofErr w:type="spellEnd"/>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center"/>
            <w:hideMark/>
          </w:tcPr>
          <w:p w14:paraId="17367AA4" w14:textId="77777777" w:rsidR="001A459B" w:rsidRPr="008A2D3E" w:rsidRDefault="001A459B" w:rsidP="003A1EAD">
            <w:pPr>
              <w:spacing w:before="120" w:line="216" w:lineRule="auto"/>
              <w:ind w:firstLine="23"/>
              <w:contextualSpacing/>
              <w:jc w:val="center"/>
              <w:rPr>
                <w:sz w:val="20"/>
              </w:rPr>
            </w:pPr>
            <w:r w:rsidRPr="008A2D3E">
              <w:rPr>
                <w:sz w:val="20"/>
              </w:rPr>
              <w:t>Iron and steel casting</w:t>
            </w:r>
          </w:p>
        </w:tc>
        <w:tc>
          <w:tcPr>
            <w:tcW w:w="616" w:type="pct"/>
            <w:vMerge/>
            <w:tcBorders>
              <w:top w:val="single" w:sz="8" w:space="0" w:color="4472C4"/>
              <w:left w:val="nil"/>
              <w:bottom w:val="single" w:sz="8" w:space="0" w:color="4472C4"/>
              <w:right w:val="nil"/>
            </w:tcBorders>
            <w:vAlign w:val="center"/>
            <w:hideMark/>
          </w:tcPr>
          <w:p w14:paraId="200BA079" w14:textId="77777777" w:rsidR="001A459B" w:rsidRPr="008A2D3E" w:rsidRDefault="001A459B" w:rsidP="00FE0ED2">
            <w:pPr>
              <w:spacing w:before="120" w:line="216" w:lineRule="auto"/>
              <w:ind w:hanging="13"/>
              <w:contextualSpacing/>
              <w:jc w:val="center"/>
              <w:rPr>
                <w:sz w:val="20"/>
              </w:rPr>
            </w:pPr>
          </w:p>
        </w:tc>
        <w:tc>
          <w:tcPr>
            <w:tcW w:w="1120" w:type="pct"/>
            <w:vMerge/>
            <w:tcBorders>
              <w:top w:val="single" w:sz="8" w:space="0" w:color="4472C4"/>
              <w:left w:val="nil"/>
              <w:bottom w:val="single" w:sz="8" w:space="0" w:color="4472C4"/>
              <w:right w:val="single" w:sz="8" w:space="0" w:color="4472C4"/>
            </w:tcBorders>
            <w:vAlign w:val="center"/>
            <w:hideMark/>
          </w:tcPr>
          <w:p w14:paraId="791812F4" w14:textId="77777777" w:rsidR="001A459B" w:rsidRPr="008A2D3E" w:rsidRDefault="001A459B" w:rsidP="003A1EAD">
            <w:pPr>
              <w:spacing w:before="120" w:line="216" w:lineRule="auto"/>
              <w:contextualSpacing/>
              <w:jc w:val="center"/>
              <w:rPr>
                <w:sz w:val="20"/>
              </w:rPr>
            </w:pPr>
          </w:p>
        </w:tc>
      </w:tr>
      <w:tr w:rsidR="001A459B" w:rsidRPr="008A2D3E" w14:paraId="208B1E1B"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1B072CF3" w14:textId="77777777" w:rsidR="001A459B" w:rsidRPr="008A2D3E" w:rsidRDefault="001A459B" w:rsidP="003A1EAD">
            <w:pPr>
              <w:spacing w:before="120" w:line="216" w:lineRule="auto"/>
              <w:ind w:firstLine="64"/>
              <w:contextualSpacing/>
              <w:jc w:val="center"/>
              <w:rPr>
                <w:sz w:val="20"/>
              </w:rPr>
            </w:pPr>
            <w:r w:rsidRPr="008A2D3E">
              <w:rPr>
                <w:sz w:val="20"/>
              </w:rPr>
              <w:t>14</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center"/>
            <w:hideMark/>
          </w:tcPr>
          <w:p w14:paraId="7D542EA8" w14:textId="77777777" w:rsidR="001A459B" w:rsidRPr="008A2D3E" w:rsidRDefault="001A459B" w:rsidP="003A1EAD">
            <w:pPr>
              <w:spacing w:before="120" w:line="216" w:lineRule="auto"/>
              <w:ind w:firstLine="0"/>
              <w:contextualSpacing/>
              <w:jc w:val="center"/>
              <w:rPr>
                <w:sz w:val="20"/>
              </w:rPr>
            </w:pPr>
            <w:r w:rsidRPr="008A2D3E">
              <w:rPr>
                <w:sz w:val="20"/>
              </w:rPr>
              <w:t>app</w:t>
            </w:r>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center"/>
            <w:hideMark/>
          </w:tcPr>
          <w:p w14:paraId="218ECEB5" w14:textId="77777777" w:rsidR="001A459B" w:rsidRPr="008A2D3E" w:rsidRDefault="001A459B" w:rsidP="003A1EAD">
            <w:pPr>
              <w:spacing w:before="120" w:line="216" w:lineRule="auto"/>
              <w:ind w:firstLine="23"/>
              <w:contextualSpacing/>
              <w:jc w:val="center"/>
              <w:rPr>
                <w:sz w:val="20"/>
              </w:rPr>
            </w:pPr>
            <w:r w:rsidRPr="008A2D3E">
              <w:rPr>
                <w:sz w:val="20"/>
              </w:rPr>
              <w:t>Aluminum – primary</w:t>
            </w:r>
          </w:p>
        </w:tc>
        <w:tc>
          <w:tcPr>
            <w:tcW w:w="616" w:type="pct"/>
            <w:vMerge w:val="restar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center"/>
            <w:hideMark/>
          </w:tcPr>
          <w:p w14:paraId="7E9CA9FA" w14:textId="77777777" w:rsidR="001A459B" w:rsidRPr="008A2D3E" w:rsidRDefault="001A459B" w:rsidP="00FE0ED2">
            <w:pPr>
              <w:spacing w:before="120" w:line="216" w:lineRule="auto"/>
              <w:ind w:hanging="13"/>
              <w:contextualSpacing/>
              <w:jc w:val="center"/>
              <w:rPr>
                <w:sz w:val="20"/>
              </w:rPr>
            </w:pPr>
            <w:proofErr w:type="spellStart"/>
            <w:r w:rsidRPr="008A2D3E">
              <w:rPr>
                <w:sz w:val="20"/>
              </w:rPr>
              <w:t>nfm</w:t>
            </w:r>
            <w:proofErr w:type="spellEnd"/>
          </w:p>
        </w:tc>
        <w:tc>
          <w:tcPr>
            <w:tcW w:w="1120" w:type="pct"/>
            <w:vMerge w:val="restart"/>
            <w:tcBorders>
              <w:top w:val="single" w:sz="8" w:space="0" w:color="4472C4"/>
              <w:left w:val="nil"/>
              <w:bottom w:val="single" w:sz="8" w:space="0" w:color="4472C4"/>
              <w:right w:val="single" w:sz="8" w:space="0" w:color="4472C4"/>
            </w:tcBorders>
            <w:shd w:val="clear" w:color="auto" w:fill="E9EBF5"/>
            <w:tcMar>
              <w:top w:w="14" w:type="dxa"/>
              <w:left w:w="14" w:type="dxa"/>
              <w:bottom w:w="0" w:type="dxa"/>
              <w:right w:w="14" w:type="dxa"/>
            </w:tcMar>
            <w:vAlign w:val="center"/>
            <w:hideMark/>
          </w:tcPr>
          <w:p w14:paraId="5B31CCD0" w14:textId="77777777" w:rsidR="001A459B" w:rsidRPr="008A2D3E" w:rsidRDefault="001A459B" w:rsidP="003A1EAD">
            <w:pPr>
              <w:spacing w:before="120" w:line="216" w:lineRule="auto"/>
              <w:ind w:firstLine="32"/>
              <w:contextualSpacing/>
              <w:jc w:val="center"/>
              <w:rPr>
                <w:sz w:val="20"/>
              </w:rPr>
            </w:pPr>
            <w:r w:rsidRPr="008A2D3E">
              <w:rPr>
                <w:sz w:val="20"/>
              </w:rPr>
              <w:t>Non-ferrous metals</w:t>
            </w:r>
          </w:p>
        </w:tc>
      </w:tr>
      <w:tr w:rsidR="00827C85" w:rsidRPr="008A2D3E" w14:paraId="2B81D461"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140EC3C8" w14:textId="77777777" w:rsidR="001A459B" w:rsidRPr="008A2D3E" w:rsidRDefault="001A459B" w:rsidP="003A1EAD">
            <w:pPr>
              <w:spacing w:before="120" w:line="216" w:lineRule="auto"/>
              <w:ind w:firstLine="64"/>
              <w:contextualSpacing/>
              <w:jc w:val="center"/>
              <w:rPr>
                <w:sz w:val="20"/>
              </w:rPr>
            </w:pPr>
            <w:r w:rsidRPr="008A2D3E">
              <w:rPr>
                <w:sz w:val="20"/>
              </w:rPr>
              <w:t>15</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center"/>
            <w:hideMark/>
          </w:tcPr>
          <w:p w14:paraId="15799E8F" w14:textId="77777777" w:rsidR="001A459B" w:rsidRPr="008A2D3E" w:rsidRDefault="001A459B" w:rsidP="003A1EAD">
            <w:pPr>
              <w:spacing w:before="120" w:line="216" w:lineRule="auto"/>
              <w:ind w:firstLine="0"/>
              <w:contextualSpacing/>
              <w:jc w:val="center"/>
              <w:rPr>
                <w:sz w:val="20"/>
              </w:rPr>
            </w:pPr>
            <w:r w:rsidRPr="008A2D3E">
              <w:rPr>
                <w:sz w:val="20"/>
              </w:rPr>
              <w:t>aps</w:t>
            </w:r>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center"/>
            <w:hideMark/>
          </w:tcPr>
          <w:p w14:paraId="75C491B0" w14:textId="77777777" w:rsidR="001A459B" w:rsidRPr="008A2D3E" w:rsidRDefault="001A459B" w:rsidP="003A1EAD">
            <w:pPr>
              <w:spacing w:before="120" w:line="216" w:lineRule="auto"/>
              <w:ind w:firstLine="23"/>
              <w:contextualSpacing/>
              <w:jc w:val="center"/>
              <w:rPr>
                <w:sz w:val="20"/>
              </w:rPr>
            </w:pPr>
            <w:r w:rsidRPr="008A2D3E">
              <w:rPr>
                <w:sz w:val="20"/>
              </w:rPr>
              <w:t>Aluminum – secondary</w:t>
            </w:r>
          </w:p>
        </w:tc>
        <w:tc>
          <w:tcPr>
            <w:tcW w:w="616" w:type="pct"/>
            <w:vMerge/>
            <w:tcBorders>
              <w:top w:val="single" w:sz="8" w:space="0" w:color="4472C4"/>
              <w:left w:val="nil"/>
              <w:bottom w:val="single" w:sz="8" w:space="0" w:color="4472C4"/>
              <w:right w:val="nil"/>
            </w:tcBorders>
            <w:vAlign w:val="center"/>
            <w:hideMark/>
          </w:tcPr>
          <w:p w14:paraId="1116008E" w14:textId="77777777" w:rsidR="001A459B" w:rsidRPr="008A2D3E" w:rsidRDefault="001A459B" w:rsidP="00FE0ED2">
            <w:pPr>
              <w:spacing w:before="120" w:line="216" w:lineRule="auto"/>
              <w:ind w:firstLine="540"/>
              <w:contextualSpacing/>
              <w:rPr>
                <w:sz w:val="20"/>
              </w:rPr>
            </w:pPr>
          </w:p>
        </w:tc>
        <w:tc>
          <w:tcPr>
            <w:tcW w:w="1120" w:type="pct"/>
            <w:vMerge/>
            <w:tcBorders>
              <w:top w:val="single" w:sz="8" w:space="0" w:color="4472C4"/>
              <w:left w:val="nil"/>
              <w:bottom w:val="single" w:sz="8" w:space="0" w:color="4472C4"/>
              <w:right w:val="single" w:sz="8" w:space="0" w:color="4472C4"/>
            </w:tcBorders>
            <w:vAlign w:val="center"/>
            <w:hideMark/>
          </w:tcPr>
          <w:p w14:paraId="1420058E" w14:textId="77777777" w:rsidR="001A459B" w:rsidRPr="008A2D3E" w:rsidRDefault="001A459B" w:rsidP="00FE0ED2">
            <w:pPr>
              <w:spacing w:before="120" w:line="216" w:lineRule="auto"/>
              <w:ind w:firstLine="540"/>
              <w:contextualSpacing/>
              <w:rPr>
                <w:sz w:val="20"/>
              </w:rPr>
            </w:pPr>
          </w:p>
        </w:tc>
      </w:tr>
      <w:tr w:rsidR="00827C85" w:rsidRPr="008A2D3E" w14:paraId="03A206B3"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2EBD6521" w14:textId="77777777" w:rsidR="001A459B" w:rsidRPr="008A2D3E" w:rsidRDefault="001A459B" w:rsidP="003A1EAD">
            <w:pPr>
              <w:spacing w:before="120" w:line="216" w:lineRule="auto"/>
              <w:ind w:firstLine="64"/>
              <w:contextualSpacing/>
              <w:jc w:val="center"/>
              <w:rPr>
                <w:sz w:val="20"/>
              </w:rPr>
            </w:pPr>
            <w:r w:rsidRPr="008A2D3E">
              <w:rPr>
                <w:sz w:val="20"/>
              </w:rPr>
              <w:t>16</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bottom"/>
            <w:hideMark/>
          </w:tcPr>
          <w:p w14:paraId="32DD7F4D" w14:textId="77777777" w:rsidR="001A459B" w:rsidRPr="008A2D3E" w:rsidRDefault="001A459B" w:rsidP="003A1EAD">
            <w:pPr>
              <w:spacing w:before="120" w:line="216" w:lineRule="auto"/>
              <w:ind w:firstLine="0"/>
              <w:contextualSpacing/>
              <w:jc w:val="center"/>
              <w:rPr>
                <w:sz w:val="20"/>
              </w:rPr>
            </w:pPr>
            <w:proofErr w:type="spellStart"/>
            <w:r w:rsidRPr="008A2D3E">
              <w:rPr>
                <w:sz w:val="20"/>
              </w:rPr>
              <w:t>ral</w:t>
            </w:r>
            <w:proofErr w:type="spellEnd"/>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bottom"/>
            <w:hideMark/>
          </w:tcPr>
          <w:p w14:paraId="76697E6B" w14:textId="77777777" w:rsidR="001A459B" w:rsidRPr="008A2D3E" w:rsidRDefault="001A459B" w:rsidP="003A1EAD">
            <w:pPr>
              <w:spacing w:before="120" w:line="216" w:lineRule="auto"/>
              <w:ind w:firstLine="23"/>
              <w:contextualSpacing/>
              <w:jc w:val="center"/>
              <w:rPr>
                <w:sz w:val="20"/>
              </w:rPr>
            </w:pPr>
            <w:r w:rsidRPr="008A2D3E">
              <w:rPr>
                <w:sz w:val="20"/>
              </w:rPr>
              <w:t>Recycling - aluminum</w:t>
            </w:r>
          </w:p>
        </w:tc>
        <w:tc>
          <w:tcPr>
            <w:tcW w:w="616" w:type="pct"/>
            <w:vMerge/>
            <w:tcBorders>
              <w:top w:val="single" w:sz="8" w:space="0" w:color="4472C4"/>
              <w:left w:val="nil"/>
              <w:bottom w:val="single" w:sz="8" w:space="0" w:color="4472C4"/>
              <w:right w:val="nil"/>
            </w:tcBorders>
            <w:vAlign w:val="center"/>
            <w:hideMark/>
          </w:tcPr>
          <w:p w14:paraId="4823B9B8" w14:textId="77777777" w:rsidR="001A459B" w:rsidRPr="008A2D3E" w:rsidRDefault="001A459B" w:rsidP="00FE0ED2">
            <w:pPr>
              <w:spacing w:before="120" w:line="216" w:lineRule="auto"/>
              <w:ind w:firstLine="540"/>
              <w:contextualSpacing/>
              <w:rPr>
                <w:sz w:val="20"/>
              </w:rPr>
            </w:pPr>
          </w:p>
        </w:tc>
        <w:tc>
          <w:tcPr>
            <w:tcW w:w="1120" w:type="pct"/>
            <w:vMerge/>
            <w:tcBorders>
              <w:top w:val="single" w:sz="8" w:space="0" w:color="4472C4"/>
              <w:left w:val="nil"/>
              <w:bottom w:val="single" w:sz="8" w:space="0" w:color="4472C4"/>
              <w:right w:val="single" w:sz="8" w:space="0" w:color="4472C4"/>
            </w:tcBorders>
            <w:vAlign w:val="center"/>
            <w:hideMark/>
          </w:tcPr>
          <w:p w14:paraId="1D98A296" w14:textId="77777777" w:rsidR="001A459B" w:rsidRPr="008A2D3E" w:rsidRDefault="001A459B" w:rsidP="00FE0ED2">
            <w:pPr>
              <w:spacing w:before="120" w:line="216" w:lineRule="auto"/>
              <w:ind w:firstLine="540"/>
              <w:contextualSpacing/>
              <w:rPr>
                <w:sz w:val="20"/>
              </w:rPr>
            </w:pPr>
          </w:p>
        </w:tc>
      </w:tr>
      <w:tr w:rsidR="00827C85" w:rsidRPr="008A2D3E" w14:paraId="449C4C94"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79E7A8F6" w14:textId="77777777" w:rsidR="001A459B" w:rsidRPr="008A2D3E" w:rsidRDefault="001A459B" w:rsidP="003A1EAD">
            <w:pPr>
              <w:spacing w:before="120" w:line="216" w:lineRule="auto"/>
              <w:ind w:firstLine="64"/>
              <w:contextualSpacing/>
              <w:jc w:val="center"/>
              <w:rPr>
                <w:sz w:val="20"/>
              </w:rPr>
            </w:pPr>
            <w:r w:rsidRPr="008A2D3E">
              <w:rPr>
                <w:sz w:val="20"/>
              </w:rPr>
              <w:t>17</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center"/>
            <w:hideMark/>
          </w:tcPr>
          <w:p w14:paraId="4749DE74" w14:textId="77777777" w:rsidR="001A459B" w:rsidRPr="008A2D3E" w:rsidRDefault="001A459B" w:rsidP="003A1EAD">
            <w:pPr>
              <w:spacing w:before="120" w:line="216" w:lineRule="auto"/>
              <w:ind w:firstLine="0"/>
              <w:contextualSpacing/>
              <w:jc w:val="center"/>
              <w:rPr>
                <w:sz w:val="20"/>
              </w:rPr>
            </w:pPr>
            <w:proofErr w:type="spellStart"/>
            <w:r w:rsidRPr="008A2D3E">
              <w:rPr>
                <w:sz w:val="20"/>
              </w:rPr>
              <w:t>cpp</w:t>
            </w:r>
            <w:proofErr w:type="spellEnd"/>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center"/>
            <w:hideMark/>
          </w:tcPr>
          <w:p w14:paraId="77E7CFFE" w14:textId="77777777" w:rsidR="001A459B" w:rsidRPr="008A2D3E" w:rsidRDefault="001A459B" w:rsidP="003A1EAD">
            <w:pPr>
              <w:spacing w:before="120" w:line="216" w:lineRule="auto"/>
              <w:ind w:firstLine="23"/>
              <w:contextualSpacing/>
              <w:jc w:val="center"/>
              <w:rPr>
                <w:sz w:val="20"/>
              </w:rPr>
            </w:pPr>
            <w:r w:rsidRPr="008A2D3E">
              <w:rPr>
                <w:sz w:val="20"/>
              </w:rPr>
              <w:t>Copper – primary</w:t>
            </w:r>
          </w:p>
        </w:tc>
        <w:tc>
          <w:tcPr>
            <w:tcW w:w="616" w:type="pct"/>
            <w:vMerge/>
            <w:tcBorders>
              <w:top w:val="single" w:sz="8" w:space="0" w:color="4472C4"/>
              <w:left w:val="nil"/>
              <w:bottom w:val="single" w:sz="8" w:space="0" w:color="4472C4"/>
              <w:right w:val="nil"/>
            </w:tcBorders>
            <w:vAlign w:val="center"/>
            <w:hideMark/>
          </w:tcPr>
          <w:p w14:paraId="13234AE6" w14:textId="77777777" w:rsidR="001A459B" w:rsidRPr="008A2D3E" w:rsidRDefault="001A459B" w:rsidP="00FE0ED2">
            <w:pPr>
              <w:spacing w:before="120" w:line="216" w:lineRule="auto"/>
              <w:ind w:firstLine="540"/>
              <w:contextualSpacing/>
              <w:rPr>
                <w:sz w:val="20"/>
              </w:rPr>
            </w:pPr>
          </w:p>
        </w:tc>
        <w:tc>
          <w:tcPr>
            <w:tcW w:w="1120" w:type="pct"/>
            <w:vMerge/>
            <w:tcBorders>
              <w:top w:val="single" w:sz="8" w:space="0" w:color="4472C4"/>
              <w:left w:val="nil"/>
              <w:bottom w:val="single" w:sz="8" w:space="0" w:color="4472C4"/>
              <w:right w:val="single" w:sz="8" w:space="0" w:color="4472C4"/>
            </w:tcBorders>
            <w:vAlign w:val="center"/>
            <w:hideMark/>
          </w:tcPr>
          <w:p w14:paraId="4BFD0457" w14:textId="77777777" w:rsidR="001A459B" w:rsidRPr="008A2D3E" w:rsidRDefault="001A459B" w:rsidP="00FE0ED2">
            <w:pPr>
              <w:spacing w:before="120" w:line="216" w:lineRule="auto"/>
              <w:ind w:firstLine="540"/>
              <w:contextualSpacing/>
              <w:rPr>
                <w:sz w:val="20"/>
              </w:rPr>
            </w:pPr>
          </w:p>
        </w:tc>
      </w:tr>
      <w:tr w:rsidR="00827C85" w:rsidRPr="008A2D3E" w14:paraId="759D5BFB"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3B32B4D7" w14:textId="77777777" w:rsidR="001A459B" w:rsidRPr="008A2D3E" w:rsidRDefault="001A459B" w:rsidP="003A1EAD">
            <w:pPr>
              <w:spacing w:before="120" w:line="216" w:lineRule="auto"/>
              <w:ind w:firstLine="64"/>
              <w:contextualSpacing/>
              <w:jc w:val="center"/>
              <w:rPr>
                <w:sz w:val="20"/>
              </w:rPr>
            </w:pPr>
            <w:r w:rsidRPr="008A2D3E">
              <w:rPr>
                <w:sz w:val="20"/>
              </w:rPr>
              <w:t>18</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center"/>
            <w:hideMark/>
          </w:tcPr>
          <w:p w14:paraId="2350653D" w14:textId="77777777" w:rsidR="001A459B" w:rsidRPr="008A2D3E" w:rsidRDefault="001A459B" w:rsidP="003A1EAD">
            <w:pPr>
              <w:spacing w:before="120" w:line="216" w:lineRule="auto"/>
              <w:ind w:firstLine="0"/>
              <w:contextualSpacing/>
              <w:jc w:val="center"/>
              <w:rPr>
                <w:sz w:val="20"/>
              </w:rPr>
            </w:pPr>
            <w:r w:rsidRPr="008A2D3E">
              <w:rPr>
                <w:sz w:val="20"/>
              </w:rPr>
              <w:t>cps</w:t>
            </w:r>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center"/>
            <w:hideMark/>
          </w:tcPr>
          <w:p w14:paraId="5E48936D" w14:textId="77777777" w:rsidR="001A459B" w:rsidRPr="008A2D3E" w:rsidRDefault="001A459B" w:rsidP="003A1EAD">
            <w:pPr>
              <w:spacing w:before="120" w:line="216" w:lineRule="auto"/>
              <w:ind w:firstLine="23"/>
              <w:contextualSpacing/>
              <w:jc w:val="center"/>
              <w:rPr>
                <w:sz w:val="20"/>
              </w:rPr>
            </w:pPr>
            <w:r w:rsidRPr="008A2D3E">
              <w:rPr>
                <w:sz w:val="20"/>
              </w:rPr>
              <w:t>Copper – secondary</w:t>
            </w:r>
          </w:p>
        </w:tc>
        <w:tc>
          <w:tcPr>
            <w:tcW w:w="616" w:type="pct"/>
            <w:vMerge/>
            <w:tcBorders>
              <w:top w:val="single" w:sz="8" w:space="0" w:color="4472C4"/>
              <w:left w:val="nil"/>
              <w:bottom w:val="single" w:sz="8" w:space="0" w:color="4472C4"/>
              <w:right w:val="nil"/>
            </w:tcBorders>
            <w:vAlign w:val="center"/>
            <w:hideMark/>
          </w:tcPr>
          <w:p w14:paraId="214C9444" w14:textId="77777777" w:rsidR="001A459B" w:rsidRPr="008A2D3E" w:rsidRDefault="001A459B" w:rsidP="00FE0ED2">
            <w:pPr>
              <w:spacing w:before="120" w:line="216" w:lineRule="auto"/>
              <w:ind w:firstLine="540"/>
              <w:contextualSpacing/>
              <w:rPr>
                <w:sz w:val="20"/>
              </w:rPr>
            </w:pPr>
          </w:p>
        </w:tc>
        <w:tc>
          <w:tcPr>
            <w:tcW w:w="1120" w:type="pct"/>
            <w:vMerge/>
            <w:tcBorders>
              <w:top w:val="single" w:sz="8" w:space="0" w:color="4472C4"/>
              <w:left w:val="nil"/>
              <w:bottom w:val="single" w:sz="8" w:space="0" w:color="4472C4"/>
              <w:right w:val="single" w:sz="8" w:space="0" w:color="4472C4"/>
            </w:tcBorders>
            <w:vAlign w:val="center"/>
            <w:hideMark/>
          </w:tcPr>
          <w:p w14:paraId="11E0BC1D" w14:textId="77777777" w:rsidR="001A459B" w:rsidRPr="008A2D3E" w:rsidRDefault="001A459B" w:rsidP="00FE0ED2">
            <w:pPr>
              <w:spacing w:before="120" w:line="216" w:lineRule="auto"/>
              <w:ind w:firstLine="540"/>
              <w:contextualSpacing/>
              <w:rPr>
                <w:sz w:val="20"/>
              </w:rPr>
            </w:pPr>
          </w:p>
        </w:tc>
      </w:tr>
      <w:tr w:rsidR="00827C85" w:rsidRPr="008A2D3E" w14:paraId="1F318FF7"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30DE95E9" w14:textId="77777777" w:rsidR="001A459B" w:rsidRPr="008A2D3E" w:rsidRDefault="001A459B" w:rsidP="003A1EAD">
            <w:pPr>
              <w:spacing w:before="120" w:line="216" w:lineRule="auto"/>
              <w:ind w:firstLine="64"/>
              <w:contextualSpacing/>
              <w:jc w:val="center"/>
              <w:rPr>
                <w:sz w:val="20"/>
              </w:rPr>
            </w:pPr>
            <w:r w:rsidRPr="008A2D3E">
              <w:rPr>
                <w:sz w:val="20"/>
              </w:rPr>
              <w:t>19</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bottom"/>
            <w:hideMark/>
          </w:tcPr>
          <w:p w14:paraId="6629CA82" w14:textId="77777777" w:rsidR="001A459B" w:rsidRPr="008A2D3E" w:rsidRDefault="001A459B" w:rsidP="003A1EAD">
            <w:pPr>
              <w:spacing w:before="120" w:line="216" w:lineRule="auto"/>
              <w:ind w:firstLine="0"/>
              <w:contextualSpacing/>
              <w:jc w:val="center"/>
              <w:rPr>
                <w:sz w:val="20"/>
              </w:rPr>
            </w:pPr>
            <w:proofErr w:type="spellStart"/>
            <w:r w:rsidRPr="008A2D3E">
              <w:rPr>
                <w:sz w:val="20"/>
              </w:rPr>
              <w:t>rcp</w:t>
            </w:r>
            <w:proofErr w:type="spellEnd"/>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bottom"/>
            <w:hideMark/>
          </w:tcPr>
          <w:p w14:paraId="6C4AC646" w14:textId="77777777" w:rsidR="001A459B" w:rsidRPr="008A2D3E" w:rsidRDefault="001A459B" w:rsidP="003A1EAD">
            <w:pPr>
              <w:spacing w:before="120" w:line="216" w:lineRule="auto"/>
              <w:ind w:firstLine="23"/>
              <w:contextualSpacing/>
              <w:jc w:val="center"/>
              <w:rPr>
                <w:sz w:val="20"/>
              </w:rPr>
            </w:pPr>
            <w:r w:rsidRPr="008A2D3E">
              <w:rPr>
                <w:sz w:val="20"/>
              </w:rPr>
              <w:t>Recycling - copper</w:t>
            </w:r>
          </w:p>
        </w:tc>
        <w:tc>
          <w:tcPr>
            <w:tcW w:w="616" w:type="pct"/>
            <w:vMerge/>
            <w:tcBorders>
              <w:top w:val="single" w:sz="8" w:space="0" w:color="4472C4"/>
              <w:left w:val="nil"/>
              <w:bottom w:val="single" w:sz="8" w:space="0" w:color="4472C4"/>
              <w:right w:val="nil"/>
            </w:tcBorders>
            <w:vAlign w:val="center"/>
            <w:hideMark/>
          </w:tcPr>
          <w:p w14:paraId="0BA55E99" w14:textId="77777777" w:rsidR="001A459B" w:rsidRPr="008A2D3E" w:rsidRDefault="001A459B" w:rsidP="00FE0ED2">
            <w:pPr>
              <w:spacing w:before="120" w:line="216" w:lineRule="auto"/>
              <w:ind w:firstLine="540"/>
              <w:contextualSpacing/>
              <w:rPr>
                <w:sz w:val="20"/>
              </w:rPr>
            </w:pPr>
          </w:p>
        </w:tc>
        <w:tc>
          <w:tcPr>
            <w:tcW w:w="1120" w:type="pct"/>
            <w:vMerge/>
            <w:tcBorders>
              <w:top w:val="single" w:sz="8" w:space="0" w:color="4472C4"/>
              <w:left w:val="nil"/>
              <w:bottom w:val="single" w:sz="8" w:space="0" w:color="4472C4"/>
              <w:right w:val="single" w:sz="8" w:space="0" w:color="4472C4"/>
            </w:tcBorders>
            <w:vAlign w:val="center"/>
            <w:hideMark/>
          </w:tcPr>
          <w:p w14:paraId="622ACE19" w14:textId="77777777" w:rsidR="001A459B" w:rsidRPr="008A2D3E" w:rsidRDefault="001A459B" w:rsidP="00FE0ED2">
            <w:pPr>
              <w:spacing w:before="120" w:line="216" w:lineRule="auto"/>
              <w:ind w:firstLine="540"/>
              <w:contextualSpacing/>
              <w:rPr>
                <w:sz w:val="20"/>
              </w:rPr>
            </w:pPr>
          </w:p>
        </w:tc>
      </w:tr>
      <w:tr w:rsidR="00827C85" w:rsidRPr="008A2D3E" w14:paraId="1921A169"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4B6CCC60" w14:textId="77777777" w:rsidR="001A459B" w:rsidRPr="008A2D3E" w:rsidRDefault="001A459B" w:rsidP="003A1EAD">
            <w:pPr>
              <w:spacing w:before="120" w:line="216" w:lineRule="auto"/>
              <w:ind w:firstLine="64"/>
              <w:contextualSpacing/>
              <w:jc w:val="center"/>
              <w:rPr>
                <w:sz w:val="20"/>
              </w:rPr>
            </w:pPr>
            <w:r w:rsidRPr="008A2D3E">
              <w:rPr>
                <w:sz w:val="20"/>
              </w:rPr>
              <w:t>20</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center"/>
            <w:hideMark/>
          </w:tcPr>
          <w:p w14:paraId="27E949F4" w14:textId="77777777" w:rsidR="001A459B" w:rsidRPr="008A2D3E" w:rsidRDefault="001A459B" w:rsidP="003A1EAD">
            <w:pPr>
              <w:spacing w:before="120" w:line="216" w:lineRule="auto"/>
              <w:ind w:firstLine="0"/>
              <w:contextualSpacing/>
              <w:jc w:val="center"/>
              <w:rPr>
                <w:sz w:val="20"/>
              </w:rPr>
            </w:pPr>
            <w:proofErr w:type="spellStart"/>
            <w:r w:rsidRPr="008A2D3E">
              <w:rPr>
                <w:sz w:val="20"/>
              </w:rPr>
              <w:t>mpp</w:t>
            </w:r>
            <w:proofErr w:type="spellEnd"/>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center"/>
            <w:hideMark/>
          </w:tcPr>
          <w:p w14:paraId="3BC6EFA1" w14:textId="77777777" w:rsidR="001A459B" w:rsidRPr="008A2D3E" w:rsidRDefault="001A459B" w:rsidP="003A1EAD">
            <w:pPr>
              <w:spacing w:before="120" w:line="216" w:lineRule="auto"/>
              <w:ind w:firstLine="23"/>
              <w:contextualSpacing/>
              <w:jc w:val="center"/>
              <w:rPr>
                <w:sz w:val="20"/>
              </w:rPr>
            </w:pPr>
            <w:r w:rsidRPr="008A2D3E">
              <w:rPr>
                <w:sz w:val="20"/>
              </w:rPr>
              <w:t>Other metals – primary</w:t>
            </w:r>
          </w:p>
        </w:tc>
        <w:tc>
          <w:tcPr>
            <w:tcW w:w="616" w:type="pct"/>
            <w:vMerge/>
            <w:tcBorders>
              <w:top w:val="single" w:sz="8" w:space="0" w:color="4472C4"/>
              <w:left w:val="nil"/>
              <w:bottom w:val="single" w:sz="8" w:space="0" w:color="4472C4"/>
              <w:right w:val="nil"/>
            </w:tcBorders>
            <w:vAlign w:val="center"/>
            <w:hideMark/>
          </w:tcPr>
          <w:p w14:paraId="59E3D318" w14:textId="77777777" w:rsidR="001A459B" w:rsidRPr="008A2D3E" w:rsidRDefault="001A459B" w:rsidP="00FE0ED2">
            <w:pPr>
              <w:spacing w:before="120" w:line="216" w:lineRule="auto"/>
              <w:ind w:firstLine="540"/>
              <w:contextualSpacing/>
              <w:rPr>
                <w:sz w:val="20"/>
              </w:rPr>
            </w:pPr>
          </w:p>
        </w:tc>
        <w:tc>
          <w:tcPr>
            <w:tcW w:w="1120" w:type="pct"/>
            <w:vMerge/>
            <w:tcBorders>
              <w:top w:val="single" w:sz="8" w:space="0" w:color="4472C4"/>
              <w:left w:val="nil"/>
              <w:bottom w:val="single" w:sz="8" w:space="0" w:color="4472C4"/>
              <w:right w:val="single" w:sz="8" w:space="0" w:color="4472C4"/>
            </w:tcBorders>
            <w:vAlign w:val="center"/>
            <w:hideMark/>
          </w:tcPr>
          <w:p w14:paraId="1426373B" w14:textId="77777777" w:rsidR="001A459B" w:rsidRPr="008A2D3E" w:rsidRDefault="001A459B" w:rsidP="00FE0ED2">
            <w:pPr>
              <w:spacing w:before="120" w:line="216" w:lineRule="auto"/>
              <w:ind w:firstLine="540"/>
              <w:contextualSpacing/>
              <w:rPr>
                <w:sz w:val="20"/>
              </w:rPr>
            </w:pPr>
          </w:p>
        </w:tc>
      </w:tr>
      <w:tr w:rsidR="00827C85" w:rsidRPr="008A2D3E" w14:paraId="0DB2E4B0"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3A39FDDB" w14:textId="77777777" w:rsidR="001A459B" w:rsidRPr="008A2D3E" w:rsidRDefault="001A459B" w:rsidP="003A1EAD">
            <w:pPr>
              <w:spacing w:before="120" w:line="216" w:lineRule="auto"/>
              <w:ind w:firstLine="64"/>
              <w:contextualSpacing/>
              <w:jc w:val="center"/>
              <w:rPr>
                <w:sz w:val="20"/>
              </w:rPr>
            </w:pPr>
            <w:r w:rsidRPr="008A2D3E">
              <w:rPr>
                <w:sz w:val="20"/>
              </w:rPr>
              <w:t>21</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center"/>
            <w:hideMark/>
          </w:tcPr>
          <w:p w14:paraId="5DCC83B0" w14:textId="77777777" w:rsidR="001A459B" w:rsidRPr="008A2D3E" w:rsidRDefault="001A459B" w:rsidP="003A1EAD">
            <w:pPr>
              <w:spacing w:before="120" w:line="216" w:lineRule="auto"/>
              <w:ind w:firstLine="0"/>
              <w:contextualSpacing/>
              <w:jc w:val="center"/>
              <w:rPr>
                <w:sz w:val="20"/>
              </w:rPr>
            </w:pPr>
            <w:proofErr w:type="spellStart"/>
            <w:r w:rsidRPr="008A2D3E">
              <w:rPr>
                <w:sz w:val="20"/>
              </w:rPr>
              <w:t>mps</w:t>
            </w:r>
            <w:proofErr w:type="spellEnd"/>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center"/>
            <w:hideMark/>
          </w:tcPr>
          <w:p w14:paraId="09E4DB92" w14:textId="77777777" w:rsidR="001A459B" w:rsidRPr="008A2D3E" w:rsidRDefault="001A459B" w:rsidP="003A1EAD">
            <w:pPr>
              <w:spacing w:before="120" w:line="216" w:lineRule="auto"/>
              <w:ind w:firstLine="23"/>
              <w:contextualSpacing/>
              <w:jc w:val="center"/>
              <w:rPr>
                <w:sz w:val="20"/>
              </w:rPr>
            </w:pPr>
            <w:r w:rsidRPr="008A2D3E">
              <w:rPr>
                <w:sz w:val="20"/>
              </w:rPr>
              <w:t>Other metals – secondary</w:t>
            </w:r>
          </w:p>
        </w:tc>
        <w:tc>
          <w:tcPr>
            <w:tcW w:w="616" w:type="pct"/>
            <w:vMerge/>
            <w:tcBorders>
              <w:top w:val="single" w:sz="8" w:space="0" w:color="4472C4"/>
              <w:left w:val="nil"/>
              <w:bottom w:val="single" w:sz="8" w:space="0" w:color="4472C4"/>
              <w:right w:val="nil"/>
            </w:tcBorders>
            <w:vAlign w:val="center"/>
            <w:hideMark/>
          </w:tcPr>
          <w:p w14:paraId="2BC82158" w14:textId="77777777" w:rsidR="001A459B" w:rsidRPr="008A2D3E" w:rsidRDefault="001A459B" w:rsidP="00FE0ED2">
            <w:pPr>
              <w:spacing w:before="120" w:line="216" w:lineRule="auto"/>
              <w:ind w:firstLine="540"/>
              <w:contextualSpacing/>
              <w:rPr>
                <w:sz w:val="20"/>
              </w:rPr>
            </w:pPr>
          </w:p>
        </w:tc>
        <w:tc>
          <w:tcPr>
            <w:tcW w:w="1120" w:type="pct"/>
            <w:vMerge/>
            <w:tcBorders>
              <w:top w:val="single" w:sz="8" w:space="0" w:color="4472C4"/>
              <w:left w:val="nil"/>
              <w:bottom w:val="single" w:sz="8" w:space="0" w:color="4472C4"/>
              <w:right w:val="single" w:sz="8" w:space="0" w:color="4472C4"/>
            </w:tcBorders>
            <w:vAlign w:val="center"/>
            <w:hideMark/>
          </w:tcPr>
          <w:p w14:paraId="37B3F460" w14:textId="77777777" w:rsidR="001A459B" w:rsidRPr="008A2D3E" w:rsidRDefault="001A459B" w:rsidP="00FE0ED2">
            <w:pPr>
              <w:spacing w:before="120" w:line="216" w:lineRule="auto"/>
              <w:ind w:firstLine="540"/>
              <w:contextualSpacing/>
              <w:rPr>
                <w:sz w:val="20"/>
              </w:rPr>
            </w:pPr>
          </w:p>
        </w:tc>
      </w:tr>
      <w:tr w:rsidR="00827C85" w:rsidRPr="008A2D3E" w14:paraId="673E724D"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22FBF74D" w14:textId="77777777" w:rsidR="001A459B" w:rsidRPr="008A2D3E" w:rsidRDefault="001A459B" w:rsidP="003A1EAD">
            <w:pPr>
              <w:spacing w:before="120" w:line="216" w:lineRule="auto"/>
              <w:ind w:firstLine="64"/>
              <w:contextualSpacing/>
              <w:jc w:val="center"/>
              <w:rPr>
                <w:sz w:val="20"/>
              </w:rPr>
            </w:pPr>
            <w:r w:rsidRPr="008A2D3E">
              <w:rPr>
                <w:sz w:val="20"/>
              </w:rPr>
              <w:t>22</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bottom"/>
            <w:hideMark/>
          </w:tcPr>
          <w:p w14:paraId="374B03C3" w14:textId="77777777" w:rsidR="001A459B" w:rsidRPr="008A2D3E" w:rsidRDefault="001A459B" w:rsidP="003A1EAD">
            <w:pPr>
              <w:spacing w:before="120" w:line="216" w:lineRule="auto"/>
              <w:ind w:firstLine="0"/>
              <w:contextualSpacing/>
              <w:jc w:val="center"/>
              <w:rPr>
                <w:sz w:val="20"/>
              </w:rPr>
            </w:pPr>
            <w:r w:rsidRPr="008A2D3E">
              <w:rPr>
                <w:sz w:val="20"/>
              </w:rPr>
              <w:t>rom</w:t>
            </w:r>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bottom"/>
            <w:hideMark/>
          </w:tcPr>
          <w:p w14:paraId="53DC31EC" w14:textId="77777777" w:rsidR="001A459B" w:rsidRPr="008A2D3E" w:rsidRDefault="001A459B" w:rsidP="003A1EAD">
            <w:pPr>
              <w:spacing w:before="120" w:line="216" w:lineRule="auto"/>
              <w:ind w:firstLine="23"/>
              <w:contextualSpacing/>
              <w:jc w:val="center"/>
              <w:rPr>
                <w:sz w:val="20"/>
              </w:rPr>
            </w:pPr>
            <w:r w:rsidRPr="008A2D3E">
              <w:rPr>
                <w:sz w:val="20"/>
              </w:rPr>
              <w:t>Recycling - other metals</w:t>
            </w:r>
          </w:p>
        </w:tc>
        <w:tc>
          <w:tcPr>
            <w:tcW w:w="616" w:type="pct"/>
            <w:vMerge/>
            <w:tcBorders>
              <w:top w:val="single" w:sz="8" w:space="0" w:color="4472C4"/>
              <w:left w:val="nil"/>
              <w:bottom w:val="single" w:sz="8" w:space="0" w:color="4472C4"/>
              <w:right w:val="nil"/>
            </w:tcBorders>
            <w:vAlign w:val="center"/>
            <w:hideMark/>
          </w:tcPr>
          <w:p w14:paraId="4173FBA8" w14:textId="77777777" w:rsidR="001A459B" w:rsidRPr="008A2D3E" w:rsidRDefault="001A459B" w:rsidP="00FE0ED2">
            <w:pPr>
              <w:spacing w:before="120" w:line="216" w:lineRule="auto"/>
              <w:ind w:firstLine="540"/>
              <w:contextualSpacing/>
              <w:rPr>
                <w:sz w:val="20"/>
              </w:rPr>
            </w:pPr>
          </w:p>
        </w:tc>
        <w:tc>
          <w:tcPr>
            <w:tcW w:w="1120" w:type="pct"/>
            <w:vMerge/>
            <w:tcBorders>
              <w:top w:val="single" w:sz="8" w:space="0" w:color="4472C4"/>
              <w:left w:val="nil"/>
              <w:bottom w:val="single" w:sz="8" w:space="0" w:color="4472C4"/>
              <w:right w:val="single" w:sz="8" w:space="0" w:color="4472C4"/>
            </w:tcBorders>
            <w:vAlign w:val="center"/>
            <w:hideMark/>
          </w:tcPr>
          <w:p w14:paraId="198A3C77" w14:textId="77777777" w:rsidR="001A459B" w:rsidRPr="008A2D3E" w:rsidRDefault="001A459B" w:rsidP="00FE0ED2">
            <w:pPr>
              <w:spacing w:before="120" w:line="216" w:lineRule="auto"/>
              <w:ind w:firstLine="540"/>
              <w:contextualSpacing/>
              <w:rPr>
                <w:sz w:val="20"/>
              </w:rPr>
            </w:pPr>
          </w:p>
        </w:tc>
      </w:tr>
      <w:tr w:rsidR="00827C85" w:rsidRPr="008A2D3E" w14:paraId="0CCF9AAD" w14:textId="77777777" w:rsidTr="003A1EAD">
        <w:trPr>
          <w:trHeight w:val="323"/>
          <w:jc w:val="center"/>
        </w:trPr>
        <w:tc>
          <w:tcPr>
            <w:tcW w:w="486" w:type="pct"/>
            <w:tcBorders>
              <w:top w:val="single" w:sz="8" w:space="0" w:color="4472C4"/>
              <w:left w:val="single" w:sz="8" w:space="0" w:color="4472C4"/>
              <w:bottom w:val="single" w:sz="8" w:space="0" w:color="4472C4"/>
              <w:right w:val="nil"/>
            </w:tcBorders>
            <w:shd w:val="clear" w:color="auto" w:fill="E9EBF5"/>
            <w:tcMar>
              <w:top w:w="14" w:type="dxa"/>
              <w:left w:w="14" w:type="dxa"/>
              <w:bottom w:w="0" w:type="dxa"/>
              <w:right w:w="14" w:type="dxa"/>
            </w:tcMar>
            <w:vAlign w:val="bottom"/>
            <w:hideMark/>
          </w:tcPr>
          <w:p w14:paraId="61B3E257" w14:textId="77777777" w:rsidR="001A459B" w:rsidRPr="008A2D3E" w:rsidRDefault="001A459B" w:rsidP="003A1EAD">
            <w:pPr>
              <w:spacing w:before="120" w:line="216" w:lineRule="auto"/>
              <w:ind w:firstLine="64"/>
              <w:contextualSpacing/>
              <w:jc w:val="center"/>
              <w:rPr>
                <w:sz w:val="20"/>
              </w:rPr>
            </w:pPr>
            <w:r w:rsidRPr="008A2D3E">
              <w:rPr>
                <w:sz w:val="20"/>
              </w:rPr>
              <w:t>23</w:t>
            </w:r>
          </w:p>
        </w:tc>
        <w:tc>
          <w:tcPr>
            <w:tcW w:w="797" w:type="pct"/>
            <w:tcBorders>
              <w:top w:val="single" w:sz="8" w:space="0" w:color="4472C4"/>
              <w:left w:val="nil"/>
              <w:bottom w:val="single" w:sz="8" w:space="0" w:color="4472C4"/>
              <w:right w:val="nil"/>
            </w:tcBorders>
            <w:shd w:val="clear" w:color="auto" w:fill="FFFFFF"/>
            <w:tcMar>
              <w:top w:w="14" w:type="dxa"/>
              <w:left w:w="14" w:type="dxa"/>
              <w:bottom w:w="0" w:type="dxa"/>
              <w:right w:w="14" w:type="dxa"/>
            </w:tcMar>
            <w:vAlign w:val="center"/>
            <w:hideMark/>
          </w:tcPr>
          <w:p w14:paraId="4CFF12CC" w14:textId="77777777" w:rsidR="001A459B" w:rsidRPr="008A2D3E" w:rsidRDefault="001A459B" w:rsidP="003A1EAD">
            <w:pPr>
              <w:spacing w:before="120" w:line="216" w:lineRule="auto"/>
              <w:ind w:firstLine="0"/>
              <w:contextualSpacing/>
              <w:jc w:val="center"/>
              <w:rPr>
                <w:sz w:val="20"/>
              </w:rPr>
            </w:pPr>
            <w:proofErr w:type="spellStart"/>
            <w:r w:rsidRPr="008A2D3E">
              <w:rPr>
                <w:sz w:val="20"/>
              </w:rPr>
              <w:t>nfc</w:t>
            </w:r>
            <w:proofErr w:type="spellEnd"/>
          </w:p>
        </w:tc>
        <w:tc>
          <w:tcPr>
            <w:tcW w:w="1980" w:type="pct"/>
            <w:tcBorders>
              <w:top w:val="single" w:sz="8" w:space="0" w:color="4472C4"/>
              <w:left w:val="nil"/>
              <w:bottom w:val="single" w:sz="8" w:space="0" w:color="4472C4"/>
              <w:right w:val="nil"/>
            </w:tcBorders>
            <w:shd w:val="clear" w:color="auto" w:fill="E9EBF5"/>
            <w:tcMar>
              <w:top w:w="14" w:type="dxa"/>
              <w:left w:w="14" w:type="dxa"/>
              <w:bottom w:w="0" w:type="dxa"/>
              <w:right w:w="14" w:type="dxa"/>
            </w:tcMar>
            <w:vAlign w:val="center"/>
            <w:hideMark/>
          </w:tcPr>
          <w:p w14:paraId="70810B3A" w14:textId="77777777" w:rsidR="001A459B" w:rsidRPr="008A2D3E" w:rsidRDefault="001A459B" w:rsidP="003A1EAD">
            <w:pPr>
              <w:spacing w:before="120" w:line="216" w:lineRule="auto"/>
              <w:ind w:firstLine="23"/>
              <w:contextualSpacing/>
              <w:jc w:val="center"/>
              <w:rPr>
                <w:sz w:val="20"/>
              </w:rPr>
            </w:pPr>
            <w:r w:rsidRPr="008A2D3E">
              <w:rPr>
                <w:sz w:val="20"/>
              </w:rPr>
              <w:t>Non-ferrous metals casting</w:t>
            </w:r>
          </w:p>
        </w:tc>
        <w:tc>
          <w:tcPr>
            <w:tcW w:w="616" w:type="pct"/>
            <w:vMerge/>
            <w:tcBorders>
              <w:top w:val="single" w:sz="8" w:space="0" w:color="4472C4"/>
              <w:left w:val="nil"/>
              <w:bottom w:val="single" w:sz="8" w:space="0" w:color="4472C4"/>
              <w:right w:val="nil"/>
            </w:tcBorders>
            <w:vAlign w:val="center"/>
            <w:hideMark/>
          </w:tcPr>
          <w:p w14:paraId="21989839" w14:textId="77777777" w:rsidR="001A459B" w:rsidRPr="008A2D3E" w:rsidRDefault="001A459B" w:rsidP="00FE0ED2">
            <w:pPr>
              <w:spacing w:before="120" w:line="216" w:lineRule="auto"/>
              <w:ind w:firstLine="540"/>
              <w:contextualSpacing/>
              <w:rPr>
                <w:sz w:val="20"/>
              </w:rPr>
            </w:pPr>
          </w:p>
        </w:tc>
        <w:tc>
          <w:tcPr>
            <w:tcW w:w="1120" w:type="pct"/>
            <w:vMerge/>
            <w:tcBorders>
              <w:top w:val="single" w:sz="8" w:space="0" w:color="4472C4"/>
              <w:left w:val="nil"/>
              <w:bottom w:val="single" w:sz="8" w:space="0" w:color="4472C4"/>
              <w:right w:val="single" w:sz="8" w:space="0" w:color="4472C4"/>
            </w:tcBorders>
            <w:vAlign w:val="center"/>
            <w:hideMark/>
          </w:tcPr>
          <w:p w14:paraId="761488C3" w14:textId="77777777" w:rsidR="001A459B" w:rsidRPr="008A2D3E" w:rsidRDefault="001A459B" w:rsidP="00FE0ED2">
            <w:pPr>
              <w:spacing w:before="120" w:line="216" w:lineRule="auto"/>
              <w:ind w:firstLine="540"/>
              <w:contextualSpacing/>
              <w:rPr>
                <w:sz w:val="20"/>
              </w:rPr>
            </w:pPr>
          </w:p>
        </w:tc>
      </w:tr>
    </w:tbl>
    <w:p w14:paraId="136D9FD0" w14:textId="77777777" w:rsidR="00827C85" w:rsidRDefault="00827C85" w:rsidP="00827C85">
      <w:pPr>
        <w:rPr>
          <w:b/>
          <w:szCs w:val="24"/>
        </w:rPr>
      </w:pPr>
      <w:r w:rsidRPr="00924A12">
        <w:rPr>
          <w:b/>
          <w:szCs w:val="24"/>
        </w:rPr>
        <w:t xml:space="preserve">Figure </w:t>
      </w:r>
      <w:r w:rsidR="00FD1630">
        <w:rPr>
          <w:b/>
          <w:szCs w:val="24"/>
        </w:rPr>
        <w:t>4</w:t>
      </w:r>
      <w:r w:rsidRPr="00924A12">
        <w:rPr>
          <w:b/>
          <w:szCs w:val="24"/>
        </w:rPr>
        <w:t xml:space="preserve">. </w:t>
      </w:r>
      <w:r w:rsidR="008A2D3E">
        <w:rPr>
          <w:b/>
          <w:szCs w:val="24"/>
        </w:rPr>
        <w:t>An o</w:t>
      </w:r>
      <w:r>
        <w:rPr>
          <w:b/>
          <w:szCs w:val="24"/>
        </w:rPr>
        <w:t>verview</w:t>
      </w:r>
      <w:r w:rsidRPr="00924A12">
        <w:rPr>
          <w:b/>
          <w:szCs w:val="24"/>
        </w:rPr>
        <w:t xml:space="preserve"> of the </w:t>
      </w:r>
      <w:r>
        <w:rPr>
          <w:b/>
          <w:szCs w:val="24"/>
        </w:rPr>
        <w:t>sectoral splits introduced to the GTAP</w:t>
      </w:r>
      <w:r w:rsidR="008A2D3E">
        <w:rPr>
          <w:b/>
          <w:szCs w:val="24"/>
        </w:rPr>
        <w:t>-Power</w:t>
      </w:r>
      <w:r>
        <w:rPr>
          <w:b/>
          <w:szCs w:val="24"/>
        </w:rPr>
        <w:t xml:space="preserve"> 10 database</w:t>
      </w:r>
    </w:p>
    <w:p w14:paraId="6F98B48B" w14:textId="77777777" w:rsidR="00827C85" w:rsidRPr="0006142E" w:rsidRDefault="00827C85" w:rsidP="00827C85">
      <w:pPr>
        <w:rPr>
          <w:sz w:val="20"/>
          <w:szCs w:val="20"/>
        </w:rPr>
      </w:pPr>
      <w:r w:rsidRPr="0006142E">
        <w:rPr>
          <w:i/>
          <w:sz w:val="20"/>
          <w:szCs w:val="20"/>
        </w:rPr>
        <w:t>Source:</w:t>
      </w:r>
      <w:r w:rsidRPr="0006142E">
        <w:rPr>
          <w:sz w:val="20"/>
          <w:szCs w:val="20"/>
        </w:rPr>
        <w:t xml:space="preserve"> </w:t>
      </w:r>
      <w:r>
        <w:rPr>
          <w:sz w:val="20"/>
          <w:szCs w:val="20"/>
        </w:rPr>
        <w:t>Developed by authors</w:t>
      </w:r>
      <w:r w:rsidRPr="0006142E">
        <w:rPr>
          <w:sz w:val="20"/>
          <w:szCs w:val="20"/>
        </w:rPr>
        <w:t>.</w:t>
      </w:r>
    </w:p>
    <w:p w14:paraId="21B353CC" w14:textId="77777777" w:rsidR="008A2D3E" w:rsidRDefault="008A2D3E" w:rsidP="00E40B5F">
      <w:pPr>
        <w:ind w:firstLine="0"/>
      </w:pPr>
      <w:r>
        <w:rPr>
          <w:noProof/>
        </w:rPr>
        <w:lastRenderedPageBreak/>
        <w:drawing>
          <wp:inline distT="0" distB="0" distL="0" distR="0" wp14:anchorId="7C3B7A84" wp14:editId="10D80EB2">
            <wp:extent cx="6057900" cy="4013860"/>
            <wp:effectExtent l="0" t="38100" r="57150" b="5715"/>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77A277BF" w14:textId="77777777" w:rsidR="008A2D3E" w:rsidRPr="008A2D3E" w:rsidRDefault="008A2D3E" w:rsidP="008A2D3E">
      <w:pPr>
        <w:rPr>
          <w:i/>
          <w:szCs w:val="24"/>
        </w:rPr>
      </w:pPr>
      <w:r w:rsidRPr="008A2D3E">
        <w:rPr>
          <w:b/>
          <w:szCs w:val="24"/>
        </w:rPr>
        <w:t>Figure 5. An overview of the GTAP-CE database construction steps</w:t>
      </w:r>
      <w:r w:rsidRPr="008A2D3E">
        <w:rPr>
          <w:i/>
          <w:szCs w:val="24"/>
        </w:rPr>
        <w:t xml:space="preserve"> </w:t>
      </w:r>
    </w:p>
    <w:p w14:paraId="2ED8D4E5" w14:textId="1BDB01E0" w:rsidR="008A2D3E" w:rsidRDefault="008A2D3E" w:rsidP="008A2D3E">
      <w:pPr>
        <w:rPr>
          <w:sz w:val="20"/>
          <w:szCs w:val="20"/>
        </w:rPr>
      </w:pPr>
      <w:r w:rsidRPr="0006142E">
        <w:rPr>
          <w:i/>
          <w:sz w:val="20"/>
          <w:szCs w:val="20"/>
        </w:rPr>
        <w:t>Source:</w:t>
      </w:r>
      <w:r w:rsidRPr="0006142E">
        <w:rPr>
          <w:sz w:val="20"/>
          <w:szCs w:val="20"/>
        </w:rPr>
        <w:t xml:space="preserve"> </w:t>
      </w:r>
      <w:r>
        <w:rPr>
          <w:sz w:val="20"/>
          <w:szCs w:val="20"/>
        </w:rPr>
        <w:t>Developed by authors</w:t>
      </w:r>
      <w:r w:rsidRPr="0006142E">
        <w:rPr>
          <w:sz w:val="20"/>
          <w:szCs w:val="20"/>
        </w:rPr>
        <w:t>.</w:t>
      </w:r>
    </w:p>
    <w:p w14:paraId="3BE39D5B" w14:textId="77777777" w:rsidR="00D86976" w:rsidRPr="0006142E" w:rsidRDefault="00D86976" w:rsidP="008A2D3E">
      <w:pPr>
        <w:rPr>
          <w:sz w:val="20"/>
          <w:szCs w:val="20"/>
        </w:rPr>
      </w:pPr>
    </w:p>
    <w:p w14:paraId="4F6C2E6E" w14:textId="77777777" w:rsidR="007479F3" w:rsidRDefault="007479F3" w:rsidP="007479F3">
      <w:pPr>
        <w:pStyle w:val="Heading2"/>
      </w:pPr>
      <w:r>
        <w:t>2.2. Global computable general equilibrium model ENVISAGE</w:t>
      </w:r>
    </w:p>
    <w:p w14:paraId="043E189E" w14:textId="77777777" w:rsidR="007479F3" w:rsidRDefault="0015279B" w:rsidP="0055375A">
      <w:pPr>
        <w:ind w:firstLine="540"/>
        <w:rPr>
          <w:szCs w:val="24"/>
        </w:rPr>
      </w:pPr>
      <w:r w:rsidRPr="0015279B">
        <w:rPr>
          <w:szCs w:val="24"/>
        </w:rPr>
        <w:t>For the assessment of the climate mitigation and circular economy transition sc</w:t>
      </w:r>
      <w:r>
        <w:rPr>
          <w:szCs w:val="24"/>
        </w:rPr>
        <w:t>enarios, we rely on a</w:t>
      </w:r>
      <w:r w:rsidRPr="0015279B">
        <w:rPr>
          <w:szCs w:val="24"/>
        </w:rPr>
        <w:t xml:space="preserve"> recursive dynamic global CGE model ENVISAGE (van der Mensbrugghe, 2019). </w:t>
      </w:r>
      <w:r>
        <w:rPr>
          <w:szCs w:val="24"/>
        </w:rPr>
        <w:t>The model</w:t>
      </w:r>
      <w:r w:rsidRPr="0015279B">
        <w:rPr>
          <w:szCs w:val="24"/>
        </w:rPr>
        <w:t xml:space="preserve"> follows </w:t>
      </w:r>
      <w:r>
        <w:rPr>
          <w:szCs w:val="24"/>
        </w:rPr>
        <w:t>a</w:t>
      </w:r>
      <w:r w:rsidRPr="0015279B">
        <w:rPr>
          <w:szCs w:val="24"/>
        </w:rPr>
        <w:t xml:space="preserve"> circular flow of an economy paradigm. Firms purchase input factors (for example </w:t>
      </w:r>
      <w:r w:rsidR="00672105">
        <w:rPr>
          <w:szCs w:val="24"/>
        </w:rPr>
        <w:t xml:space="preserve">energy, materials, </w:t>
      </w:r>
      <w:r w:rsidRPr="0015279B">
        <w:rPr>
          <w:szCs w:val="24"/>
        </w:rPr>
        <w:t xml:space="preserve">labor and capital) to produce goods and services. Households receive the factor income and in turn demand the goods and services produced by firms. Equality of supply and demand determine equilibrium prices for factors, goods and services. The model is solved as a sequence of comparative static equilibria where the factors of production are linked between time periods with accumulation expressions. Production is implemented as a series of nested constant-elasticity-of-substitution (CES) functions the aim of which is to capture the substitutability across all inputs. Production is also identified by vintage—divided into </w:t>
      </w:r>
      <w:r w:rsidRPr="0015279B">
        <w:rPr>
          <w:i/>
          <w:iCs/>
          <w:szCs w:val="24"/>
        </w:rPr>
        <w:t>Old</w:t>
      </w:r>
      <w:r w:rsidRPr="0015279B">
        <w:rPr>
          <w:szCs w:val="24"/>
        </w:rPr>
        <w:t xml:space="preserve"> and </w:t>
      </w:r>
      <w:r w:rsidRPr="0015279B">
        <w:rPr>
          <w:i/>
          <w:iCs/>
          <w:szCs w:val="24"/>
        </w:rPr>
        <w:t>New</w:t>
      </w:r>
      <w:r w:rsidRPr="0015279B">
        <w:rPr>
          <w:szCs w:val="24"/>
        </w:rPr>
        <w:t xml:space="preserve">—with typically lower substitution possibilities associated with </w:t>
      </w:r>
      <w:r w:rsidRPr="0015279B">
        <w:rPr>
          <w:i/>
          <w:iCs/>
          <w:szCs w:val="24"/>
        </w:rPr>
        <w:t>Old</w:t>
      </w:r>
      <w:r w:rsidRPr="0015279B">
        <w:rPr>
          <w:szCs w:val="24"/>
        </w:rPr>
        <w:t xml:space="preserve"> capital.</w:t>
      </w:r>
    </w:p>
    <w:p w14:paraId="5D431307" w14:textId="77777777" w:rsidR="0055375A" w:rsidRDefault="0055375A" w:rsidP="0055375A">
      <w:pPr>
        <w:ind w:firstLine="540"/>
        <w:rPr>
          <w:szCs w:val="24"/>
        </w:rPr>
      </w:pPr>
      <w:r w:rsidRPr="0055375A">
        <w:rPr>
          <w:szCs w:val="24"/>
        </w:rPr>
        <w:t>The main strength of the CGE modelling framework, like ENVISAGE, is the consistent representation of the inter-dependencies between different sectors, agents and markets in the economy. By capturing both the supply and demand sides, the model represents adjustments in quantities and prices following the implementation of the policy shock. For instance, if carbon pricing is implemented in the model, this leads to increasing prices of energy, reducing energy supply and demand, as well as corresponding shifts in the energy supply mix, with increasing share of the low-carbon technologies.</w:t>
      </w:r>
    </w:p>
    <w:p w14:paraId="713DE522" w14:textId="20DC8129" w:rsidR="001C5816" w:rsidRDefault="0055375A" w:rsidP="00CE23E1">
      <w:pPr>
        <w:ind w:firstLine="540"/>
        <w:rPr>
          <w:szCs w:val="24"/>
        </w:rPr>
      </w:pPr>
      <w:r>
        <w:rPr>
          <w:szCs w:val="24"/>
        </w:rPr>
        <w:lastRenderedPageBreak/>
        <w:t xml:space="preserve">The ENVISAGE model is calibrated to the GTAP-CE database discussed in the previous section of this report. For modelling purposes, we use an aggregation of the GTAP-CE database that includes </w:t>
      </w:r>
      <w:r w:rsidR="00CE23E1">
        <w:rPr>
          <w:szCs w:val="24"/>
        </w:rPr>
        <w:t>20</w:t>
      </w:r>
      <w:r>
        <w:rPr>
          <w:szCs w:val="24"/>
        </w:rPr>
        <w:t xml:space="preserve"> regions and </w:t>
      </w:r>
      <w:r w:rsidR="00CE23E1">
        <w:rPr>
          <w:szCs w:val="24"/>
        </w:rPr>
        <w:t>42</w:t>
      </w:r>
      <w:r>
        <w:rPr>
          <w:szCs w:val="24"/>
        </w:rPr>
        <w:t xml:space="preserve"> activities (Appendix B). Production of electricity, as well as commodities with identified primary and secondary production activities (metals and plastic) are treated using the MAKE matrix approach of ENVISAGE. In particular, it is assumed that different generation technologies and primary/secondary production activities are producing homogenous goods (</w:t>
      </w:r>
      <w:r w:rsidR="004B2946">
        <w:rPr>
          <w:szCs w:val="24"/>
        </w:rPr>
        <w:t>e.g.,</w:t>
      </w:r>
      <w:r>
        <w:rPr>
          <w:szCs w:val="24"/>
        </w:rPr>
        <w:t xml:space="preserve"> elect</w:t>
      </w:r>
      <w:r w:rsidR="00CE23E1">
        <w:rPr>
          <w:szCs w:val="24"/>
        </w:rPr>
        <w:t xml:space="preserve">ricity, steel, aluminum, etc.). A version of the ENVISAGE model used in this study includes a wage formation mechanism similar to the Monash-class of models (Dixon and Rimmer, 2002). This approach allows for short-run deviations from full-employment (induced by the policy shock), but long-term equilibrium between labor supply and demand. </w:t>
      </w:r>
    </w:p>
    <w:p w14:paraId="134B483D" w14:textId="77777777" w:rsidR="008F0AA7" w:rsidRDefault="008F0AA7" w:rsidP="008F0AA7">
      <w:pPr>
        <w:pStyle w:val="Heading1"/>
      </w:pPr>
      <w:r>
        <w:t>3. Potential futures and impacts on material use</w:t>
      </w:r>
    </w:p>
    <w:p w14:paraId="4A1EFEBD" w14:textId="77777777" w:rsidR="008F0AA7" w:rsidRPr="0015279B" w:rsidRDefault="008F0AA7" w:rsidP="008F0AA7">
      <w:pPr>
        <w:pStyle w:val="Heading2"/>
        <w:rPr>
          <w:sz w:val="24"/>
          <w:szCs w:val="24"/>
        </w:rPr>
      </w:pPr>
      <w:r>
        <w:t>3.1. Description of Scenarios</w:t>
      </w:r>
    </w:p>
    <w:p w14:paraId="221F6371" w14:textId="52A35F2A" w:rsidR="001C5816" w:rsidRDefault="001C5816" w:rsidP="001C5816">
      <w:r>
        <w:t xml:space="preserve">The scenarios are described in Table 1. </w:t>
      </w:r>
      <w:r w:rsidR="00CA6D5A">
        <w:t xml:space="preserve"> </w:t>
      </w:r>
      <w:r>
        <w:t>Apart from shocks in the baseline, all remaining shocks only apply to Europe. The baseline covers the period 2014-2030 with given growth rate assumptions for GDP and population and mostly static fiscal policies. The one exception is that the baseline incorporates the so-called National</w:t>
      </w:r>
      <w:r w:rsidR="003A1EAD">
        <w:t>ly</w:t>
      </w:r>
      <w:r>
        <w:t xml:space="preserve"> Determined Contributions (NDCs), which are the commitments made by all countries that signed the 201</w:t>
      </w:r>
      <w:r w:rsidR="008F0AA7">
        <w:t>5</w:t>
      </w:r>
      <w:r>
        <w:t xml:space="preserve"> Paris Agreement to limit greenhouse gas emissions. The NDCs are converted to country-specific prices on carbon that depend on a country’s economy and carbon intensity and the stringency of its commitment. Actual implementation of a country’s mitigation policy is likely to rely on one or more instruments, which may include a carbon price.</w:t>
      </w:r>
    </w:p>
    <w:p w14:paraId="763FC0D7" w14:textId="77777777" w:rsidR="00751813" w:rsidRDefault="00751813" w:rsidP="00751813">
      <w:pPr>
        <w:rPr>
          <w:i/>
          <w:iCs/>
        </w:rPr>
      </w:pPr>
      <w:r>
        <w:t>The actual reference point for the policy simulations, however, is based on a scenario that represents an interpretation of the EU’s Green Deal mitigation target (</w:t>
      </w:r>
      <w:r w:rsidRPr="00DC55CC">
        <w:rPr>
          <w:i/>
          <w:iCs/>
        </w:rPr>
        <w:t>EGD</w:t>
      </w:r>
      <w:r>
        <w:rPr>
          <w:i/>
          <w:iCs/>
        </w:rPr>
        <w:t>-NDC</w:t>
      </w:r>
      <w:r>
        <w:t xml:space="preserve">). While the Green Deal in practice includes a broad range of environmental objectives and instruments (EC, 2019), the modelled </w:t>
      </w:r>
      <w:r w:rsidRPr="00281D98">
        <w:rPr>
          <w:i/>
          <w:iCs/>
        </w:rPr>
        <w:t>EGD</w:t>
      </w:r>
      <w:r>
        <w:rPr>
          <w:i/>
          <w:iCs/>
        </w:rPr>
        <w:t>-NDC</w:t>
      </w:r>
      <w:r>
        <w:t xml:space="preserve"> scenario focuses on achieving the EU’s enhanced NDC target of reducing CO</w:t>
      </w:r>
      <w:r w:rsidRPr="008F0AA7">
        <w:rPr>
          <w:vertAlign w:val="subscript"/>
        </w:rPr>
        <w:t>2</w:t>
      </w:r>
      <w:r>
        <w:t xml:space="preserve"> emissions by 55 percent by 2030 relative to the 1990 level (compared to 40 percent in the </w:t>
      </w:r>
      <w:r w:rsidRPr="00F94B03">
        <w:rPr>
          <w:i/>
          <w:iCs/>
        </w:rPr>
        <w:t>BAU</w:t>
      </w:r>
      <w:r>
        <w:t xml:space="preserve"> scenario). Again, the model achieves the target primarily through a </w:t>
      </w:r>
      <w:r w:rsidRPr="0072364B">
        <w:t xml:space="preserve">carbon price, although several fiscal policies are implemented within the </w:t>
      </w:r>
      <w:r w:rsidRPr="0072364B">
        <w:rPr>
          <w:i/>
          <w:iCs/>
        </w:rPr>
        <w:t>EGD-NDC</w:t>
      </w:r>
      <w:r w:rsidRPr="0072364B">
        <w:t xml:space="preserve"> scenario to complement carbon pricing, including: removal of production subsidies to fossil fuels and transportation activities (production tax rates are set to 3</w:t>
      </w:r>
      <w:r>
        <w:t xml:space="preserve"> percent</w:t>
      </w:r>
      <w:r w:rsidRPr="0072364B">
        <w:t>); increase in the sales tax for petroleum products (by 5</w:t>
      </w:r>
      <w:r>
        <w:t xml:space="preserve"> percent</w:t>
      </w:r>
      <w:r w:rsidRPr="0072364B">
        <w:t>); and, subsidy to renewable generation (5</w:t>
      </w:r>
      <w:r>
        <w:t xml:space="preserve"> percent</w:t>
      </w:r>
      <w:r w:rsidRPr="0072364B">
        <w:t xml:space="preserve">). </w:t>
      </w:r>
      <w:r w:rsidRPr="0072364B">
        <w:rPr>
          <w:i/>
          <w:iCs/>
        </w:rPr>
        <w:t>Thus, the reference scenario in the model incorporates emissions reduction policy but no explicit measures targeting</w:t>
      </w:r>
      <w:r>
        <w:rPr>
          <w:i/>
          <w:iCs/>
        </w:rPr>
        <w:t xml:space="preserve"> reduction of material use. </w:t>
      </w:r>
    </w:p>
    <w:p w14:paraId="574DDB58" w14:textId="77777777" w:rsidR="00751813" w:rsidRDefault="00751813" w:rsidP="00751813">
      <w:r>
        <w:t>The main scenarios are structured around reduction of</w:t>
      </w:r>
      <w:r w:rsidRPr="00486B38">
        <w:t xml:space="preserve"> primary material </w:t>
      </w:r>
      <w:r>
        <w:t>use</w:t>
      </w:r>
      <w:r w:rsidRPr="00486B38">
        <w:t xml:space="preserve"> in the EU – i.e., improving circularity. These are specified in</w:t>
      </w:r>
      <w:r>
        <w:t xml:space="preserve"> </w:t>
      </w:r>
      <w:r>
        <w:fldChar w:fldCharType="begin"/>
      </w:r>
      <w:r>
        <w:instrText xml:space="preserve"> REF _Ref95307145 \h </w:instrText>
      </w:r>
      <w:r>
        <w:fldChar w:fldCharType="separate"/>
      </w:r>
      <w:r>
        <w:t xml:space="preserve">Table </w:t>
      </w:r>
      <w:r>
        <w:rPr>
          <w:noProof/>
        </w:rPr>
        <w:t>1</w:t>
      </w:r>
      <w:r>
        <w:fldChar w:fldCharType="end"/>
      </w:r>
      <w:r w:rsidRPr="00486B38">
        <w:t>. Apart from BAU scenario, all policy shocks introduced in the scenarios apply on</w:t>
      </w:r>
      <w:r>
        <w:t>ly</w:t>
      </w:r>
      <w:r w:rsidRPr="00486B38">
        <w:t xml:space="preserve"> to the EU.</w:t>
      </w:r>
      <w:r>
        <w:t xml:space="preserve"> They are introduced from 2023 and fully implemented by 2027.</w:t>
      </w:r>
    </w:p>
    <w:p w14:paraId="4432C901" w14:textId="77777777" w:rsidR="001D5CEA" w:rsidRDefault="001D5CEA" w:rsidP="001C2BD0">
      <w:pPr>
        <w:keepNext/>
        <w:ind w:firstLine="0"/>
        <w:rPr>
          <w:b/>
        </w:rPr>
      </w:pPr>
    </w:p>
    <w:p w14:paraId="5FB33ACF" w14:textId="77777777" w:rsidR="001D5CEA" w:rsidRDefault="001D5CEA" w:rsidP="001C2BD0">
      <w:pPr>
        <w:keepNext/>
        <w:ind w:firstLine="0"/>
        <w:rPr>
          <w:b/>
        </w:rPr>
      </w:pPr>
    </w:p>
    <w:p w14:paraId="3B0442E3" w14:textId="77777777" w:rsidR="001D5CEA" w:rsidRDefault="001D5CEA" w:rsidP="001C2BD0">
      <w:pPr>
        <w:keepNext/>
        <w:ind w:firstLine="0"/>
        <w:rPr>
          <w:b/>
        </w:rPr>
      </w:pPr>
    </w:p>
    <w:p w14:paraId="082437BB" w14:textId="79E400EB" w:rsidR="001C2BD0" w:rsidRPr="008F0AA7" w:rsidRDefault="001C2BD0" w:rsidP="001C2BD0">
      <w:pPr>
        <w:keepNext/>
        <w:ind w:firstLine="0"/>
        <w:rPr>
          <w:b/>
        </w:rPr>
      </w:pPr>
      <w:r w:rsidRPr="008F0AA7">
        <w:rPr>
          <w:b/>
        </w:rPr>
        <w:t>Table 1: Definition of</w:t>
      </w:r>
      <w:r>
        <w:rPr>
          <w:b/>
        </w:rPr>
        <w:t xml:space="preserve"> </w:t>
      </w:r>
      <w:r w:rsidRPr="008F0AA7">
        <w:rPr>
          <w:b/>
        </w:rPr>
        <w:t>scenarios</w:t>
      </w:r>
      <w:r>
        <w:rPr>
          <w:b/>
        </w:rPr>
        <w:t xml:space="preserve"> considered</w:t>
      </w:r>
    </w:p>
    <w:tbl>
      <w:tblPr>
        <w:tblStyle w:val="GridTable2"/>
        <w:tblW w:w="9627" w:type="dxa"/>
        <w:tblLook w:val="04A0" w:firstRow="1" w:lastRow="0" w:firstColumn="1" w:lastColumn="0" w:noHBand="0" w:noVBand="1"/>
      </w:tblPr>
      <w:tblGrid>
        <w:gridCol w:w="1257"/>
        <w:gridCol w:w="1890"/>
        <w:gridCol w:w="6480"/>
      </w:tblGrid>
      <w:tr w:rsidR="001C2BD0" w:rsidRPr="009339D2" w14:paraId="0D7FBB05" w14:textId="77777777" w:rsidTr="001D5C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7" w:type="dxa"/>
          </w:tcPr>
          <w:p w14:paraId="707AA32C" w14:textId="77777777" w:rsidR="001C2BD0" w:rsidRPr="001D5CEA" w:rsidRDefault="001C2BD0" w:rsidP="00F077D8">
            <w:pPr>
              <w:widowControl w:val="0"/>
              <w:ind w:firstLine="0"/>
              <w:rPr>
                <w:bCs w:val="0"/>
                <w:sz w:val="20"/>
                <w:szCs w:val="20"/>
              </w:rPr>
            </w:pPr>
            <w:r w:rsidRPr="001D5CEA">
              <w:rPr>
                <w:bCs w:val="0"/>
                <w:sz w:val="20"/>
                <w:szCs w:val="20"/>
              </w:rPr>
              <w:t>Policy objective</w:t>
            </w:r>
          </w:p>
        </w:tc>
        <w:tc>
          <w:tcPr>
            <w:tcW w:w="1890" w:type="dxa"/>
          </w:tcPr>
          <w:p w14:paraId="2BD2CF90" w14:textId="77777777" w:rsidR="001C2BD0" w:rsidRPr="001D5CEA" w:rsidRDefault="001C2BD0" w:rsidP="00F077D8">
            <w:pPr>
              <w:widowControl w:val="0"/>
              <w:ind w:firstLine="0"/>
              <w:cnfStyle w:val="100000000000" w:firstRow="1" w:lastRow="0" w:firstColumn="0" w:lastColumn="0" w:oddVBand="0" w:evenVBand="0" w:oddHBand="0" w:evenHBand="0" w:firstRowFirstColumn="0" w:firstRowLastColumn="0" w:lastRowFirstColumn="0" w:lastRowLastColumn="0"/>
              <w:rPr>
                <w:bCs w:val="0"/>
                <w:sz w:val="20"/>
                <w:szCs w:val="20"/>
              </w:rPr>
            </w:pPr>
            <w:r w:rsidRPr="001D5CEA">
              <w:rPr>
                <w:bCs w:val="0"/>
                <w:sz w:val="20"/>
                <w:szCs w:val="20"/>
              </w:rPr>
              <w:t>Scenario name</w:t>
            </w:r>
          </w:p>
        </w:tc>
        <w:tc>
          <w:tcPr>
            <w:tcW w:w="6480" w:type="dxa"/>
          </w:tcPr>
          <w:p w14:paraId="51719576" w14:textId="77777777" w:rsidR="001C2BD0" w:rsidRPr="001D5CEA" w:rsidRDefault="001C2BD0" w:rsidP="00F077D8">
            <w:pPr>
              <w:widowControl w:val="0"/>
              <w:cnfStyle w:val="100000000000" w:firstRow="1" w:lastRow="0" w:firstColumn="0" w:lastColumn="0" w:oddVBand="0" w:evenVBand="0" w:oddHBand="0" w:evenHBand="0" w:firstRowFirstColumn="0" w:firstRowLastColumn="0" w:lastRowFirstColumn="0" w:lastRowLastColumn="0"/>
              <w:rPr>
                <w:bCs w:val="0"/>
                <w:sz w:val="20"/>
                <w:szCs w:val="20"/>
              </w:rPr>
            </w:pPr>
            <w:r w:rsidRPr="001D5CEA">
              <w:rPr>
                <w:bCs w:val="0"/>
                <w:sz w:val="20"/>
                <w:szCs w:val="20"/>
              </w:rPr>
              <w:t>Description</w:t>
            </w:r>
          </w:p>
        </w:tc>
      </w:tr>
      <w:tr w:rsidR="001C2BD0" w:rsidRPr="009339D2" w14:paraId="2C4C52FA" w14:textId="77777777" w:rsidTr="001D5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7" w:type="dxa"/>
            <w:gridSpan w:val="2"/>
          </w:tcPr>
          <w:p w14:paraId="7836588C" w14:textId="77777777" w:rsidR="001C2BD0" w:rsidRPr="008A77D7" w:rsidRDefault="001C2BD0" w:rsidP="00F077D8">
            <w:pPr>
              <w:widowControl w:val="0"/>
              <w:ind w:firstLine="0"/>
              <w:rPr>
                <w:sz w:val="20"/>
                <w:szCs w:val="20"/>
              </w:rPr>
            </w:pPr>
            <w:r w:rsidRPr="008A77D7">
              <w:rPr>
                <w:i/>
                <w:iCs/>
                <w:sz w:val="20"/>
                <w:szCs w:val="20"/>
              </w:rPr>
              <w:t>BAU</w:t>
            </w:r>
          </w:p>
        </w:tc>
        <w:tc>
          <w:tcPr>
            <w:tcW w:w="6480" w:type="dxa"/>
          </w:tcPr>
          <w:p w14:paraId="57EFF9BB" w14:textId="77777777" w:rsidR="001C2BD0" w:rsidRPr="009339D2" w:rsidRDefault="001C2BD0" w:rsidP="00F077D8">
            <w:pPr>
              <w:widowControl w:val="0"/>
              <w:ind w:firstLine="0"/>
              <w:cnfStyle w:val="000000100000" w:firstRow="0" w:lastRow="0" w:firstColumn="0" w:lastColumn="0" w:oddVBand="0" w:evenVBand="0" w:oddHBand="1" w:evenHBand="0" w:firstRowFirstColumn="0" w:firstRowLastColumn="0" w:lastRowFirstColumn="0" w:lastRowLastColumn="0"/>
              <w:rPr>
                <w:sz w:val="20"/>
                <w:szCs w:val="20"/>
              </w:rPr>
            </w:pPr>
            <w:r w:rsidRPr="009339D2">
              <w:rPr>
                <w:sz w:val="20"/>
                <w:szCs w:val="20"/>
              </w:rPr>
              <w:t>Initial scenario, which includes interpretation of global NDCs</w:t>
            </w:r>
            <w:r>
              <w:rPr>
                <w:rStyle w:val="FootnoteReference"/>
                <w:sz w:val="20"/>
                <w:szCs w:val="20"/>
              </w:rPr>
              <w:footnoteReference w:id="3"/>
            </w:r>
            <w:r w:rsidRPr="009339D2">
              <w:rPr>
                <w:sz w:val="20"/>
                <w:szCs w:val="20"/>
              </w:rPr>
              <w:t xml:space="preserve"> and implemented with carbon prices</w:t>
            </w:r>
          </w:p>
        </w:tc>
      </w:tr>
      <w:tr w:rsidR="001C2BD0" w:rsidRPr="009339D2" w14:paraId="6D6CFD7D" w14:textId="77777777" w:rsidTr="001D5CEA">
        <w:tc>
          <w:tcPr>
            <w:cnfStyle w:val="001000000000" w:firstRow="0" w:lastRow="0" w:firstColumn="1" w:lastColumn="0" w:oddVBand="0" w:evenVBand="0" w:oddHBand="0" w:evenHBand="0" w:firstRowFirstColumn="0" w:firstRowLastColumn="0" w:lastRowFirstColumn="0" w:lastRowLastColumn="0"/>
            <w:tcW w:w="3147" w:type="dxa"/>
            <w:gridSpan w:val="2"/>
          </w:tcPr>
          <w:p w14:paraId="071804B6" w14:textId="77777777" w:rsidR="001C2BD0" w:rsidRPr="008A77D7" w:rsidRDefault="001C2BD0" w:rsidP="00F077D8">
            <w:pPr>
              <w:widowControl w:val="0"/>
              <w:ind w:firstLine="0"/>
              <w:rPr>
                <w:i/>
                <w:iCs/>
                <w:sz w:val="20"/>
                <w:szCs w:val="20"/>
              </w:rPr>
            </w:pPr>
            <w:r w:rsidRPr="008A77D7">
              <w:rPr>
                <w:i/>
                <w:iCs/>
                <w:sz w:val="20"/>
                <w:szCs w:val="20"/>
              </w:rPr>
              <w:t>EGD</w:t>
            </w:r>
            <w:r>
              <w:rPr>
                <w:i/>
                <w:iCs/>
                <w:sz w:val="20"/>
                <w:szCs w:val="20"/>
              </w:rPr>
              <w:t>-NDC</w:t>
            </w:r>
          </w:p>
          <w:p w14:paraId="3F795CF6" w14:textId="77777777" w:rsidR="001C2BD0" w:rsidRPr="008A77D7" w:rsidRDefault="001C2BD0" w:rsidP="00F077D8">
            <w:pPr>
              <w:widowControl w:val="0"/>
              <w:ind w:firstLine="0"/>
              <w:rPr>
                <w:i/>
                <w:iCs/>
                <w:sz w:val="20"/>
                <w:szCs w:val="20"/>
              </w:rPr>
            </w:pPr>
            <w:r>
              <w:rPr>
                <w:i/>
                <w:iCs/>
                <w:sz w:val="20"/>
                <w:szCs w:val="20"/>
              </w:rPr>
              <w:t>=</w:t>
            </w:r>
            <w:r>
              <w:rPr>
                <w:b w:val="0"/>
                <w:bCs w:val="0"/>
                <w:sz w:val="20"/>
                <w:szCs w:val="20"/>
              </w:rPr>
              <w:t>Reference scenario</w:t>
            </w:r>
          </w:p>
        </w:tc>
        <w:tc>
          <w:tcPr>
            <w:tcW w:w="6480" w:type="dxa"/>
          </w:tcPr>
          <w:p w14:paraId="2DF00E9A" w14:textId="77777777" w:rsidR="001C2BD0" w:rsidRPr="009339D2" w:rsidRDefault="001C2BD0" w:rsidP="00F077D8">
            <w:pPr>
              <w:widowControl w:val="0"/>
              <w:ind w:firstLine="0"/>
              <w:cnfStyle w:val="000000000000" w:firstRow="0" w:lastRow="0" w:firstColumn="0" w:lastColumn="0" w:oddVBand="0" w:evenVBand="0" w:oddHBand="0" w:evenHBand="0" w:firstRowFirstColumn="0" w:firstRowLastColumn="0" w:lastRowFirstColumn="0" w:lastRowLastColumn="0"/>
              <w:rPr>
                <w:sz w:val="20"/>
                <w:szCs w:val="20"/>
              </w:rPr>
            </w:pPr>
            <w:r w:rsidRPr="0013388C">
              <w:rPr>
                <w:i/>
                <w:iCs/>
                <w:sz w:val="20"/>
                <w:szCs w:val="20"/>
              </w:rPr>
              <w:t>BAU</w:t>
            </w:r>
            <w:r w:rsidRPr="009339D2">
              <w:rPr>
                <w:sz w:val="20"/>
                <w:szCs w:val="20"/>
              </w:rPr>
              <w:t xml:space="preserve"> plus an interpretation of </w:t>
            </w:r>
            <w:r>
              <w:rPr>
                <w:sz w:val="20"/>
                <w:szCs w:val="20"/>
              </w:rPr>
              <w:t>EU’s NDC commitment under the</w:t>
            </w:r>
            <w:r w:rsidRPr="009339D2">
              <w:rPr>
                <w:sz w:val="20"/>
                <w:szCs w:val="20"/>
              </w:rPr>
              <w:t xml:space="preserve"> EU Green Deal intended to lead to a 55% reduction in EU CO</w:t>
            </w:r>
            <w:r w:rsidRPr="009339D2">
              <w:rPr>
                <w:sz w:val="20"/>
                <w:szCs w:val="20"/>
                <w:vertAlign w:val="subscript"/>
              </w:rPr>
              <w:t>2</w:t>
            </w:r>
            <w:r w:rsidRPr="009339D2">
              <w:rPr>
                <w:sz w:val="20"/>
                <w:szCs w:val="20"/>
              </w:rPr>
              <w:t xml:space="preserve"> emissions in 2030 relative to 1990 and implemented with carbon prices</w:t>
            </w:r>
          </w:p>
        </w:tc>
      </w:tr>
      <w:tr w:rsidR="001C2BD0" w:rsidRPr="009339D2" w14:paraId="38406D95" w14:textId="77777777" w:rsidTr="001D5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7" w:type="dxa"/>
            <w:vMerge w:val="restart"/>
          </w:tcPr>
          <w:p w14:paraId="0945928F" w14:textId="77777777" w:rsidR="001C2BD0" w:rsidRPr="008A77D7" w:rsidRDefault="001C2BD0" w:rsidP="00F077D8">
            <w:pPr>
              <w:widowControl w:val="0"/>
              <w:ind w:firstLine="0"/>
              <w:rPr>
                <w:sz w:val="20"/>
                <w:szCs w:val="20"/>
              </w:rPr>
            </w:pPr>
            <w:r>
              <w:rPr>
                <w:sz w:val="20"/>
                <w:szCs w:val="20"/>
              </w:rPr>
              <w:t>Reducing extraction and production / recycling</w:t>
            </w:r>
          </w:p>
        </w:tc>
        <w:tc>
          <w:tcPr>
            <w:tcW w:w="1890" w:type="dxa"/>
          </w:tcPr>
          <w:p w14:paraId="4D142C06" w14:textId="77777777" w:rsidR="001C2BD0" w:rsidRPr="009339D2" w:rsidRDefault="001C2BD0" w:rsidP="00F077D8">
            <w:pPr>
              <w:widowControl w:val="0"/>
              <w:ind w:firstLine="0"/>
              <w:cnfStyle w:val="000000100000" w:firstRow="0" w:lastRow="0" w:firstColumn="0" w:lastColumn="0" w:oddVBand="0" w:evenVBand="0" w:oddHBand="1" w:evenHBand="0" w:firstRowFirstColumn="0" w:firstRowLastColumn="0" w:lastRowFirstColumn="0" w:lastRowLastColumn="0"/>
              <w:rPr>
                <w:b/>
                <w:bCs/>
                <w:i/>
                <w:iCs/>
                <w:sz w:val="20"/>
                <w:szCs w:val="20"/>
              </w:rPr>
            </w:pPr>
            <w:proofErr w:type="spellStart"/>
            <w:r>
              <w:rPr>
                <w:b/>
                <w:bCs/>
                <w:i/>
                <w:iCs/>
                <w:sz w:val="20"/>
                <w:szCs w:val="20"/>
              </w:rPr>
              <w:t>MetalFF</w:t>
            </w:r>
            <w:proofErr w:type="spellEnd"/>
            <w:r>
              <w:rPr>
                <w:b/>
                <w:bCs/>
                <w:i/>
                <w:iCs/>
                <w:sz w:val="20"/>
                <w:szCs w:val="20"/>
              </w:rPr>
              <w:t>-tax</w:t>
            </w:r>
          </w:p>
        </w:tc>
        <w:tc>
          <w:tcPr>
            <w:tcW w:w="6480" w:type="dxa"/>
          </w:tcPr>
          <w:p w14:paraId="19E9C53D" w14:textId="77777777" w:rsidR="001C2BD0" w:rsidRPr="00905544" w:rsidRDefault="001C2BD0" w:rsidP="00F077D8">
            <w:pPr>
              <w:widowControl w:val="0"/>
              <w:ind w:firstLine="0"/>
              <w:cnfStyle w:val="000000100000" w:firstRow="0" w:lastRow="0" w:firstColumn="0" w:lastColumn="0" w:oddVBand="0" w:evenVBand="0" w:oddHBand="1" w:evenHBand="0" w:firstRowFirstColumn="0" w:firstRowLastColumn="0" w:lastRowFirstColumn="0" w:lastRowLastColumn="0"/>
              <w:rPr>
                <w:sz w:val="20"/>
                <w:szCs w:val="20"/>
              </w:rPr>
            </w:pPr>
            <w:r w:rsidRPr="0013388C">
              <w:rPr>
                <w:i/>
                <w:iCs/>
                <w:sz w:val="20"/>
                <w:szCs w:val="20"/>
              </w:rPr>
              <w:t>EGD-NDC</w:t>
            </w:r>
            <w:r>
              <w:rPr>
                <w:sz w:val="20"/>
                <w:szCs w:val="20"/>
              </w:rPr>
              <w:t xml:space="preserve"> plus </w:t>
            </w:r>
            <w:r w:rsidRPr="00905544">
              <w:rPr>
                <w:sz w:val="20"/>
                <w:szCs w:val="20"/>
              </w:rPr>
              <w:t>30</w:t>
            </w:r>
            <w:r>
              <w:rPr>
                <w:sz w:val="20"/>
                <w:szCs w:val="20"/>
              </w:rPr>
              <w:t xml:space="preserve">% </w:t>
            </w:r>
            <w:r w:rsidRPr="00905544">
              <w:rPr>
                <w:sz w:val="20"/>
                <w:szCs w:val="20"/>
              </w:rPr>
              <w:t>tax on primary production of metals and plastics</w:t>
            </w:r>
            <w:r>
              <w:rPr>
                <w:sz w:val="20"/>
                <w:szCs w:val="20"/>
              </w:rPr>
              <w:t xml:space="preserve"> </w:t>
            </w:r>
            <w:r w:rsidRPr="009339D2">
              <w:rPr>
                <w:sz w:val="20"/>
                <w:szCs w:val="20"/>
              </w:rPr>
              <w:t>in Europe only.</w:t>
            </w:r>
          </w:p>
        </w:tc>
      </w:tr>
      <w:tr w:rsidR="001C2BD0" w:rsidRPr="009339D2" w14:paraId="5A5AD720" w14:textId="77777777" w:rsidTr="001D5CEA">
        <w:tc>
          <w:tcPr>
            <w:cnfStyle w:val="001000000000" w:firstRow="0" w:lastRow="0" w:firstColumn="1" w:lastColumn="0" w:oddVBand="0" w:evenVBand="0" w:oddHBand="0" w:evenHBand="0" w:firstRowFirstColumn="0" w:firstRowLastColumn="0" w:lastRowFirstColumn="0" w:lastRowLastColumn="0"/>
            <w:tcW w:w="1257" w:type="dxa"/>
            <w:vMerge/>
          </w:tcPr>
          <w:p w14:paraId="1AB8BE5B" w14:textId="77777777" w:rsidR="001C2BD0" w:rsidRDefault="001C2BD0" w:rsidP="00F077D8">
            <w:pPr>
              <w:widowControl w:val="0"/>
              <w:rPr>
                <w:sz w:val="20"/>
                <w:szCs w:val="20"/>
              </w:rPr>
            </w:pPr>
          </w:p>
        </w:tc>
        <w:tc>
          <w:tcPr>
            <w:tcW w:w="1890" w:type="dxa"/>
            <w:shd w:val="clear" w:color="auto" w:fill="D0CECE" w:themeFill="background2" w:themeFillShade="E6"/>
          </w:tcPr>
          <w:p w14:paraId="3C6B58A3" w14:textId="77777777" w:rsidR="001C2BD0" w:rsidRDefault="001C2BD0" w:rsidP="00F077D8">
            <w:pPr>
              <w:widowControl w:val="0"/>
              <w:ind w:firstLine="0"/>
              <w:cnfStyle w:val="000000000000" w:firstRow="0" w:lastRow="0" w:firstColumn="0" w:lastColumn="0" w:oddVBand="0" w:evenVBand="0" w:oddHBand="0" w:evenHBand="0" w:firstRowFirstColumn="0" w:firstRowLastColumn="0" w:lastRowFirstColumn="0" w:lastRowLastColumn="0"/>
              <w:rPr>
                <w:b/>
                <w:bCs/>
                <w:i/>
                <w:iCs/>
                <w:sz w:val="20"/>
                <w:szCs w:val="20"/>
              </w:rPr>
            </w:pPr>
            <w:proofErr w:type="spellStart"/>
            <w:r>
              <w:rPr>
                <w:b/>
                <w:bCs/>
                <w:i/>
                <w:iCs/>
                <w:sz w:val="20"/>
                <w:szCs w:val="20"/>
              </w:rPr>
              <w:t>MetalFF</w:t>
            </w:r>
            <w:proofErr w:type="spellEnd"/>
            <w:r>
              <w:rPr>
                <w:b/>
                <w:bCs/>
                <w:i/>
                <w:iCs/>
                <w:sz w:val="20"/>
                <w:szCs w:val="20"/>
              </w:rPr>
              <w:t>-tax*labor</w:t>
            </w:r>
          </w:p>
        </w:tc>
        <w:tc>
          <w:tcPr>
            <w:tcW w:w="6480" w:type="dxa"/>
            <w:shd w:val="clear" w:color="auto" w:fill="D0CECE" w:themeFill="background2" w:themeFillShade="E6"/>
          </w:tcPr>
          <w:p w14:paraId="7D344C2A" w14:textId="77777777" w:rsidR="001C2BD0" w:rsidRPr="009339D2" w:rsidRDefault="001C2BD0" w:rsidP="00F077D8">
            <w:pPr>
              <w:widowControl w:val="0"/>
              <w:ind w:firstLine="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r w:rsidRPr="007F5FAA">
              <w:rPr>
                <w:sz w:val="20"/>
                <w:szCs w:val="20"/>
              </w:rPr>
              <w:t>sub-scenario</w:t>
            </w:r>
            <w:r>
              <w:rPr>
                <w:sz w:val="20"/>
                <w:szCs w:val="20"/>
              </w:rPr>
              <w:t xml:space="preserve">) </w:t>
            </w:r>
            <w:proofErr w:type="spellStart"/>
            <w:r w:rsidRPr="001D5CEA">
              <w:rPr>
                <w:sz w:val="20"/>
                <w:szCs w:val="20"/>
              </w:rPr>
              <w:t>MetalFF</w:t>
            </w:r>
            <w:proofErr w:type="spellEnd"/>
            <w:r w:rsidRPr="001D5CEA">
              <w:rPr>
                <w:sz w:val="20"/>
                <w:szCs w:val="20"/>
              </w:rPr>
              <w:t>-tax</w:t>
            </w:r>
            <w:r w:rsidRPr="007F5FAA">
              <w:rPr>
                <w:sz w:val="20"/>
                <w:szCs w:val="20"/>
              </w:rPr>
              <w:t xml:space="preserve"> with recycling of all additional tax revenue (from taxing primary production of metals and plastics) via reducing labor taxes (uniform reduction across all sectors)</w:t>
            </w:r>
          </w:p>
        </w:tc>
      </w:tr>
      <w:tr w:rsidR="001C2BD0" w:rsidRPr="009339D2" w14:paraId="0FC0A9E0" w14:textId="77777777" w:rsidTr="001D5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7" w:type="dxa"/>
            <w:vMerge/>
          </w:tcPr>
          <w:p w14:paraId="69FBC7CE" w14:textId="77777777" w:rsidR="001C2BD0" w:rsidRDefault="001C2BD0" w:rsidP="00F077D8">
            <w:pPr>
              <w:widowControl w:val="0"/>
              <w:rPr>
                <w:sz w:val="20"/>
                <w:szCs w:val="20"/>
              </w:rPr>
            </w:pPr>
          </w:p>
        </w:tc>
        <w:tc>
          <w:tcPr>
            <w:tcW w:w="1890" w:type="dxa"/>
            <w:shd w:val="clear" w:color="auto" w:fill="D0CECE" w:themeFill="background2" w:themeFillShade="E6"/>
          </w:tcPr>
          <w:p w14:paraId="7B2D1A3A" w14:textId="77777777" w:rsidR="001C2BD0" w:rsidRPr="009339D2" w:rsidRDefault="001C2BD0" w:rsidP="00F077D8">
            <w:pPr>
              <w:widowControl w:val="0"/>
              <w:ind w:firstLine="0"/>
              <w:cnfStyle w:val="000000100000" w:firstRow="0" w:lastRow="0" w:firstColumn="0" w:lastColumn="0" w:oddVBand="0" w:evenVBand="0" w:oddHBand="1" w:evenHBand="0" w:firstRowFirstColumn="0" w:firstRowLastColumn="0" w:lastRowFirstColumn="0" w:lastRowLastColumn="0"/>
              <w:rPr>
                <w:b/>
                <w:bCs/>
                <w:i/>
                <w:iCs/>
                <w:sz w:val="20"/>
                <w:szCs w:val="20"/>
              </w:rPr>
            </w:pPr>
            <w:proofErr w:type="spellStart"/>
            <w:r>
              <w:rPr>
                <w:b/>
                <w:bCs/>
                <w:i/>
                <w:iCs/>
                <w:sz w:val="20"/>
                <w:szCs w:val="20"/>
              </w:rPr>
              <w:t>MetalFF</w:t>
            </w:r>
            <w:proofErr w:type="spellEnd"/>
            <w:r>
              <w:rPr>
                <w:b/>
                <w:bCs/>
                <w:i/>
                <w:iCs/>
                <w:sz w:val="20"/>
                <w:szCs w:val="20"/>
              </w:rPr>
              <w:t>- subsidy</w:t>
            </w:r>
          </w:p>
        </w:tc>
        <w:tc>
          <w:tcPr>
            <w:tcW w:w="6480" w:type="dxa"/>
            <w:shd w:val="clear" w:color="auto" w:fill="D0CECE" w:themeFill="background2" w:themeFillShade="E6"/>
          </w:tcPr>
          <w:p w14:paraId="0C540E99" w14:textId="77777777" w:rsidR="001C2BD0" w:rsidRPr="009339D2" w:rsidRDefault="001C2BD0" w:rsidP="00F077D8">
            <w:pPr>
              <w:widowControl w:val="0"/>
              <w:ind w:firstLine="0"/>
              <w:cnfStyle w:val="000000100000" w:firstRow="0" w:lastRow="0" w:firstColumn="0" w:lastColumn="0" w:oddVBand="0" w:evenVBand="0" w:oddHBand="1" w:evenHBand="0" w:firstRowFirstColumn="0" w:firstRowLastColumn="0" w:lastRowFirstColumn="0" w:lastRowLastColumn="0"/>
              <w:rPr>
                <w:sz w:val="20"/>
                <w:szCs w:val="20"/>
              </w:rPr>
            </w:pPr>
            <w:r w:rsidRPr="001D5CEA">
              <w:rPr>
                <w:sz w:val="20"/>
                <w:szCs w:val="20"/>
              </w:rPr>
              <w:t>EGD-NDC</w:t>
            </w:r>
            <w:r w:rsidRPr="009339D2">
              <w:rPr>
                <w:sz w:val="20"/>
                <w:szCs w:val="20"/>
              </w:rPr>
              <w:t xml:space="preserve"> plus a 30% subsidy on secondary production of metals and plastics in Europe only</w:t>
            </w:r>
          </w:p>
        </w:tc>
      </w:tr>
      <w:tr w:rsidR="001C2BD0" w:rsidRPr="009339D2" w14:paraId="491F99DF" w14:textId="77777777" w:rsidTr="001D5CEA">
        <w:tc>
          <w:tcPr>
            <w:cnfStyle w:val="001000000000" w:firstRow="0" w:lastRow="0" w:firstColumn="1" w:lastColumn="0" w:oddVBand="0" w:evenVBand="0" w:oddHBand="0" w:evenHBand="0" w:firstRowFirstColumn="0" w:firstRowLastColumn="0" w:lastRowFirstColumn="0" w:lastRowLastColumn="0"/>
            <w:tcW w:w="1257" w:type="dxa"/>
            <w:vMerge/>
          </w:tcPr>
          <w:p w14:paraId="6D41A2E1" w14:textId="77777777" w:rsidR="001C2BD0" w:rsidRDefault="001C2BD0" w:rsidP="00F077D8">
            <w:pPr>
              <w:widowControl w:val="0"/>
              <w:rPr>
                <w:sz w:val="20"/>
                <w:szCs w:val="20"/>
              </w:rPr>
            </w:pPr>
          </w:p>
        </w:tc>
        <w:tc>
          <w:tcPr>
            <w:tcW w:w="1890" w:type="dxa"/>
            <w:shd w:val="clear" w:color="auto" w:fill="D0CECE" w:themeFill="background2" w:themeFillShade="E6"/>
          </w:tcPr>
          <w:p w14:paraId="0A128DE6" w14:textId="77777777" w:rsidR="001C2BD0" w:rsidRPr="009339D2" w:rsidRDefault="001C2BD0" w:rsidP="00F077D8">
            <w:pPr>
              <w:widowControl w:val="0"/>
              <w:ind w:firstLine="0"/>
              <w:cnfStyle w:val="000000000000" w:firstRow="0" w:lastRow="0" w:firstColumn="0" w:lastColumn="0" w:oddVBand="0" w:evenVBand="0" w:oddHBand="0" w:evenHBand="0" w:firstRowFirstColumn="0" w:firstRowLastColumn="0" w:lastRowFirstColumn="0" w:lastRowLastColumn="0"/>
              <w:rPr>
                <w:b/>
                <w:bCs/>
                <w:i/>
                <w:iCs/>
                <w:sz w:val="20"/>
                <w:szCs w:val="20"/>
              </w:rPr>
            </w:pPr>
            <w:proofErr w:type="spellStart"/>
            <w:r>
              <w:rPr>
                <w:b/>
                <w:bCs/>
                <w:i/>
                <w:iCs/>
                <w:sz w:val="20"/>
                <w:szCs w:val="20"/>
              </w:rPr>
              <w:t>MetalFF</w:t>
            </w:r>
            <w:proofErr w:type="spellEnd"/>
            <w:r>
              <w:rPr>
                <w:b/>
                <w:bCs/>
                <w:i/>
                <w:iCs/>
                <w:sz w:val="20"/>
                <w:szCs w:val="20"/>
              </w:rPr>
              <w:t>-total</w:t>
            </w:r>
          </w:p>
        </w:tc>
        <w:tc>
          <w:tcPr>
            <w:tcW w:w="6480" w:type="dxa"/>
            <w:shd w:val="clear" w:color="auto" w:fill="D0CECE" w:themeFill="background2" w:themeFillShade="E6"/>
          </w:tcPr>
          <w:p w14:paraId="04DA6349" w14:textId="77777777" w:rsidR="001C2BD0" w:rsidRPr="009339D2" w:rsidRDefault="001C2BD0" w:rsidP="00F077D8">
            <w:pPr>
              <w:widowControl w:val="0"/>
              <w:ind w:firstLine="0"/>
              <w:cnfStyle w:val="000000000000" w:firstRow="0" w:lastRow="0" w:firstColumn="0" w:lastColumn="0" w:oddVBand="0" w:evenVBand="0" w:oddHBand="0" w:evenHBand="0" w:firstRowFirstColumn="0" w:firstRowLastColumn="0" w:lastRowFirstColumn="0" w:lastRowLastColumn="0"/>
              <w:rPr>
                <w:sz w:val="20"/>
                <w:szCs w:val="20"/>
              </w:rPr>
            </w:pPr>
            <w:r w:rsidRPr="001D5CEA">
              <w:rPr>
                <w:sz w:val="20"/>
                <w:szCs w:val="20"/>
              </w:rPr>
              <w:t>EGD-NDC</w:t>
            </w:r>
            <w:r w:rsidRPr="009339D2">
              <w:rPr>
                <w:sz w:val="20"/>
                <w:szCs w:val="20"/>
              </w:rPr>
              <w:t xml:space="preserve"> plus a 30% tax on primary production of metals and plastics and a 30% subsidy on secondary production of metals and plastics in Europe only</w:t>
            </w:r>
          </w:p>
        </w:tc>
      </w:tr>
      <w:tr w:rsidR="001C2BD0" w:rsidRPr="009339D2" w14:paraId="6E71D358" w14:textId="77777777" w:rsidTr="001D5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7" w:type="dxa"/>
            <w:vMerge/>
          </w:tcPr>
          <w:p w14:paraId="5C5EDC3F" w14:textId="77777777" w:rsidR="001C2BD0" w:rsidRDefault="001C2BD0" w:rsidP="00F077D8">
            <w:pPr>
              <w:widowControl w:val="0"/>
              <w:rPr>
                <w:sz w:val="20"/>
                <w:szCs w:val="20"/>
              </w:rPr>
            </w:pPr>
          </w:p>
        </w:tc>
        <w:tc>
          <w:tcPr>
            <w:tcW w:w="1890" w:type="dxa"/>
            <w:shd w:val="clear" w:color="auto" w:fill="D0CECE" w:themeFill="background2" w:themeFillShade="E6"/>
          </w:tcPr>
          <w:p w14:paraId="3E344DBB" w14:textId="77777777" w:rsidR="001C2BD0" w:rsidRDefault="001C2BD0" w:rsidP="00F077D8">
            <w:pPr>
              <w:widowControl w:val="0"/>
              <w:ind w:firstLine="0"/>
              <w:cnfStyle w:val="000000100000" w:firstRow="0" w:lastRow="0" w:firstColumn="0" w:lastColumn="0" w:oddVBand="0" w:evenVBand="0" w:oddHBand="1" w:evenHBand="0" w:firstRowFirstColumn="0" w:firstRowLastColumn="0" w:lastRowFirstColumn="0" w:lastRowLastColumn="0"/>
              <w:rPr>
                <w:b/>
                <w:bCs/>
                <w:i/>
                <w:iCs/>
                <w:sz w:val="20"/>
                <w:szCs w:val="20"/>
              </w:rPr>
            </w:pPr>
            <w:proofErr w:type="spellStart"/>
            <w:r>
              <w:rPr>
                <w:b/>
                <w:bCs/>
                <w:i/>
                <w:iCs/>
                <w:sz w:val="20"/>
                <w:szCs w:val="20"/>
              </w:rPr>
              <w:t>MetalFF</w:t>
            </w:r>
            <w:proofErr w:type="spellEnd"/>
            <w:r>
              <w:rPr>
                <w:b/>
                <w:bCs/>
                <w:i/>
                <w:iCs/>
                <w:sz w:val="20"/>
                <w:szCs w:val="20"/>
              </w:rPr>
              <w:t>-total*BAT</w:t>
            </w:r>
          </w:p>
        </w:tc>
        <w:tc>
          <w:tcPr>
            <w:tcW w:w="6480" w:type="dxa"/>
            <w:shd w:val="clear" w:color="auto" w:fill="D0CECE" w:themeFill="background2" w:themeFillShade="E6"/>
          </w:tcPr>
          <w:p w14:paraId="7796C789" w14:textId="77777777" w:rsidR="001C2BD0" w:rsidRPr="003F6AEB" w:rsidRDefault="001C2BD0" w:rsidP="00F077D8">
            <w:pPr>
              <w:widowControl w:val="0"/>
              <w:ind w:firstLine="0"/>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D5CEA">
              <w:rPr>
                <w:sz w:val="20"/>
                <w:szCs w:val="20"/>
              </w:rPr>
              <w:t>MetalFF</w:t>
            </w:r>
            <w:proofErr w:type="spellEnd"/>
            <w:r w:rsidRPr="001D5CEA">
              <w:rPr>
                <w:sz w:val="20"/>
                <w:szCs w:val="20"/>
              </w:rPr>
              <w:t xml:space="preserve">-total </w:t>
            </w:r>
            <w:r w:rsidRPr="003F6AEB">
              <w:rPr>
                <w:sz w:val="20"/>
                <w:szCs w:val="20"/>
              </w:rPr>
              <w:t xml:space="preserve">with border adjustment </w:t>
            </w:r>
            <w:r>
              <w:rPr>
                <w:sz w:val="20"/>
                <w:szCs w:val="20"/>
              </w:rPr>
              <w:t xml:space="preserve">tax </w:t>
            </w:r>
            <w:r w:rsidRPr="003F6AEB">
              <w:rPr>
                <w:sz w:val="20"/>
                <w:szCs w:val="20"/>
              </w:rPr>
              <w:t xml:space="preserve">based on the content of primary metals and plastic </w:t>
            </w:r>
            <w:r>
              <w:rPr>
                <w:sz w:val="20"/>
                <w:szCs w:val="20"/>
              </w:rPr>
              <w:t>embedded</w:t>
            </w:r>
            <w:r w:rsidRPr="003F6AEB">
              <w:rPr>
                <w:sz w:val="20"/>
                <w:szCs w:val="20"/>
              </w:rPr>
              <w:t xml:space="preserve"> into imports of manufactured goods</w:t>
            </w:r>
            <w:r>
              <w:rPr>
                <w:sz w:val="20"/>
                <w:szCs w:val="20"/>
              </w:rPr>
              <w:t xml:space="preserve"> plus a subsidy to exporters to offset the impact of the primary materials tax on the value of materials embedded in export products</w:t>
            </w:r>
          </w:p>
        </w:tc>
      </w:tr>
      <w:tr w:rsidR="001C2BD0" w:rsidRPr="009339D2" w14:paraId="5A2E59B8" w14:textId="77777777" w:rsidTr="001D5CEA">
        <w:tc>
          <w:tcPr>
            <w:cnfStyle w:val="001000000000" w:firstRow="0" w:lastRow="0" w:firstColumn="1" w:lastColumn="0" w:oddVBand="0" w:evenVBand="0" w:oddHBand="0" w:evenHBand="0" w:firstRowFirstColumn="0" w:firstRowLastColumn="0" w:lastRowFirstColumn="0" w:lastRowLastColumn="0"/>
            <w:tcW w:w="1257" w:type="dxa"/>
            <w:vMerge/>
          </w:tcPr>
          <w:p w14:paraId="1FC5CB7C" w14:textId="77777777" w:rsidR="001C2BD0" w:rsidRDefault="001C2BD0" w:rsidP="00F077D8">
            <w:pPr>
              <w:widowControl w:val="0"/>
              <w:rPr>
                <w:sz w:val="20"/>
                <w:szCs w:val="20"/>
              </w:rPr>
            </w:pPr>
          </w:p>
        </w:tc>
        <w:tc>
          <w:tcPr>
            <w:tcW w:w="1890" w:type="dxa"/>
            <w:shd w:val="clear" w:color="auto" w:fill="D0CECE" w:themeFill="background2" w:themeFillShade="E6"/>
          </w:tcPr>
          <w:p w14:paraId="021C18E9" w14:textId="77777777" w:rsidR="001C2BD0" w:rsidRDefault="001C2BD0" w:rsidP="00F077D8">
            <w:pPr>
              <w:widowControl w:val="0"/>
              <w:ind w:firstLine="0"/>
              <w:cnfStyle w:val="000000000000" w:firstRow="0" w:lastRow="0" w:firstColumn="0" w:lastColumn="0" w:oddVBand="0" w:evenVBand="0" w:oddHBand="0" w:evenHBand="0" w:firstRowFirstColumn="0" w:firstRowLastColumn="0" w:lastRowFirstColumn="0" w:lastRowLastColumn="0"/>
              <w:rPr>
                <w:b/>
                <w:bCs/>
                <w:i/>
                <w:iCs/>
                <w:sz w:val="20"/>
                <w:szCs w:val="20"/>
              </w:rPr>
            </w:pPr>
            <w:r>
              <w:rPr>
                <w:b/>
                <w:bCs/>
                <w:i/>
                <w:iCs/>
                <w:sz w:val="20"/>
                <w:szCs w:val="20"/>
              </w:rPr>
              <w:t>NMN-tax</w:t>
            </w:r>
          </w:p>
        </w:tc>
        <w:tc>
          <w:tcPr>
            <w:tcW w:w="6480" w:type="dxa"/>
            <w:shd w:val="clear" w:color="auto" w:fill="D0CECE" w:themeFill="background2" w:themeFillShade="E6"/>
          </w:tcPr>
          <w:p w14:paraId="0AF4535A" w14:textId="77777777" w:rsidR="001C2BD0" w:rsidRPr="009339D2" w:rsidRDefault="001C2BD0" w:rsidP="00F077D8">
            <w:pPr>
              <w:widowControl w:val="0"/>
              <w:ind w:firstLine="0"/>
              <w:cnfStyle w:val="000000000000" w:firstRow="0" w:lastRow="0" w:firstColumn="0" w:lastColumn="0" w:oddVBand="0" w:evenVBand="0" w:oddHBand="0" w:evenHBand="0" w:firstRowFirstColumn="0" w:firstRowLastColumn="0" w:lastRowFirstColumn="0" w:lastRowLastColumn="0"/>
              <w:rPr>
                <w:sz w:val="20"/>
                <w:szCs w:val="20"/>
              </w:rPr>
            </w:pPr>
            <w:r w:rsidRPr="001D5CEA">
              <w:rPr>
                <w:sz w:val="20"/>
                <w:szCs w:val="20"/>
              </w:rPr>
              <w:t>EGD-NDC</w:t>
            </w:r>
            <w:r w:rsidRPr="009339D2">
              <w:rPr>
                <w:sz w:val="20"/>
                <w:szCs w:val="20"/>
              </w:rPr>
              <w:t xml:space="preserve"> plus 20% tax on mining and imports of non-metallic minerals</w:t>
            </w:r>
            <w:r>
              <w:rPr>
                <w:sz w:val="20"/>
                <w:szCs w:val="20"/>
              </w:rPr>
              <w:t xml:space="preserve"> (construction materials)</w:t>
            </w:r>
            <w:r w:rsidRPr="009339D2">
              <w:rPr>
                <w:sz w:val="20"/>
                <w:szCs w:val="20"/>
              </w:rPr>
              <w:t>, with rebate for exports</w:t>
            </w:r>
          </w:p>
        </w:tc>
      </w:tr>
      <w:tr w:rsidR="001C2BD0" w:rsidRPr="009339D2" w14:paraId="5CD904AE" w14:textId="77777777" w:rsidTr="001D5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7" w:type="dxa"/>
            <w:vMerge/>
          </w:tcPr>
          <w:p w14:paraId="3F34D741" w14:textId="77777777" w:rsidR="001C2BD0" w:rsidRDefault="001C2BD0" w:rsidP="00F077D8">
            <w:pPr>
              <w:widowControl w:val="0"/>
              <w:rPr>
                <w:sz w:val="20"/>
                <w:szCs w:val="20"/>
              </w:rPr>
            </w:pPr>
          </w:p>
        </w:tc>
        <w:tc>
          <w:tcPr>
            <w:tcW w:w="1890" w:type="dxa"/>
          </w:tcPr>
          <w:p w14:paraId="6932A6FC" w14:textId="77777777" w:rsidR="001C2BD0" w:rsidRPr="009339D2" w:rsidRDefault="001C2BD0" w:rsidP="00F077D8">
            <w:pPr>
              <w:widowControl w:val="0"/>
              <w:ind w:firstLine="0"/>
              <w:cnfStyle w:val="000000100000" w:firstRow="0" w:lastRow="0" w:firstColumn="0" w:lastColumn="0" w:oddVBand="0" w:evenVBand="0" w:oddHBand="1" w:evenHBand="0" w:firstRowFirstColumn="0" w:firstRowLastColumn="0" w:lastRowFirstColumn="0" w:lastRowLastColumn="0"/>
              <w:rPr>
                <w:b/>
                <w:bCs/>
                <w:i/>
                <w:iCs/>
                <w:sz w:val="20"/>
                <w:szCs w:val="20"/>
              </w:rPr>
            </w:pPr>
            <w:r>
              <w:rPr>
                <w:b/>
                <w:bCs/>
                <w:i/>
                <w:iCs/>
                <w:sz w:val="20"/>
                <w:szCs w:val="20"/>
              </w:rPr>
              <w:t>NMN-tax*BAT</w:t>
            </w:r>
          </w:p>
        </w:tc>
        <w:tc>
          <w:tcPr>
            <w:tcW w:w="6480" w:type="dxa"/>
            <w:shd w:val="clear" w:color="auto" w:fill="D0CECE" w:themeFill="background2" w:themeFillShade="E6"/>
          </w:tcPr>
          <w:p w14:paraId="573D1199" w14:textId="77777777" w:rsidR="001C2BD0" w:rsidRPr="004F16CB" w:rsidRDefault="001C2BD0" w:rsidP="00F077D8">
            <w:pPr>
              <w:widowControl w:val="0"/>
              <w:ind w:firstLine="0"/>
              <w:cnfStyle w:val="000000100000" w:firstRow="0" w:lastRow="0" w:firstColumn="0" w:lastColumn="0" w:oddVBand="0" w:evenVBand="0" w:oddHBand="1" w:evenHBand="0" w:firstRowFirstColumn="0" w:firstRowLastColumn="0" w:lastRowFirstColumn="0" w:lastRowLastColumn="0"/>
              <w:rPr>
                <w:sz w:val="20"/>
                <w:szCs w:val="20"/>
              </w:rPr>
            </w:pPr>
            <w:r>
              <w:rPr>
                <w:i/>
                <w:iCs/>
                <w:sz w:val="20"/>
                <w:szCs w:val="20"/>
              </w:rPr>
              <w:t>NMN-tax</w:t>
            </w:r>
            <w:r w:rsidRPr="004F16CB">
              <w:rPr>
                <w:i/>
                <w:iCs/>
                <w:sz w:val="20"/>
                <w:szCs w:val="20"/>
              </w:rPr>
              <w:t xml:space="preserve"> </w:t>
            </w:r>
            <w:r w:rsidRPr="004F16CB">
              <w:rPr>
                <w:sz w:val="20"/>
                <w:szCs w:val="20"/>
              </w:rPr>
              <w:t>with border adjustment tax based on the content of non-metallic mineral</w:t>
            </w:r>
            <w:r>
              <w:rPr>
                <w:sz w:val="20"/>
                <w:szCs w:val="20"/>
              </w:rPr>
              <w:t>s embedded</w:t>
            </w:r>
            <w:r w:rsidRPr="004F16CB">
              <w:rPr>
                <w:sz w:val="20"/>
                <w:szCs w:val="20"/>
              </w:rPr>
              <w:t xml:space="preserve"> into imports of manufactured goods</w:t>
            </w:r>
            <w:r>
              <w:rPr>
                <w:sz w:val="20"/>
                <w:szCs w:val="20"/>
              </w:rPr>
              <w:t xml:space="preserve"> plus a subsidy to exporters to offset the impact of the primary materials tax on the value of materials embedded in export products</w:t>
            </w:r>
          </w:p>
        </w:tc>
      </w:tr>
      <w:tr w:rsidR="001C2BD0" w:rsidRPr="009339D2" w14:paraId="39A1DDF1" w14:textId="77777777" w:rsidTr="001D5CEA">
        <w:tc>
          <w:tcPr>
            <w:cnfStyle w:val="001000000000" w:firstRow="0" w:lastRow="0" w:firstColumn="1" w:lastColumn="0" w:oddVBand="0" w:evenVBand="0" w:oddHBand="0" w:evenHBand="0" w:firstRowFirstColumn="0" w:firstRowLastColumn="0" w:lastRowFirstColumn="0" w:lastRowLastColumn="0"/>
            <w:tcW w:w="1257" w:type="dxa"/>
          </w:tcPr>
          <w:p w14:paraId="0C9568D9" w14:textId="77777777" w:rsidR="001C2BD0" w:rsidRPr="008A77D7" w:rsidRDefault="001C2BD0" w:rsidP="00F077D8">
            <w:pPr>
              <w:widowControl w:val="0"/>
              <w:ind w:firstLine="0"/>
              <w:rPr>
                <w:sz w:val="20"/>
                <w:szCs w:val="20"/>
              </w:rPr>
            </w:pPr>
            <w:r>
              <w:rPr>
                <w:sz w:val="20"/>
                <w:szCs w:val="20"/>
              </w:rPr>
              <w:t>Redesign / ‘designing out’ materials</w:t>
            </w:r>
          </w:p>
        </w:tc>
        <w:tc>
          <w:tcPr>
            <w:tcW w:w="1890" w:type="dxa"/>
          </w:tcPr>
          <w:p w14:paraId="5AE3F3F1" w14:textId="77777777" w:rsidR="001C2BD0" w:rsidRPr="009339D2" w:rsidRDefault="001C2BD0" w:rsidP="00F077D8">
            <w:pPr>
              <w:widowControl w:val="0"/>
              <w:ind w:firstLine="0"/>
              <w:cnfStyle w:val="000000000000" w:firstRow="0" w:lastRow="0" w:firstColumn="0" w:lastColumn="0" w:oddVBand="0" w:evenVBand="0" w:oddHBand="0" w:evenHBand="0" w:firstRowFirstColumn="0" w:firstRowLastColumn="0" w:lastRowFirstColumn="0" w:lastRowLastColumn="0"/>
              <w:rPr>
                <w:b/>
                <w:bCs/>
                <w:i/>
                <w:iCs/>
                <w:sz w:val="20"/>
                <w:szCs w:val="20"/>
              </w:rPr>
            </w:pPr>
            <w:r w:rsidRPr="009339D2">
              <w:rPr>
                <w:b/>
                <w:bCs/>
                <w:i/>
                <w:iCs/>
                <w:sz w:val="20"/>
                <w:szCs w:val="20"/>
              </w:rPr>
              <w:t>Design</w:t>
            </w:r>
          </w:p>
        </w:tc>
        <w:tc>
          <w:tcPr>
            <w:tcW w:w="6480" w:type="dxa"/>
          </w:tcPr>
          <w:p w14:paraId="76125DB5" w14:textId="77777777" w:rsidR="001C2BD0" w:rsidRPr="009339D2" w:rsidRDefault="001C2BD0" w:rsidP="00F077D8">
            <w:pPr>
              <w:widowControl w:val="0"/>
              <w:ind w:firstLine="0"/>
              <w:cnfStyle w:val="000000000000" w:firstRow="0" w:lastRow="0" w:firstColumn="0" w:lastColumn="0" w:oddVBand="0" w:evenVBand="0" w:oddHBand="0" w:evenHBand="0" w:firstRowFirstColumn="0" w:firstRowLastColumn="0" w:lastRowFirstColumn="0" w:lastRowLastColumn="0"/>
              <w:rPr>
                <w:sz w:val="20"/>
                <w:szCs w:val="20"/>
              </w:rPr>
            </w:pPr>
            <w:r w:rsidRPr="0013388C">
              <w:rPr>
                <w:i/>
                <w:iCs/>
                <w:sz w:val="20"/>
                <w:szCs w:val="20"/>
              </w:rPr>
              <w:t>EGD-NDC</w:t>
            </w:r>
            <w:r w:rsidRPr="009339D2">
              <w:rPr>
                <w:sz w:val="20"/>
                <w:szCs w:val="20"/>
              </w:rPr>
              <w:t xml:space="preserve"> plus an improvement in the efficient use of materials in 6 activities (wood and paper products, primary and secondary plastics, metal casting, other manufacturing and construction) in Europe only. The improvement in materials use affects the use of wood and paper products, chemicals, plastics, plastic re-cycling, non-metallic minerals, iron and steel, recycled steel, aluminum, recycled aluminum, copper, recycled copper, other metal products, recycled other metals, metal casting products and other manufacturing. The improvement is 2% per year starting in 2023. </w:t>
            </w:r>
            <w:r>
              <w:rPr>
                <w:sz w:val="20"/>
                <w:szCs w:val="20"/>
              </w:rPr>
              <w:t xml:space="preserve">These improvements are compensated by increasing </w:t>
            </w:r>
            <w:r w:rsidRPr="009339D2">
              <w:rPr>
                <w:sz w:val="20"/>
                <w:szCs w:val="20"/>
              </w:rPr>
              <w:t xml:space="preserve">use of other services per unit of output due to </w:t>
            </w:r>
            <w:r>
              <w:rPr>
                <w:sz w:val="20"/>
                <w:szCs w:val="20"/>
              </w:rPr>
              <w:t>higher</w:t>
            </w:r>
            <w:r w:rsidRPr="009339D2">
              <w:rPr>
                <w:sz w:val="20"/>
                <w:szCs w:val="20"/>
              </w:rPr>
              <w:t xml:space="preserve"> R &amp; D, design, etc</w:t>
            </w:r>
            <w:r>
              <w:rPr>
                <w:sz w:val="20"/>
                <w:szCs w:val="20"/>
              </w:rPr>
              <w:t xml:space="preserve">. expenditures. </w:t>
            </w:r>
          </w:p>
        </w:tc>
      </w:tr>
      <w:tr w:rsidR="001C2BD0" w:rsidRPr="009339D2" w14:paraId="1502667A" w14:textId="77777777" w:rsidTr="001D5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7" w:type="dxa"/>
          </w:tcPr>
          <w:p w14:paraId="11CC43B1" w14:textId="77777777" w:rsidR="001C2BD0" w:rsidRPr="00CC11F8" w:rsidRDefault="001C2BD0" w:rsidP="00F077D8">
            <w:pPr>
              <w:widowControl w:val="0"/>
              <w:ind w:firstLine="0"/>
              <w:rPr>
                <w:sz w:val="20"/>
                <w:szCs w:val="20"/>
              </w:rPr>
            </w:pPr>
            <w:r w:rsidRPr="00CC11F8">
              <w:rPr>
                <w:sz w:val="20"/>
                <w:szCs w:val="20"/>
              </w:rPr>
              <w:t>Extending product lifetime</w:t>
            </w:r>
          </w:p>
        </w:tc>
        <w:tc>
          <w:tcPr>
            <w:tcW w:w="1890" w:type="dxa"/>
          </w:tcPr>
          <w:p w14:paraId="644D884F" w14:textId="77777777" w:rsidR="001C2BD0" w:rsidRPr="009339D2" w:rsidRDefault="001C2BD0" w:rsidP="00F077D8">
            <w:pPr>
              <w:widowControl w:val="0"/>
              <w:ind w:firstLine="0"/>
              <w:cnfStyle w:val="000000100000" w:firstRow="0" w:lastRow="0" w:firstColumn="0" w:lastColumn="0" w:oddVBand="0" w:evenVBand="0" w:oddHBand="1" w:evenHBand="0" w:firstRowFirstColumn="0" w:firstRowLastColumn="0" w:lastRowFirstColumn="0" w:lastRowLastColumn="0"/>
              <w:rPr>
                <w:b/>
                <w:bCs/>
                <w:i/>
                <w:iCs/>
                <w:sz w:val="20"/>
                <w:szCs w:val="20"/>
              </w:rPr>
            </w:pPr>
            <w:r w:rsidRPr="009339D2">
              <w:rPr>
                <w:b/>
                <w:bCs/>
                <w:i/>
                <w:iCs/>
                <w:sz w:val="20"/>
                <w:szCs w:val="20"/>
              </w:rPr>
              <w:t>Exten</w:t>
            </w:r>
            <w:r>
              <w:rPr>
                <w:b/>
                <w:bCs/>
                <w:i/>
                <w:iCs/>
                <w:sz w:val="20"/>
                <w:szCs w:val="20"/>
              </w:rPr>
              <w:t>d</w:t>
            </w:r>
          </w:p>
        </w:tc>
        <w:tc>
          <w:tcPr>
            <w:tcW w:w="6480" w:type="dxa"/>
          </w:tcPr>
          <w:p w14:paraId="0D732295" w14:textId="77777777" w:rsidR="001C2BD0" w:rsidRPr="009339D2" w:rsidRDefault="001C2BD0" w:rsidP="00F077D8">
            <w:pPr>
              <w:widowControl w:val="0"/>
              <w:ind w:firstLine="0"/>
              <w:cnfStyle w:val="000000100000" w:firstRow="0" w:lastRow="0" w:firstColumn="0" w:lastColumn="0" w:oddVBand="0" w:evenVBand="0" w:oddHBand="1" w:evenHBand="0" w:firstRowFirstColumn="0" w:firstRowLastColumn="0" w:lastRowFirstColumn="0" w:lastRowLastColumn="0"/>
              <w:rPr>
                <w:sz w:val="20"/>
                <w:szCs w:val="20"/>
              </w:rPr>
            </w:pPr>
            <w:r w:rsidRPr="0013388C">
              <w:rPr>
                <w:i/>
                <w:iCs/>
                <w:sz w:val="20"/>
                <w:szCs w:val="20"/>
              </w:rPr>
              <w:t>EGD-NDC</w:t>
            </w:r>
            <w:r w:rsidRPr="009339D2">
              <w:rPr>
                <w:sz w:val="20"/>
                <w:szCs w:val="20"/>
              </w:rPr>
              <w:t xml:space="preserve"> plus a 20% reduction in the final consumption of other manufacturing with respect to EGD</w:t>
            </w:r>
            <w:r>
              <w:rPr>
                <w:sz w:val="20"/>
                <w:szCs w:val="20"/>
              </w:rPr>
              <w:t>-NDC</w:t>
            </w:r>
            <w:r w:rsidRPr="009339D2">
              <w:rPr>
                <w:sz w:val="20"/>
                <w:szCs w:val="20"/>
              </w:rPr>
              <w:t xml:space="preserve">, achieved by an increase in the consumption of other services, in Europe only (demand for all other </w:t>
            </w:r>
            <w:r>
              <w:rPr>
                <w:sz w:val="20"/>
                <w:szCs w:val="20"/>
              </w:rPr>
              <w:t>categories is</w:t>
            </w:r>
            <w:r w:rsidRPr="009339D2">
              <w:rPr>
                <w:sz w:val="20"/>
                <w:szCs w:val="20"/>
              </w:rPr>
              <w:t xml:space="preserve"> fixed at the EGD</w:t>
            </w:r>
            <w:r>
              <w:rPr>
                <w:sz w:val="20"/>
                <w:szCs w:val="20"/>
              </w:rPr>
              <w:t>-NDC</w:t>
            </w:r>
            <w:r w:rsidRPr="009339D2">
              <w:rPr>
                <w:sz w:val="20"/>
                <w:szCs w:val="20"/>
              </w:rPr>
              <w:t xml:space="preserve"> level.)</w:t>
            </w:r>
          </w:p>
        </w:tc>
      </w:tr>
      <w:tr w:rsidR="001C2BD0" w:rsidRPr="009339D2" w14:paraId="74420A4C" w14:textId="77777777" w:rsidTr="001D5CEA">
        <w:tc>
          <w:tcPr>
            <w:cnfStyle w:val="001000000000" w:firstRow="0" w:lastRow="0" w:firstColumn="1" w:lastColumn="0" w:oddVBand="0" w:evenVBand="0" w:oddHBand="0" w:evenHBand="0" w:firstRowFirstColumn="0" w:firstRowLastColumn="0" w:lastRowFirstColumn="0" w:lastRowLastColumn="0"/>
            <w:tcW w:w="1257" w:type="dxa"/>
          </w:tcPr>
          <w:p w14:paraId="18222094" w14:textId="77777777" w:rsidR="001C2BD0" w:rsidRPr="00CC11F8" w:rsidRDefault="001C2BD0" w:rsidP="00F077D8">
            <w:pPr>
              <w:widowControl w:val="0"/>
              <w:ind w:firstLine="0"/>
              <w:rPr>
                <w:sz w:val="20"/>
                <w:szCs w:val="20"/>
              </w:rPr>
            </w:pPr>
            <w:r w:rsidRPr="00CC11F8">
              <w:rPr>
                <w:sz w:val="20"/>
                <w:szCs w:val="20"/>
              </w:rPr>
              <w:t>Shifting consumer preferences away from materials</w:t>
            </w:r>
          </w:p>
        </w:tc>
        <w:tc>
          <w:tcPr>
            <w:tcW w:w="1890" w:type="dxa"/>
          </w:tcPr>
          <w:p w14:paraId="70488177" w14:textId="77777777" w:rsidR="001C2BD0" w:rsidRPr="009339D2" w:rsidRDefault="001C2BD0" w:rsidP="00F077D8">
            <w:pPr>
              <w:widowControl w:val="0"/>
              <w:ind w:firstLine="0"/>
              <w:cnfStyle w:val="000000000000" w:firstRow="0" w:lastRow="0" w:firstColumn="0" w:lastColumn="0" w:oddVBand="0" w:evenVBand="0" w:oddHBand="0" w:evenHBand="0" w:firstRowFirstColumn="0" w:firstRowLastColumn="0" w:lastRowFirstColumn="0" w:lastRowLastColumn="0"/>
              <w:rPr>
                <w:b/>
                <w:bCs/>
                <w:i/>
                <w:iCs/>
                <w:sz w:val="20"/>
                <w:szCs w:val="20"/>
              </w:rPr>
            </w:pPr>
            <w:proofErr w:type="spellStart"/>
            <w:r>
              <w:rPr>
                <w:b/>
                <w:bCs/>
                <w:i/>
                <w:iCs/>
                <w:sz w:val="20"/>
                <w:szCs w:val="20"/>
              </w:rPr>
              <w:t>PrefShift</w:t>
            </w:r>
            <w:proofErr w:type="spellEnd"/>
          </w:p>
        </w:tc>
        <w:tc>
          <w:tcPr>
            <w:tcW w:w="6480" w:type="dxa"/>
          </w:tcPr>
          <w:p w14:paraId="289B98CF" w14:textId="77777777" w:rsidR="001C2BD0" w:rsidRPr="009339D2" w:rsidRDefault="001C2BD0" w:rsidP="00F077D8">
            <w:pPr>
              <w:widowControl w:val="0"/>
              <w:ind w:firstLine="0"/>
              <w:cnfStyle w:val="000000000000" w:firstRow="0" w:lastRow="0" w:firstColumn="0" w:lastColumn="0" w:oddVBand="0" w:evenVBand="0" w:oddHBand="0" w:evenHBand="0" w:firstRowFirstColumn="0" w:firstRowLastColumn="0" w:lastRowFirstColumn="0" w:lastRowLastColumn="0"/>
              <w:rPr>
                <w:sz w:val="20"/>
                <w:szCs w:val="20"/>
              </w:rPr>
            </w:pPr>
            <w:r w:rsidRPr="0013388C">
              <w:rPr>
                <w:i/>
                <w:iCs/>
                <w:sz w:val="20"/>
                <w:szCs w:val="20"/>
              </w:rPr>
              <w:t>EGD-NDC</w:t>
            </w:r>
            <w:r w:rsidRPr="009339D2">
              <w:rPr>
                <w:sz w:val="20"/>
                <w:szCs w:val="20"/>
              </w:rPr>
              <w:t xml:space="preserve"> plus a 20% reduction in the final consumption of material goods (including fossil fuels) achieved through changes in preferences (via phantom taxes) in Europe only. In this scenario, there is a compensating increase in the consumption of other (non-material) goods.</w:t>
            </w:r>
          </w:p>
        </w:tc>
      </w:tr>
      <w:tr w:rsidR="001C2BD0" w:rsidRPr="009339D2" w14:paraId="02083C54" w14:textId="77777777" w:rsidTr="001D5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7" w:type="dxa"/>
            <w:gridSpan w:val="2"/>
          </w:tcPr>
          <w:p w14:paraId="2492024B" w14:textId="77777777" w:rsidR="001C2BD0" w:rsidRDefault="001C2BD0" w:rsidP="00F077D8">
            <w:pPr>
              <w:widowControl w:val="0"/>
              <w:ind w:firstLine="0"/>
              <w:rPr>
                <w:b w:val="0"/>
                <w:bCs w:val="0"/>
                <w:i/>
                <w:iCs/>
                <w:sz w:val="20"/>
                <w:szCs w:val="20"/>
              </w:rPr>
            </w:pPr>
            <w:r>
              <w:rPr>
                <w:i/>
                <w:iCs/>
                <w:sz w:val="20"/>
                <w:szCs w:val="20"/>
              </w:rPr>
              <w:t>Combined</w:t>
            </w:r>
          </w:p>
        </w:tc>
        <w:tc>
          <w:tcPr>
            <w:tcW w:w="6480" w:type="dxa"/>
          </w:tcPr>
          <w:p w14:paraId="106EB451" w14:textId="77777777" w:rsidR="001C2BD0" w:rsidRPr="007865ED" w:rsidRDefault="001C2BD0" w:rsidP="00F077D8">
            <w:pPr>
              <w:widowControl w:val="0"/>
              <w:ind w:firstLine="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Combines </w:t>
            </w:r>
            <w:proofErr w:type="spellStart"/>
            <w:r w:rsidRPr="007865ED">
              <w:rPr>
                <w:sz w:val="20"/>
                <w:szCs w:val="20"/>
              </w:rPr>
              <w:t>MetalFF</w:t>
            </w:r>
            <w:proofErr w:type="spellEnd"/>
            <w:r w:rsidRPr="007865ED">
              <w:rPr>
                <w:sz w:val="20"/>
                <w:szCs w:val="20"/>
              </w:rPr>
              <w:t>-tax + NM</w:t>
            </w:r>
            <w:r>
              <w:rPr>
                <w:sz w:val="20"/>
                <w:szCs w:val="20"/>
              </w:rPr>
              <w:t>N</w:t>
            </w:r>
            <w:r w:rsidRPr="007865ED">
              <w:rPr>
                <w:sz w:val="20"/>
                <w:szCs w:val="20"/>
              </w:rPr>
              <w:t xml:space="preserve">-tax + Design + </w:t>
            </w:r>
            <w:proofErr w:type="spellStart"/>
            <w:r w:rsidRPr="007865ED">
              <w:rPr>
                <w:sz w:val="20"/>
                <w:szCs w:val="20"/>
              </w:rPr>
              <w:t>Prefshift</w:t>
            </w:r>
            <w:proofErr w:type="spellEnd"/>
            <w:r w:rsidRPr="007865ED">
              <w:rPr>
                <w:sz w:val="20"/>
                <w:szCs w:val="20"/>
              </w:rPr>
              <w:t xml:space="preserve"> scenarios</w:t>
            </w:r>
            <w:r>
              <w:rPr>
                <w:rStyle w:val="FootnoteReference"/>
                <w:sz w:val="20"/>
                <w:szCs w:val="20"/>
              </w:rPr>
              <w:footnoteReference w:id="4"/>
            </w:r>
          </w:p>
        </w:tc>
      </w:tr>
    </w:tbl>
    <w:p w14:paraId="1281CA99" w14:textId="77777777" w:rsidR="001C2BD0" w:rsidRDefault="001C2BD0" w:rsidP="00751813"/>
    <w:p w14:paraId="3FBB0CDC" w14:textId="6D69E4F7" w:rsidR="00751813" w:rsidRPr="007865ED" w:rsidRDefault="00751813" w:rsidP="00751813">
      <w:pPr>
        <w:rPr>
          <w:szCs w:val="24"/>
        </w:rPr>
      </w:pPr>
      <w:r w:rsidRPr="0056786C">
        <w:t>The first set of scenarios focus</w:t>
      </w:r>
      <w:r>
        <w:t>es</w:t>
      </w:r>
      <w:r w:rsidRPr="0056786C">
        <w:t xml:space="preserve"> on </w:t>
      </w:r>
      <w:r w:rsidRPr="00F92F05">
        <w:t xml:space="preserve">reducing </w:t>
      </w:r>
      <w:r>
        <w:t>extraction and prod</w:t>
      </w:r>
      <w:r w:rsidRPr="00F92F05">
        <w:t xml:space="preserve">uction </w:t>
      </w:r>
      <w:r>
        <w:t xml:space="preserve">using primary materials and considers various fiscal policy approaches. </w:t>
      </w:r>
      <w:r w:rsidRPr="0056786C">
        <w:t>For metals</w:t>
      </w:r>
      <w:r>
        <w:t xml:space="preserve"> </w:t>
      </w:r>
      <w:r w:rsidRPr="0056786C">
        <w:t xml:space="preserve">(e.g. steel, </w:t>
      </w:r>
      <w:proofErr w:type="spellStart"/>
      <w:r w:rsidRPr="0056786C">
        <w:t>aluminium</w:t>
      </w:r>
      <w:proofErr w:type="spellEnd"/>
      <w:r>
        <w:t>, copper</w:t>
      </w:r>
      <w:r w:rsidRPr="0056786C">
        <w:t xml:space="preserve">) and plastics, the scenarios </w:t>
      </w:r>
      <w:r>
        <w:t>assess</w:t>
      </w:r>
      <w:r w:rsidRPr="0056786C">
        <w:t xml:space="preserve"> policies whereby a tax is imposed on primary production (</w:t>
      </w:r>
      <w:proofErr w:type="spellStart"/>
      <w:r w:rsidRPr="0056786C">
        <w:rPr>
          <w:i/>
          <w:iCs/>
        </w:rPr>
        <w:t>MetalFF</w:t>
      </w:r>
      <w:proofErr w:type="spellEnd"/>
      <w:r w:rsidRPr="0056786C">
        <w:rPr>
          <w:i/>
          <w:iCs/>
        </w:rPr>
        <w:t>-tax</w:t>
      </w:r>
      <w:r w:rsidRPr="0056786C">
        <w:t xml:space="preserve">), a subsidy is granted to secondary production </w:t>
      </w:r>
      <w:r>
        <w:t>that uses</w:t>
      </w:r>
      <w:r w:rsidRPr="0056786C">
        <w:t xml:space="preserve"> recycled materials (</w:t>
      </w:r>
      <w:proofErr w:type="spellStart"/>
      <w:r w:rsidRPr="0056786C">
        <w:rPr>
          <w:i/>
          <w:iCs/>
        </w:rPr>
        <w:t>MetalFF</w:t>
      </w:r>
      <w:proofErr w:type="spellEnd"/>
      <w:r w:rsidRPr="0056786C">
        <w:rPr>
          <w:i/>
          <w:iCs/>
        </w:rPr>
        <w:t>- subsidy</w:t>
      </w:r>
      <w:r w:rsidRPr="0056786C">
        <w:t>), and one in which both the tax and subsidy are combined (</w:t>
      </w:r>
      <w:proofErr w:type="spellStart"/>
      <w:r w:rsidRPr="0056786C">
        <w:rPr>
          <w:i/>
          <w:iCs/>
        </w:rPr>
        <w:t>MetalFF</w:t>
      </w:r>
      <w:proofErr w:type="spellEnd"/>
      <w:r w:rsidRPr="0056786C">
        <w:rPr>
          <w:i/>
          <w:iCs/>
        </w:rPr>
        <w:t xml:space="preserve">-total). </w:t>
      </w:r>
      <w:r w:rsidRPr="0056786C">
        <w:t xml:space="preserve">In the case of </w:t>
      </w:r>
      <w:r>
        <w:t xml:space="preserve">construction materials </w:t>
      </w:r>
      <w:r w:rsidRPr="0056786C">
        <w:t>(</w:t>
      </w:r>
      <w:r w:rsidRPr="006A2383">
        <w:t xml:space="preserve">non-metallic minerals </w:t>
      </w:r>
      <w:r>
        <w:t>such as limestone and clay)</w:t>
      </w:r>
      <w:r w:rsidRPr="0056786C">
        <w:t xml:space="preserve">, which account for the largest share of </w:t>
      </w:r>
      <w:r>
        <w:t>primary</w:t>
      </w:r>
      <w:r w:rsidRPr="0056786C">
        <w:t xml:space="preserve"> materials</w:t>
      </w:r>
      <w:r>
        <w:t xml:space="preserve"> (in volume terms)</w:t>
      </w:r>
      <w:r w:rsidRPr="0056786C">
        <w:t xml:space="preserve">, </w:t>
      </w:r>
      <w:r>
        <w:t xml:space="preserve">recycling and </w:t>
      </w:r>
      <w:r w:rsidRPr="0056786C">
        <w:t xml:space="preserve">secondary production is uncommon, so only a tax scenario is </w:t>
      </w:r>
      <w:r>
        <w:t>considered</w:t>
      </w:r>
      <w:r w:rsidRPr="0056786C">
        <w:t xml:space="preserve"> (</w:t>
      </w:r>
      <w:r w:rsidRPr="0056786C">
        <w:rPr>
          <w:i/>
          <w:iCs/>
        </w:rPr>
        <w:t>NM</w:t>
      </w:r>
      <w:r>
        <w:rPr>
          <w:i/>
          <w:iCs/>
        </w:rPr>
        <w:t>N</w:t>
      </w:r>
      <w:r w:rsidRPr="0056786C">
        <w:rPr>
          <w:i/>
          <w:iCs/>
        </w:rPr>
        <w:t>-tax</w:t>
      </w:r>
      <w:r w:rsidRPr="0056786C">
        <w:rPr>
          <w:b/>
          <w:bCs/>
          <w:i/>
          <w:iCs/>
          <w:sz w:val="20"/>
          <w:szCs w:val="20"/>
        </w:rPr>
        <w:t>)</w:t>
      </w:r>
      <w:r>
        <w:rPr>
          <w:b/>
          <w:bCs/>
          <w:i/>
          <w:iCs/>
          <w:sz w:val="20"/>
          <w:szCs w:val="20"/>
        </w:rPr>
        <w:t>.</w:t>
      </w:r>
      <w:r>
        <w:rPr>
          <w:sz w:val="20"/>
          <w:szCs w:val="20"/>
        </w:rPr>
        <w:t xml:space="preserve"> </w:t>
      </w:r>
    </w:p>
    <w:p w14:paraId="05E923A6" w14:textId="77777777" w:rsidR="00751813" w:rsidRDefault="00751813" w:rsidP="00751813">
      <w:r w:rsidRPr="0037388E">
        <w:t>F</w:t>
      </w:r>
      <w:r w:rsidRPr="0056786C">
        <w:t>ollowing the approach in the UK and elsewhere</w:t>
      </w:r>
      <w:r>
        <w:t xml:space="preserve"> (EEA, 2008)</w:t>
      </w:r>
      <w:r w:rsidRPr="0056786C">
        <w:t xml:space="preserve">, the scenario imposes a tax on extraction of </w:t>
      </w:r>
      <w:r>
        <w:t>raw</w:t>
      </w:r>
      <w:r w:rsidRPr="0056786C">
        <w:t xml:space="preserve"> </w:t>
      </w:r>
      <w:r>
        <w:t>minerals rather than taxing the production of processed commodities. This different treatment of metals and construction materials also offers the opportunity to see how outcomes differ when imposing taxes at different stages in the value chain</w:t>
      </w:r>
      <w:r w:rsidRPr="0056786C">
        <w:t>. For both the metals and construction materials,</w:t>
      </w:r>
      <w:r>
        <w:t xml:space="preserve"> additional scenarios assess the implications of imposing border taxes on imports of these materials into the EU (</w:t>
      </w:r>
      <w:proofErr w:type="spellStart"/>
      <w:r w:rsidRPr="0056786C">
        <w:rPr>
          <w:i/>
          <w:iCs/>
        </w:rPr>
        <w:t>MetalFF</w:t>
      </w:r>
      <w:proofErr w:type="spellEnd"/>
      <w:r w:rsidRPr="0056786C">
        <w:rPr>
          <w:i/>
          <w:iCs/>
        </w:rPr>
        <w:t>-total</w:t>
      </w:r>
      <w:r>
        <w:rPr>
          <w:i/>
          <w:iCs/>
        </w:rPr>
        <w:t xml:space="preserve">*BAT </w:t>
      </w:r>
      <w:r>
        <w:t xml:space="preserve">and </w:t>
      </w:r>
      <w:r>
        <w:rPr>
          <w:i/>
          <w:iCs/>
        </w:rPr>
        <w:t xml:space="preserve">NMN-tax*BAT). </w:t>
      </w:r>
      <w:r>
        <w:t>Finally, the primary metals and plastics tax scenario is chosen to illustrate the implications of differing approaches to the use of tax revenues – specifically, transferring tax revenues directly to households (in the base scenario) versus using material tax revenues to reduce taxes on labor (</w:t>
      </w:r>
      <w:proofErr w:type="spellStart"/>
      <w:r w:rsidRPr="00DA77A5">
        <w:rPr>
          <w:i/>
          <w:iCs/>
        </w:rPr>
        <w:t>MetalFF</w:t>
      </w:r>
      <w:proofErr w:type="spellEnd"/>
      <w:r w:rsidRPr="00DA77A5">
        <w:rPr>
          <w:i/>
          <w:iCs/>
        </w:rPr>
        <w:t>-tax*labor</w:t>
      </w:r>
      <w:r>
        <w:t>).</w:t>
      </w:r>
    </w:p>
    <w:p w14:paraId="6D0D9ABD" w14:textId="77777777" w:rsidR="00751813" w:rsidRPr="007E0998" w:rsidRDefault="00751813" w:rsidP="00751813">
      <w:r w:rsidRPr="007E0998">
        <w:t>The second set of scenarios focus</w:t>
      </w:r>
      <w:r>
        <w:t>es</w:t>
      </w:r>
      <w:r w:rsidRPr="007E0998">
        <w:t xml:space="preserve"> on CE actions that impact the </w:t>
      </w:r>
      <w:r>
        <w:t xml:space="preserve">upstream </w:t>
      </w:r>
      <w:r w:rsidRPr="007E0998">
        <w:t>design and consumption of products. Such actions are likely to involve policies that are regulatory and behavioral in nature (although fiscal policy levers may also be relevant), and so scenarios in the model are more exploratory and are defined by CE outcomes rather than by specifying policies. They address the following CE objectives:</w:t>
      </w:r>
    </w:p>
    <w:p w14:paraId="3DF62D09" w14:textId="77777777" w:rsidR="00751813" w:rsidRPr="007E0998" w:rsidRDefault="00751813" w:rsidP="00751813">
      <w:pPr>
        <w:pStyle w:val="ListParagraph"/>
        <w:numPr>
          <w:ilvl w:val="0"/>
          <w:numId w:val="8"/>
        </w:numPr>
        <w:spacing w:after="60" w:line="240" w:lineRule="auto"/>
        <w:contextualSpacing w:val="0"/>
      </w:pPr>
      <w:r w:rsidRPr="007E0998">
        <w:rPr>
          <w:u w:val="single"/>
        </w:rPr>
        <w:t>‘Designing-out’ materials</w:t>
      </w:r>
      <w:r w:rsidRPr="007E0998">
        <w:t xml:space="preserve"> (</w:t>
      </w:r>
      <w:r w:rsidRPr="007E0998">
        <w:rPr>
          <w:i/>
          <w:iCs/>
        </w:rPr>
        <w:t>Design</w:t>
      </w:r>
      <w:r w:rsidRPr="007E0998">
        <w:t>): The stylized scenario aims to reflect the outcomes of policies that would incentivize firms to invest in design that would reduce the relative use of materials in final products.</w:t>
      </w:r>
    </w:p>
    <w:p w14:paraId="282A8D29" w14:textId="77777777" w:rsidR="00751813" w:rsidRPr="007E0998" w:rsidRDefault="00751813" w:rsidP="00751813">
      <w:pPr>
        <w:pStyle w:val="ListParagraph"/>
        <w:numPr>
          <w:ilvl w:val="0"/>
          <w:numId w:val="8"/>
        </w:numPr>
        <w:spacing w:after="60" w:line="240" w:lineRule="auto"/>
        <w:contextualSpacing w:val="0"/>
      </w:pPr>
      <w:r w:rsidRPr="007E0998">
        <w:rPr>
          <w:u w:val="single"/>
        </w:rPr>
        <w:t>Extending product lifetime</w:t>
      </w:r>
      <w:r w:rsidRPr="007E0998">
        <w:t xml:space="preserve"> (</w:t>
      </w:r>
      <w:r w:rsidRPr="007E0998">
        <w:rPr>
          <w:i/>
          <w:iCs/>
        </w:rPr>
        <w:t>Extend</w:t>
      </w:r>
      <w:r w:rsidRPr="007E0998">
        <w:t>): The stylized scenario aims to reflect the outcomes of policies (e.g. extended producer responsibility, right to repair) that would allow for extension of usable life of products and thus reduce relative material disposal and reduce demand for new material.</w:t>
      </w:r>
    </w:p>
    <w:p w14:paraId="03761E0A" w14:textId="77777777" w:rsidR="00751813" w:rsidRPr="007E0998" w:rsidRDefault="00751813" w:rsidP="00751813">
      <w:pPr>
        <w:pStyle w:val="ListParagraph"/>
        <w:numPr>
          <w:ilvl w:val="0"/>
          <w:numId w:val="8"/>
        </w:numPr>
        <w:spacing w:after="60" w:line="240" w:lineRule="auto"/>
        <w:contextualSpacing w:val="0"/>
      </w:pPr>
      <w:r w:rsidRPr="003C571B">
        <w:rPr>
          <w:u w:val="single"/>
        </w:rPr>
        <w:t xml:space="preserve">Reducing consumer demand for materials </w:t>
      </w:r>
      <w:r w:rsidRPr="007E0998">
        <w:t>(</w:t>
      </w:r>
      <w:proofErr w:type="spellStart"/>
      <w:r w:rsidRPr="007E0998">
        <w:rPr>
          <w:i/>
          <w:iCs/>
        </w:rPr>
        <w:t>PrefShift</w:t>
      </w:r>
      <w:proofErr w:type="spellEnd"/>
      <w:r w:rsidRPr="007E0998">
        <w:t>). The stylized scenario aims to reflect the outcomes of policies (including potentially regulatory, fiscal, as well as behavioral in nature) designed to shift consumption preferences away from material goods (e.g. toward services).</w:t>
      </w:r>
    </w:p>
    <w:p w14:paraId="3044CF5A" w14:textId="77777777" w:rsidR="008F0AA7" w:rsidRDefault="008F0AA7" w:rsidP="008F0AA7">
      <w:pPr>
        <w:pStyle w:val="Heading2"/>
      </w:pPr>
      <w:r>
        <w:t>3.2. Key findings from the baseline scenario</w:t>
      </w:r>
    </w:p>
    <w:p w14:paraId="14E3953F" w14:textId="77777777" w:rsidR="001C2BD0" w:rsidRDefault="001C2BD0" w:rsidP="001C2BD0">
      <w:r w:rsidRPr="00AA1BFE">
        <w:t>Under business-as-usual (</w:t>
      </w:r>
      <w:r w:rsidRPr="00AA1BFE">
        <w:rPr>
          <w:i/>
          <w:iCs/>
        </w:rPr>
        <w:t>BAU</w:t>
      </w:r>
      <w:r w:rsidRPr="00AA1BFE">
        <w:t>)</w:t>
      </w:r>
      <w:r>
        <w:t xml:space="preserve"> scenario</w:t>
      </w:r>
      <w:r w:rsidRPr="00AA1BFE">
        <w:t>, the production and use of primary materials continues to grow, if only at a pace well below economic growth (</w:t>
      </w:r>
      <w:r>
        <w:t>Figure 6</w:t>
      </w:r>
      <w:r w:rsidRPr="00AA1BFE">
        <w:t>)</w:t>
      </w:r>
      <w:r>
        <w:t>, maintaining recent trends towards relative, but not absolute, decoupling.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7"/>
        <w:gridCol w:w="4766"/>
      </w:tblGrid>
      <w:tr w:rsidR="001C2BD0" w14:paraId="59B147A2" w14:textId="77777777" w:rsidTr="0011383F">
        <w:tc>
          <w:tcPr>
            <w:tcW w:w="4767" w:type="dxa"/>
          </w:tcPr>
          <w:p w14:paraId="5396224A" w14:textId="77777777" w:rsidR="001C2BD0" w:rsidRDefault="001C2BD0" w:rsidP="00F077D8">
            <w:pPr>
              <w:ind w:firstLine="0"/>
            </w:pPr>
            <w:r>
              <w:rPr>
                <w:noProof/>
              </w:rPr>
              <w:lastRenderedPageBreak/>
              <w:drawing>
                <wp:inline distT="0" distB="0" distL="0" distR="0" wp14:anchorId="0115EDA5" wp14:editId="79357E65">
                  <wp:extent cx="2896896" cy="1720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96896" cy="1720850"/>
                          </a:xfrm>
                          <a:prstGeom prst="rect">
                            <a:avLst/>
                          </a:prstGeom>
                          <a:noFill/>
                        </pic:spPr>
                      </pic:pic>
                    </a:graphicData>
                  </a:graphic>
                </wp:inline>
              </w:drawing>
            </w:r>
          </w:p>
        </w:tc>
        <w:tc>
          <w:tcPr>
            <w:tcW w:w="4766" w:type="dxa"/>
          </w:tcPr>
          <w:p w14:paraId="41AE604D" w14:textId="77777777" w:rsidR="001C2BD0" w:rsidRDefault="001C2BD0" w:rsidP="00F077D8">
            <w:pPr>
              <w:ind w:firstLine="0"/>
            </w:pPr>
            <w:r>
              <w:rPr>
                <w:noProof/>
              </w:rPr>
              <w:drawing>
                <wp:inline distT="0" distB="0" distL="0" distR="0" wp14:anchorId="60420901" wp14:editId="40210E79">
                  <wp:extent cx="2894188" cy="173355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94188" cy="1733550"/>
                          </a:xfrm>
                          <a:prstGeom prst="rect">
                            <a:avLst/>
                          </a:prstGeom>
                          <a:noFill/>
                        </pic:spPr>
                      </pic:pic>
                    </a:graphicData>
                  </a:graphic>
                </wp:inline>
              </w:drawing>
            </w:r>
          </w:p>
        </w:tc>
      </w:tr>
    </w:tbl>
    <w:p w14:paraId="5390C9DC" w14:textId="3B3861D0" w:rsidR="001C2BD0" w:rsidRPr="0011383F" w:rsidRDefault="0011383F" w:rsidP="0011383F">
      <w:pPr>
        <w:ind w:firstLine="0"/>
        <w:rPr>
          <w:b/>
        </w:rPr>
      </w:pPr>
      <w:bookmarkStart w:id="0" w:name="_Ref95040521"/>
      <w:r w:rsidRPr="0011383F">
        <w:rPr>
          <w:b/>
        </w:rPr>
        <w:t>Figure</w:t>
      </w:r>
      <w:bookmarkEnd w:id="0"/>
      <w:r w:rsidRPr="0011383F">
        <w:rPr>
          <w:b/>
        </w:rPr>
        <w:t xml:space="preserve"> 6: Index of materials use: production-based (left) and consumption-based (right) under BAU (2021=100)</w:t>
      </w:r>
    </w:p>
    <w:p w14:paraId="3BD81E3F" w14:textId="6D0D1C91" w:rsidR="001C2BD0" w:rsidRDefault="001C2BD0" w:rsidP="001C2BD0"/>
    <w:p w14:paraId="0CF483FA" w14:textId="77777777" w:rsidR="0011383F" w:rsidRDefault="001C2BD0" w:rsidP="0011383F">
      <w:pPr>
        <w:spacing w:after="120"/>
        <w:rPr>
          <w:bCs/>
        </w:rPr>
      </w:pPr>
      <w:r w:rsidRPr="001C2BD0">
        <w:rPr>
          <w:bCs/>
        </w:rPr>
        <w:t xml:space="preserve">The BAU scenario also shows a substitution between domestic towards imported materials. </w:t>
      </w:r>
      <w:r>
        <w:t>A</w:t>
      </w:r>
      <w:r w:rsidRPr="00AA1BFE">
        <w:t>cross all of Europe, primary materials use as measured by production-based accounting grows by ten percent by 2030 (compared with 2021)</w:t>
      </w:r>
      <w:r>
        <w:t xml:space="preserve"> under BAU.</w:t>
      </w:r>
      <w:r>
        <w:rPr>
          <w:rStyle w:val="FootnoteReference"/>
        </w:rPr>
        <w:footnoteReference w:id="5"/>
      </w:r>
      <w:r>
        <w:t xml:space="preserve"> </w:t>
      </w:r>
      <w:r w:rsidR="0011383F" w:rsidRPr="0011383F">
        <w:rPr>
          <w:bCs/>
        </w:rPr>
        <w:t>While being conceptually sound, for open economies, the production-based a</w:t>
      </w:r>
      <w:r w:rsidR="0011383F">
        <w:rPr>
          <w:bCs/>
        </w:rPr>
        <w:t>ccounting</w:t>
      </w:r>
      <w:r w:rsidR="0011383F" w:rsidRPr="0011383F">
        <w:rPr>
          <w:bCs/>
        </w:rPr>
        <w:t xml:space="preserve"> fails to adequately quantify the life-cycle–wide environmental pressures associated with domestic consumption (</w:t>
      </w:r>
      <w:proofErr w:type="spellStart"/>
      <w:r w:rsidR="0011383F" w:rsidRPr="0011383F">
        <w:rPr>
          <w:bCs/>
        </w:rPr>
        <w:t>Schaffartzik</w:t>
      </w:r>
      <w:proofErr w:type="spellEnd"/>
      <w:r w:rsidR="0011383F" w:rsidRPr="0011383F">
        <w:rPr>
          <w:bCs/>
        </w:rPr>
        <w:t xml:space="preserve"> et al., 2014). For instance, if iron ore is used to produce steel in country A, which is further exported and actually consumed in country B, production-based </w:t>
      </w:r>
      <w:r w:rsidR="0011383F">
        <w:rPr>
          <w:bCs/>
        </w:rPr>
        <w:t>accounting</w:t>
      </w:r>
      <w:r w:rsidR="0011383F" w:rsidRPr="0011383F">
        <w:rPr>
          <w:bCs/>
        </w:rPr>
        <w:t xml:space="preserve"> would attribute the iron ore use to country A (where steel was produced) and not country B (where actual consumption of steel took place). </w:t>
      </w:r>
    </w:p>
    <w:p w14:paraId="4EF1DC66" w14:textId="40D2312C" w:rsidR="001C2BD0" w:rsidRDefault="0011383F" w:rsidP="0011383F">
      <w:pPr>
        <w:spacing w:after="120"/>
      </w:pPr>
      <w:r w:rsidRPr="0011383F">
        <w:rPr>
          <w:bCs/>
        </w:rPr>
        <w:t xml:space="preserve">To account for the raw commodities embedded into traded goods, consumption-based </w:t>
      </w:r>
      <w:r>
        <w:rPr>
          <w:bCs/>
        </w:rPr>
        <w:t>accounting is considered</w:t>
      </w:r>
      <w:r w:rsidRPr="0011383F">
        <w:rPr>
          <w:bCs/>
        </w:rPr>
        <w:t xml:space="preserve">. From a consumption perspective, raw materials used in the production of exported goods should be accounted for in the importing country. This concept has been also applied in a similar way for the accounting of greenhouse gas emissions (e.g. Davis and </w:t>
      </w:r>
      <w:proofErr w:type="spellStart"/>
      <w:r w:rsidRPr="0011383F">
        <w:rPr>
          <w:bCs/>
        </w:rPr>
        <w:t>Caldeira</w:t>
      </w:r>
      <w:proofErr w:type="spellEnd"/>
      <w:r w:rsidRPr="0011383F">
        <w:rPr>
          <w:bCs/>
        </w:rPr>
        <w:t>, 2010; Peters, 2008).</w:t>
      </w:r>
      <w:r>
        <w:rPr>
          <w:bCs/>
        </w:rPr>
        <w:t xml:space="preserve"> </w:t>
      </w:r>
      <w:r w:rsidR="001C2BD0">
        <w:t xml:space="preserve">When </w:t>
      </w:r>
      <w:r w:rsidR="001C2BD0" w:rsidRPr="00AA1BFE">
        <w:t xml:space="preserve">measured </w:t>
      </w:r>
      <w:r w:rsidR="001C2BD0">
        <w:t xml:space="preserve">in terms of </w:t>
      </w:r>
      <w:r w:rsidR="001C2BD0" w:rsidRPr="00AA1BFE">
        <w:t>consumption-based accounting</w:t>
      </w:r>
      <w:r w:rsidR="001C2BD0">
        <w:t xml:space="preserve"> though, </w:t>
      </w:r>
      <w:r w:rsidR="001C2BD0" w:rsidRPr="00AA1BFE">
        <w:t>grow</w:t>
      </w:r>
      <w:r w:rsidR="001C2BD0">
        <w:t>th in material use increases to almost twice as much (</w:t>
      </w:r>
      <w:r w:rsidR="001C2BD0" w:rsidRPr="00AA1BFE">
        <w:t>17 percent</w:t>
      </w:r>
      <w:r w:rsidR="001C2BD0">
        <w:t>) showing the increased relevance of imported materials</w:t>
      </w:r>
      <w:r w:rsidR="001C2BD0" w:rsidRPr="00AA1BFE">
        <w:t xml:space="preserve">. </w:t>
      </w:r>
    </w:p>
    <w:p w14:paraId="53825F82" w14:textId="77777777" w:rsidR="0011383F" w:rsidRDefault="0011383F" w:rsidP="0011383F">
      <w:pPr>
        <w:pStyle w:val="Heading2"/>
      </w:pPr>
      <w:r>
        <w:tab/>
        <w:t>3.3. Impact of the EU’s Green Deal</w:t>
      </w:r>
    </w:p>
    <w:p w14:paraId="77406A6C" w14:textId="548856B5" w:rsidR="0011383F" w:rsidRDefault="0011383F" w:rsidP="0011383F">
      <w:r>
        <w:t>The major component of the EU Green Deal is to reduce greenhouse gas (GHG) emissions by 55 percent in 2030 relative to 1990. This involves a more stringent ETS regime for energy-intensive and trade exposed sectors (EITE) and a broadening of carbon prices to all other non-ETS activities and households. Policies targeting GHG emissions reduction under the European Green Deal (</w:t>
      </w:r>
      <w:r w:rsidRPr="00E5308C">
        <w:rPr>
          <w:i/>
          <w:iCs/>
        </w:rPr>
        <w:t>EGD-NDC</w:t>
      </w:r>
      <w:r>
        <w:t xml:space="preserve">) will have large impacts on fossil fuel use from a production-based accounting perspective and a smaller, but still significant, impact when measured on a consumption basis. But while these policies will also contribute to reduce metal ores (MMO) and non-metallic minerals (NMN) use, the scale of the effect will be minimal – less than 1 percent relative to BAU for metals and 1-2 percent </w:t>
      </w:r>
      <w:r>
        <w:lastRenderedPageBreak/>
        <w:t>for non-metallic minerals (</w:t>
      </w:r>
      <w:r>
        <w:fldChar w:fldCharType="begin"/>
      </w:r>
      <w:r>
        <w:instrText xml:space="preserve"> REF _Ref95041291 \h </w:instrText>
      </w:r>
      <w:r>
        <w:fldChar w:fldCharType="end"/>
      </w:r>
      <w:r>
        <w:t>Figure 7). Thus, policies that specifically target primary materials will be required.</w:t>
      </w:r>
    </w:p>
    <w:p w14:paraId="7D3FB57B" w14:textId="77777777" w:rsidR="0011383F" w:rsidRDefault="0011383F" w:rsidP="0011383F"/>
    <w:p w14:paraId="0843C3DB" w14:textId="77777777" w:rsidR="0011383F" w:rsidRDefault="0011383F" w:rsidP="00F7569F">
      <w:pPr>
        <w:ind w:firstLine="0"/>
        <w:jc w:val="center"/>
      </w:pPr>
      <w:r>
        <w:rPr>
          <w:noProof/>
        </w:rPr>
        <w:drawing>
          <wp:inline distT="0" distB="0" distL="0" distR="0" wp14:anchorId="2ABD6780" wp14:editId="0A0A220C">
            <wp:extent cx="5137576" cy="3084394"/>
            <wp:effectExtent l="0" t="0" r="635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53130" cy="3093732"/>
                    </a:xfrm>
                    <a:prstGeom prst="rect">
                      <a:avLst/>
                    </a:prstGeom>
                    <a:noFill/>
                  </pic:spPr>
                </pic:pic>
              </a:graphicData>
            </a:graphic>
          </wp:inline>
        </w:drawing>
      </w:r>
    </w:p>
    <w:p w14:paraId="147D6F63" w14:textId="77777777" w:rsidR="0011383F" w:rsidRPr="0011383F" w:rsidRDefault="0011383F" w:rsidP="008C4774">
      <w:pPr>
        <w:ind w:firstLine="0"/>
        <w:rPr>
          <w:b/>
        </w:rPr>
      </w:pPr>
      <w:bookmarkStart w:id="1" w:name="_Ref95041291"/>
      <w:r w:rsidRPr="0011383F">
        <w:rPr>
          <w:b/>
        </w:rPr>
        <w:t>Figure</w:t>
      </w:r>
      <w:bookmarkEnd w:id="1"/>
      <w:r w:rsidRPr="0011383F">
        <w:rPr>
          <w:b/>
        </w:rPr>
        <w:t xml:space="preserve"> 7: Impacts of EGD-NDC scenario on primary materials use in Europe</w:t>
      </w:r>
    </w:p>
    <w:p w14:paraId="17B6B39B" w14:textId="6F384173" w:rsidR="008C4774" w:rsidRDefault="008C4774" w:rsidP="009D6B19">
      <w:pPr>
        <w:spacing w:after="120"/>
      </w:pPr>
      <w:r w:rsidRPr="008C4774">
        <w:t xml:space="preserve">CE policies </w:t>
      </w:r>
      <w:r>
        <w:t xml:space="preserve">results </w:t>
      </w:r>
      <w:r w:rsidR="009D6B19">
        <w:t>show</w:t>
      </w:r>
      <w:r>
        <w:t xml:space="preserve"> large reductions in primary materials use relative to </w:t>
      </w:r>
      <w:r w:rsidRPr="008C4774">
        <w:t>BAU</w:t>
      </w:r>
      <w:r w:rsidR="009D6B19">
        <w:t xml:space="preserve"> and</w:t>
      </w:r>
      <w:r>
        <w:t xml:space="preserve"> absolute material decoupling by 2030 from a production accounting perspective.</w:t>
      </w:r>
      <w:r w:rsidR="009D6B19">
        <w:rPr>
          <w:rStyle w:val="FootnoteReference"/>
        </w:rPr>
        <w:footnoteReference w:id="6"/>
      </w:r>
      <w:r>
        <w:t xml:space="preserve"> In the </w:t>
      </w:r>
      <w:r w:rsidRPr="008C4774">
        <w:t>Combined</w:t>
      </w:r>
      <w:r>
        <w:t xml:space="preserve"> scenario primary metals use falls 15 percent from 2021 levels in 2030, and nearly 30 percent from </w:t>
      </w:r>
      <w:r w:rsidRPr="008C4774">
        <w:t>BAU</w:t>
      </w:r>
      <w:r>
        <w:t xml:space="preserve">, while non-metallic minerals use remains flat (and falls 15 percent relative to BAU). Fossil fuels will fall by 11 percent even under </w:t>
      </w:r>
      <w:r w:rsidRPr="008C4774">
        <w:t>BAU</w:t>
      </w:r>
      <w:r>
        <w:t xml:space="preserve">, but they decline another 20 percent under </w:t>
      </w:r>
      <w:r w:rsidRPr="008C4774">
        <w:t>Combined</w:t>
      </w:r>
      <w:r>
        <w:t xml:space="preserve"> (although most of this is driven by </w:t>
      </w:r>
      <w:r w:rsidRPr="008C4774">
        <w:t>EGD-NDC</w:t>
      </w:r>
      <w:r>
        <w:t xml:space="preserve"> rather than targeted CE policies).</w:t>
      </w:r>
      <w:r w:rsidR="009D6B19">
        <w:t xml:space="preserve"> Figure 8 summarizes the material use impacts of a comprehensive set of CE policies addressing both production and consumption sides (</w:t>
      </w:r>
      <w:r w:rsidR="009D6B19" w:rsidRPr="00670AD1">
        <w:rPr>
          <w:i/>
          <w:iCs/>
        </w:rPr>
        <w:t>Combined</w:t>
      </w:r>
      <w:r w:rsidR="009D6B19">
        <w:t xml:space="preserve">). </w:t>
      </w:r>
    </w:p>
    <w:p w14:paraId="3BF0BF9B" w14:textId="77777777" w:rsidR="009D6B19" w:rsidRDefault="009D6B19" w:rsidP="008C4774"/>
    <w:p w14:paraId="4BC1ACBF" w14:textId="62D6C8DE" w:rsidR="009D6B19" w:rsidRDefault="009D6B19" w:rsidP="00F7569F">
      <w:pPr>
        <w:ind w:firstLine="0"/>
        <w:jc w:val="center"/>
      </w:pPr>
      <w:r>
        <w:rPr>
          <w:noProof/>
        </w:rPr>
        <w:lastRenderedPageBreak/>
        <w:drawing>
          <wp:inline distT="0" distB="0" distL="0" distR="0" wp14:anchorId="6D36B795" wp14:editId="3B87DD5C">
            <wp:extent cx="5245177" cy="3159457"/>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83275" cy="3182405"/>
                    </a:xfrm>
                    <a:prstGeom prst="rect">
                      <a:avLst/>
                    </a:prstGeom>
                    <a:noFill/>
                  </pic:spPr>
                </pic:pic>
              </a:graphicData>
            </a:graphic>
          </wp:inline>
        </w:drawing>
      </w:r>
    </w:p>
    <w:p w14:paraId="64E4CD9B" w14:textId="1A4A278A" w:rsidR="009D6B19" w:rsidRPr="009D6B19" w:rsidRDefault="009D6B19" w:rsidP="009D6B19">
      <w:pPr>
        <w:ind w:firstLine="0"/>
        <w:rPr>
          <w:b/>
        </w:rPr>
      </w:pPr>
      <w:r w:rsidRPr="009D6B19">
        <w:rPr>
          <w:b/>
        </w:rPr>
        <w:t>Figure 8. Impact of combined CE policies on primary materials use in Europe in 2030 (Index 2021=100) versus BAU</w:t>
      </w:r>
    </w:p>
    <w:p w14:paraId="059B4A08" w14:textId="77777777" w:rsidR="00BD1FB5" w:rsidRDefault="00BD1FB5" w:rsidP="009D6B19"/>
    <w:p w14:paraId="0B9052E3" w14:textId="4591CE11" w:rsidR="009D6B19" w:rsidRDefault="009D6B19" w:rsidP="009D6B19">
      <w:r>
        <w:t xml:space="preserve">Overall, Bulgaria and especially Poland are expected to experience decline in (production-based) primary material </w:t>
      </w:r>
      <w:proofErr w:type="gramStart"/>
      <w:r>
        <w:t>use</w:t>
      </w:r>
      <w:proofErr w:type="gramEnd"/>
      <w:r>
        <w:t xml:space="preserve"> at a much faster rate than Europe overall (</w:t>
      </w:r>
      <w:r>
        <w:fldChar w:fldCharType="begin"/>
      </w:r>
      <w:r>
        <w:instrText xml:space="preserve"> REF _Ref95337988 \h </w:instrText>
      </w:r>
      <w:r>
        <w:fldChar w:fldCharType="separate"/>
      </w:r>
      <w:r>
        <w:t xml:space="preserve">Table </w:t>
      </w:r>
      <w:r>
        <w:rPr>
          <w:noProof/>
        </w:rPr>
        <w:t>2</w:t>
      </w:r>
      <w:r>
        <w:fldChar w:fldCharType="end"/>
      </w:r>
      <w:r>
        <w:t>). However, in both cases this is driven primarily by rapid decline in fossil fuel use driven by decarbonization policies (</w:t>
      </w:r>
      <w:r w:rsidRPr="00D80276">
        <w:rPr>
          <w:i/>
          <w:iCs/>
        </w:rPr>
        <w:t>EGD-NDC</w:t>
      </w:r>
      <w:r>
        <w:t xml:space="preserve"> policy scenario) rather than specific CE policies. In fact, Bulgaria and Croatia actually experience a small increase in metals use, while Poland experiences a small increase in non-metallic minerals use by 2030.</w:t>
      </w:r>
    </w:p>
    <w:p w14:paraId="7ED63306" w14:textId="3AC88B3B" w:rsidR="008C4774" w:rsidRDefault="008C4774" w:rsidP="0011383F"/>
    <w:p w14:paraId="7A08CBD3" w14:textId="77777777" w:rsidR="009D6B19" w:rsidRPr="00BC5AB5" w:rsidRDefault="009D6B19" w:rsidP="00BC5AB5">
      <w:pPr>
        <w:ind w:firstLine="0"/>
        <w:rPr>
          <w:b/>
        </w:rPr>
      </w:pPr>
      <w:bookmarkStart w:id="2" w:name="_Ref95337988"/>
      <w:r w:rsidRPr="00BC5AB5">
        <w:rPr>
          <w:b/>
        </w:rPr>
        <w:t xml:space="preserve">Table </w:t>
      </w:r>
      <w:r w:rsidRPr="00BC5AB5">
        <w:rPr>
          <w:b/>
        </w:rPr>
        <w:fldChar w:fldCharType="begin"/>
      </w:r>
      <w:r w:rsidRPr="00BC5AB5">
        <w:rPr>
          <w:b/>
        </w:rPr>
        <w:instrText xml:space="preserve"> SEQ Table \* ARABIC </w:instrText>
      </w:r>
      <w:r w:rsidRPr="00BC5AB5">
        <w:rPr>
          <w:b/>
        </w:rPr>
        <w:fldChar w:fldCharType="separate"/>
      </w:r>
      <w:r w:rsidRPr="00BC5AB5">
        <w:rPr>
          <w:b/>
        </w:rPr>
        <w:t>2</w:t>
      </w:r>
      <w:r w:rsidRPr="00BC5AB5">
        <w:rPr>
          <w:b/>
        </w:rPr>
        <w:fldChar w:fldCharType="end"/>
      </w:r>
      <w:bookmarkEnd w:id="2"/>
      <w:r w:rsidRPr="00BC5AB5">
        <w:rPr>
          <w:b/>
        </w:rPr>
        <w:t xml:space="preserve">: Impact of combined CE policies on primary materials use in 2030 (Index 2021=100) at country level </w:t>
      </w:r>
    </w:p>
    <w:tbl>
      <w:tblPr>
        <w:tblW w:w="9340" w:type="dxa"/>
        <w:tblLayout w:type="fixed"/>
        <w:tblLook w:val="04A0" w:firstRow="1" w:lastRow="0" w:firstColumn="1" w:lastColumn="0" w:noHBand="0" w:noVBand="1"/>
      </w:tblPr>
      <w:tblGrid>
        <w:gridCol w:w="1120"/>
        <w:gridCol w:w="1027"/>
        <w:gridCol w:w="1028"/>
        <w:gridCol w:w="1027"/>
        <w:gridCol w:w="1028"/>
        <w:gridCol w:w="1027"/>
        <w:gridCol w:w="1028"/>
        <w:gridCol w:w="1027"/>
        <w:gridCol w:w="1028"/>
      </w:tblGrid>
      <w:tr w:rsidR="009D6B19" w:rsidRPr="00920006" w14:paraId="62D64FEB" w14:textId="77777777" w:rsidTr="00F077D8">
        <w:trPr>
          <w:trHeight w:val="144"/>
        </w:trPr>
        <w:tc>
          <w:tcPr>
            <w:tcW w:w="112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3E805936" w14:textId="77777777" w:rsidR="009D6B19" w:rsidRPr="00920006" w:rsidRDefault="009D6B19" w:rsidP="00F077D8">
            <w:pPr>
              <w:rPr>
                <w:rFonts w:ascii="Calibri" w:eastAsia="Times New Roman" w:hAnsi="Calibri" w:cs="Calibri"/>
                <w:color w:val="000000"/>
                <w:sz w:val="18"/>
                <w:szCs w:val="18"/>
              </w:rPr>
            </w:pPr>
            <w:r w:rsidRPr="00920006">
              <w:rPr>
                <w:rFonts w:ascii="Calibri" w:eastAsia="Times New Roman" w:hAnsi="Calibri" w:cs="Calibri"/>
                <w:color w:val="000000"/>
                <w:sz w:val="18"/>
                <w:szCs w:val="18"/>
              </w:rPr>
              <w:t> </w:t>
            </w:r>
          </w:p>
        </w:tc>
        <w:tc>
          <w:tcPr>
            <w:tcW w:w="2055" w:type="dxa"/>
            <w:gridSpan w:val="2"/>
            <w:tcBorders>
              <w:top w:val="single" w:sz="8" w:space="0" w:color="auto"/>
              <w:left w:val="nil"/>
              <w:bottom w:val="single" w:sz="4" w:space="0" w:color="auto"/>
              <w:right w:val="single" w:sz="4" w:space="0" w:color="auto"/>
            </w:tcBorders>
            <w:shd w:val="clear" w:color="auto" w:fill="auto"/>
            <w:vAlign w:val="bottom"/>
            <w:hideMark/>
          </w:tcPr>
          <w:p w14:paraId="5CEB3452" w14:textId="77777777" w:rsidR="009D6B19" w:rsidRPr="00920006" w:rsidRDefault="009D6B19" w:rsidP="009D6B19">
            <w:pPr>
              <w:ind w:firstLine="0"/>
              <w:rPr>
                <w:rFonts w:ascii="Calibri" w:eastAsia="Times New Roman" w:hAnsi="Calibri" w:cs="Calibri"/>
                <w:b/>
                <w:bCs/>
                <w:color w:val="000000"/>
                <w:sz w:val="18"/>
                <w:szCs w:val="18"/>
              </w:rPr>
            </w:pPr>
            <w:r w:rsidRPr="00920006">
              <w:rPr>
                <w:rFonts w:ascii="Calibri" w:eastAsia="Times New Roman" w:hAnsi="Calibri" w:cs="Calibri"/>
                <w:b/>
                <w:bCs/>
                <w:color w:val="000000"/>
                <w:sz w:val="18"/>
                <w:szCs w:val="18"/>
              </w:rPr>
              <w:t>All materials</w:t>
            </w:r>
          </w:p>
        </w:tc>
        <w:tc>
          <w:tcPr>
            <w:tcW w:w="2055" w:type="dxa"/>
            <w:gridSpan w:val="2"/>
            <w:tcBorders>
              <w:top w:val="single" w:sz="8" w:space="0" w:color="auto"/>
              <w:left w:val="nil"/>
              <w:bottom w:val="single" w:sz="4" w:space="0" w:color="auto"/>
              <w:right w:val="single" w:sz="4" w:space="0" w:color="auto"/>
            </w:tcBorders>
            <w:shd w:val="clear" w:color="auto" w:fill="auto"/>
            <w:vAlign w:val="bottom"/>
            <w:hideMark/>
          </w:tcPr>
          <w:p w14:paraId="46432779" w14:textId="77777777" w:rsidR="009D6B19" w:rsidRPr="00920006" w:rsidRDefault="009D6B19" w:rsidP="009D6B19">
            <w:pPr>
              <w:ind w:firstLine="0"/>
              <w:rPr>
                <w:rFonts w:ascii="Calibri" w:eastAsia="Times New Roman" w:hAnsi="Calibri" w:cs="Calibri"/>
                <w:b/>
                <w:bCs/>
                <w:color w:val="000000"/>
                <w:sz w:val="18"/>
                <w:szCs w:val="18"/>
              </w:rPr>
            </w:pPr>
            <w:r w:rsidRPr="00920006">
              <w:rPr>
                <w:rFonts w:ascii="Calibri" w:eastAsia="Times New Roman" w:hAnsi="Calibri" w:cs="Calibri"/>
                <w:b/>
                <w:bCs/>
                <w:color w:val="000000"/>
                <w:sz w:val="18"/>
                <w:szCs w:val="18"/>
              </w:rPr>
              <w:t>FF</w:t>
            </w:r>
          </w:p>
        </w:tc>
        <w:tc>
          <w:tcPr>
            <w:tcW w:w="2055" w:type="dxa"/>
            <w:gridSpan w:val="2"/>
            <w:tcBorders>
              <w:top w:val="single" w:sz="8" w:space="0" w:color="auto"/>
              <w:left w:val="nil"/>
              <w:bottom w:val="single" w:sz="4" w:space="0" w:color="auto"/>
              <w:right w:val="single" w:sz="4" w:space="0" w:color="auto"/>
            </w:tcBorders>
            <w:shd w:val="clear" w:color="auto" w:fill="auto"/>
            <w:vAlign w:val="bottom"/>
            <w:hideMark/>
          </w:tcPr>
          <w:p w14:paraId="194E2633" w14:textId="77777777" w:rsidR="009D6B19" w:rsidRPr="00920006" w:rsidRDefault="009D6B19" w:rsidP="009D6B19">
            <w:pPr>
              <w:ind w:firstLine="0"/>
              <w:rPr>
                <w:rFonts w:ascii="Calibri" w:eastAsia="Times New Roman" w:hAnsi="Calibri" w:cs="Calibri"/>
                <w:b/>
                <w:bCs/>
                <w:color w:val="000000"/>
                <w:sz w:val="18"/>
                <w:szCs w:val="18"/>
              </w:rPr>
            </w:pPr>
            <w:r w:rsidRPr="00920006">
              <w:rPr>
                <w:rFonts w:ascii="Calibri" w:eastAsia="Times New Roman" w:hAnsi="Calibri" w:cs="Calibri"/>
                <w:b/>
                <w:bCs/>
                <w:color w:val="000000"/>
                <w:sz w:val="18"/>
                <w:szCs w:val="18"/>
              </w:rPr>
              <w:t>MMO</w:t>
            </w:r>
          </w:p>
        </w:tc>
        <w:tc>
          <w:tcPr>
            <w:tcW w:w="2055" w:type="dxa"/>
            <w:gridSpan w:val="2"/>
            <w:tcBorders>
              <w:top w:val="single" w:sz="8" w:space="0" w:color="auto"/>
              <w:left w:val="nil"/>
              <w:bottom w:val="single" w:sz="4" w:space="0" w:color="auto"/>
              <w:right w:val="single" w:sz="8" w:space="0" w:color="000000"/>
            </w:tcBorders>
            <w:shd w:val="clear" w:color="auto" w:fill="auto"/>
            <w:vAlign w:val="bottom"/>
            <w:hideMark/>
          </w:tcPr>
          <w:p w14:paraId="661C32D0" w14:textId="77777777" w:rsidR="009D6B19" w:rsidRPr="00920006" w:rsidRDefault="009D6B19" w:rsidP="009D6B19">
            <w:pPr>
              <w:ind w:firstLine="0"/>
              <w:rPr>
                <w:rFonts w:ascii="Calibri" w:eastAsia="Times New Roman" w:hAnsi="Calibri" w:cs="Calibri"/>
                <w:b/>
                <w:bCs/>
                <w:color w:val="000000"/>
                <w:sz w:val="18"/>
                <w:szCs w:val="18"/>
              </w:rPr>
            </w:pPr>
            <w:r w:rsidRPr="00920006">
              <w:rPr>
                <w:rFonts w:ascii="Calibri" w:eastAsia="Times New Roman" w:hAnsi="Calibri" w:cs="Calibri"/>
                <w:b/>
                <w:bCs/>
                <w:color w:val="000000"/>
                <w:sz w:val="18"/>
                <w:szCs w:val="18"/>
              </w:rPr>
              <w:t>NMN</w:t>
            </w:r>
          </w:p>
        </w:tc>
      </w:tr>
      <w:tr w:rsidR="009D6B19" w:rsidRPr="00920006" w14:paraId="65349F7F" w14:textId="77777777" w:rsidTr="00F077D8">
        <w:trPr>
          <w:trHeight w:val="144"/>
        </w:trPr>
        <w:tc>
          <w:tcPr>
            <w:tcW w:w="1120" w:type="dxa"/>
            <w:tcBorders>
              <w:top w:val="nil"/>
              <w:left w:val="single" w:sz="8" w:space="0" w:color="auto"/>
              <w:bottom w:val="double" w:sz="6" w:space="0" w:color="auto"/>
              <w:right w:val="single" w:sz="4" w:space="0" w:color="auto"/>
            </w:tcBorders>
            <w:shd w:val="clear" w:color="auto" w:fill="auto"/>
            <w:noWrap/>
            <w:vAlign w:val="bottom"/>
            <w:hideMark/>
          </w:tcPr>
          <w:p w14:paraId="52C4DBF6" w14:textId="77777777" w:rsidR="009D6B19" w:rsidRPr="00920006" w:rsidRDefault="009D6B19" w:rsidP="00F077D8">
            <w:pPr>
              <w:rPr>
                <w:rFonts w:ascii="Calibri" w:eastAsia="Times New Roman" w:hAnsi="Calibri" w:cs="Calibri"/>
                <w:color w:val="000000"/>
                <w:sz w:val="18"/>
                <w:szCs w:val="18"/>
              </w:rPr>
            </w:pPr>
            <w:r w:rsidRPr="00920006">
              <w:rPr>
                <w:rFonts w:ascii="Calibri" w:eastAsia="Times New Roman" w:hAnsi="Calibri" w:cs="Calibri"/>
                <w:color w:val="000000"/>
                <w:sz w:val="18"/>
                <w:szCs w:val="18"/>
              </w:rPr>
              <w:t> </w:t>
            </w:r>
          </w:p>
        </w:tc>
        <w:tc>
          <w:tcPr>
            <w:tcW w:w="1027" w:type="dxa"/>
            <w:tcBorders>
              <w:top w:val="nil"/>
              <w:left w:val="nil"/>
              <w:bottom w:val="double" w:sz="6" w:space="0" w:color="auto"/>
              <w:right w:val="single" w:sz="4" w:space="0" w:color="auto"/>
            </w:tcBorders>
            <w:shd w:val="clear" w:color="auto" w:fill="auto"/>
            <w:vAlign w:val="bottom"/>
            <w:hideMark/>
          </w:tcPr>
          <w:p w14:paraId="6537544A" w14:textId="77777777" w:rsidR="009D6B19" w:rsidRPr="00920006" w:rsidRDefault="009D6B19" w:rsidP="009D6B19">
            <w:pPr>
              <w:ind w:firstLine="0"/>
              <w:rPr>
                <w:rFonts w:ascii="Calibri" w:eastAsia="Times New Roman" w:hAnsi="Calibri" w:cs="Calibri"/>
                <w:b/>
                <w:bCs/>
                <w:i/>
                <w:iCs/>
                <w:color w:val="000000"/>
                <w:sz w:val="18"/>
                <w:szCs w:val="18"/>
              </w:rPr>
            </w:pPr>
            <w:r w:rsidRPr="00920006">
              <w:rPr>
                <w:rFonts w:ascii="Calibri" w:eastAsia="Times New Roman" w:hAnsi="Calibri" w:cs="Calibri"/>
                <w:b/>
                <w:bCs/>
                <w:i/>
                <w:iCs/>
                <w:color w:val="000000"/>
                <w:sz w:val="18"/>
                <w:szCs w:val="18"/>
              </w:rPr>
              <w:t>BAU</w:t>
            </w:r>
          </w:p>
        </w:tc>
        <w:tc>
          <w:tcPr>
            <w:tcW w:w="1028" w:type="dxa"/>
            <w:tcBorders>
              <w:top w:val="nil"/>
              <w:left w:val="nil"/>
              <w:bottom w:val="double" w:sz="6" w:space="0" w:color="auto"/>
              <w:right w:val="single" w:sz="4" w:space="0" w:color="auto"/>
            </w:tcBorders>
            <w:shd w:val="clear" w:color="auto" w:fill="auto"/>
            <w:vAlign w:val="bottom"/>
            <w:hideMark/>
          </w:tcPr>
          <w:p w14:paraId="16A9989E" w14:textId="77777777" w:rsidR="009D6B19" w:rsidRPr="00920006" w:rsidRDefault="009D6B19" w:rsidP="009D6B19">
            <w:pPr>
              <w:ind w:firstLine="0"/>
              <w:rPr>
                <w:rFonts w:ascii="Calibri" w:eastAsia="Times New Roman" w:hAnsi="Calibri" w:cs="Calibri"/>
                <w:b/>
                <w:bCs/>
                <w:i/>
                <w:iCs/>
                <w:color w:val="000000"/>
                <w:sz w:val="18"/>
                <w:szCs w:val="18"/>
              </w:rPr>
            </w:pPr>
            <w:r w:rsidRPr="00C65738">
              <w:rPr>
                <w:rFonts w:ascii="Calibri" w:eastAsia="Times New Roman" w:hAnsi="Calibri" w:cs="Calibri"/>
                <w:b/>
                <w:bCs/>
                <w:i/>
                <w:iCs/>
                <w:color w:val="000000"/>
                <w:sz w:val="18"/>
                <w:szCs w:val="18"/>
              </w:rPr>
              <w:t>Combined</w:t>
            </w:r>
          </w:p>
        </w:tc>
        <w:tc>
          <w:tcPr>
            <w:tcW w:w="1027" w:type="dxa"/>
            <w:tcBorders>
              <w:top w:val="nil"/>
              <w:left w:val="nil"/>
              <w:bottom w:val="double" w:sz="6" w:space="0" w:color="auto"/>
              <w:right w:val="single" w:sz="4" w:space="0" w:color="auto"/>
            </w:tcBorders>
            <w:shd w:val="clear" w:color="auto" w:fill="auto"/>
            <w:vAlign w:val="bottom"/>
            <w:hideMark/>
          </w:tcPr>
          <w:p w14:paraId="035090F0" w14:textId="77777777" w:rsidR="009D6B19" w:rsidRPr="00920006" w:rsidRDefault="009D6B19" w:rsidP="009D6B19">
            <w:pPr>
              <w:ind w:firstLine="0"/>
              <w:rPr>
                <w:rFonts w:ascii="Calibri" w:eastAsia="Times New Roman" w:hAnsi="Calibri" w:cs="Calibri"/>
                <w:b/>
                <w:bCs/>
                <w:i/>
                <w:iCs/>
                <w:color w:val="000000"/>
                <w:sz w:val="18"/>
                <w:szCs w:val="18"/>
              </w:rPr>
            </w:pPr>
            <w:r w:rsidRPr="00920006">
              <w:rPr>
                <w:rFonts w:ascii="Calibri" w:eastAsia="Times New Roman" w:hAnsi="Calibri" w:cs="Calibri"/>
                <w:b/>
                <w:bCs/>
                <w:i/>
                <w:iCs/>
                <w:color w:val="000000"/>
                <w:sz w:val="18"/>
                <w:szCs w:val="18"/>
              </w:rPr>
              <w:t>BAU</w:t>
            </w:r>
          </w:p>
        </w:tc>
        <w:tc>
          <w:tcPr>
            <w:tcW w:w="1028" w:type="dxa"/>
            <w:tcBorders>
              <w:top w:val="nil"/>
              <w:left w:val="nil"/>
              <w:bottom w:val="double" w:sz="6" w:space="0" w:color="auto"/>
              <w:right w:val="single" w:sz="4" w:space="0" w:color="auto"/>
            </w:tcBorders>
            <w:shd w:val="clear" w:color="auto" w:fill="auto"/>
            <w:vAlign w:val="bottom"/>
            <w:hideMark/>
          </w:tcPr>
          <w:p w14:paraId="44D4E8C1" w14:textId="77777777" w:rsidR="009D6B19" w:rsidRPr="00920006" w:rsidRDefault="009D6B19" w:rsidP="009D6B19">
            <w:pPr>
              <w:ind w:firstLine="0"/>
              <w:rPr>
                <w:rFonts w:ascii="Calibri" w:eastAsia="Times New Roman" w:hAnsi="Calibri" w:cs="Calibri"/>
                <w:b/>
                <w:bCs/>
                <w:i/>
                <w:iCs/>
                <w:color w:val="000000"/>
                <w:sz w:val="18"/>
                <w:szCs w:val="18"/>
              </w:rPr>
            </w:pPr>
            <w:r w:rsidRPr="00C65738">
              <w:rPr>
                <w:rFonts w:ascii="Calibri" w:eastAsia="Times New Roman" w:hAnsi="Calibri" w:cs="Calibri"/>
                <w:b/>
                <w:bCs/>
                <w:i/>
                <w:iCs/>
                <w:color w:val="000000"/>
                <w:sz w:val="18"/>
                <w:szCs w:val="18"/>
              </w:rPr>
              <w:t>Combined</w:t>
            </w:r>
          </w:p>
        </w:tc>
        <w:tc>
          <w:tcPr>
            <w:tcW w:w="1027" w:type="dxa"/>
            <w:tcBorders>
              <w:top w:val="nil"/>
              <w:left w:val="nil"/>
              <w:bottom w:val="double" w:sz="6" w:space="0" w:color="auto"/>
              <w:right w:val="single" w:sz="4" w:space="0" w:color="auto"/>
            </w:tcBorders>
            <w:shd w:val="clear" w:color="auto" w:fill="auto"/>
            <w:vAlign w:val="bottom"/>
            <w:hideMark/>
          </w:tcPr>
          <w:p w14:paraId="36F21C57" w14:textId="77777777" w:rsidR="009D6B19" w:rsidRPr="00920006" w:rsidRDefault="009D6B19" w:rsidP="009D6B19">
            <w:pPr>
              <w:ind w:firstLine="0"/>
              <w:rPr>
                <w:rFonts w:ascii="Calibri" w:eastAsia="Times New Roman" w:hAnsi="Calibri" w:cs="Calibri"/>
                <w:b/>
                <w:bCs/>
                <w:i/>
                <w:iCs/>
                <w:color w:val="000000"/>
                <w:sz w:val="18"/>
                <w:szCs w:val="18"/>
              </w:rPr>
            </w:pPr>
            <w:r w:rsidRPr="00920006">
              <w:rPr>
                <w:rFonts w:ascii="Calibri" w:eastAsia="Times New Roman" w:hAnsi="Calibri" w:cs="Calibri"/>
                <w:b/>
                <w:bCs/>
                <w:i/>
                <w:iCs/>
                <w:color w:val="000000"/>
                <w:sz w:val="18"/>
                <w:szCs w:val="18"/>
              </w:rPr>
              <w:t>BAU</w:t>
            </w:r>
          </w:p>
        </w:tc>
        <w:tc>
          <w:tcPr>
            <w:tcW w:w="1028" w:type="dxa"/>
            <w:tcBorders>
              <w:top w:val="nil"/>
              <w:left w:val="nil"/>
              <w:bottom w:val="double" w:sz="6" w:space="0" w:color="auto"/>
              <w:right w:val="single" w:sz="4" w:space="0" w:color="auto"/>
            </w:tcBorders>
            <w:shd w:val="clear" w:color="auto" w:fill="auto"/>
            <w:vAlign w:val="bottom"/>
            <w:hideMark/>
          </w:tcPr>
          <w:p w14:paraId="0136197D" w14:textId="77777777" w:rsidR="009D6B19" w:rsidRPr="00920006" w:rsidRDefault="009D6B19" w:rsidP="009D6B19">
            <w:pPr>
              <w:ind w:firstLine="0"/>
              <w:rPr>
                <w:rFonts w:ascii="Calibri" w:eastAsia="Times New Roman" w:hAnsi="Calibri" w:cs="Calibri"/>
                <w:b/>
                <w:bCs/>
                <w:i/>
                <w:iCs/>
                <w:color w:val="000000"/>
                <w:sz w:val="18"/>
                <w:szCs w:val="18"/>
              </w:rPr>
            </w:pPr>
            <w:r w:rsidRPr="00C65738">
              <w:rPr>
                <w:rFonts w:ascii="Calibri" w:eastAsia="Times New Roman" w:hAnsi="Calibri" w:cs="Calibri"/>
                <w:b/>
                <w:bCs/>
                <w:i/>
                <w:iCs/>
                <w:color w:val="000000"/>
                <w:sz w:val="18"/>
                <w:szCs w:val="18"/>
              </w:rPr>
              <w:t>Combined</w:t>
            </w:r>
          </w:p>
        </w:tc>
        <w:tc>
          <w:tcPr>
            <w:tcW w:w="1027" w:type="dxa"/>
            <w:tcBorders>
              <w:top w:val="nil"/>
              <w:left w:val="nil"/>
              <w:bottom w:val="double" w:sz="6" w:space="0" w:color="auto"/>
              <w:right w:val="single" w:sz="4" w:space="0" w:color="auto"/>
            </w:tcBorders>
            <w:shd w:val="clear" w:color="auto" w:fill="auto"/>
            <w:vAlign w:val="bottom"/>
            <w:hideMark/>
          </w:tcPr>
          <w:p w14:paraId="137C88C2" w14:textId="77777777" w:rsidR="009D6B19" w:rsidRPr="00920006" w:rsidRDefault="009D6B19" w:rsidP="009D6B19">
            <w:pPr>
              <w:ind w:firstLine="0"/>
              <w:rPr>
                <w:rFonts w:ascii="Calibri" w:eastAsia="Times New Roman" w:hAnsi="Calibri" w:cs="Calibri"/>
                <w:b/>
                <w:bCs/>
                <w:i/>
                <w:iCs/>
                <w:color w:val="000000"/>
                <w:sz w:val="18"/>
                <w:szCs w:val="18"/>
              </w:rPr>
            </w:pPr>
            <w:r w:rsidRPr="00920006">
              <w:rPr>
                <w:rFonts w:ascii="Calibri" w:eastAsia="Times New Roman" w:hAnsi="Calibri" w:cs="Calibri"/>
                <w:b/>
                <w:bCs/>
                <w:i/>
                <w:iCs/>
                <w:color w:val="000000"/>
                <w:sz w:val="18"/>
                <w:szCs w:val="18"/>
              </w:rPr>
              <w:t>BAU</w:t>
            </w:r>
          </w:p>
        </w:tc>
        <w:tc>
          <w:tcPr>
            <w:tcW w:w="1028" w:type="dxa"/>
            <w:tcBorders>
              <w:top w:val="nil"/>
              <w:left w:val="nil"/>
              <w:bottom w:val="double" w:sz="6" w:space="0" w:color="auto"/>
              <w:right w:val="single" w:sz="8" w:space="0" w:color="auto"/>
            </w:tcBorders>
            <w:shd w:val="clear" w:color="auto" w:fill="auto"/>
            <w:vAlign w:val="bottom"/>
            <w:hideMark/>
          </w:tcPr>
          <w:p w14:paraId="2B9744BC" w14:textId="77777777" w:rsidR="009D6B19" w:rsidRPr="00920006" w:rsidRDefault="009D6B19" w:rsidP="009D6B19">
            <w:pPr>
              <w:ind w:firstLine="0"/>
              <w:rPr>
                <w:rFonts w:ascii="Calibri" w:eastAsia="Times New Roman" w:hAnsi="Calibri" w:cs="Calibri"/>
                <w:b/>
                <w:bCs/>
                <w:i/>
                <w:iCs/>
                <w:color w:val="000000"/>
                <w:sz w:val="18"/>
                <w:szCs w:val="18"/>
              </w:rPr>
            </w:pPr>
            <w:r w:rsidRPr="00C65738">
              <w:rPr>
                <w:rFonts w:ascii="Calibri" w:eastAsia="Times New Roman" w:hAnsi="Calibri" w:cs="Calibri"/>
                <w:b/>
                <w:bCs/>
                <w:i/>
                <w:iCs/>
                <w:color w:val="000000"/>
                <w:sz w:val="18"/>
                <w:szCs w:val="18"/>
              </w:rPr>
              <w:t>Combined</w:t>
            </w:r>
          </w:p>
        </w:tc>
      </w:tr>
      <w:tr w:rsidR="009D6B19" w:rsidRPr="00920006" w14:paraId="121B357C" w14:textId="77777777" w:rsidTr="00F077D8">
        <w:trPr>
          <w:trHeight w:val="288"/>
        </w:trPr>
        <w:tc>
          <w:tcPr>
            <w:tcW w:w="1120" w:type="dxa"/>
            <w:tcBorders>
              <w:top w:val="nil"/>
              <w:left w:val="single" w:sz="8" w:space="0" w:color="auto"/>
              <w:bottom w:val="single" w:sz="4" w:space="0" w:color="auto"/>
              <w:right w:val="single" w:sz="4" w:space="0" w:color="auto"/>
            </w:tcBorders>
            <w:shd w:val="clear" w:color="auto" w:fill="auto"/>
            <w:noWrap/>
            <w:vAlign w:val="bottom"/>
            <w:hideMark/>
          </w:tcPr>
          <w:p w14:paraId="2ED7C05D" w14:textId="77777777" w:rsidR="009D6B19" w:rsidRPr="00920006" w:rsidRDefault="009D6B19" w:rsidP="009D6B19">
            <w:pPr>
              <w:ind w:firstLine="0"/>
              <w:rPr>
                <w:rFonts w:ascii="Calibri" w:eastAsia="Times New Roman" w:hAnsi="Calibri" w:cs="Calibri"/>
                <w:b/>
                <w:bCs/>
                <w:color w:val="000000"/>
                <w:sz w:val="18"/>
                <w:szCs w:val="18"/>
              </w:rPr>
            </w:pPr>
            <w:r w:rsidRPr="00920006">
              <w:rPr>
                <w:rFonts w:ascii="Calibri" w:eastAsia="Times New Roman" w:hAnsi="Calibri" w:cs="Calibri"/>
                <w:b/>
                <w:bCs/>
                <w:color w:val="000000"/>
                <w:sz w:val="18"/>
                <w:szCs w:val="18"/>
              </w:rPr>
              <w:t>Bulgaria</w:t>
            </w:r>
          </w:p>
        </w:tc>
        <w:tc>
          <w:tcPr>
            <w:tcW w:w="1027" w:type="dxa"/>
            <w:tcBorders>
              <w:top w:val="nil"/>
              <w:left w:val="nil"/>
              <w:bottom w:val="single" w:sz="4" w:space="0" w:color="auto"/>
              <w:right w:val="single" w:sz="4" w:space="0" w:color="auto"/>
            </w:tcBorders>
            <w:shd w:val="clear" w:color="auto" w:fill="auto"/>
            <w:noWrap/>
            <w:vAlign w:val="bottom"/>
            <w:hideMark/>
          </w:tcPr>
          <w:p w14:paraId="25FB7D43"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105 </w:t>
            </w:r>
          </w:p>
        </w:tc>
        <w:tc>
          <w:tcPr>
            <w:tcW w:w="1028" w:type="dxa"/>
            <w:tcBorders>
              <w:top w:val="nil"/>
              <w:left w:val="nil"/>
              <w:bottom w:val="single" w:sz="4" w:space="0" w:color="auto"/>
              <w:right w:val="single" w:sz="4" w:space="0" w:color="auto"/>
            </w:tcBorders>
            <w:shd w:val="clear" w:color="auto" w:fill="auto"/>
            <w:noWrap/>
            <w:vAlign w:val="bottom"/>
            <w:hideMark/>
          </w:tcPr>
          <w:p w14:paraId="3C014623"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82 </w:t>
            </w:r>
          </w:p>
        </w:tc>
        <w:tc>
          <w:tcPr>
            <w:tcW w:w="1027" w:type="dxa"/>
            <w:tcBorders>
              <w:top w:val="nil"/>
              <w:left w:val="nil"/>
              <w:bottom w:val="single" w:sz="4" w:space="0" w:color="auto"/>
              <w:right w:val="single" w:sz="4" w:space="0" w:color="auto"/>
            </w:tcBorders>
            <w:shd w:val="clear" w:color="auto" w:fill="auto"/>
            <w:noWrap/>
            <w:vAlign w:val="bottom"/>
            <w:hideMark/>
          </w:tcPr>
          <w:p w14:paraId="17EC7B8B"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84 </w:t>
            </w:r>
          </w:p>
        </w:tc>
        <w:tc>
          <w:tcPr>
            <w:tcW w:w="1028" w:type="dxa"/>
            <w:tcBorders>
              <w:top w:val="nil"/>
              <w:left w:val="nil"/>
              <w:bottom w:val="single" w:sz="4" w:space="0" w:color="auto"/>
              <w:right w:val="single" w:sz="4" w:space="0" w:color="auto"/>
            </w:tcBorders>
            <w:shd w:val="clear" w:color="auto" w:fill="auto"/>
            <w:noWrap/>
            <w:vAlign w:val="bottom"/>
            <w:hideMark/>
          </w:tcPr>
          <w:p w14:paraId="664C3A44"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59 </w:t>
            </w:r>
          </w:p>
        </w:tc>
        <w:tc>
          <w:tcPr>
            <w:tcW w:w="1027" w:type="dxa"/>
            <w:tcBorders>
              <w:top w:val="nil"/>
              <w:left w:val="nil"/>
              <w:bottom w:val="single" w:sz="4" w:space="0" w:color="auto"/>
              <w:right w:val="single" w:sz="4" w:space="0" w:color="auto"/>
            </w:tcBorders>
            <w:shd w:val="clear" w:color="auto" w:fill="auto"/>
            <w:noWrap/>
            <w:vAlign w:val="bottom"/>
            <w:hideMark/>
          </w:tcPr>
          <w:p w14:paraId="15643A71"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129 </w:t>
            </w:r>
          </w:p>
        </w:tc>
        <w:tc>
          <w:tcPr>
            <w:tcW w:w="1028" w:type="dxa"/>
            <w:tcBorders>
              <w:top w:val="nil"/>
              <w:left w:val="nil"/>
              <w:bottom w:val="single" w:sz="4" w:space="0" w:color="auto"/>
              <w:right w:val="single" w:sz="4" w:space="0" w:color="auto"/>
            </w:tcBorders>
            <w:shd w:val="clear" w:color="auto" w:fill="auto"/>
            <w:noWrap/>
            <w:vAlign w:val="bottom"/>
            <w:hideMark/>
          </w:tcPr>
          <w:p w14:paraId="4122BE91"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104 </w:t>
            </w:r>
          </w:p>
        </w:tc>
        <w:tc>
          <w:tcPr>
            <w:tcW w:w="1027" w:type="dxa"/>
            <w:tcBorders>
              <w:top w:val="nil"/>
              <w:left w:val="nil"/>
              <w:bottom w:val="single" w:sz="4" w:space="0" w:color="auto"/>
              <w:right w:val="single" w:sz="4" w:space="0" w:color="auto"/>
            </w:tcBorders>
            <w:shd w:val="clear" w:color="auto" w:fill="auto"/>
            <w:noWrap/>
            <w:vAlign w:val="bottom"/>
            <w:hideMark/>
          </w:tcPr>
          <w:p w14:paraId="6CF59F62"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117 </w:t>
            </w:r>
          </w:p>
        </w:tc>
        <w:tc>
          <w:tcPr>
            <w:tcW w:w="1028" w:type="dxa"/>
            <w:tcBorders>
              <w:top w:val="nil"/>
              <w:left w:val="nil"/>
              <w:bottom w:val="single" w:sz="4" w:space="0" w:color="auto"/>
              <w:right w:val="single" w:sz="8" w:space="0" w:color="auto"/>
            </w:tcBorders>
            <w:shd w:val="clear" w:color="auto" w:fill="auto"/>
            <w:noWrap/>
            <w:vAlign w:val="bottom"/>
            <w:hideMark/>
          </w:tcPr>
          <w:p w14:paraId="25F06339"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97 </w:t>
            </w:r>
          </w:p>
        </w:tc>
      </w:tr>
      <w:tr w:rsidR="009D6B19" w:rsidRPr="00920006" w14:paraId="66FD1C23" w14:textId="77777777" w:rsidTr="00F077D8">
        <w:trPr>
          <w:trHeight w:val="288"/>
        </w:trPr>
        <w:tc>
          <w:tcPr>
            <w:tcW w:w="1120" w:type="dxa"/>
            <w:tcBorders>
              <w:top w:val="nil"/>
              <w:left w:val="single" w:sz="8" w:space="0" w:color="auto"/>
              <w:bottom w:val="single" w:sz="4" w:space="0" w:color="auto"/>
              <w:right w:val="single" w:sz="4" w:space="0" w:color="auto"/>
            </w:tcBorders>
            <w:shd w:val="clear" w:color="auto" w:fill="auto"/>
            <w:noWrap/>
            <w:vAlign w:val="bottom"/>
            <w:hideMark/>
          </w:tcPr>
          <w:p w14:paraId="38DF9D3B" w14:textId="77777777" w:rsidR="009D6B19" w:rsidRPr="00920006" w:rsidRDefault="009D6B19" w:rsidP="009D6B19">
            <w:pPr>
              <w:ind w:firstLine="0"/>
              <w:rPr>
                <w:rFonts w:ascii="Calibri" w:eastAsia="Times New Roman" w:hAnsi="Calibri" w:cs="Calibri"/>
                <w:b/>
                <w:bCs/>
                <w:color w:val="000000"/>
                <w:sz w:val="18"/>
                <w:szCs w:val="18"/>
              </w:rPr>
            </w:pPr>
            <w:r w:rsidRPr="00920006">
              <w:rPr>
                <w:rFonts w:ascii="Calibri" w:eastAsia="Times New Roman" w:hAnsi="Calibri" w:cs="Calibri"/>
                <w:b/>
                <w:bCs/>
                <w:color w:val="000000"/>
                <w:sz w:val="18"/>
                <w:szCs w:val="18"/>
              </w:rPr>
              <w:t>Croatia</w:t>
            </w:r>
          </w:p>
        </w:tc>
        <w:tc>
          <w:tcPr>
            <w:tcW w:w="1027" w:type="dxa"/>
            <w:tcBorders>
              <w:top w:val="nil"/>
              <w:left w:val="nil"/>
              <w:bottom w:val="single" w:sz="4" w:space="0" w:color="auto"/>
              <w:right w:val="single" w:sz="4" w:space="0" w:color="auto"/>
            </w:tcBorders>
            <w:shd w:val="clear" w:color="auto" w:fill="auto"/>
            <w:noWrap/>
            <w:vAlign w:val="bottom"/>
            <w:hideMark/>
          </w:tcPr>
          <w:p w14:paraId="759FA956"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114 </w:t>
            </w:r>
          </w:p>
        </w:tc>
        <w:tc>
          <w:tcPr>
            <w:tcW w:w="1028" w:type="dxa"/>
            <w:tcBorders>
              <w:top w:val="nil"/>
              <w:left w:val="nil"/>
              <w:bottom w:val="single" w:sz="4" w:space="0" w:color="auto"/>
              <w:right w:val="single" w:sz="4" w:space="0" w:color="auto"/>
            </w:tcBorders>
            <w:shd w:val="clear" w:color="auto" w:fill="auto"/>
            <w:noWrap/>
            <w:vAlign w:val="bottom"/>
            <w:hideMark/>
          </w:tcPr>
          <w:p w14:paraId="09303E55"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97 </w:t>
            </w:r>
          </w:p>
        </w:tc>
        <w:tc>
          <w:tcPr>
            <w:tcW w:w="1027" w:type="dxa"/>
            <w:tcBorders>
              <w:top w:val="nil"/>
              <w:left w:val="nil"/>
              <w:bottom w:val="single" w:sz="4" w:space="0" w:color="auto"/>
              <w:right w:val="single" w:sz="4" w:space="0" w:color="auto"/>
            </w:tcBorders>
            <w:shd w:val="clear" w:color="auto" w:fill="auto"/>
            <w:noWrap/>
            <w:vAlign w:val="bottom"/>
            <w:hideMark/>
          </w:tcPr>
          <w:p w14:paraId="1AD4008C"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91 </w:t>
            </w:r>
          </w:p>
        </w:tc>
        <w:tc>
          <w:tcPr>
            <w:tcW w:w="1028" w:type="dxa"/>
            <w:tcBorders>
              <w:top w:val="nil"/>
              <w:left w:val="nil"/>
              <w:bottom w:val="single" w:sz="4" w:space="0" w:color="auto"/>
              <w:right w:val="single" w:sz="4" w:space="0" w:color="auto"/>
            </w:tcBorders>
            <w:shd w:val="clear" w:color="auto" w:fill="auto"/>
            <w:noWrap/>
            <w:vAlign w:val="bottom"/>
            <w:hideMark/>
          </w:tcPr>
          <w:p w14:paraId="5225C124"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70 </w:t>
            </w:r>
          </w:p>
        </w:tc>
        <w:tc>
          <w:tcPr>
            <w:tcW w:w="1027" w:type="dxa"/>
            <w:tcBorders>
              <w:top w:val="nil"/>
              <w:left w:val="nil"/>
              <w:bottom w:val="single" w:sz="4" w:space="0" w:color="auto"/>
              <w:right w:val="single" w:sz="4" w:space="0" w:color="auto"/>
            </w:tcBorders>
            <w:shd w:val="clear" w:color="auto" w:fill="auto"/>
            <w:noWrap/>
            <w:vAlign w:val="bottom"/>
            <w:hideMark/>
          </w:tcPr>
          <w:p w14:paraId="0D6F6A75"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111 </w:t>
            </w:r>
          </w:p>
        </w:tc>
        <w:tc>
          <w:tcPr>
            <w:tcW w:w="1028" w:type="dxa"/>
            <w:tcBorders>
              <w:top w:val="nil"/>
              <w:left w:val="nil"/>
              <w:bottom w:val="single" w:sz="4" w:space="0" w:color="auto"/>
              <w:right w:val="single" w:sz="4" w:space="0" w:color="auto"/>
            </w:tcBorders>
            <w:shd w:val="clear" w:color="auto" w:fill="auto"/>
            <w:noWrap/>
            <w:vAlign w:val="bottom"/>
            <w:hideMark/>
          </w:tcPr>
          <w:p w14:paraId="0653BEF5"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107 </w:t>
            </w:r>
          </w:p>
        </w:tc>
        <w:tc>
          <w:tcPr>
            <w:tcW w:w="1027" w:type="dxa"/>
            <w:tcBorders>
              <w:top w:val="nil"/>
              <w:left w:val="nil"/>
              <w:bottom w:val="single" w:sz="4" w:space="0" w:color="auto"/>
              <w:right w:val="single" w:sz="4" w:space="0" w:color="auto"/>
            </w:tcBorders>
            <w:shd w:val="clear" w:color="auto" w:fill="auto"/>
            <w:noWrap/>
            <w:vAlign w:val="bottom"/>
            <w:hideMark/>
          </w:tcPr>
          <w:p w14:paraId="55D1762C"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115 </w:t>
            </w:r>
          </w:p>
        </w:tc>
        <w:tc>
          <w:tcPr>
            <w:tcW w:w="1028" w:type="dxa"/>
            <w:tcBorders>
              <w:top w:val="nil"/>
              <w:left w:val="nil"/>
              <w:bottom w:val="single" w:sz="4" w:space="0" w:color="auto"/>
              <w:right w:val="single" w:sz="8" w:space="0" w:color="auto"/>
            </w:tcBorders>
            <w:shd w:val="clear" w:color="auto" w:fill="auto"/>
            <w:noWrap/>
            <w:vAlign w:val="bottom"/>
            <w:hideMark/>
          </w:tcPr>
          <w:p w14:paraId="5FAF6686"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99 </w:t>
            </w:r>
          </w:p>
        </w:tc>
      </w:tr>
      <w:tr w:rsidR="009D6B19" w:rsidRPr="00920006" w14:paraId="5EB5D4FA" w14:textId="77777777" w:rsidTr="00F077D8">
        <w:trPr>
          <w:trHeight w:val="288"/>
        </w:trPr>
        <w:tc>
          <w:tcPr>
            <w:tcW w:w="1120" w:type="dxa"/>
            <w:tcBorders>
              <w:top w:val="nil"/>
              <w:left w:val="single" w:sz="8" w:space="0" w:color="auto"/>
              <w:bottom w:val="single" w:sz="4" w:space="0" w:color="auto"/>
              <w:right w:val="single" w:sz="4" w:space="0" w:color="auto"/>
            </w:tcBorders>
            <w:shd w:val="clear" w:color="auto" w:fill="auto"/>
            <w:noWrap/>
            <w:vAlign w:val="bottom"/>
            <w:hideMark/>
          </w:tcPr>
          <w:p w14:paraId="172D556A" w14:textId="77777777" w:rsidR="009D6B19" w:rsidRPr="00920006" w:rsidRDefault="009D6B19" w:rsidP="009D6B19">
            <w:pPr>
              <w:ind w:firstLine="0"/>
              <w:rPr>
                <w:rFonts w:ascii="Calibri" w:eastAsia="Times New Roman" w:hAnsi="Calibri" w:cs="Calibri"/>
                <w:b/>
                <w:bCs/>
                <w:color w:val="000000"/>
                <w:sz w:val="18"/>
                <w:szCs w:val="18"/>
              </w:rPr>
            </w:pPr>
            <w:r w:rsidRPr="00920006">
              <w:rPr>
                <w:rFonts w:ascii="Calibri" w:eastAsia="Times New Roman" w:hAnsi="Calibri" w:cs="Calibri"/>
                <w:b/>
                <w:bCs/>
                <w:color w:val="000000"/>
                <w:sz w:val="18"/>
                <w:szCs w:val="18"/>
              </w:rPr>
              <w:t>Poland</w:t>
            </w:r>
          </w:p>
        </w:tc>
        <w:tc>
          <w:tcPr>
            <w:tcW w:w="1027" w:type="dxa"/>
            <w:tcBorders>
              <w:top w:val="nil"/>
              <w:left w:val="nil"/>
              <w:bottom w:val="single" w:sz="4" w:space="0" w:color="auto"/>
              <w:right w:val="single" w:sz="4" w:space="0" w:color="auto"/>
            </w:tcBorders>
            <w:shd w:val="clear" w:color="auto" w:fill="auto"/>
            <w:noWrap/>
            <w:vAlign w:val="bottom"/>
            <w:hideMark/>
          </w:tcPr>
          <w:p w14:paraId="41329029"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97 </w:t>
            </w:r>
          </w:p>
        </w:tc>
        <w:tc>
          <w:tcPr>
            <w:tcW w:w="1028" w:type="dxa"/>
            <w:tcBorders>
              <w:top w:val="nil"/>
              <w:left w:val="nil"/>
              <w:bottom w:val="single" w:sz="4" w:space="0" w:color="auto"/>
              <w:right w:val="single" w:sz="4" w:space="0" w:color="auto"/>
            </w:tcBorders>
            <w:shd w:val="clear" w:color="auto" w:fill="auto"/>
            <w:noWrap/>
            <w:vAlign w:val="bottom"/>
            <w:hideMark/>
          </w:tcPr>
          <w:p w14:paraId="4BD147C4"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74 </w:t>
            </w:r>
          </w:p>
        </w:tc>
        <w:tc>
          <w:tcPr>
            <w:tcW w:w="1027" w:type="dxa"/>
            <w:tcBorders>
              <w:top w:val="nil"/>
              <w:left w:val="nil"/>
              <w:bottom w:val="single" w:sz="4" w:space="0" w:color="auto"/>
              <w:right w:val="single" w:sz="4" w:space="0" w:color="auto"/>
            </w:tcBorders>
            <w:shd w:val="clear" w:color="auto" w:fill="auto"/>
            <w:noWrap/>
            <w:vAlign w:val="bottom"/>
            <w:hideMark/>
          </w:tcPr>
          <w:p w14:paraId="36BAFFFF"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86 </w:t>
            </w:r>
          </w:p>
        </w:tc>
        <w:tc>
          <w:tcPr>
            <w:tcW w:w="1028" w:type="dxa"/>
            <w:tcBorders>
              <w:top w:val="nil"/>
              <w:left w:val="nil"/>
              <w:bottom w:val="single" w:sz="4" w:space="0" w:color="auto"/>
              <w:right w:val="single" w:sz="4" w:space="0" w:color="auto"/>
            </w:tcBorders>
            <w:shd w:val="clear" w:color="auto" w:fill="auto"/>
            <w:noWrap/>
            <w:vAlign w:val="bottom"/>
            <w:hideMark/>
          </w:tcPr>
          <w:p w14:paraId="3EFBB2A7"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62 </w:t>
            </w:r>
          </w:p>
        </w:tc>
        <w:tc>
          <w:tcPr>
            <w:tcW w:w="1027" w:type="dxa"/>
            <w:tcBorders>
              <w:top w:val="nil"/>
              <w:left w:val="nil"/>
              <w:bottom w:val="single" w:sz="4" w:space="0" w:color="auto"/>
              <w:right w:val="single" w:sz="4" w:space="0" w:color="auto"/>
            </w:tcBorders>
            <w:shd w:val="clear" w:color="auto" w:fill="auto"/>
            <w:noWrap/>
            <w:vAlign w:val="bottom"/>
            <w:hideMark/>
          </w:tcPr>
          <w:p w14:paraId="5901826A"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127 </w:t>
            </w:r>
          </w:p>
        </w:tc>
        <w:tc>
          <w:tcPr>
            <w:tcW w:w="1028" w:type="dxa"/>
            <w:tcBorders>
              <w:top w:val="nil"/>
              <w:left w:val="nil"/>
              <w:bottom w:val="single" w:sz="4" w:space="0" w:color="auto"/>
              <w:right w:val="single" w:sz="4" w:space="0" w:color="auto"/>
            </w:tcBorders>
            <w:shd w:val="clear" w:color="auto" w:fill="auto"/>
            <w:noWrap/>
            <w:vAlign w:val="bottom"/>
            <w:hideMark/>
          </w:tcPr>
          <w:p w14:paraId="29F4FCDE"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87 </w:t>
            </w:r>
          </w:p>
        </w:tc>
        <w:tc>
          <w:tcPr>
            <w:tcW w:w="1027" w:type="dxa"/>
            <w:tcBorders>
              <w:top w:val="nil"/>
              <w:left w:val="nil"/>
              <w:bottom w:val="single" w:sz="4" w:space="0" w:color="auto"/>
              <w:right w:val="single" w:sz="4" w:space="0" w:color="auto"/>
            </w:tcBorders>
            <w:shd w:val="clear" w:color="auto" w:fill="auto"/>
            <w:noWrap/>
            <w:vAlign w:val="bottom"/>
            <w:hideMark/>
          </w:tcPr>
          <w:p w14:paraId="36959AC1"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119 </w:t>
            </w:r>
          </w:p>
        </w:tc>
        <w:tc>
          <w:tcPr>
            <w:tcW w:w="1028" w:type="dxa"/>
            <w:tcBorders>
              <w:top w:val="nil"/>
              <w:left w:val="nil"/>
              <w:bottom w:val="single" w:sz="4" w:space="0" w:color="auto"/>
              <w:right w:val="single" w:sz="8" w:space="0" w:color="auto"/>
            </w:tcBorders>
            <w:shd w:val="clear" w:color="auto" w:fill="auto"/>
            <w:noWrap/>
            <w:vAlign w:val="bottom"/>
            <w:hideMark/>
          </w:tcPr>
          <w:p w14:paraId="245EAA3E"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107 </w:t>
            </w:r>
          </w:p>
        </w:tc>
      </w:tr>
      <w:tr w:rsidR="009D6B19" w:rsidRPr="00920006" w14:paraId="29FF3C31" w14:textId="77777777" w:rsidTr="00F077D8">
        <w:trPr>
          <w:trHeight w:val="288"/>
        </w:trPr>
        <w:tc>
          <w:tcPr>
            <w:tcW w:w="1120" w:type="dxa"/>
            <w:tcBorders>
              <w:top w:val="nil"/>
              <w:left w:val="single" w:sz="8" w:space="0" w:color="auto"/>
              <w:bottom w:val="single" w:sz="8" w:space="0" w:color="auto"/>
              <w:right w:val="single" w:sz="4" w:space="0" w:color="auto"/>
            </w:tcBorders>
            <w:shd w:val="clear" w:color="auto" w:fill="auto"/>
            <w:noWrap/>
            <w:vAlign w:val="bottom"/>
            <w:hideMark/>
          </w:tcPr>
          <w:p w14:paraId="00B86D77" w14:textId="77777777" w:rsidR="009D6B19" w:rsidRPr="00920006" w:rsidRDefault="009D6B19" w:rsidP="009D6B19">
            <w:pPr>
              <w:ind w:firstLine="0"/>
              <w:rPr>
                <w:rFonts w:ascii="Calibri" w:eastAsia="Times New Roman" w:hAnsi="Calibri" w:cs="Calibri"/>
                <w:b/>
                <w:bCs/>
                <w:color w:val="000000"/>
                <w:sz w:val="18"/>
                <w:szCs w:val="18"/>
              </w:rPr>
            </w:pPr>
            <w:r w:rsidRPr="00920006">
              <w:rPr>
                <w:rFonts w:ascii="Calibri" w:eastAsia="Times New Roman" w:hAnsi="Calibri" w:cs="Calibri"/>
                <w:b/>
                <w:bCs/>
                <w:color w:val="000000"/>
                <w:sz w:val="18"/>
                <w:szCs w:val="18"/>
              </w:rPr>
              <w:t>Romania</w:t>
            </w:r>
          </w:p>
        </w:tc>
        <w:tc>
          <w:tcPr>
            <w:tcW w:w="1027" w:type="dxa"/>
            <w:tcBorders>
              <w:top w:val="nil"/>
              <w:left w:val="nil"/>
              <w:bottom w:val="single" w:sz="8" w:space="0" w:color="auto"/>
              <w:right w:val="single" w:sz="4" w:space="0" w:color="auto"/>
            </w:tcBorders>
            <w:shd w:val="clear" w:color="auto" w:fill="auto"/>
            <w:noWrap/>
            <w:vAlign w:val="bottom"/>
            <w:hideMark/>
          </w:tcPr>
          <w:p w14:paraId="3E4C1E43"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118 </w:t>
            </w:r>
          </w:p>
        </w:tc>
        <w:tc>
          <w:tcPr>
            <w:tcW w:w="1028" w:type="dxa"/>
            <w:tcBorders>
              <w:top w:val="nil"/>
              <w:left w:val="nil"/>
              <w:bottom w:val="single" w:sz="8" w:space="0" w:color="auto"/>
              <w:right w:val="single" w:sz="4" w:space="0" w:color="auto"/>
            </w:tcBorders>
            <w:shd w:val="clear" w:color="auto" w:fill="auto"/>
            <w:noWrap/>
            <w:vAlign w:val="bottom"/>
            <w:hideMark/>
          </w:tcPr>
          <w:p w14:paraId="0931B461"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96 </w:t>
            </w:r>
          </w:p>
        </w:tc>
        <w:tc>
          <w:tcPr>
            <w:tcW w:w="1027" w:type="dxa"/>
            <w:tcBorders>
              <w:top w:val="nil"/>
              <w:left w:val="nil"/>
              <w:bottom w:val="single" w:sz="8" w:space="0" w:color="auto"/>
              <w:right w:val="single" w:sz="4" w:space="0" w:color="auto"/>
            </w:tcBorders>
            <w:shd w:val="clear" w:color="auto" w:fill="auto"/>
            <w:noWrap/>
            <w:vAlign w:val="bottom"/>
            <w:hideMark/>
          </w:tcPr>
          <w:p w14:paraId="52E1A97B"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89 </w:t>
            </w:r>
          </w:p>
        </w:tc>
        <w:tc>
          <w:tcPr>
            <w:tcW w:w="1028" w:type="dxa"/>
            <w:tcBorders>
              <w:top w:val="nil"/>
              <w:left w:val="nil"/>
              <w:bottom w:val="single" w:sz="8" w:space="0" w:color="auto"/>
              <w:right w:val="single" w:sz="4" w:space="0" w:color="auto"/>
            </w:tcBorders>
            <w:shd w:val="clear" w:color="auto" w:fill="auto"/>
            <w:noWrap/>
            <w:vAlign w:val="bottom"/>
            <w:hideMark/>
          </w:tcPr>
          <w:p w14:paraId="362FAF06"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66 </w:t>
            </w:r>
          </w:p>
        </w:tc>
        <w:tc>
          <w:tcPr>
            <w:tcW w:w="1027" w:type="dxa"/>
            <w:tcBorders>
              <w:top w:val="nil"/>
              <w:left w:val="nil"/>
              <w:bottom w:val="single" w:sz="8" w:space="0" w:color="auto"/>
              <w:right w:val="single" w:sz="4" w:space="0" w:color="auto"/>
            </w:tcBorders>
            <w:shd w:val="clear" w:color="auto" w:fill="auto"/>
            <w:noWrap/>
            <w:vAlign w:val="bottom"/>
            <w:hideMark/>
          </w:tcPr>
          <w:p w14:paraId="5E5A3CC3"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125 </w:t>
            </w:r>
          </w:p>
        </w:tc>
        <w:tc>
          <w:tcPr>
            <w:tcW w:w="1028" w:type="dxa"/>
            <w:tcBorders>
              <w:top w:val="nil"/>
              <w:left w:val="nil"/>
              <w:bottom w:val="single" w:sz="8" w:space="0" w:color="auto"/>
              <w:right w:val="single" w:sz="4" w:space="0" w:color="auto"/>
            </w:tcBorders>
            <w:shd w:val="clear" w:color="auto" w:fill="auto"/>
            <w:noWrap/>
            <w:vAlign w:val="bottom"/>
            <w:hideMark/>
          </w:tcPr>
          <w:p w14:paraId="46D9FEE6"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86 </w:t>
            </w:r>
          </w:p>
        </w:tc>
        <w:tc>
          <w:tcPr>
            <w:tcW w:w="1027" w:type="dxa"/>
            <w:tcBorders>
              <w:top w:val="nil"/>
              <w:left w:val="nil"/>
              <w:bottom w:val="single" w:sz="8" w:space="0" w:color="auto"/>
              <w:right w:val="single" w:sz="4" w:space="0" w:color="auto"/>
            </w:tcBorders>
            <w:shd w:val="clear" w:color="auto" w:fill="auto"/>
            <w:noWrap/>
            <w:vAlign w:val="bottom"/>
            <w:hideMark/>
          </w:tcPr>
          <w:p w14:paraId="34149346"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120 </w:t>
            </w:r>
          </w:p>
        </w:tc>
        <w:tc>
          <w:tcPr>
            <w:tcW w:w="1028" w:type="dxa"/>
            <w:tcBorders>
              <w:top w:val="nil"/>
              <w:left w:val="nil"/>
              <w:bottom w:val="single" w:sz="8" w:space="0" w:color="auto"/>
              <w:right w:val="single" w:sz="8" w:space="0" w:color="auto"/>
            </w:tcBorders>
            <w:shd w:val="clear" w:color="auto" w:fill="auto"/>
            <w:noWrap/>
            <w:vAlign w:val="bottom"/>
            <w:hideMark/>
          </w:tcPr>
          <w:p w14:paraId="1462B67B" w14:textId="77777777" w:rsidR="009D6B19" w:rsidRPr="00920006" w:rsidRDefault="009D6B19" w:rsidP="00F077D8">
            <w:pPr>
              <w:spacing w:line="168" w:lineRule="auto"/>
              <w:rPr>
                <w:rFonts w:ascii="Calibri" w:eastAsia="Times New Roman" w:hAnsi="Calibri" w:cs="Calibri"/>
                <w:color w:val="000000"/>
                <w:sz w:val="18"/>
                <w:szCs w:val="18"/>
              </w:rPr>
            </w:pPr>
            <w:r w:rsidRPr="00920006">
              <w:rPr>
                <w:rFonts w:ascii="Calibri" w:eastAsia="Times New Roman" w:hAnsi="Calibri" w:cs="Calibri"/>
                <w:color w:val="000000"/>
                <w:sz w:val="18"/>
                <w:szCs w:val="18"/>
              </w:rPr>
              <w:t xml:space="preserve">                99 </w:t>
            </w:r>
          </w:p>
        </w:tc>
      </w:tr>
    </w:tbl>
    <w:p w14:paraId="3A923C30" w14:textId="77777777" w:rsidR="009D6B19" w:rsidRDefault="009D6B19" w:rsidP="0011383F"/>
    <w:p w14:paraId="4D4E8A84" w14:textId="36D259DF" w:rsidR="00A32001" w:rsidRDefault="00A32001" w:rsidP="00A32001">
      <w:r>
        <w:t xml:space="preserve">The </w:t>
      </w:r>
      <w:r w:rsidRPr="009F4543">
        <w:rPr>
          <w:i/>
          <w:iCs/>
        </w:rPr>
        <w:t>EGD-NDC</w:t>
      </w:r>
      <w:r>
        <w:t xml:space="preserve"> scenario shows that whilst significantly increasing fossil fuel prices, </w:t>
      </w:r>
      <w:r w:rsidR="008A38B6">
        <w:t xml:space="preserve">there is no reduction on material use as </w:t>
      </w:r>
      <w:r>
        <w:t xml:space="preserve">carbon pricing has minimal impacts on metals and NMN prices. </w:t>
      </w:r>
      <w:r w:rsidR="008A38B6">
        <w:t xml:space="preserve"> </w:t>
      </w:r>
      <w:r>
        <w:t>However</w:t>
      </w:r>
      <w:r w:rsidR="008A38B6">
        <w:t xml:space="preserve">, </w:t>
      </w:r>
      <w:r>
        <w:t xml:space="preserve">dedicated policies aimed at </w:t>
      </w:r>
      <w:r w:rsidR="008A38B6">
        <w:t>increasing</w:t>
      </w:r>
      <w:r>
        <w:t xml:space="preserve"> materials’ pricing </w:t>
      </w:r>
      <w:r w:rsidR="008A38B6">
        <w:t xml:space="preserve">can </w:t>
      </w:r>
      <w:r>
        <w:t>reduce material use (</w:t>
      </w:r>
      <w:r>
        <w:fldChar w:fldCharType="begin"/>
      </w:r>
      <w:r>
        <w:instrText xml:space="preserve"> REF _Ref95048253 \h </w:instrText>
      </w:r>
      <w:r>
        <w:fldChar w:fldCharType="separate"/>
      </w:r>
      <w:r w:rsidRPr="00AE57F3">
        <w:t xml:space="preserve">Table </w:t>
      </w:r>
      <w:r>
        <w:rPr>
          <w:noProof/>
        </w:rPr>
        <w:t>3</w:t>
      </w:r>
      <w:r>
        <w:fldChar w:fldCharType="end"/>
      </w:r>
      <w:r>
        <w:t xml:space="preserve">). Where fiscal policies (in this case production taxes) are imposed, producer prices rise significantly, contributing to reduced materials use. Of course, elasticities vary across products and in the examples shown here, metals and NMN use appear to be somewhat less sensitive to price changes than fossil fuels (coal). Nevertheless, the role of pricing is clear, highlighting the importance of fiscal policy tools in delivering on CE objectives. </w:t>
      </w:r>
    </w:p>
    <w:p w14:paraId="5924CC1C" w14:textId="77777777" w:rsidR="00A32001" w:rsidRDefault="00A32001" w:rsidP="00A32001"/>
    <w:p w14:paraId="73B7260F" w14:textId="77777777" w:rsidR="00A32001" w:rsidRPr="00BC5AB5" w:rsidRDefault="00A32001" w:rsidP="00BC5AB5">
      <w:pPr>
        <w:ind w:firstLine="0"/>
        <w:rPr>
          <w:b/>
        </w:rPr>
      </w:pPr>
      <w:bookmarkStart w:id="3" w:name="_Ref95048253"/>
      <w:r w:rsidRPr="00BC5AB5">
        <w:rPr>
          <w:b/>
        </w:rPr>
        <w:t xml:space="preserve">Table </w:t>
      </w:r>
      <w:r w:rsidRPr="00BC5AB5">
        <w:rPr>
          <w:b/>
        </w:rPr>
        <w:fldChar w:fldCharType="begin"/>
      </w:r>
      <w:r w:rsidRPr="00BC5AB5">
        <w:rPr>
          <w:b/>
        </w:rPr>
        <w:instrText xml:space="preserve"> SEQ Table \* ARABIC </w:instrText>
      </w:r>
      <w:r w:rsidRPr="00BC5AB5">
        <w:rPr>
          <w:b/>
        </w:rPr>
        <w:fldChar w:fldCharType="separate"/>
      </w:r>
      <w:r w:rsidRPr="00BC5AB5">
        <w:rPr>
          <w:b/>
        </w:rPr>
        <w:t>3</w:t>
      </w:r>
      <w:r w:rsidRPr="00BC5AB5">
        <w:rPr>
          <w:b/>
        </w:rPr>
        <w:fldChar w:fldCharType="end"/>
      </w:r>
      <w:bookmarkEnd w:id="3"/>
      <w:r w:rsidRPr="00BC5AB5">
        <w:rPr>
          <w:b/>
        </w:rPr>
        <w:t>: Price and materials use</w:t>
      </w:r>
      <w:r w:rsidRPr="00BC5AB5">
        <w:rPr>
          <w:b/>
        </w:rPr>
        <w:footnoteReference w:id="7"/>
      </w:r>
      <w:r w:rsidRPr="00BC5AB5">
        <w:rPr>
          <w:b/>
        </w:rPr>
        <w:t xml:space="preserve"> growth to 2030</w:t>
      </w:r>
    </w:p>
    <w:tbl>
      <w:tblPr>
        <w:tblW w:w="10080" w:type="dxa"/>
        <w:tblLook w:val="04A0" w:firstRow="1" w:lastRow="0" w:firstColumn="1" w:lastColumn="0" w:noHBand="0" w:noVBand="1"/>
      </w:tblPr>
      <w:tblGrid>
        <w:gridCol w:w="2040"/>
        <w:gridCol w:w="1340"/>
        <w:gridCol w:w="1340"/>
        <w:gridCol w:w="1340"/>
        <w:gridCol w:w="1340"/>
        <w:gridCol w:w="1340"/>
        <w:gridCol w:w="1340"/>
      </w:tblGrid>
      <w:tr w:rsidR="00A32001" w:rsidRPr="00A0058B" w14:paraId="0DE56FD9" w14:textId="77777777" w:rsidTr="00F077D8">
        <w:trPr>
          <w:trHeight w:val="683"/>
          <w:tblHeader/>
        </w:trPr>
        <w:tc>
          <w:tcPr>
            <w:tcW w:w="2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3C1020" w14:textId="77777777" w:rsidR="00A32001" w:rsidRPr="006B7499" w:rsidRDefault="00A32001" w:rsidP="00F077D8">
            <w:pPr>
              <w:rPr>
                <w:rFonts w:ascii="Calibri" w:eastAsia="Times New Roman" w:hAnsi="Calibri" w:cs="Calibri"/>
                <w:b/>
                <w:bCs/>
                <w:color w:val="000000"/>
                <w:sz w:val="18"/>
                <w:szCs w:val="18"/>
              </w:rPr>
            </w:pPr>
            <w:r w:rsidRPr="006B7499">
              <w:rPr>
                <w:rFonts w:ascii="Calibri" w:eastAsia="Times New Roman" w:hAnsi="Calibri" w:cs="Calibri"/>
                <w:b/>
                <w:bCs/>
                <w:color w:val="000000"/>
                <w:sz w:val="18"/>
                <w:szCs w:val="18"/>
              </w:rPr>
              <w:t> </w:t>
            </w:r>
          </w:p>
        </w:tc>
        <w:tc>
          <w:tcPr>
            <w:tcW w:w="1340" w:type="dxa"/>
            <w:tcBorders>
              <w:top w:val="single" w:sz="4" w:space="0" w:color="auto"/>
              <w:left w:val="nil"/>
              <w:bottom w:val="single" w:sz="4" w:space="0" w:color="auto"/>
              <w:right w:val="single" w:sz="4" w:space="0" w:color="auto"/>
            </w:tcBorders>
            <w:shd w:val="clear" w:color="auto" w:fill="auto"/>
            <w:vAlign w:val="bottom"/>
            <w:hideMark/>
          </w:tcPr>
          <w:p w14:paraId="1F436D13" w14:textId="77777777" w:rsidR="00A32001" w:rsidRPr="006B7499" w:rsidRDefault="00A32001" w:rsidP="008A38B6">
            <w:pPr>
              <w:ind w:firstLine="0"/>
              <w:rPr>
                <w:rFonts w:ascii="Calibri" w:eastAsia="Times New Roman" w:hAnsi="Calibri" w:cs="Calibri"/>
                <w:b/>
                <w:bCs/>
                <w:color w:val="000000"/>
                <w:sz w:val="18"/>
                <w:szCs w:val="18"/>
              </w:rPr>
            </w:pPr>
            <w:r w:rsidRPr="006B7499">
              <w:rPr>
                <w:rFonts w:ascii="Calibri" w:eastAsia="Times New Roman" w:hAnsi="Calibri" w:cs="Calibri"/>
                <w:b/>
                <w:bCs/>
                <w:color w:val="000000"/>
                <w:sz w:val="18"/>
                <w:szCs w:val="18"/>
              </w:rPr>
              <w:t>Coal power price growth</w:t>
            </w:r>
          </w:p>
        </w:tc>
        <w:tc>
          <w:tcPr>
            <w:tcW w:w="1340" w:type="dxa"/>
            <w:tcBorders>
              <w:top w:val="single" w:sz="4" w:space="0" w:color="auto"/>
              <w:left w:val="nil"/>
              <w:bottom w:val="single" w:sz="4" w:space="0" w:color="auto"/>
              <w:right w:val="single" w:sz="4" w:space="0" w:color="auto"/>
            </w:tcBorders>
            <w:shd w:val="clear" w:color="auto" w:fill="auto"/>
            <w:vAlign w:val="bottom"/>
            <w:hideMark/>
          </w:tcPr>
          <w:p w14:paraId="78BC3662" w14:textId="77777777" w:rsidR="00A32001" w:rsidRPr="006B7499" w:rsidRDefault="00A32001" w:rsidP="008A38B6">
            <w:pPr>
              <w:ind w:firstLine="0"/>
              <w:rPr>
                <w:rFonts w:ascii="Calibri" w:eastAsia="Times New Roman" w:hAnsi="Calibri" w:cs="Calibri"/>
                <w:b/>
                <w:bCs/>
                <w:color w:val="000000"/>
                <w:sz w:val="18"/>
                <w:szCs w:val="18"/>
              </w:rPr>
            </w:pPr>
            <w:r w:rsidRPr="006B7499">
              <w:rPr>
                <w:rFonts w:ascii="Calibri" w:eastAsia="Times New Roman" w:hAnsi="Calibri" w:cs="Calibri"/>
                <w:b/>
                <w:bCs/>
                <w:color w:val="000000"/>
                <w:sz w:val="18"/>
                <w:szCs w:val="18"/>
              </w:rPr>
              <w:t>Coal use growth</w:t>
            </w:r>
          </w:p>
        </w:tc>
        <w:tc>
          <w:tcPr>
            <w:tcW w:w="1340" w:type="dxa"/>
            <w:tcBorders>
              <w:top w:val="single" w:sz="4" w:space="0" w:color="auto"/>
              <w:left w:val="nil"/>
              <w:bottom w:val="single" w:sz="4" w:space="0" w:color="auto"/>
              <w:right w:val="single" w:sz="4" w:space="0" w:color="auto"/>
            </w:tcBorders>
            <w:shd w:val="clear" w:color="auto" w:fill="auto"/>
            <w:vAlign w:val="bottom"/>
            <w:hideMark/>
          </w:tcPr>
          <w:p w14:paraId="677F4E8D" w14:textId="77777777" w:rsidR="00A32001" w:rsidRPr="006B7499" w:rsidRDefault="00A32001" w:rsidP="008A38B6">
            <w:pPr>
              <w:ind w:firstLine="0"/>
              <w:rPr>
                <w:rFonts w:ascii="Calibri" w:eastAsia="Times New Roman" w:hAnsi="Calibri" w:cs="Calibri"/>
                <w:b/>
                <w:bCs/>
                <w:color w:val="000000"/>
                <w:sz w:val="18"/>
                <w:szCs w:val="18"/>
              </w:rPr>
            </w:pPr>
            <w:r w:rsidRPr="006B7499">
              <w:rPr>
                <w:rFonts w:ascii="Calibri" w:eastAsia="Times New Roman" w:hAnsi="Calibri" w:cs="Calibri"/>
                <w:b/>
                <w:bCs/>
                <w:color w:val="000000"/>
                <w:sz w:val="18"/>
                <w:szCs w:val="18"/>
              </w:rPr>
              <w:t>Primary Iron and steel price growth</w:t>
            </w:r>
          </w:p>
        </w:tc>
        <w:tc>
          <w:tcPr>
            <w:tcW w:w="1340" w:type="dxa"/>
            <w:tcBorders>
              <w:top w:val="single" w:sz="4" w:space="0" w:color="auto"/>
              <w:left w:val="nil"/>
              <w:bottom w:val="single" w:sz="4" w:space="0" w:color="auto"/>
              <w:right w:val="single" w:sz="4" w:space="0" w:color="auto"/>
            </w:tcBorders>
            <w:shd w:val="clear" w:color="auto" w:fill="auto"/>
            <w:vAlign w:val="bottom"/>
            <w:hideMark/>
          </w:tcPr>
          <w:p w14:paraId="19F5684B" w14:textId="77777777" w:rsidR="00A32001" w:rsidRPr="006B7499" w:rsidRDefault="00A32001" w:rsidP="008A38B6">
            <w:pPr>
              <w:ind w:firstLine="0"/>
              <w:rPr>
                <w:rFonts w:ascii="Calibri" w:eastAsia="Times New Roman" w:hAnsi="Calibri" w:cs="Calibri"/>
                <w:b/>
                <w:bCs/>
                <w:color w:val="000000"/>
                <w:sz w:val="18"/>
                <w:szCs w:val="18"/>
              </w:rPr>
            </w:pPr>
            <w:r w:rsidRPr="006B7499">
              <w:rPr>
                <w:rFonts w:ascii="Calibri" w:eastAsia="Times New Roman" w:hAnsi="Calibri" w:cs="Calibri"/>
                <w:b/>
                <w:bCs/>
                <w:color w:val="000000"/>
                <w:sz w:val="18"/>
                <w:szCs w:val="18"/>
              </w:rPr>
              <w:t>Primary metals use growth</w:t>
            </w:r>
          </w:p>
        </w:tc>
        <w:tc>
          <w:tcPr>
            <w:tcW w:w="1340" w:type="dxa"/>
            <w:tcBorders>
              <w:top w:val="single" w:sz="4" w:space="0" w:color="auto"/>
              <w:left w:val="nil"/>
              <w:bottom w:val="single" w:sz="4" w:space="0" w:color="auto"/>
              <w:right w:val="single" w:sz="4" w:space="0" w:color="auto"/>
            </w:tcBorders>
            <w:shd w:val="clear" w:color="auto" w:fill="auto"/>
            <w:vAlign w:val="bottom"/>
            <w:hideMark/>
          </w:tcPr>
          <w:p w14:paraId="76AEBC64" w14:textId="77777777" w:rsidR="00A32001" w:rsidRPr="006B7499" w:rsidRDefault="00A32001" w:rsidP="008A38B6">
            <w:pPr>
              <w:ind w:firstLine="0"/>
              <w:rPr>
                <w:rFonts w:ascii="Calibri" w:eastAsia="Times New Roman" w:hAnsi="Calibri" w:cs="Calibri"/>
                <w:b/>
                <w:bCs/>
                <w:color w:val="000000"/>
                <w:sz w:val="18"/>
                <w:szCs w:val="18"/>
              </w:rPr>
            </w:pPr>
            <w:r w:rsidRPr="006B7499">
              <w:rPr>
                <w:rFonts w:ascii="Calibri" w:eastAsia="Times New Roman" w:hAnsi="Calibri" w:cs="Calibri"/>
                <w:b/>
                <w:bCs/>
                <w:color w:val="000000"/>
                <w:sz w:val="18"/>
                <w:szCs w:val="18"/>
              </w:rPr>
              <w:t>NMN price growth</w:t>
            </w:r>
          </w:p>
        </w:tc>
        <w:tc>
          <w:tcPr>
            <w:tcW w:w="1340" w:type="dxa"/>
            <w:tcBorders>
              <w:top w:val="single" w:sz="4" w:space="0" w:color="auto"/>
              <w:left w:val="nil"/>
              <w:bottom w:val="single" w:sz="4" w:space="0" w:color="auto"/>
              <w:right w:val="single" w:sz="4" w:space="0" w:color="auto"/>
            </w:tcBorders>
            <w:shd w:val="clear" w:color="auto" w:fill="auto"/>
            <w:vAlign w:val="bottom"/>
            <w:hideMark/>
          </w:tcPr>
          <w:p w14:paraId="287E3C8B" w14:textId="77777777" w:rsidR="00A32001" w:rsidRPr="006B7499" w:rsidRDefault="00A32001" w:rsidP="008A38B6">
            <w:pPr>
              <w:ind w:firstLine="0"/>
              <w:rPr>
                <w:rFonts w:ascii="Calibri" w:eastAsia="Times New Roman" w:hAnsi="Calibri" w:cs="Calibri"/>
                <w:b/>
                <w:bCs/>
                <w:color w:val="000000"/>
                <w:sz w:val="18"/>
                <w:szCs w:val="18"/>
              </w:rPr>
            </w:pPr>
            <w:r w:rsidRPr="006B7499">
              <w:rPr>
                <w:rFonts w:ascii="Calibri" w:eastAsia="Times New Roman" w:hAnsi="Calibri" w:cs="Calibri"/>
                <w:b/>
                <w:bCs/>
                <w:color w:val="000000"/>
                <w:sz w:val="18"/>
                <w:szCs w:val="18"/>
              </w:rPr>
              <w:t>NMN use growth</w:t>
            </w:r>
          </w:p>
        </w:tc>
      </w:tr>
      <w:tr w:rsidR="00A32001" w:rsidRPr="00A0058B" w14:paraId="6CF9E904" w14:textId="77777777" w:rsidTr="00F077D8">
        <w:trPr>
          <w:trHeight w:val="290"/>
        </w:trPr>
        <w:tc>
          <w:tcPr>
            <w:tcW w:w="2040" w:type="dxa"/>
            <w:tcBorders>
              <w:top w:val="nil"/>
              <w:left w:val="single" w:sz="4" w:space="0" w:color="auto"/>
              <w:bottom w:val="single" w:sz="4" w:space="0" w:color="auto"/>
              <w:right w:val="single" w:sz="4" w:space="0" w:color="auto"/>
            </w:tcBorders>
            <w:shd w:val="clear" w:color="auto" w:fill="auto"/>
            <w:noWrap/>
            <w:vAlign w:val="bottom"/>
            <w:hideMark/>
          </w:tcPr>
          <w:p w14:paraId="36009905" w14:textId="77777777" w:rsidR="00A32001" w:rsidRPr="006B7499" w:rsidRDefault="00A32001" w:rsidP="008A38B6">
            <w:pPr>
              <w:ind w:firstLine="0"/>
              <w:rPr>
                <w:rFonts w:ascii="Calibri" w:eastAsia="Times New Roman" w:hAnsi="Calibri" w:cs="Calibri"/>
                <w:b/>
                <w:bCs/>
                <w:color w:val="000000"/>
                <w:sz w:val="18"/>
                <w:szCs w:val="18"/>
              </w:rPr>
            </w:pPr>
            <w:r w:rsidRPr="006B7499">
              <w:rPr>
                <w:rFonts w:ascii="Calibri" w:eastAsia="Times New Roman" w:hAnsi="Calibri" w:cs="Calibri"/>
                <w:b/>
                <w:bCs/>
                <w:color w:val="000000"/>
                <w:sz w:val="18"/>
                <w:szCs w:val="18"/>
              </w:rPr>
              <w:t>EGD-NDC v BAU</w:t>
            </w:r>
          </w:p>
        </w:tc>
        <w:tc>
          <w:tcPr>
            <w:tcW w:w="1340" w:type="dxa"/>
            <w:tcBorders>
              <w:top w:val="nil"/>
              <w:left w:val="nil"/>
              <w:bottom w:val="single" w:sz="4" w:space="0" w:color="auto"/>
              <w:right w:val="single" w:sz="4" w:space="0" w:color="auto"/>
            </w:tcBorders>
            <w:shd w:val="clear" w:color="auto" w:fill="auto"/>
            <w:noWrap/>
            <w:vAlign w:val="bottom"/>
            <w:hideMark/>
          </w:tcPr>
          <w:p w14:paraId="4FFB2FB4" w14:textId="77777777" w:rsidR="00A32001" w:rsidRPr="006B7499" w:rsidRDefault="00A32001" w:rsidP="00F077D8">
            <w:pPr>
              <w:jc w:val="right"/>
              <w:rPr>
                <w:rFonts w:ascii="Calibri" w:eastAsia="Times New Roman" w:hAnsi="Calibri" w:cs="Calibri"/>
                <w:color w:val="000000"/>
                <w:sz w:val="18"/>
                <w:szCs w:val="18"/>
              </w:rPr>
            </w:pPr>
            <w:r w:rsidRPr="006B7499">
              <w:rPr>
                <w:rFonts w:ascii="Calibri" w:eastAsia="Times New Roman" w:hAnsi="Calibri" w:cs="Calibri"/>
                <w:color w:val="000000"/>
                <w:sz w:val="18"/>
                <w:szCs w:val="18"/>
              </w:rPr>
              <w:t>25.4%</w:t>
            </w:r>
          </w:p>
        </w:tc>
        <w:tc>
          <w:tcPr>
            <w:tcW w:w="1340" w:type="dxa"/>
            <w:tcBorders>
              <w:top w:val="nil"/>
              <w:left w:val="nil"/>
              <w:bottom w:val="single" w:sz="4" w:space="0" w:color="auto"/>
              <w:right w:val="single" w:sz="4" w:space="0" w:color="auto"/>
            </w:tcBorders>
            <w:shd w:val="clear" w:color="auto" w:fill="auto"/>
            <w:noWrap/>
            <w:vAlign w:val="bottom"/>
            <w:hideMark/>
          </w:tcPr>
          <w:p w14:paraId="7261F2E4" w14:textId="77777777" w:rsidR="00A32001" w:rsidRPr="006B7499" w:rsidRDefault="00A32001" w:rsidP="00F077D8">
            <w:pPr>
              <w:jc w:val="right"/>
              <w:rPr>
                <w:rFonts w:ascii="Calibri" w:eastAsia="Times New Roman" w:hAnsi="Calibri" w:cs="Calibri"/>
                <w:color w:val="000000"/>
                <w:sz w:val="18"/>
                <w:szCs w:val="18"/>
              </w:rPr>
            </w:pPr>
            <w:r w:rsidRPr="006B7499">
              <w:rPr>
                <w:rFonts w:ascii="Calibri" w:eastAsia="Times New Roman" w:hAnsi="Calibri" w:cs="Calibri"/>
                <w:color w:val="000000"/>
                <w:sz w:val="18"/>
                <w:szCs w:val="18"/>
              </w:rPr>
              <w:t>-30.3%</w:t>
            </w:r>
          </w:p>
        </w:tc>
        <w:tc>
          <w:tcPr>
            <w:tcW w:w="1340" w:type="dxa"/>
            <w:tcBorders>
              <w:top w:val="nil"/>
              <w:left w:val="nil"/>
              <w:bottom w:val="single" w:sz="4" w:space="0" w:color="auto"/>
              <w:right w:val="single" w:sz="4" w:space="0" w:color="auto"/>
            </w:tcBorders>
            <w:shd w:val="clear" w:color="auto" w:fill="auto"/>
            <w:noWrap/>
            <w:vAlign w:val="bottom"/>
            <w:hideMark/>
          </w:tcPr>
          <w:p w14:paraId="32B00140" w14:textId="77777777" w:rsidR="00A32001" w:rsidRPr="006B7499" w:rsidRDefault="00A32001" w:rsidP="00F077D8">
            <w:pPr>
              <w:jc w:val="right"/>
              <w:rPr>
                <w:rFonts w:ascii="Calibri" w:eastAsia="Times New Roman" w:hAnsi="Calibri" w:cs="Calibri"/>
                <w:color w:val="000000"/>
                <w:sz w:val="18"/>
                <w:szCs w:val="18"/>
              </w:rPr>
            </w:pPr>
            <w:r w:rsidRPr="006B7499">
              <w:rPr>
                <w:rFonts w:ascii="Calibri" w:eastAsia="Times New Roman" w:hAnsi="Calibri" w:cs="Calibri"/>
                <w:color w:val="000000"/>
                <w:sz w:val="18"/>
                <w:szCs w:val="18"/>
              </w:rPr>
              <w:t>-1.1%</w:t>
            </w:r>
          </w:p>
        </w:tc>
        <w:tc>
          <w:tcPr>
            <w:tcW w:w="1340" w:type="dxa"/>
            <w:tcBorders>
              <w:top w:val="nil"/>
              <w:left w:val="nil"/>
              <w:bottom w:val="single" w:sz="4" w:space="0" w:color="auto"/>
              <w:right w:val="single" w:sz="4" w:space="0" w:color="auto"/>
            </w:tcBorders>
            <w:shd w:val="clear" w:color="auto" w:fill="auto"/>
            <w:noWrap/>
            <w:vAlign w:val="bottom"/>
            <w:hideMark/>
          </w:tcPr>
          <w:p w14:paraId="252CC7CC" w14:textId="77777777" w:rsidR="00A32001" w:rsidRPr="006B7499" w:rsidRDefault="00A32001" w:rsidP="00F077D8">
            <w:pPr>
              <w:jc w:val="right"/>
              <w:rPr>
                <w:rFonts w:ascii="Calibri" w:eastAsia="Times New Roman" w:hAnsi="Calibri" w:cs="Calibri"/>
                <w:color w:val="000000"/>
                <w:sz w:val="18"/>
                <w:szCs w:val="18"/>
              </w:rPr>
            </w:pPr>
            <w:r w:rsidRPr="006B7499">
              <w:rPr>
                <w:rFonts w:ascii="Calibri" w:eastAsia="Times New Roman" w:hAnsi="Calibri" w:cs="Calibri"/>
                <w:color w:val="000000"/>
                <w:sz w:val="18"/>
                <w:szCs w:val="18"/>
              </w:rPr>
              <w:t>-1.2%</w:t>
            </w:r>
          </w:p>
        </w:tc>
        <w:tc>
          <w:tcPr>
            <w:tcW w:w="1340" w:type="dxa"/>
            <w:tcBorders>
              <w:top w:val="nil"/>
              <w:left w:val="nil"/>
              <w:bottom w:val="single" w:sz="4" w:space="0" w:color="auto"/>
              <w:right w:val="single" w:sz="4" w:space="0" w:color="auto"/>
            </w:tcBorders>
            <w:shd w:val="clear" w:color="auto" w:fill="auto"/>
            <w:noWrap/>
            <w:vAlign w:val="bottom"/>
            <w:hideMark/>
          </w:tcPr>
          <w:p w14:paraId="41F9A4E4" w14:textId="77777777" w:rsidR="00A32001" w:rsidRPr="006B7499" w:rsidRDefault="00A32001" w:rsidP="00F077D8">
            <w:pPr>
              <w:jc w:val="right"/>
              <w:rPr>
                <w:rFonts w:ascii="Calibri" w:eastAsia="Times New Roman" w:hAnsi="Calibri" w:cs="Calibri"/>
                <w:color w:val="000000"/>
                <w:sz w:val="18"/>
                <w:szCs w:val="18"/>
              </w:rPr>
            </w:pPr>
            <w:r w:rsidRPr="006B7499">
              <w:rPr>
                <w:rFonts w:ascii="Calibri" w:eastAsia="Times New Roman" w:hAnsi="Calibri" w:cs="Calibri"/>
                <w:color w:val="000000"/>
                <w:sz w:val="18"/>
                <w:szCs w:val="18"/>
              </w:rPr>
              <w:t>0.6%</w:t>
            </w:r>
          </w:p>
        </w:tc>
        <w:tc>
          <w:tcPr>
            <w:tcW w:w="1340" w:type="dxa"/>
            <w:tcBorders>
              <w:top w:val="nil"/>
              <w:left w:val="nil"/>
              <w:bottom w:val="single" w:sz="4" w:space="0" w:color="auto"/>
              <w:right w:val="single" w:sz="4" w:space="0" w:color="auto"/>
            </w:tcBorders>
            <w:shd w:val="clear" w:color="auto" w:fill="auto"/>
            <w:noWrap/>
            <w:vAlign w:val="bottom"/>
            <w:hideMark/>
          </w:tcPr>
          <w:p w14:paraId="2137991E" w14:textId="77777777" w:rsidR="00A32001" w:rsidRPr="006B7499" w:rsidRDefault="00A32001" w:rsidP="00F077D8">
            <w:pPr>
              <w:jc w:val="right"/>
              <w:rPr>
                <w:rFonts w:ascii="Calibri" w:eastAsia="Times New Roman" w:hAnsi="Calibri" w:cs="Calibri"/>
                <w:color w:val="000000"/>
                <w:sz w:val="18"/>
                <w:szCs w:val="18"/>
              </w:rPr>
            </w:pPr>
            <w:r w:rsidRPr="006B7499">
              <w:rPr>
                <w:rFonts w:ascii="Calibri" w:eastAsia="Times New Roman" w:hAnsi="Calibri" w:cs="Calibri"/>
                <w:color w:val="000000"/>
                <w:sz w:val="18"/>
                <w:szCs w:val="18"/>
              </w:rPr>
              <w:t>-0.8%</w:t>
            </w:r>
          </w:p>
        </w:tc>
      </w:tr>
      <w:tr w:rsidR="00A32001" w:rsidRPr="00A0058B" w14:paraId="5DBDF32D" w14:textId="77777777" w:rsidTr="00F077D8">
        <w:trPr>
          <w:trHeight w:val="290"/>
        </w:trPr>
        <w:tc>
          <w:tcPr>
            <w:tcW w:w="2040" w:type="dxa"/>
            <w:tcBorders>
              <w:top w:val="nil"/>
              <w:left w:val="single" w:sz="4" w:space="0" w:color="auto"/>
              <w:bottom w:val="single" w:sz="4" w:space="0" w:color="auto"/>
              <w:right w:val="single" w:sz="4" w:space="0" w:color="auto"/>
            </w:tcBorders>
            <w:shd w:val="clear" w:color="auto" w:fill="auto"/>
            <w:noWrap/>
            <w:vAlign w:val="bottom"/>
            <w:hideMark/>
          </w:tcPr>
          <w:p w14:paraId="4A6D257B" w14:textId="77777777" w:rsidR="00A32001" w:rsidRPr="006B7499" w:rsidRDefault="00A32001" w:rsidP="008A38B6">
            <w:pPr>
              <w:ind w:firstLine="0"/>
              <w:rPr>
                <w:rFonts w:ascii="Calibri" w:eastAsia="Times New Roman" w:hAnsi="Calibri" w:cs="Calibri"/>
                <w:b/>
                <w:bCs/>
                <w:color w:val="000000"/>
                <w:sz w:val="18"/>
                <w:szCs w:val="18"/>
              </w:rPr>
            </w:pPr>
            <w:r w:rsidRPr="006B7499">
              <w:rPr>
                <w:rFonts w:ascii="Calibri" w:eastAsia="Times New Roman" w:hAnsi="Calibri" w:cs="Calibri"/>
                <w:b/>
                <w:bCs/>
                <w:color w:val="000000"/>
                <w:sz w:val="18"/>
                <w:szCs w:val="18"/>
              </w:rPr>
              <w:t>Materials tax v EGD-NDC</w:t>
            </w:r>
            <w:r w:rsidRPr="006B7499">
              <w:rPr>
                <w:rStyle w:val="FootnoteReference"/>
                <w:rFonts w:ascii="Calibri" w:eastAsia="Times New Roman" w:hAnsi="Calibri" w:cs="Calibri"/>
                <w:b/>
                <w:bCs/>
                <w:color w:val="000000"/>
                <w:sz w:val="18"/>
                <w:szCs w:val="18"/>
              </w:rPr>
              <w:footnoteReference w:id="8"/>
            </w:r>
          </w:p>
        </w:tc>
        <w:tc>
          <w:tcPr>
            <w:tcW w:w="1340" w:type="dxa"/>
            <w:tcBorders>
              <w:top w:val="nil"/>
              <w:left w:val="nil"/>
              <w:bottom w:val="single" w:sz="4" w:space="0" w:color="auto"/>
              <w:right w:val="single" w:sz="4" w:space="0" w:color="auto"/>
            </w:tcBorders>
            <w:shd w:val="clear" w:color="auto" w:fill="auto"/>
            <w:noWrap/>
            <w:vAlign w:val="bottom"/>
          </w:tcPr>
          <w:p w14:paraId="5843B03B" w14:textId="77777777" w:rsidR="00A32001" w:rsidRPr="006B7499" w:rsidRDefault="00A32001" w:rsidP="00F077D8">
            <w:pPr>
              <w:jc w:val="right"/>
              <w:rPr>
                <w:rFonts w:ascii="Calibri" w:eastAsia="Times New Roman" w:hAnsi="Calibri" w:cs="Calibri"/>
                <w:color w:val="000000"/>
                <w:sz w:val="18"/>
                <w:szCs w:val="18"/>
              </w:rPr>
            </w:pPr>
            <w:r w:rsidRPr="006B7499">
              <w:rPr>
                <w:rFonts w:ascii="Calibri" w:eastAsia="Times New Roman" w:hAnsi="Calibri" w:cs="Calibri"/>
                <w:color w:val="000000"/>
                <w:sz w:val="18"/>
                <w:szCs w:val="18"/>
              </w:rPr>
              <w:t>NA</w:t>
            </w:r>
          </w:p>
        </w:tc>
        <w:tc>
          <w:tcPr>
            <w:tcW w:w="1340" w:type="dxa"/>
            <w:tcBorders>
              <w:top w:val="nil"/>
              <w:left w:val="nil"/>
              <w:bottom w:val="single" w:sz="4" w:space="0" w:color="auto"/>
              <w:right w:val="single" w:sz="4" w:space="0" w:color="auto"/>
            </w:tcBorders>
            <w:shd w:val="clear" w:color="auto" w:fill="auto"/>
            <w:noWrap/>
            <w:vAlign w:val="bottom"/>
          </w:tcPr>
          <w:p w14:paraId="37CCAB64" w14:textId="77777777" w:rsidR="00A32001" w:rsidRPr="006B7499" w:rsidRDefault="00A32001" w:rsidP="00F077D8">
            <w:pPr>
              <w:jc w:val="right"/>
              <w:rPr>
                <w:rFonts w:ascii="Calibri" w:eastAsia="Times New Roman" w:hAnsi="Calibri" w:cs="Calibri"/>
                <w:color w:val="000000"/>
                <w:sz w:val="18"/>
                <w:szCs w:val="18"/>
              </w:rPr>
            </w:pPr>
            <w:r w:rsidRPr="006B7499">
              <w:rPr>
                <w:rFonts w:ascii="Calibri" w:eastAsia="Times New Roman" w:hAnsi="Calibri" w:cs="Calibri"/>
                <w:color w:val="000000"/>
                <w:sz w:val="18"/>
                <w:szCs w:val="18"/>
              </w:rPr>
              <w:t>NA</w:t>
            </w:r>
          </w:p>
        </w:tc>
        <w:tc>
          <w:tcPr>
            <w:tcW w:w="1340" w:type="dxa"/>
            <w:tcBorders>
              <w:top w:val="nil"/>
              <w:left w:val="nil"/>
              <w:bottom w:val="single" w:sz="4" w:space="0" w:color="auto"/>
              <w:right w:val="single" w:sz="4" w:space="0" w:color="auto"/>
            </w:tcBorders>
            <w:shd w:val="clear" w:color="auto" w:fill="auto"/>
            <w:noWrap/>
            <w:vAlign w:val="bottom"/>
            <w:hideMark/>
          </w:tcPr>
          <w:p w14:paraId="41D7DAA5" w14:textId="77777777" w:rsidR="00A32001" w:rsidRPr="006B7499" w:rsidRDefault="00A32001" w:rsidP="00F077D8">
            <w:pPr>
              <w:jc w:val="right"/>
              <w:rPr>
                <w:rFonts w:ascii="Calibri" w:eastAsia="Times New Roman" w:hAnsi="Calibri" w:cs="Calibri"/>
                <w:color w:val="000000"/>
                <w:sz w:val="18"/>
                <w:szCs w:val="18"/>
              </w:rPr>
            </w:pPr>
            <w:r w:rsidRPr="006B7499">
              <w:rPr>
                <w:rFonts w:ascii="Calibri" w:eastAsia="Times New Roman" w:hAnsi="Calibri" w:cs="Calibri"/>
                <w:color w:val="000000"/>
                <w:sz w:val="18"/>
                <w:szCs w:val="18"/>
              </w:rPr>
              <w:t>24.2%</w:t>
            </w:r>
          </w:p>
        </w:tc>
        <w:tc>
          <w:tcPr>
            <w:tcW w:w="1340" w:type="dxa"/>
            <w:tcBorders>
              <w:top w:val="nil"/>
              <w:left w:val="nil"/>
              <w:bottom w:val="single" w:sz="4" w:space="0" w:color="auto"/>
              <w:right w:val="single" w:sz="4" w:space="0" w:color="auto"/>
            </w:tcBorders>
            <w:shd w:val="clear" w:color="auto" w:fill="auto"/>
            <w:noWrap/>
            <w:vAlign w:val="bottom"/>
            <w:hideMark/>
          </w:tcPr>
          <w:p w14:paraId="10EBB214" w14:textId="77777777" w:rsidR="00A32001" w:rsidRPr="006B7499" w:rsidRDefault="00A32001" w:rsidP="00F077D8">
            <w:pPr>
              <w:jc w:val="right"/>
              <w:rPr>
                <w:rFonts w:ascii="Calibri" w:eastAsia="Times New Roman" w:hAnsi="Calibri" w:cs="Calibri"/>
                <w:color w:val="000000"/>
                <w:sz w:val="18"/>
                <w:szCs w:val="18"/>
              </w:rPr>
            </w:pPr>
            <w:r w:rsidRPr="006B7499">
              <w:rPr>
                <w:rFonts w:ascii="Calibri" w:eastAsia="Times New Roman" w:hAnsi="Calibri" w:cs="Calibri"/>
                <w:color w:val="000000"/>
                <w:sz w:val="18"/>
                <w:szCs w:val="18"/>
              </w:rPr>
              <w:t>-16.6%</w:t>
            </w:r>
          </w:p>
        </w:tc>
        <w:tc>
          <w:tcPr>
            <w:tcW w:w="1340" w:type="dxa"/>
            <w:tcBorders>
              <w:top w:val="nil"/>
              <w:left w:val="nil"/>
              <w:bottom w:val="single" w:sz="4" w:space="0" w:color="auto"/>
              <w:right w:val="single" w:sz="4" w:space="0" w:color="auto"/>
            </w:tcBorders>
            <w:shd w:val="clear" w:color="auto" w:fill="auto"/>
            <w:noWrap/>
            <w:vAlign w:val="bottom"/>
            <w:hideMark/>
          </w:tcPr>
          <w:p w14:paraId="3D1B5D57" w14:textId="77777777" w:rsidR="00A32001" w:rsidRPr="006B7499" w:rsidRDefault="00A32001" w:rsidP="00F077D8">
            <w:pPr>
              <w:jc w:val="right"/>
              <w:rPr>
                <w:rFonts w:ascii="Calibri" w:eastAsia="Times New Roman" w:hAnsi="Calibri" w:cs="Calibri"/>
                <w:color w:val="000000"/>
                <w:sz w:val="18"/>
                <w:szCs w:val="18"/>
              </w:rPr>
            </w:pPr>
            <w:r w:rsidRPr="006B7499">
              <w:rPr>
                <w:rFonts w:ascii="Calibri" w:eastAsia="Times New Roman" w:hAnsi="Calibri" w:cs="Calibri"/>
                <w:color w:val="000000"/>
                <w:sz w:val="18"/>
                <w:szCs w:val="18"/>
              </w:rPr>
              <w:t>21.0%</w:t>
            </w:r>
          </w:p>
        </w:tc>
        <w:tc>
          <w:tcPr>
            <w:tcW w:w="1340" w:type="dxa"/>
            <w:tcBorders>
              <w:top w:val="nil"/>
              <w:left w:val="nil"/>
              <w:bottom w:val="single" w:sz="4" w:space="0" w:color="auto"/>
              <w:right w:val="single" w:sz="4" w:space="0" w:color="auto"/>
            </w:tcBorders>
            <w:shd w:val="clear" w:color="auto" w:fill="auto"/>
            <w:noWrap/>
            <w:vAlign w:val="bottom"/>
            <w:hideMark/>
          </w:tcPr>
          <w:p w14:paraId="5DD8B5A9" w14:textId="77777777" w:rsidR="00A32001" w:rsidRPr="006B7499" w:rsidRDefault="00A32001" w:rsidP="00F077D8">
            <w:pPr>
              <w:jc w:val="right"/>
              <w:rPr>
                <w:rFonts w:ascii="Calibri" w:eastAsia="Times New Roman" w:hAnsi="Calibri" w:cs="Calibri"/>
                <w:color w:val="000000"/>
                <w:sz w:val="18"/>
                <w:szCs w:val="18"/>
              </w:rPr>
            </w:pPr>
            <w:r w:rsidRPr="006B7499">
              <w:rPr>
                <w:rFonts w:ascii="Calibri" w:eastAsia="Times New Roman" w:hAnsi="Calibri" w:cs="Calibri"/>
                <w:color w:val="000000"/>
                <w:sz w:val="18"/>
                <w:szCs w:val="18"/>
              </w:rPr>
              <w:t>-5.0%</w:t>
            </w:r>
          </w:p>
        </w:tc>
      </w:tr>
    </w:tbl>
    <w:p w14:paraId="5B26FCEF" w14:textId="77777777" w:rsidR="00A32001" w:rsidRDefault="00A32001" w:rsidP="00A32001">
      <w:pPr>
        <w:rPr>
          <w:b/>
          <w:bCs/>
        </w:rPr>
      </w:pPr>
    </w:p>
    <w:p w14:paraId="744AE960" w14:textId="77777777" w:rsidR="00A32001" w:rsidRDefault="00A32001" w:rsidP="0011383F"/>
    <w:p w14:paraId="662311AA" w14:textId="63665CEE" w:rsidR="008A38B6" w:rsidRDefault="008A38B6" w:rsidP="008A38B6">
      <w:r>
        <w:t>Alternatively, f</w:t>
      </w:r>
      <w:r w:rsidRPr="00390B43">
        <w:t xml:space="preserve">iscal policy targeting production prices </w:t>
      </w:r>
      <w:r>
        <w:t xml:space="preserve">to </w:t>
      </w:r>
      <w:r w:rsidRPr="00390B43">
        <w:t>reduce primary materials use can take two broad forms – tax</w:t>
      </w:r>
      <w:r>
        <w:t>es</w:t>
      </w:r>
      <w:r w:rsidRPr="00390B43">
        <w:t xml:space="preserve"> or subsid</w:t>
      </w:r>
      <w:r>
        <w:t>ies</w:t>
      </w:r>
      <w:r w:rsidRPr="00390B43">
        <w:t xml:space="preserve">. The modelling exercise </w:t>
      </w:r>
      <w:r>
        <w:t>explored a</w:t>
      </w:r>
      <w:r w:rsidRPr="00390B43">
        <w:t xml:space="preserve"> scenario </w:t>
      </w:r>
      <w:r>
        <w:t xml:space="preserve">with </w:t>
      </w:r>
      <w:r w:rsidRPr="00390B43">
        <w:t xml:space="preserve">a 30 percent tax imposed on primary metals and plastics production to raise prices and incentivize a shift away from primary production (either to secondary production using recycled metals) or to other materials. A second scenario provides a 30 percent production subsidy for secondary materials production, to reduce </w:t>
      </w:r>
      <w:r>
        <w:t xml:space="preserve">the gap in </w:t>
      </w:r>
      <w:r w:rsidRPr="00390B43">
        <w:t xml:space="preserve">relative prices between primary and secondary metals production and incentivize a shift to secondary production. The results shown in the </w:t>
      </w:r>
      <w:r>
        <w:t xml:space="preserve">Figure 9 </w:t>
      </w:r>
      <w:r w:rsidRPr="00390B43">
        <w:t xml:space="preserve">below suggest both policies would have a similar impact in reducing </w:t>
      </w:r>
      <w:r>
        <w:t xml:space="preserve">production-based </w:t>
      </w:r>
      <w:r w:rsidRPr="00390B43">
        <w:t xml:space="preserve">material use. </w:t>
      </w:r>
    </w:p>
    <w:p w14:paraId="6A699619" w14:textId="77777777" w:rsidR="008A38B6" w:rsidRDefault="008A38B6" w:rsidP="008A38B6"/>
    <w:p w14:paraId="56B3309F" w14:textId="4070F992" w:rsidR="008A38B6" w:rsidRDefault="008A38B6" w:rsidP="00F7569F">
      <w:pPr>
        <w:ind w:firstLine="0"/>
        <w:jc w:val="center"/>
        <w:rPr>
          <w:b/>
          <w:bCs/>
          <w:szCs w:val="24"/>
        </w:rPr>
      </w:pPr>
      <w:r>
        <w:rPr>
          <w:b/>
          <w:bCs/>
          <w:noProof/>
          <w:szCs w:val="24"/>
        </w:rPr>
        <w:drawing>
          <wp:inline distT="0" distB="0" distL="0" distR="0" wp14:anchorId="335D30C9" wp14:editId="6B78885C">
            <wp:extent cx="4972251" cy="2988860"/>
            <wp:effectExtent l="0" t="0" r="0" b="254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99399" cy="3005179"/>
                    </a:xfrm>
                    <a:prstGeom prst="rect">
                      <a:avLst/>
                    </a:prstGeom>
                    <a:noFill/>
                  </pic:spPr>
                </pic:pic>
              </a:graphicData>
            </a:graphic>
          </wp:inline>
        </w:drawing>
      </w:r>
    </w:p>
    <w:p w14:paraId="63333BF7" w14:textId="77777777" w:rsidR="00BD1FB5" w:rsidRPr="001B03AC" w:rsidRDefault="00BD1FB5" w:rsidP="00BC5AB5">
      <w:pPr>
        <w:ind w:firstLine="0"/>
        <w:rPr>
          <w:b/>
          <w:szCs w:val="24"/>
        </w:rPr>
      </w:pPr>
      <w:bookmarkStart w:id="4" w:name="_Ref95377768"/>
      <w:r w:rsidRPr="001B03AC">
        <w:rPr>
          <w:b/>
          <w:szCs w:val="24"/>
        </w:rPr>
        <w:t>Figure</w:t>
      </w:r>
      <w:bookmarkEnd w:id="4"/>
      <w:r w:rsidRPr="001B03AC">
        <w:rPr>
          <w:b/>
          <w:szCs w:val="24"/>
        </w:rPr>
        <w:t xml:space="preserve"> 9: Impact of primary production tax and secondary production subsidy on metal ores use compared to EGD-NDC scenario </w:t>
      </w:r>
    </w:p>
    <w:p w14:paraId="005D5385" w14:textId="77777777" w:rsidR="008A38B6" w:rsidRDefault="008A38B6" w:rsidP="0011383F"/>
    <w:p w14:paraId="6960EA2F" w14:textId="77777777" w:rsidR="008A38B6" w:rsidRDefault="008A38B6" w:rsidP="008A38B6">
      <w:r w:rsidRPr="00390B43">
        <w:t xml:space="preserve">Perhaps the most important finding from the analysis comes in a scenario where both the tax and subsidy are combined. In this case, the impact </w:t>
      </w:r>
      <w:r>
        <w:t xml:space="preserve">on reducing material use </w:t>
      </w:r>
      <w:r w:rsidRPr="00390B43">
        <w:t>nearly doubles. This suggests the approaches are complementary</w:t>
      </w:r>
      <w:r>
        <w:t>.</w:t>
      </w:r>
    </w:p>
    <w:p w14:paraId="4AE0F9AB" w14:textId="77777777" w:rsidR="008A38B6" w:rsidRDefault="008A38B6" w:rsidP="008A38B6">
      <w:r w:rsidRPr="008A38B6">
        <w:rPr>
          <w:bCs/>
        </w:rPr>
        <w:lastRenderedPageBreak/>
        <w:t>When limited to targeting production, however, subsidies and taxes will both have limited effects on overall consumption trends.</w:t>
      </w:r>
      <w:r w:rsidRPr="008A38B6">
        <w:t xml:space="preserve"> </w:t>
      </w:r>
      <w:r w:rsidRPr="00390B43">
        <w:t>Both also have a similar impact on consumption</w:t>
      </w:r>
      <w:r>
        <w:t xml:space="preserve">-based </w:t>
      </w:r>
      <w:r w:rsidRPr="00390B43">
        <w:t>material use – in both cases a much smaller impact, which may be expected given that the policy is targeting production rather than consumption and a number of barriers may restrict pricing pass-through to consumers (</w:t>
      </w:r>
      <w:r w:rsidRPr="00390B43">
        <w:rPr>
          <w:i/>
          <w:iCs/>
        </w:rPr>
        <w:t>e.g. leakage- as discussed later</w:t>
      </w:r>
      <w:r w:rsidRPr="00390B43">
        <w:t>).</w:t>
      </w:r>
      <w:r>
        <w:t xml:space="preserve"> </w:t>
      </w:r>
    </w:p>
    <w:p w14:paraId="33D7049E" w14:textId="77777777" w:rsidR="008A38B6" w:rsidRDefault="008A38B6" w:rsidP="008A38B6"/>
    <w:p w14:paraId="5AD8DFAA" w14:textId="77777777" w:rsidR="008A38B6" w:rsidRDefault="008A38B6" w:rsidP="008A38B6">
      <w:r w:rsidRPr="008A38B6">
        <w:rPr>
          <w:bCs/>
        </w:rPr>
        <w:t>While the price channel will clearly play an essential role in reducing demand for primary materials, it will not be sufficient on its own.</w:t>
      </w:r>
      <w:r w:rsidRPr="008A38B6">
        <w:t xml:space="preserve"> A</w:t>
      </w:r>
      <w:r>
        <w:t xml:space="preserve"> range of policy approaches will need to be tailored to the specific dynamics of different materials, particularly to address both the production and consumption sides of the equation. Policies targeting upstream product design and downstream consumption can effectively complement fiscal policies. These include: </w:t>
      </w:r>
    </w:p>
    <w:p w14:paraId="4D09546C" w14:textId="77777777" w:rsidR="008A38B6" w:rsidRDefault="008A38B6" w:rsidP="008A38B6"/>
    <w:p w14:paraId="79F8A100" w14:textId="77777777" w:rsidR="008A38B6" w:rsidRDefault="008A38B6" w:rsidP="008A38B6">
      <w:pPr>
        <w:pStyle w:val="ListParagraph"/>
        <w:numPr>
          <w:ilvl w:val="0"/>
          <w:numId w:val="10"/>
        </w:numPr>
        <w:spacing w:line="240" w:lineRule="auto"/>
      </w:pPr>
      <w:r>
        <w:t>designing products to reduce material usage (</w:t>
      </w:r>
      <w:r w:rsidRPr="00BF06B6">
        <w:rPr>
          <w:i/>
          <w:iCs/>
        </w:rPr>
        <w:t>Design</w:t>
      </w:r>
      <w:r>
        <w:t xml:space="preserve">); </w:t>
      </w:r>
    </w:p>
    <w:p w14:paraId="5245812C" w14:textId="77777777" w:rsidR="008A38B6" w:rsidRDefault="008A38B6" w:rsidP="008A38B6">
      <w:pPr>
        <w:pStyle w:val="ListParagraph"/>
        <w:numPr>
          <w:ilvl w:val="0"/>
          <w:numId w:val="10"/>
        </w:numPr>
        <w:spacing w:line="240" w:lineRule="auto"/>
      </w:pPr>
      <w:r>
        <w:t>extending the useable lifetime of products (</w:t>
      </w:r>
      <w:r w:rsidRPr="00BF06B6">
        <w:rPr>
          <w:i/>
          <w:iCs/>
        </w:rPr>
        <w:t>Extend</w:t>
      </w:r>
      <w:r>
        <w:t xml:space="preserve">); </w:t>
      </w:r>
    </w:p>
    <w:p w14:paraId="4F795EB5" w14:textId="77777777" w:rsidR="008A38B6" w:rsidRDefault="008A38B6" w:rsidP="008A38B6">
      <w:pPr>
        <w:pStyle w:val="ListParagraph"/>
        <w:numPr>
          <w:ilvl w:val="0"/>
          <w:numId w:val="10"/>
        </w:numPr>
        <w:spacing w:line="240" w:lineRule="auto"/>
      </w:pPr>
      <w:r>
        <w:t>shifting consumer preferences away from materials and toward services (</w:t>
      </w:r>
      <w:proofErr w:type="spellStart"/>
      <w:r w:rsidRPr="00BF06B6">
        <w:rPr>
          <w:i/>
          <w:iCs/>
        </w:rPr>
        <w:t>Prefshift</w:t>
      </w:r>
      <w:proofErr w:type="spellEnd"/>
      <w:r>
        <w:t xml:space="preserve">). </w:t>
      </w:r>
    </w:p>
    <w:p w14:paraId="7E332AE7" w14:textId="77777777" w:rsidR="008A38B6" w:rsidRDefault="008A38B6" w:rsidP="008A38B6">
      <w:pPr>
        <w:pStyle w:val="ListParagraph"/>
        <w:ind w:left="1440"/>
      </w:pPr>
    </w:p>
    <w:p w14:paraId="0C01E85E" w14:textId="06658D35" w:rsidR="008A38B6" w:rsidRDefault="008A38B6" w:rsidP="008A38B6">
      <w:r>
        <w:t xml:space="preserve">All three of these approaches could be supported by fiscal measures, and in fact price signals at the consumer level are likely play an important role in shifting demand. But they are also likely to benefit from regulatory (e.g. materials standards; rights to repair, extended producer responsibility) and social / behavioral policies (e.g. education and public awareness, behavioral incentives). Figure 10 presents the results on material use from combination of production-side fiscal policies as well as complementary policies targeting upstream product design and downstream consumption. </w:t>
      </w:r>
    </w:p>
    <w:p w14:paraId="403C08C8" w14:textId="77777777" w:rsidR="008A38B6" w:rsidRDefault="008A38B6" w:rsidP="008A38B6"/>
    <w:p w14:paraId="0FECB467" w14:textId="77777777" w:rsidR="008A38B6" w:rsidRDefault="008A38B6" w:rsidP="00F7569F">
      <w:pPr>
        <w:ind w:firstLine="0"/>
        <w:jc w:val="center"/>
      </w:pPr>
      <w:r>
        <w:rPr>
          <w:noProof/>
        </w:rPr>
        <w:drawing>
          <wp:inline distT="0" distB="0" distL="0" distR="0" wp14:anchorId="3252CCC8" wp14:editId="3AF85B86">
            <wp:extent cx="4881434" cy="293426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96845" cy="2943533"/>
                    </a:xfrm>
                    <a:prstGeom prst="rect">
                      <a:avLst/>
                    </a:prstGeom>
                    <a:noFill/>
                  </pic:spPr>
                </pic:pic>
              </a:graphicData>
            </a:graphic>
          </wp:inline>
        </w:drawing>
      </w:r>
    </w:p>
    <w:p w14:paraId="1EFB8186" w14:textId="77777777" w:rsidR="00BD1FB5" w:rsidRPr="00BD1FB5" w:rsidRDefault="00BD1FB5" w:rsidP="001B03AC">
      <w:pPr>
        <w:pStyle w:val="Caption"/>
        <w:keepNext/>
        <w:ind w:firstLine="0"/>
        <w:rPr>
          <w:b/>
          <w:i w:val="0"/>
        </w:rPr>
      </w:pPr>
      <w:bookmarkStart w:id="5" w:name="_Ref95054299"/>
      <w:r w:rsidRPr="001B03AC">
        <w:rPr>
          <w:rFonts w:asciiTheme="minorHAnsi" w:eastAsiaTheme="minorHAnsi" w:hAnsiTheme="minorHAnsi" w:cstheme="minorBidi"/>
          <w:b/>
          <w:i w:val="0"/>
          <w:iCs w:val="0"/>
          <w:color w:val="auto"/>
          <w:sz w:val="24"/>
          <w:szCs w:val="24"/>
          <w:lang w:val="en-US" w:eastAsia="en-US"/>
        </w:rPr>
        <w:t>Figure</w:t>
      </w:r>
      <w:bookmarkEnd w:id="5"/>
      <w:r w:rsidRPr="001B03AC">
        <w:rPr>
          <w:rFonts w:asciiTheme="minorHAnsi" w:eastAsiaTheme="minorHAnsi" w:hAnsiTheme="minorHAnsi" w:cstheme="minorBidi"/>
          <w:b/>
          <w:i w:val="0"/>
          <w:iCs w:val="0"/>
          <w:color w:val="auto"/>
          <w:sz w:val="24"/>
          <w:szCs w:val="24"/>
          <w:lang w:val="en-US" w:eastAsia="en-US"/>
        </w:rPr>
        <w:t xml:space="preserve"> 10: Impact of alternative scenarios on primary materials use relative to EGD-NDC</w:t>
      </w:r>
      <w:r w:rsidRPr="00BD1FB5">
        <w:rPr>
          <w:b/>
          <w:i w:val="0"/>
        </w:rPr>
        <w:t xml:space="preserve"> </w:t>
      </w:r>
      <w:r w:rsidRPr="001B03AC">
        <w:rPr>
          <w:rFonts w:asciiTheme="minorHAnsi" w:eastAsiaTheme="minorHAnsi" w:hAnsiTheme="minorHAnsi" w:cstheme="minorBidi"/>
          <w:b/>
          <w:i w:val="0"/>
          <w:iCs w:val="0"/>
          <w:color w:val="auto"/>
          <w:sz w:val="24"/>
          <w:szCs w:val="24"/>
          <w:lang w:val="en-US" w:eastAsia="en-US"/>
        </w:rPr>
        <w:t>scenario</w:t>
      </w:r>
      <w:r w:rsidRPr="00BD1FB5">
        <w:rPr>
          <w:b/>
          <w:i w:val="0"/>
        </w:rPr>
        <w:t xml:space="preserve"> </w:t>
      </w:r>
    </w:p>
    <w:p w14:paraId="06D19BCD" w14:textId="77777777" w:rsidR="008A38B6" w:rsidRPr="00BD1FB5" w:rsidRDefault="008A38B6" w:rsidP="008A38B6">
      <w:pPr>
        <w:rPr>
          <w:b/>
          <w:bCs/>
          <w:lang w:val="en-CA"/>
        </w:rPr>
      </w:pPr>
    </w:p>
    <w:p w14:paraId="0D89BD51" w14:textId="1C4C445A" w:rsidR="00F077D8" w:rsidRDefault="00BD1FB5" w:rsidP="00BD1FB5">
      <w:r>
        <w:t xml:space="preserve">While CE policies </w:t>
      </w:r>
      <w:r w:rsidR="00F077D8">
        <w:t xml:space="preserve">can </w:t>
      </w:r>
      <w:r>
        <w:t>be</w:t>
      </w:r>
      <w:r w:rsidR="00F077D8">
        <w:t xml:space="preserve"> impact</w:t>
      </w:r>
      <w:r>
        <w:t>ful</w:t>
      </w:r>
      <w:r w:rsidR="00F077D8">
        <w:t xml:space="preserve"> on European production and consumption of primary materials</w:t>
      </w:r>
      <w:r>
        <w:t>, r</w:t>
      </w:r>
      <w:r w:rsidR="00F077D8">
        <w:t xml:space="preserve">aising relative prices for domestic producers will </w:t>
      </w:r>
      <w:r>
        <w:t>affect</w:t>
      </w:r>
      <w:r w:rsidR="00F077D8">
        <w:t xml:space="preserve"> their competitiveness in global </w:t>
      </w:r>
      <w:r w:rsidR="00C2646A">
        <w:lastRenderedPageBreak/>
        <w:t xml:space="preserve">and domestic </w:t>
      </w:r>
      <w:r w:rsidR="00F077D8">
        <w:t xml:space="preserve">markets vis-a-vis producers who are not required to comply with those policies. </w:t>
      </w:r>
      <w:r>
        <w:t xml:space="preserve">Figure 11 </w:t>
      </w:r>
      <w:r w:rsidR="00F077D8">
        <w:t xml:space="preserve">shows how material taxes compound already-eroding price competitiveness for European producers of primary metals and construction materials. European exporters are likely to be hit significantly in global markets unless some sort of export exemption or subsidy is put in place to offset the impacts of policies raising production prices. </w:t>
      </w:r>
    </w:p>
    <w:p w14:paraId="78307F26" w14:textId="77777777" w:rsidR="00F077D8" w:rsidRDefault="00F077D8" w:rsidP="00F077D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776"/>
      </w:tblGrid>
      <w:tr w:rsidR="00C2646A" w14:paraId="3FED3603" w14:textId="77777777" w:rsidTr="00497566">
        <w:tc>
          <w:tcPr>
            <w:tcW w:w="4758" w:type="dxa"/>
          </w:tcPr>
          <w:p w14:paraId="3F936925" w14:textId="77777777" w:rsidR="00C2646A" w:rsidRDefault="00C2646A" w:rsidP="00497566">
            <w:pPr>
              <w:ind w:firstLine="0"/>
            </w:pPr>
            <w:r>
              <w:rPr>
                <w:noProof/>
              </w:rPr>
              <w:drawing>
                <wp:inline distT="0" distB="0" distL="0" distR="0" wp14:anchorId="04DA9918" wp14:editId="512FD97A">
                  <wp:extent cx="2883924" cy="17335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90607" cy="1737567"/>
                          </a:xfrm>
                          <a:prstGeom prst="rect">
                            <a:avLst/>
                          </a:prstGeom>
                          <a:noFill/>
                        </pic:spPr>
                      </pic:pic>
                    </a:graphicData>
                  </a:graphic>
                </wp:inline>
              </w:drawing>
            </w:r>
          </w:p>
        </w:tc>
        <w:tc>
          <w:tcPr>
            <w:tcW w:w="4775" w:type="dxa"/>
          </w:tcPr>
          <w:p w14:paraId="15357C46" w14:textId="77777777" w:rsidR="00C2646A" w:rsidRDefault="00C2646A" w:rsidP="00497566">
            <w:pPr>
              <w:ind w:firstLine="0"/>
            </w:pPr>
            <w:r>
              <w:rPr>
                <w:noProof/>
              </w:rPr>
              <w:drawing>
                <wp:inline distT="0" distB="0" distL="0" distR="0" wp14:anchorId="33B6FA28" wp14:editId="0DA7AC66">
                  <wp:extent cx="2894488" cy="1739900"/>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08983" cy="1748613"/>
                          </a:xfrm>
                          <a:prstGeom prst="rect">
                            <a:avLst/>
                          </a:prstGeom>
                          <a:noFill/>
                        </pic:spPr>
                      </pic:pic>
                    </a:graphicData>
                  </a:graphic>
                </wp:inline>
              </w:drawing>
            </w:r>
          </w:p>
        </w:tc>
      </w:tr>
    </w:tbl>
    <w:p w14:paraId="0A3DEDDB" w14:textId="77777777" w:rsidR="00C2646A" w:rsidRPr="00C2646A" w:rsidRDefault="00C2646A" w:rsidP="00C2646A">
      <w:pPr>
        <w:rPr>
          <w:b/>
        </w:rPr>
      </w:pPr>
      <w:bookmarkStart w:id="6" w:name="_Ref95056780"/>
      <w:r w:rsidRPr="00C2646A">
        <w:rPr>
          <w:b/>
        </w:rPr>
        <w:t>Figure</w:t>
      </w:r>
      <w:bookmarkEnd w:id="6"/>
      <w:r w:rsidRPr="00C2646A">
        <w:rPr>
          <w:b/>
        </w:rPr>
        <w:t xml:space="preserve"> 11: Price competitiveness impacts on European producers relative to key global producers of alternative policy scenarios for metals (left) and construction materials (right)</w:t>
      </w:r>
    </w:p>
    <w:p w14:paraId="708F9F82" w14:textId="77777777" w:rsidR="00C2646A" w:rsidRDefault="00C2646A" w:rsidP="00F077D8"/>
    <w:p w14:paraId="778AD3E1" w14:textId="229BF76A" w:rsidR="00F077D8" w:rsidRDefault="00F077D8" w:rsidP="00F077D8">
      <w:r>
        <w:t xml:space="preserve">The price gap induced by the application of fiscal policies on material production can result in substantial leakage, whereby primary materials production is offshored and exported back into European markets, undermining the sustainability objectives of CE policy. This is illustrated by the gap in the decline of materials use as measured by production and consumption. </w:t>
      </w:r>
      <w:r w:rsidR="00C2646A">
        <w:t xml:space="preserve">Figure 12 </w:t>
      </w:r>
      <w:r>
        <w:t>shows how significant this problem may be, particularly in fiscal policy scenarios, where leakage is large as is the subsequent erosion of material reduction achieved by CE policies.</w:t>
      </w:r>
    </w:p>
    <w:p w14:paraId="546F6CEE" w14:textId="77777777" w:rsidR="00C2646A" w:rsidRDefault="00C2646A" w:rsidP="00F077D8"/>
    <w:p w14:paraId="52E7284E" w14:textId="14A6AA78" w:rsidR="00C2646A" w:rsidRPr="00C2646A" w:rsidRDefault="00C2646A" w:rsidP="00C2646A">
      <w:pPr>
        <w:pStyle w:val="Caption"/>
        <w:rPr>
          <w:i w:val="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5"/>
        <w:gridCol w:w="4788"/>
      </w:tblGrid>
      <w:tr w:rsidR="00C2646A" w14:paraId="5635E83E" w14:textId="77777777" w:rsidTr="00C2646A">
        <w:tc>
          <w:tcPr>
            <w:tcW w:w="4745" w:type="dxa"/>
          </w:tcPr>
          <w:p w14:paraId="090221EA" w14:textId="77777777" w:rsidR="00C2646A" w:rsidRDefault="00C2646A" w:rsidP="00C2646A">
            <w:pPr>
              <w:ind w:firstLine="0"/>
            </w:pPr>
            <w:r>
              <w:rPr>
                <w:noProof/>
              </w:rPr>
              <w:drawing>
                <wp:inline distT="0" distB="0" distL="0" distR="0" wp14:anchorId="6D1B890F" wp14:editId="5465EBED">
                  <wp:extent cx="2876550" cy="1729116"/>
                  <wp:effectExtent l="0" t="0" r="0" b="444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06367" cy="1747039"/>
                          </a:xfrm>
                          <a:prstGeom prst="rect">
                            <a:avLst/>
                          </a:prstGeom>
                          <a:noFill/>
                        </pic:spPr>
                      </pic:pic>
                    </a:graphicData>
                  </a:graphic>
                </wp:inline>
              </w:drawing>
            </w:r>
          </w:p>
        </w:tc>
        <w:tc>
          <w:tcPr>
            <w:tcW w:w="4788" w:type="dxa"/>
          </w:tcPr>
          <w:p w14:paraId="31DBBEDD" w14:textId="77777777" w:rsidR="00C2646A" w:rsidRDefault="00C2646A" w:rsidP="00C2646A">
            <w:pPr>
              <w:ind w:firstLine="0"/>
            </w:pPr>
            <w:r>
              <w:rPr>
                <w:noProof/>
              </w:rPr>
              <w:drawing>
                <wp:inline distT="0" distB="0" distL="0" distR="0" wp14:anchorId="6518B717" wp14:editId="0034DEF3">
                  <wp:extent cx="2905052" cy="1746250"/>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23704" cy="1757462"/>
                          </a:xfrm>
                          <a:prstGeom prst="rect">
                            <a:avLst/>
                          </a:prstGeom>
                          <a:noFill/>
                        </pic:spPr>
                      </pic:pic>
                    </a:graphicData>
                  </a:graphic>
                </wp:inline>
              </w:drawing>
            </w:r>
          </w:p>
        </w:tc>
      </w:tr>
    </w:tbl>
    <w:p w14:paraId="46840CAD" w14:textId="58E68A65" w:rsidR="00C2646A" w:rsidRPr="00C2646A" w:rsidRDefault="00C2646A" w:rsidP="00F077D8">
      <w:pPr>
        <w:rPr>
          <w:b/>
        </w:rPr>
      </w:pPr>
      <w:bookmarkStart w:id="7" w:name="_Ref95057577"/>
      <w:r w:rsidRPr="00C2646A">
        <w:rPr>
          <w:b/>
        </w:rPr>
        <w:t>Figure</w:t>
      </w:r>
      <w:bookmarkEnd w:id="7"/>
      <w:r w:rsidRPr="00C2646A">
        <w:rPr>
          <w:b/>
        </w:rPr>
        <w:t xml:space="preserve"> 12: Production, consumption, and leakage of alternative policies, with and without border adjustments for metals</w:t>
      </w:r>
    </w:p>
    <w:p w14:paraId="23EF6157" w14:textId="334D2ACD" w:rsidR="00F077D8" w:rsidRPr="00882FED" w:rsidRDefault="00F077D8" w:rsidP="00F077D8"/>
    <w:p w14:paraId="455AD622" w14:textId="77777777" w:rsidR="00C2646A" w:rsidRDefault="00F077D8" w:rsidP="00F077D8">
      <w:r w:rsidRPr="00C2646A">
        <w:rPr>
          <w:bCs/>
        </w:rPr>
        <w:t xml:space="preserve">Border adjustment taxes </w:t>
      </w:r>
      <w:r w:rsidR="00C2646A" w:rsidRPr="00C2646A">
        <w:rPr>
          <w:bCs/>
        </w:rPr>
        <w:t xml:space="preserve">(BATs) </w:t>
      </w:r>
      <w:r w:rsidRPr="00C2646A">
        <w:rPr>
          <w:bCs/>
        </w:rPr>
        <w:t>can address leakage and strengthen the impact of CE policies</w:t>
      </w:r>
      <w:r w:rsidR="00C2646A" w:rsidRPr="00C2646A">
        <w:rPr>
          <w:bCs/>
        </w:rPr>
        <w:t>.</w:t>
      </w:r>
      <w:r w:rsidR="00C2646A">
        <w:rPr>
          <w:b/>
          <w:bCs/>
        </w:rPr>
        <w:t xml:space="preserve">  </w:t>
      </w:r>
      <w:r w:rsidRPr="00D34298">
        <w:t>BATs have received considerable attention of late as the EU plans to introduce them on carbon</w:t>
      </w:r>
      <w:r>
        <w:t xml:space="preserve"> emissions</w:t>
      </w:r>
      <w:r w:rsidRPr="00D34298">
        <w:t xml:space="preserve"> (the ‘carbon border adjustment mechanism’, or CBAM) under the Green Deal</w:t>
      </w:r>
      <w:r>
        <w:t xml:space="preserve"> to stem leakage of emissions-intensive activities (EC, 2021). </w:t>
      </w:r>
    </w:p>
    <w:p w14:paraId="358A65A1" w14:textId="789FFB74" w:rsidR="00F077D8" w:rsidRDefault="00F077D8" w:rsidP="00F077D8">
      <w:r>
        <w:lastRenderedPageBreak/>
        <w:t xml:space="preserve">Under CBAM, exporters of emission-intensive goods to the EU would be required to pay a tax (equivalent to what EU producers pay under the emissions trading system) to ensure a level playing field between European producers and imports – in effect extending European domestic decarbonization policy to all trading partners. As material taxation would also result in considerable leakage, border adjustments may be needed to minimize negative competitiveness effects and meet the global sustainability goals of Europe’s materials reduction efforts. </w:t>
      </w:r>
      <w:r w:rsidR="00C2646A">
        <w:t xml:space="preserve">Figure 12 </w:t>
      </w:r>
      <w:r>
        <w:t>shows the impacts of adding BATs to domestic fiscal instruments applied to primary metals and non-metallic minerals.</w:t>
      </w:r>
      <w:r>
        <w:rPr>
          <w:rStyle w:val="FootnoteReference"/>
        </w:rPr>
        <w:footnoteReference w:id="9"/>
      </w:r>
      <w:r>
        <w:t xml:space="preserve"> The results suggest BATs</w:t>
      </w:r>
      <w:r>
        <w:rPr>
          <w:rStyle w:val="FootnoteReference"/>
        </w:rPr>
        <w:footnoteReference w:id="10"/>
      </w:r>
      <w:r>
        <w:t xml:space="preserve"> would have a powerful impact in reducing leakage and closing the gap between primary material’s production and consumption rates.</w:t>
      </w:r>
    </w:p>
    <w:p w14:paraId="02A30D1C" w14:textId="326FBAD6" w:rsidR="00F077D8" w:rsidRDefault="00C2646A" w:rsidP="00445BC5">
      <w:r w:rsidRPr="00C2646A">
        <w:rPr>
          <w:bCs/>
        </w:rPr>
        <w:t xml:space="preserve">For </w:t>
      </w:r>
      <w:r w:rsidR="00F077D8">
        <w:t>primary metals, the introduction of BATs results on consumption of primary metals in Europe to decline by an additional 35.6 million metric tons (MMT) by 2030 relative to the fiscal policy scenario without BATs (</w:t>
      </w:r>
      <w:r w:rsidR="00F077D8">
        <w:fldChar w:fldCharType="begin"/>
      </w:r>
      <w:r w:rsidR="00F077D8">
        <w:instrText xml:space="preserve"> REF _Ref95124688 \h </w:instrText>
      </w:r>
      <w:r w:rsidR="00F077D8">
        <w:fldChar w:fldCharType="separate"/>
      </w:r>
      <w:r w:rsidR="00F077D8">
        <w:t xml:space="preserve">Table </w:t>
      </w:r>
      <w:r w:rsidR="00F077D8">
        <w:rPr>
          <w:noProof/>
        </w:rPr>
        <w:t>5</w:t>
      </w:r>
      <w:r w:rsidR="00F077D8">
        <w:fldChar w:fldCharType="end"/>
      </w:r>
      <w:r w:rsidR="00F077D8">
        <w:t xml:space="preserve">). This is almost a 75 percent additional reduction beyond what is achieved through the fiscal policy without BAT. </w:t>
      </w:r>
      <w:r>
        <w:t>This is achieved</w:t>
      </w:r>
      <w:r w:rsidR="00F077D8">
        <w:t xml:space="preserve"> without </w:t>
      </w:r>
      <w:r>
        <w:t>extra</w:t>
      </w:r>
      <w:r w:rsidR="00F077D8">
        <w:t xml:space="preserve"> demand for primary metals from European producers – net demand from the production side increases by less than 1 percent over the fiscal policy scenario without BAT. </w:t>
      </w:r>
      <w:r w:rsidR="00F077D8" w:rsidRPr="00F2169B">
        <w:t>The effect can also be seen in trade dynamics</w:t>
      </w:r>
      <w:r w:rsidR="00F077D8" w:rsidRPr="00CE0B24">
        <w:t xml:space="preserve">. </w:t>
      </w:r>
      <w:r w:rsidR="00F077D8" w:rsidRPr="00845EF2">
        <w:t xml:space="preserve">Introduction of BAT </w:t>
      </w:r>
      <w:r w:rsidR="00F077D8">
        <w:t xml:space="preserve">has a limited additional impact in reducing exports from Europe of products using primary metals (from an already large decline resulting from the introduction of taxes on primary metals and subsidies on secondary). But while those tax and subsidy policies contribute to a (small) increase in imports of embedded primary metals, the imposition of BAT </w:t>
      </w:r>
      <w:r w:rsidR="00A82A28">
        <w:t>decreases</w:t>
      </w:r>
      <w:r w:rsidR="00F077D8">
        <w:t xml:space="preserve"> imports (</w:t>
      </w:r>
      <w:r w:rsidR="00F077D8">
        <w:fldChar w:fldCharType="begin"/>
      </w:r>
      <w:r w:rsidR="00F077D8">
        <w:instrText xml:space="preserve"> REF _Ref95924582 \h </w:instrText>
      </w:r>
      <w:r w:rsidR="00F077D8">
        <w:fldChar w:fldCharType="end"/>
      </w:r>
      <w:r w:rsidR="00A82A28">
        <w:t>Figure 13)</w:t>
      </w:r>
      <w:r w:rsidR="00F077D8">
        <w:t>.</w:t>
      </w:r>
    </w:p>
    <w:p w14:paraId="443AA085" w14:textId="77777777" w:rsidR="00F077D8" w:rsidRDefault="00F077D8" w:rsidP="00F077D8"/>
    <w:p w14:paraId="0FB6197C" w14:textId="0728BAE2" w:rsidR="00F077D8" w:rsidRDefault="00F077D8" w:rsidP="00F7569F">
      <w:pPr>
        <w:ind w:firstLine="0"/>
        <w:jc w:val="center"/>
      </w:pPr>
      <w:r>
        <w:rPr>
          <w:noProof/>
        </w:rPr>
        <w:drawing>
          <wp:inline distT="0" distB="0" distL="0" distR="0" wp14:anchorId="49203C9E" wp14:editId="778FF624">
            <wp:extent cx="4677096" cy="2811439"/>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95747" cy="2822650"/>
                    </a:xfrm>
                    <a:prstGeom prst="rect">
                      <a:avLst/>
                    </a:prstGeom>
                    <a:noFill/>
                  </pic:spPr>
                </pic:pic>
              </a:graphicData>
            </a:graphic>
          </wp:inline>
        </w:drawing>
      </w:r>
    </w:p>
    <w:p w14:paraId="5D411B05" w14:textId="77777777" w:rsidR="00A82A28" w:rsidRPr="00A82A28" w:rsidRDefault="00A82A28" w:rsidP="001B03AC">
      <w:pPr>
        <w:pStyle w:val="Caption"/>
        <w:keepNext/>
        <w:ind w:firstLine="0"/>
        <w:rPr>
          <w:b/>
          <w:i w:val="0"/>
        </w:rPr>
      </w:pPr>
      <w:bookmarkStart w:id="8" w:name="_Ref95924582"/>
      <w:r w:rsidRPr="001B03AC">
        <w:rPr>
          <w:rFonts w:asciiTheme="minorHAnsi" w:eastAsiaTheme="minorHAnsi" w:hAnsiTheme="minorHAnsi" w:cstheme="minorBidi"/>
          <w:b/>
          <w:i w:val="0"/>
          <w:iCs w:val="0"/>
          <w:color w:val="auto"/>
          <w:sz w:val="24"/>
          <w:szCs w:val="24"/>
          <w:lang w:val="en-US" w:eastAsia="en-US"/>
        </w:rPr>
        <w:t>Figure</w:t>
      </w:r>
      <w:bookmarkEnd w:id="8"/>
      <w:r w:rsidRPr="001B03AC">
        <w:rPr>
          <w:rFonts w:asciiTheme="minorHAnsi" w:eastAsiaTheme="minorHAnsi" w:hAnsiTheme="minorHAnsi" w:cstheme="minorBidi"/>
          <w:b/>
          <w:i w:val="0"/>
          <w:iCs w:val="0"/>
          <w:color w:val="auto"/>
          <w:sz w:val="24"/>
          <w:szCs w:val="24"/>
          <w:lang w:val="en-US" w:eastAsia="en-US"/>
        </w:rPr>
        <w:t xml:space="preserve"> 13: Impact of BAT on primary metals embedded in exports and imports</w:t>
      </w:r>
    </w:p>
    <w:p w14:paraId="40963376" w14:textId="77777777" w:rsidR="00A82A28" w:rsidRPr="00A82A28" w:rsidRDefault="00A82A28" w:rsidP="00F077D8">
      <w:pPr>
        <w:rPr>
          <w:lang w:val="en-CA"/>
        </w:rPr>
      </w:pPr>
    </w:p>
    <w:p w14:paraId="57FC5235" w14:textId="77777777" w:rsidR="00F077D8" w:rsidRDefault="00F077D8" w:rsidP="00F077D8"/>
    <w:p w14:paraId="05EAA2E2" w14:textId="156598A8" w:rsidR="00F077D8" w:rsidRDefault="00F077D8" w:rsidP="00F077D8">
      <w:r w:rsidRPr="005C73E2">
        <w:lastRenderedPageBreak/>
        <w:t>In the case of NM</w:t>
      </w:r>
      <w:r w:rsidR="00445BC5">
        <w:t>N</w:t>
      </w:r>
      <w:r w:rsidRPr="005C73E2">
        <w:t xml:space="preserve">, BAT has almost no additional impact in reducing </w:t>
      </w:r>
      <w:r>
        <w:t xml:space="preserve">overall </w:t>
      </w:r>
      <w:r w:rsidRPr="005C73E2">
        <w:t>consumption in Europe while it contributes to an increase in production-based materials demand (as a result of improving relative price competitiveness) by around 3 percent relative to the fiscal policy scenario without BAT</w:t>
      </w:r>
      <w:r>
        <w:t xml:space="preserve">. </w:t>
      </w:r>
      <w:r w:rsidRPr="005C73E2">
        <w:t>Two main factors explain relatively lower impact of BAT on NM</w:t>
      </w:r>
      <w:r w:rsidR="00445BC5">
        <w:t>N</w:t>
      </w:r>
      <w:r w:rsidRPr="005C73E2">
        <w:t xml:space="preserve"> versus on metals: i) import dependence for metals is much higher than for non-metallic minerals</w:t>
      </w:r>
      <w:r w:rsidRPr="005C73E2">
        <w:rPr>
          <w:rStyle w:val="FootnoteReference"/>
        </w:rPr>
        <w:footnoteReference w:id="11"/>
      </w:r>
      <w:r w:rsidRPr="005C73E2">
        <w:t>; and, ii) in the case of metal ores, BAT is applied to processed metals and plastics while in the case of NM</w:t>
      </w:r>
      <w:r w:rsidR="00445BC5">
        <w:t>N</w:t>
      </w:r>
      <w:r w:rsidRPr="005C73E2">
        <w:t xml:space="preserve"> it is applied to primary commodities – the latter have a much smaller value-added share in the final product being imported, thus the overall impact on price will be much lower. Border taxes on NM</w:t>
      </w:r>
      <w:r w:rsidR="00445BC5">
        <w:t>N</w:t>
      </w:r>
      <w:r w:rsidRPr="005C73E2">
        <w:t>, however, appear to have a large impact on production and consumption of NM</w:t>
      </w:r>
      <w:r w:rsidR="00445BC5">
        <w:t>N</w:t>
      </w:r>
      <w:r w:rsidRPr="005C73E2">
        <w:t xml:space="preserve"> outside of Europe. BAT eliminates very large leakage from trade of NM</w:t>
      </w:r>
      <w:r w:rsidR="00445BC5">
        <w:t>N</w:t>
      </w:r>
      <w:r w:rsidRPr="005C73E2">
        <w:t xml:space="preserve"> </w:t>
      </w:r>
      <w:r>
        <w:t>embedded</w:t>
      </w:r>
      <w:r w:rsidRPr="005C73E2">
        <w:t xml:space="preserve"> in other manufactured products,</w:t>
      </w:r>
      <w:r w:rsidRPr="005C73E2">
        <w:rPr>
          <w:rStyle w:val="FootnoteReference"/>
        </w:rPr>
        <w:footnoteReference w:id="12"/>
      </w:r>
      <w:r w:rsidRPr="005C73E2">
        <w:t xml:space="preserve"> and contributes to declining </w:t>
      </w:r>
      <w:r>
        <w:t xml:space="preserve">global </w:t>
      </w:r>
      <w:r w:rsidRPr="005C73E2">
        <w:t xml:space="preserve">production and consumption demand relative to the fiscal policy scenario whereby both increased substantially outside of Europe. </w:t>
      </w:r>
    </w:p>
    <w:p w14:paraId="15777399" w14:textId="77777777" w:rsidR="00F077D8" w:rsidRPr="00770CAB" w:rsidRDefault="00F077D8" w:rsidP="00F077D8"/>
    <w:p w14:paraId="229A709A" w14:textId="77777777" w:rsidR="00F077D8" w:rsidRPr="00BC5AB5" w:rsidRDefault="00F077D8" w:rsidP="00BC5AB5">
      <w:pPr>
        <w:pStyle w:val="Caption"/>
        <w:keepNext/>
        <w:ind w:firstLine="0"/>
        <w:rPr>
          <w:rFonts w:asciiTheme="minorHAnsi" w:hAnsiTheme="minorHAnsi" w:cstheme="minorHAnsi"/>
          <w:b/>
          <w:i w:val="0"/>
          <w:sz w:val="24"/>
        </w:rPr>
      </w:pPr>
      <w:bookmarkStart w:id="9" w:name="_Ref95124688"/>
      <w:r w:rsidRPr="00BC5AB5">
        <w:rPr>
          <w:rFonts w:asciiTheme="minorHAnsi" w:hAnsiTheme="minorHAnsi" w:cstheme="minorHAnsi"/>
          <w:b/>
          <w:i w:val="0"/>
          <w:sz w:val="24"/>
        </w:rPr>
        <w:t xml:space="preserve">Table </w:t>
      </w:r>
      <w:r w:rsidRPr="00BC5AB5">
        <w:rPr>
          <w:rFonts w:asciiTheme="minorHAnsi" w:hAnsiTheme="minorHAnsi" w:cstheme="minorHAnsi"/>
          <w:b/>
          <w:i w:val="0"/>
          <w:sz w:val="24"/>
        </w:rPr>
        <w:fldChar w:fldCharType="begin"/>
      </w:r>
      <w:r w:rsidRPr="00BC5AB5">
        <w:rPr>
          <w:rFonts w:asciiTheme="minorHAnsi" w:hAnsiTheme="minorHAnsi" w:cstheme="minorHAnsi"/>
          <w:b/>
          <w:i w:val="0"/>
          <w:sz w:val="24"/>
        </w:rPr>
        <w:instrText xml:space="preserve"> SEQ Table \* ARABIC </w:instrText>
      </w:r>
      <w:r w:rsidRPr="00BC5AB5">
        <w:rPr>
          <w:rFonts w:asciiTheme="minorHAnsi" w:hAnsiTheme="minorHAnsi" w:cstheme="minorHAnsi"/>
          <w:b/>
          <w:i w:val="0"/>
          <w:sz w:val="24"/>
        </w:rPr>
        <w:fldChar w:fldCharType="separate"/>
      </w:r>
      <w:r w:rsidRPr="00BC5AB5">
        <w:rPr>
          <w:rFonts w:asciiTheme="minorHAnsi" w:hAnsiTheme="minorHAnsi" w:cstheme="minorHAnsi"/>
          <w:b/>
          <w:i w:val="0"/>
          <w:noProof/>
          <w:sz w:val="24"/>
        </w:rPr>
        <w:t>5</w:t>
      </w:r>
      <w:r w:rsidRPr="00BC5AB5">
        <w:rPr>
          <w:rFonts w:asciiTheme="minorHAnsi" w:hAnsiTheme="minorHAnsi" w:cstheme="minorHAnsi"/>
          <w:b/>
          <w:i w:val="0"/>
          <w:noProof/>
          <w:sz w:val="24"/>
        </w:rPr>
        <w:fldChar w:fldCharType="end"/>
      </w:r>
      <w:bookmarkEnd w:id="9"/>
      <w:r w:rsidRPr="00BC5AB5">
        <w:rPr>
          <w:rFonts w:asciiTheme="minorHAnsi" w:hAnsiTheme="minorHAnsi" w:cstheme="minorHAnsi"/>
          <w:b/>
          <w:i w:val="0"/>
          <w:sz w:val="24"/>
        </w:rPr>
        <w:t>: Impacts of BAT scenarios on key demand and use variables for primary metals and construction materials</w:t>
      </w:r>
    </w:p>
    <w:tbl>
      <w:tblPr>
        <w:tblW w:w="10020" w:type="dxa"/>
        <w:tblLook w:val="04A0" w:firstRow="1" w:lastRow="0" w:firstColumn="1" w:lastColumn="0" w:noHBand="0" w:noVBand="1"/>
      </w:tblPr>
      <w:tblGrid>
        <w:gridCol w:w="2260"/>
        <w:gridCol w:w="1340"/>
        <w:gridCol w:w="1820"/>
        <w:gridCol w:w="1500"/>
        <w:gridCol w:w="1560"/>
        <w:gridCol w:w="1540"/>
      </w:tblGrid>
      <w:tr w:rsidR="00F077D8" w:rsidRPr="00973197" w14:paraId="323258DF" w14:textId="77777777" w:rsidTr="00F077D8">
        <w:trPr>
          <w:trHeight w:val="720"/>
        </w:trPr>
        <w:tc>
          <w:tcPr>
            <w:tcW w:w="226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19DE8A61" w14:textId="77777777" w:rsidR="00F077D8" w:rsidRPr="00973197" w:rsidRDefault="00F077D8" w:rsidP="00445BC5">
            <w:pPr>
              <w:ind w:firstLine="0"/>
              <w:rPr>
                <w:rFonts w:ascii="Calibri" w:eastAsia="Times New Roman" w:hAnsi="Calibri" w:cs="Calibri"/>
                <w:b/>
                <w:bCs/>
                <w:color w:val="000000"/>
                <w:sz w:val="16"/>
                <w:szCs w:val="16"/>
              </w:rPr>
            </w:pPr>
            <w:r w:rsidRPr="00973197">
              <w:rPr>
                <w:rFonts w:ascii="Calibri" w:eastAsia="Times New Roman" w:hAnsi="Calibri" w:cs="Calibri"/>
                <w:b/>
                <w:bCs/>
                <w:color w:val="000000"/>
                <w:sz w:val="16"/>
                <w:szCs w:val="16"/>
              </w:rPr>
              <w:t>METALS</w:t>
            </w:r>
          </w:p>
        </w:tc>
        <w:tc>
          <w:tcPr>
            <w:tcW w:w="1340" w:type="dxa"/>
            <w:tcBorders>
              <w:top w:val="single" w:sz="8" w:space="0" w:color="auto"/>
              <w:left w:val="nil"/>
              <w:bottom w:val="single" w:sz="4" w:space="0" w:color="auto"/>
              <w:right w:val="single" w:sz="4" w:space="0" w:color="auto"/>
            </w:tcBorders>
            <w:shd w:val="clear" w:color="auto" w:fill="auto"/>
            <w:vAlign w:val="bottom"/>
            <w:hideMark/>
          </w:tcPr>
          <w:p w14:paraId="096F7B31" w14:textId="77777777" w:rsidR="00F077D8" w:rsidRPr="00973197" w:rsidRDefault="00F077D8" w:rsidP="00445BC5">
            <w:pPr>
              <w:ind w:firstLine="0"/>
              <w:rPr>
                <w:rFonts w:ascii="Calibri" w:eastAsia="Times New Roman" w:hAnsi="Calibri" w:cs="Calibri"/>
                <w:b/>
                <w:bCs/>
                <w:color w:val="000000"/>
                <w:sz w:val="16"/>
                <w:szCs w:val="16"/>
              </w:rPr>
            </w:pPr>
            <w:r w:rsidRPr="00973197">
              <w:rPr>
                <w:rFonts w:ascii="Calibri" w:eastAsia="Times New Roman" w:hAnsi="Calibri" w:cs="Calibri"/>
                <w:b/>
                <w:bCs/>
                <w:color w:val="000000"/>
                <w:sz w:val="16"/>
                <w:szCs w:val="16"/>
              </w:rPr>
              <w:t>EGD-NDC</w:t>
            </w:r>
          </w:p>
        </w:tc>
        <w:tc>
          <w:tcPr>
            <w:tcW w:w="1820" w:type="dxa"/>
            <w:tcBorders>
              <w:top w:val="single" w:sz="8" w:space="0" w:color="auto"/>
              <w:left w:val="nil"/>
              <w:bottom w:val="single" w:sz="4" w:space="0" w:color="auto"/>
              <w:right w:val="single" w:sz="4" w:space="0" w:color="auto"/>
            </w:tcBorders>
            <w:shd w:val="clear" w:color="auto" w:fill="auto"/>
            <w:vAlign w:val="bottom"/>
            <w:hideMark/>
          </w:tcPr>
          <w:p w14:paraId="14D5B303" w14:textId="77777777" w:rsidR="00F077D8" w:rsidRPr="00973197" w:rsidRDefault="00F077D8" w:rsidP="00445BC5">
            <w:pPr>
              <w:ind w:firstLine="0"/>
              <w:rPr>
                <w:rFonts w:ascii="Calibri" w:eastAsia="Times New Roman" w:hAnsi="Calibri" w:cs="Calibri"/>
                <w:b/>
                <w:bCs/>
                <w:color w:val="000000"/>
                <w:sz w:val="16"/>
                <w:szCs w:val="16"/>
              </w:rPr>
            </w:pPr>
            <w:proofErr w:type="spellStart"/>
            <w:r w:rsidRPr="00973197">
              <w:rPr>
                <w:rFonts w:ascii="Calibri" w:eastAsia="Times New Roman" w:hAnsi="Calibri" w:cs="Calibri"/>
                <w:b/>
                <w:bCs/>
                <w:color w:val="000000"/>
                <w:sz w:val="16"/>
                <w:szCs w:val="16"/>
              </w:rPr>
              <w:t>MetalFF</w:t>
            </w:r>
            <w:proofErr w:type="spellEnd"/>
            <w:r w:rsidRPr="00973197">
              <w:rPr>
                <w:rFonts w:ascii="Calibri" w:eastAsia="Times New Roman" w:hAnsi="Calibri" w:cs="Calibri"/>
                <w:b/>
                <w:bCs/>
                <w:color w:val="000000"/>
                <w:sz w:val="16"/>
                <w:szCs w:val="16"/>
              </w:rPr>
              <w:t>-total</w:t>
            </w:r>
          </w:p>
        </w:tc>
        <w:tc>
          <w:tcPr>
            <w:tcW w:w="1500" w:type="dxa"/>
            <w:tcBorders>
              <w:top w:val="single" w:sz="8" w:space="0" w:color="auto"/>
              <w:left w:val="nil"/>
              <w:bottom w:val="single" w:sz="4" w:space="0" w:color="auto"/>
              <w:right w:val="single" w:sz="4" w:space="0" w:color="auto"/>
            </w:tcBorders>
            <w:shd w:val="clear" w:color="auto" w:fill="auto"/>
            <w:vAlign w:val="bottom"/>
            <w:hideMark/>
          </w:tcPr>
          <w:p w14:paraId="65413402" w14:textId="77777777" w:rsidR="00F077D8" w:rsidRPr="00973197" w:rsidRDefault="00F077D8" w:rsidP="00445BC5">
            <w:pPr>
              <w:ind w:firstLine="0"/>
              <w:rPr>
                <w:rFonts w:ascii="Calibri" w:eastAsia="Times New Roman" w:hAnsi="Calibri" w:cs="Calibri"/>
                <w:b/>
                <w:bCs/>
                <w:color w:val="000000"/>
                <w:sz w:val="16"/>
                <w:szCs w:val="16"/>
              </w:rPr>
            </w:pPr>
            <w:proofErr w:type="spellStart"/>
            <w:r w:rsidRPr="00973197">
              <w:rPr>
                <w:rFonts w:ascii="Calibri" w:eastAsia="Times New Roman" w:hAnsi="Calibri" w:cs="Calibri"/>
                <w:b/>
                <w:bCs/>
                <w:color w:val="000000"/>
                <w:sz w:val="16"/>
                <w:szCs w:val="16"/>
              </w:rPr>
              <w:t>MetalFF</w:t>
            </w:r>
            <w:proofErr w:type="spellEnd"/>
            <w:r w:rsidRPr="00973197">
              <w:rPr>
                <w:rFonts w:ascii="Calibri" w:eastAsia="Times New Roman" w:hAnsi="Calibri" w:cs="Calibri"/>
                <w:b/>
                <w:bCs/>
                <w:color w:val="000000"/>
                <w:sz w:val="16"/>
                <w:szCs w:val="16"/>
              </w:rPr>
              <w:t>-total*BAT</w:t>
            </w:r>
          </w:p>
        </w:tc>
        <w:tc>
          <w:tcPr>
            <w:tcW w:w="1560" w:type="dxa"/>
            <w:tcBorders>
              <w:top w:val="single" w:sz="8" w:space="0" w:color="auto"/>
              <w:left w:val="nil"/>
              <w:bottom w:val="single" w:sz="4" w:space="0" w:color="auto"/>
              <w:right w:val="single" w:sz="4" w:space="0" w:color="auto"/>
            </w:tcBorders>
            <w:shd w:val="clear" w:color="000000" w:fill="E7E6E6"/>
            <w:vAlign w:val="bottom"/>
            <w:hideMark/>
          </w:tcPr>
          <w:p w14:paraId="11751A3B" w14:textId="77777777" w:rsidR="00F077D8" w:rsidRPr="00973197" w:rsidRDefault="00F077D8" w:rsidP="00445BC5">
            <w:pPr>
              <w:ind w:firstLine="0"/>
              <w:rPr>
                <w:rFonts w:ascii="Calibri" w:eastAsia="Times New Roman" w:hAnsi="Calibri" w:cs="Calibri"/>
                <w:b/>
                <w:bCs/>
                <w:color w:val="000000"/>
                <w:sz w:val="16"/>
                <w:szCs w:val="16"/>
              </w:rPr>
            </w:pPr>
            <w:r w:rsidRPr="00973197">
              <w:rPr>
                <w:rFonts w:ascii="Calibri" w:eastAsia="Times New Roman" w:hAnsi="Calibri" w:cs="Calibri"/>
                <w:b/>
                <w:bCs/>
                <w:color w:val="000000"/>
                <w:sz w:val="16"/>
                <w:szCs w:val="16"/>
              </w:rPr>
              <w:t>Impact of material tax v EGD-NDC scenario</w:t>
            </w:r>
          </w:p>
        </w:tc>
        <w:tc>
          <w:tcPr>
            <w:tcW w:w="1540" w:type="dxa"/>
            <w:tcBorders>
              <w:top w:val="single" w:sz="8" w:space="0" w:color="auto"/>
              <w:left w:val="nil"/>
              <w:bottom w:val="single" w:sz="4" w:space="0" w:color="auto"/>
              <w:right w:val="single" w:sz="8" w:space="0" w:color="auto"/>
            </w:tcBorders>
            <w:shd w:val="clear" w:color="000000" w:fill="E7E6E6"/>
            <w:vAlign w:val="bottom"/>
            <w:hideMark/>
          </w:tcPr>
          <w:p w14:paraId="547BF351" w14:textId="77777777" w:rsidR="00F077D8" w:rsidRPr="00973197" w:rsidRDefault="00F077D8" w:rsidP="00445BC5">
            <w:pPr>
              <w:ind w:firstLine="0"/>
              <w:rPr>
                <w:rFonts w:ascii="Calibri" w:eastAsia="Times New Roman" w:hAnsi="Calibri" w:cs="Calibri"/>
                <w:b/>
                <w:bCs/>
                <w:color w:val="000000"/>
                <w:sz w:val="16"/>
                <w:szCs w:val="16"/>
              </w:rPr>
            </w:pPr>
            <w:r w:rsidRPr="00973197">
              <w:rPr>
                <w:rFonts w:ascii="Calibri" w:eastAsia="Times New Roman" w:hAnsi="Calibri" w:cs="Calibri"/>
                <w:b/>
                <w:bCs/>
                <w:color w:val="000000"/>
                <w:sz w:val="16"/>
                <w:szCs w:val="16"/>
              </w:rPr>
              <w:t>Impact of BAT v material tax scenario</w:t>
            </w:r>
          </w:p>
        </w:tc>
      </w:tr>
      <w:tr w:rsidR="00F077D8" w:rsidRPr="00973197" w14:paraId="22FA64B6" w14:textId="77777777" w:rsidTr="00F077D8">
        <w:trPr>
          <w:trHeight w:val="260"/>
        </w:trPr>
        <w:tc>
          <w:tcPr>
            <w:tcW w:w="2260" w:type="dxa"/>
            <w:tcBorders>
              <w:top w:val="nil"/>
              <w:left w:val="single" w:sz="8" w:space="0" w:color="auto"/>
              <w:bottom w:val="single" w:sz="4" w:space="0" w:color="auto"/>
              <w:right w:val="single" w:sz="4" w:space="0" w:color="auto"/>
            </w:tcBorders>
            <w:shd w:val="clear" w:color="auto" w:fill="auto"/>
            <w:noWrap/>
            <w:vAlign w:val="bottom"/>
            <w:hideMark/>
          </w:tcPr>
          <w:p w14:paraId="508832CF" w14:textId="77777777" w:rsidR="00F077D8" w:rsidRPr="00973197" w:rsidRDefault="00F077D8" w:rsidP="00445BC5">
            <w:pPr>
              <w:ind w:firstLine="0"/>
              <w:rPr>
                <w:rFonts w:ascii="Calibri" w:eastAsia="Times New Roman" w:hAnsi="Calibri" w:cs="Calibri"/>
                <w:color w:val="000000"/>
                <w:sz w:val="16"/>
                <w:szCs w:val="16"/>
              </w:rPr>
            </w:pPr>
            <w:r w:rsidRPr="00CA6F48">
              <w:rPr>
                <w:rFonts w:ascii="Calibri" w:eastAsia="Times New Roman" w:hAnsi="Calibri" w:cs="Calibri"/>
                <w:color w:val="000000"/>
                <w:sz w:val="16"/>
                <w:szCs w:val="16"/>
              </w:rPr>
              <w:t>EU production</w:t>
            </w:r>
            <w:r>
              <w:rPr>
                <w:rFonts w:ascii="Calibri" w:eastAsia="Times New Roman" w:hAnsi="Calibri" w:cs="Calibri"/>
                <w:color w:val="000000"/>
                <w:sz w:val="16"/>
                <w:szCs w:val="16"/>
              </w:rPr>
              <w:t>-based use</w:t>
            </w:r>
          </w:p>
        </w:tc>
        <w:tc>
          <w:tcPr>
            <w:tcW w:w="1340" w:type="dxa"/>
            <w:tcBorders>
              <w:top w:val="nil"/>
              <w:left w:val="nil"/>
              <w:bottom w:val="single" w:sz="4" w:space="0" w:color="auto"/>
              <w:right w:val="single" w:sz="4" w:space="0" w:color="auto"/>
            </w:tcBorders>
            <w:shd w:val="clear" w:color="auto" w:fill="auto"/>
            <w:noWrap/>
            <w:vAlign w:val="bottom"/>
            <w:hideMark/>
          </w:tcPr>
          <w:p w14:paraId="14121A33" w14:textId="0C329172"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278 </w:t>
            </w:r>
          </w:p>
        </w:tc>
        <w:tc>
          <w:tcPr>
            <w:tcW w:w="1820" w:type="dxa"/>
            <w:tcBorders>
              <w:top w:val="nil"/>
              <w:left w:val="nil"/>
              <w:bottom w:val="single" w:sz="4" w:space="0" w:color="auto"/>
              <w:right w:val="single" w:sz="4" w:space="0" w:color="auto"/>
            </w:tcBorders>
            <w:shd w:val="clear" w:color="auto" w:fill="auto"/>
            <w:noWrap/>
            <w:vAlign w:val="bottom"/>
            <w:hideMark/>
          </w:tcPr>
          <w:p w14:paraId="1583D8B1" w14:textId="0B028C26"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            199 </w:t>
            </w:r>
          </w:p>
        </w:tc>
        <w:tc>
          <w:tcPr>
            <w:tcW w:w="1500" w:type="dxa"/>
            <w:tcBorders>
              <w:top w:val="nil"/>
              <w:left w:val="nil"/>
              <w:bottom w:val="single" w:sz="4" w:space="0" w:color="auto"/>
              <w:right w:val="single" w:sz="4" w:space="0" w:color="auto"/>
            </w:tcBorders>
            <w:shd w:val="clear" w:color="auto" w:fill="auto"/>
            <w:noWrap/>
            <w:vAlign w:val="bottom"/>
            <w:hideMark/>
          </w:tcPr>
          <w:p w14:paraId="7E1CC0AF" w14:textId="7BC73716"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     201 </w:t>
            </w:r>
          </w:p>
        </w:tc>
        <w:tc>
          <w:tcPr>
            <w:tcW w:w="1560" w:type="dxa"/>
            <w:tcBorders>
              <w:top w:val="nil"/>
              <w:left w:val="nil"/>
              <w:bottom w:val="single" w:sz="4" w:space="0" w:color="auto"/>
              <w:right w:val="single" w:sz="4" w:space="0" w:color="auto"/>
            </w:tcBorders>
            <w:shd w:val="clear" w:color="000000" w:fill="E7E6E6"/>
            <w:noWrap/>
            <w:vAlign w:val="bottom"/>
            <w:hideMark/>
          </w:tcPr>
          <w:p w14:paraId="3018F73B" w14:textId="77777777"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-28%</w:t>
            </w:r>
          </w:p>
        </w:tc>
        <w:tc>
          <w:tcPr>
            <w:tcW w:w="1540" w:type="dxa"/>
            <w:tcBorders>
              <w:top w:val="nil"/>
              <w:left w:val="nil"/>
              <w:bottom w:val="single" w:sz="4" w:space="0" w:color="auto"/>
              <w:right w:val="single" w:sz="8" w:space="0" w:color="auto"/>
            </w:tcBorders>
            <w:shd w:val="clear" w:color="000000" w:fill="E7E6E6"/>
            <w:noWrap/>
            <w:vAlign w:val="bottom"/>
            <w:hideMark/>
          </w:tcPr>
          <w:p w14:paraId="48D15D70" w14:textId="77777777"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0.8%</w:t>
            </w:r>
          </w:p>
        </w:tc>
      </w:tr>
      <w:tr w:rsidR="00F077D8" w:rsidRPr="00973197" w14:paraId="1D6892DF" w14:textId="77777777" w:rsidTr="00F077D8">
        <w:trPr>
          <w:trHeight w:val="260"/>
        </w:trPr>
        <w:tc>
          <w:tcPr>
            <w:tcW w:w="2260" w:type="dxa"/>
            <w:tcBorders>
              <w:top w:val="nil"/>
              <w:left w:val="single" w:sz="8" w:space="0" w:color="auto"/>
              <w:bottom w:val="single" w:sz="4" w:space="0" w:color="auto"/>
              <w:right w:val="single" w:sz="4" w:space="0" w:color="auto"/>
            </w:tcBorders>
            <w:shd w:val="clear" w:color="auto" w:fill="auto"/>
            <w:noWrap/>
            <w:vAlign w:val="bottom"/>
            <w:hideMark/>
          </w:tcPr>
          <w:p w14:paraId="7AF6577B" w14:textId="77777777" w:rsidR="00F077D8" w:rsidRPr="00973197" w:rsidRDefault="00F077D8" w:rsidP="00445BC5">
            <w:pPr>
              <w:ind w:firstLine="0"/>
              <w:rPr>
                <w:rFonts w:ascii="Calibri" w:eastAsia="Times New Roman" w:hAnsi="Calibri" w:cs="Calibri"/>
                <w:color w:val="000000"/>
                <w:sz w:val="16"/>
                <w:szCs w:val="16"/>
              </w:rPr>
            </w:pPr>
            <w:r w:rsidRPr="00973197">
              <w:rPr>
                <w:rFonts w:ascii="Calibri" w:eastAsia="Times New Roman" w:hAnsi="Calibri" w:cs="Calibri"/>
                <w:color w:val="000000"/>
                <w:sz w:val="16"/>
                <w:szCs w:val="16"/>
              </w:rPr>
              <w:t>EU consumption</w:t>
            </w:r>
            <w:r>
              <w:rPr>
                <w:rFonts w:ascii="Calibri" w:eastAsia="Times New Roman" w:hAnsi="Calibri" w:cs="Calibri"/>
                <w:color w:val="000000"/>
                <w:sz w:val="16"/>
                <w:szCs w:val="16"/>
              </w:rPr>
              <w:t>-based use</w:t>
            </w:r>
          </w:p>
        </w:tc>
        <w:tc>
          <w:tcPr>
            <w:tcW w:w="1340" w:type="dxa"/>
            <w:tcBorders>
              <w:top w:val="nil"/>
              <w:left w:val="nil"/>
              <w:bottom w:val="single" w:sz="4" w:space="0" w:color="auto"/>
              <w:right w:val="single" w:sz="4" w:space="0" w:color="auto"/>
            </w:tcBorders>
            <w:shd w:val="clear" w:color="auto" w:fill="auto"/>
            <w:noWrap/>
            <w:vAlign w:val="bottom"/>
            <w:hideMark/>
          </w:tcPr>
          <w:p w14:paraId="578700D2" w14:textId="24994A6B"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518 </w:t>
            </w:r>
          </w:p>
        </w:tc>
        <w:tc>
          <w:tcPr>
            <w:tcW w:w="1820" w:type="dxa"/>
            <w:tcBorders>
              <w:top w:val="nil"/>
              <w:left w:val="nil"/>
              <w:bottom w:val="single" w:sz="4" w:space="0" w:color="auto"/>
              <w:right w:val="single" w:sz="4" w:space="0" w:color="auto"/>
            </w:tcBorders>
            <w:shd w:val="clear" w:color="auto" w:fill="auto"/>
            <w:noWrap/>
            <w:vAlign w:val="bottom"/>
            <w:hideMark/>
          </w:tcPr>
          <w:p w14:paraId="71374AEF" w14:textId="27C8B56D"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            469 </w:t>
            </w:r>
          </w:p>
        </w:tc>
        <w:tc>
          <w:tcPr>
            <w:tcW w:w="1500" w:type="dxa"/>
            <w:tcBorders>
              <w:top w:val="nil"/>
              <w:left w:val="nil"/>
              <w:bottom w:val="single" w:sz="4" w:space="0" w:color="auto"/>
              <w:right w:val="single" w:sz="4" w:space="0" w:color="auto"/>
            </w:tcBorders>
            <w:shd w:val="clear" w:color="auto" w:fill="auto"/>
            <w:noWrap/>
            <w:vAlign w:val="bottom"/>
            <w:hideMark/>
          </w:tcPr>
          <w:p w14:paraId="71429A13" w14:textId="59E4E62C"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     434 </w:t>
            </w:r>
          </w:p>
        </w:tc>
        <w:tc>
          <w:tcPr>
            <w:tcW w:w="1560" w:type="dxa"/>
            <w:tcBorders>
              <w:top w:val="nil"/>
              <w:left w:val="nil"/>
              <w:bottom w:val="single" w:sz="4" w:space="0" w:color="auto"/>
              <w:right w:val="single" w:sz="4" w:space="0" w:color="auto"/>
            </w:tcBorders>
            <w:shd w:val="clear" w:color="000000" w:fill="E7E6E6"/>
            <w:noWrap/>
            <w:vAlign w:val="bottom"/>
            <w:hideMark/>
          </w:tcPr>
          <w:p w14:paraId="231DB06F" w14:textId="77777777"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-9%</w:t>
            </w:r>
          </w:p>
        </w:tc>
        <w:tc>
          <w:tcPr>
            <w:tcW w:w="1540" w:type="dxa"/>
            <w:tcBorders>
              <w:top w:val="nil"/>
              <w:left w:val="nil"/>
              <w:bottom w:val="single" w:sz="4" w:space="0" w:color="auto"/>
              <w:right w:val="single" w:sz="8" w:space="0" w:color="auto"/>
            </w:tcBorders>
            <w:shd w:val="clear" w:color="000000" w:fill="E7E6E6"/>
            <w:noWrap/>
            <w:vAlign w:val="bottom"/>
            <w:hideMark/>
          </w:tcPr>
          <w:p w14:paraId="45064A98" w14:textId="77777777"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-7.6%</w:t>
            </w:r>
          </w:p>
        </w:tc>
      </w:tr>
      <w:tr w:rsidR="00F077D8" w:rsidRPr="00973197" w14:paraId="521DA15D" w14:textId="77777777" w:rsidTr="00F077D8">
        <w:trPr>
          <w:trHeight w:val="260"/>
        </w:trPr>
        <w:tc>
          <w:tcPr>
            <w:tcW w:w="2260" w:type="dxa"/>
            <w:tcBorders>
              <w:top w:val="nil"/>
              <w:left w:val="single" w:sz="8" w:space="0" w:color="auto"/>
              <w:bottom w:val="single" w:sz="4" w:space="0" w:color="auto"/>
              <w:right w:val="single" w:sz="4" w:space="0" w:color="auto"/>
            </w:tcBorders>
            <w:shd w:val="clear" w:color="auto" w:fill="auto"/>
            <w:noWrap/>
            <w:vAlign w:val="bottom"/>
          </w:tcPr>
          <w:p w14:paraId="4FD72CD5" w14:textId="77777777" w:rsidR="00F077D8" w:rsidRPr="00973197" w:rsidRDefault="00F077D8" w:rsidP="00445BC5">
            <w:pPr>
              <w:ind w:firstLine="0"/>
              <w:rPr>
                <w:rFonts w:ascii="Calibri" w:eastAsia="Times New Roman" w:hAnsi="Calibri" w:cs="Calibri"/>
                <w:color w:val="000000"/>
                <w:sz w:val="16"/>
                <w:szCs w:val="16"/>
              </w:rPr>
            </w:pPr>
            <w:r>
              <w:rPr>
                <w:rFonts w:ascii="Calibri" w:eastAsia="Times New Roman" w:hAnsi="Calibri" w:cs="Calibri"/>
                <w:color w:val="000000"/>
                <w:sz w:val="16"/>
                <w:szCs w:val="16"/>
              </w:rPr>
              <w:t>Rest of world production</w:t>
            </w:r>
          </w:p>
        </w:tc>
        <w:tc>
          <w:tcPr>
            <w:tcW w:w="1340" w:type="dxa"/>
            <w:tcBorders>
              <w:top w:val="nil"/>
              <w:left w:val="nil"/>
              <w:bottom w:val="single" w:sz="4" w:space="0" w:color="auto"/>
              <w:right w:val="single" w:sz="4" w:space="0" w:color="auto"/>
            </w:tcBorders>
            <w:shd w:val="clear" w:color="auto" w:fill="auto"/>
            <w:noWrap/>
            <w:vAlign w:val="bottom"/>
          </w:tcPr>
          <w:p w14:paraId="0CDFCD96" w14:textId="77777777" w:rsidR="00F077D8" w:rsidRPr="00973197" w:rsidRDefault="00F077D8" w:rsidP="00BC5AB5">
            <w:pPr>
              <w:jc w:val="right"/>
              <w:rPr>
                <w:rFonts w:ascii="Calibri" w:eastAsia="Times New Roman" w:hAnsi="Calibri" w:cs="Calibri"/>
                <w:color w:val="000000"/>
                <w:sz w:val="16"/>
                <w:szCs w:val="16"/>
              </w:rPr>
            </w:pPr>
            <w:r>
              <w:rPr>
                <w:rFonts w:ascii="Calibri" w:eastAsia="Times New Roman" w:hAnsi="Calibri" w:cs="Calibri"/>
                <w:color w:val="000000"/>
                <w:sz w:val="16"/>
                <w:szCs w:val="16"/>
              </w:rPr>
              <w:t>6,007</w:t>
            </w:r>
          </w:p>
        </w:tc>
        <w:tc>
          <w:tcPr>
            <w:tcW w:w="1820" w:type="dxa"/>
            <w:tcBorders>
              <w:top w:val="nil"/>
              <w:left w:val="nil"/>
              <w:bottom w:val="single" w:sz="4" w:space="0" w:color="auto"/>
              <w:right w:val="single" w:sz="4" w:space="0" w:color="auto"/>
            </w:tcBorders>
            <w:shd w:val="clear" w:color="auto" w:fill="auto"/>
            <w:noWrap/>
            <w:vAlign w:val="bottom"/>
          </w:tcPr>
          <w:p w14:paraId="00DE9DAE" w14:textId="77777777" w:rsidR="00F077D8" w:rsidRPr="00973197" w:rsidRDefault="00F077D8" w:rsidP="00BC5AB5">
            <w:pPr>
              <w:jc w:val="right"/>
              <w:rPr>
                <w:rFonts w:ascii="Calibri" w:eastAsia="Times New Roman" w:hAnsi="Calibri" w:cs="Calibri"/>
                <w:color w:val="000000"/>
                <w:sz w:val="16"/>
                <w:szCs w:val="16"/>
              </w:rPr>
            </w:pPr>
            <w:r>
              <w:rPr>
                <w:rFonts w:ascii="Calibri" w:eastAsia="Times New Roman" w:hAnsi="Calibri" w:cs="Calibri"/>
                <w:color w:val="000000"/>
                <w:sz w:val="16"/>
                <w:szCs w:val="16"/>
              </w:rPr>
              <w:t>6,012</w:t>
            </w:r>
          </w:p>
        </w:tc>
        <w:tc>
          <w:tcPr>
            <w:tcW w:w="1500" w:type="dxa"/>
            <w:tcBorders>
              <w:top w:val="nil"/>
              <w:left w:val="nil"/>
              <w:bottom w:val="single" w:sz="4" w:space="0" w:color="auto"/>
              <w:right w:val="single" w:sz="4" w:space="0" w:color="auto"/>
            </w:tcBorders>
            <w:shd w:val="clear" w:color="auto" w:fill="auto"/>
            <w:noWrap/>
            <w:vAlign w:val="bottom"/>
          </w:tcPr>
          <w:p w14:paraId="7753D9CD" w14:textId="77777777" w:rsidR="00F077D8" w:rsidRPr="00973197" w:rsidRDefault="00F077D8" w:rsidP="00BC5AB5">
            <w:pPr>
              <w:jc w:val="right"/>
              <w:rPr>
                <w:rFonts w:ascii="Calibri" w:eastAsia="Times New Roman" w:hAnsi="Calibri" w:cs="Calibri"/>
                <w:color w:val="000000"/>
                <w:sz w:val="16"/>
                <w:szCs w:val="16"/>
              </w:rPr>
            </w:pPr>
            <w:r>
              <w:rPr>
                <w:rFonts w:ascii="Calibri" w:eastAsia="Times New Roman" w:hAnsi="Calibri" w:cs="Calibri"/>
                <w:color w:val="000000"/>
                <w:sz w:val="16"/>
                <w:szCs w:val="16"/>
              </w:rPr>
              <w:t>5,992</w:t>
            </w:r>
          </w:p>
        </w:tc>
        <w:tc>
          <w:tcPr>
            <w:tcW w:w="1560" w:type="dxa"/>
            <w:tcBorders>
              <w:top w:val="nil"/>
              <w:left w:val="nil"/>
              <w:bottom w:val="single" w:sz="4" w:space="0" w:color="auto"/>
              <w:right w:val="single" w:sz="4" w:space="0" w:color="auto"/>
            </w:tcBorders>
            <w:shd w:val="clear" w:color="000000" w:fill="E7E6E6"/>
            <w:noWrap/>
            <w:vAlign w:val="bottom"/>
          </w:tcPr>
          <w:p w14:paraId="66D77326" w14:textId="77777777" w:rsidR="00F077D8" w:rsidRPr="00973197" w:rsidRDefault="00F077D8" w:rsidP="00BC5AB5">
            <w:pPr>
              <w:jc w:val="right"/>
              <w:rPr>
                <w:rFonts w:ascii="Calibri" w:eastAsia="Times New Roman" w:hAnsi="Calibri" w:cs="Calibri"/>
                <w:color w:val="000000"/>
                <w:sz w:val="16"/>
                <w:szCs w:val="16"/>
              </w:rPr>
            </w:pPr>
            <w:r>
              <w:rPr>
                <w:rFonts w:ascii="Calibri" w:eastAsia="Times New Roman" w:hAnsi="Calibri" w:cs="Calibri"/>
                <w:color w:val="000000"/>
                <w:sz w:val="16"/>
                <w:szCs w:val="16"/>
              </w:rPr>
              <w:t>0.1%</w:t>
            </w:r>
          </w:p>
        </w:tc>
        <w:tc>
          <w:tcPr>
            <w:tcW w:w="1540" w:type="dxa"/>
            <w:tcBorders>
              <w:top w:val="nil"/>
              <w:left w:val="nil"/>
              <w:bottom w:val="single" w:sz="4" w:space="0" w:color="auto"/>
              <w:right w:val="single" w:sz="8" w:space="0" w:color="auto"/>
            </w:tcBorders>
            <w:shd w:val="clear" w:color="000000" w:fill="E7E6E6"/>
            <w:noWrap/>
            <w:vAlign w:val="bottom"/>
          </w:tcPr>
          <w:p w14:paraId="726970E9" w14:textId="77777777" w:rsidR="00F077D8" w:rsidRPr="00973197" w:rsidRDefault="00F077D8" w:rsidP="00BC5AB5">
            <w:pPr>
              <w:jc w:val="right"/>
              <w:rPr>
                <w:rFonts w:ascii="Calibri" w:eastAsia="Times New Roman" w:hAnsi="Calibri" w:cs="Calibri"/>
                <w:color w:val="000000"/>
                <w:sz w:val="16"/>
                <w:szCs w:val="16"/>
              </w:rPr>
            </w:pPr>
            <w:r>
              <w:rPr>
                <w:rFonts w:ascii="Calibri" w:eastAsia="Times New Roman" w:hAnsi="Calibri" w:cs="Calibri"/>
                <w:color w:val="000000"/>
                <w:sz w:val="16"/>
                <w:szCs w:val="16"/>
              </w:rPr>
              <w:t>-0.3%</w:t>
            </w:r>
          </w:p>
        </w:tc>
      </w:tr>
      <w:tr w:rsidR="00F077D8" w:rsidRPr="00973197" w14:paraId="5F26FCB2" w14:textId="77777777" w:rsidTr="00F077D8">
        <w:trPr>
          <w:trHeight w:val="260"/>
        </w:trPr>
        <w:tc>
          <w:tcPr>
            <w:tcW w:w="2260" w:type="dxa"/>
            <w:tcBorders>
              <w:top w:val="nil"/>
              <w:left w:val="single" w:sz="8" w:space="0" w:color="auto"/>
              <w:bottom w:val="single" w:sz="4" w:space="0" w:color="auto"/>
              <w:right w:val="single" w:sz="4" w:space="0" w:color="auto"/>
            </w:tcBorders>
            <w:shd w:val="clear" w:color="auto" w:fill="auto"/>
            <w:noWrap/>
            <w:vAlign w:val="bottom"/>
            <w:hideMark/>
          </w:tcPr>
          <w:p w14:paraId="55C45D67" w14:textId="77777777" w:rsidR="00F077D8" w:rsidRPr="00973197" w:rsidRDefault="00F077D8" w:rsidP="00445BC5">
            <w:pPr>
              <w:ind w:firstLine="0"/>
              <w:rPr>
                <w:rFonts w:ascii="Calibri" w:eastAsia="Times New Roman" w:hAnsi="Calibri" w:cs="Calibri"/>
                <w:color w:val="000000"/>
                <w:sz w:val="16"/>
                <w:szCs w:val="16"/>
              </w:rPr>
            </w:pPr>
            <w:r w:rsidRPr="00973197">
              <w:rPr>
                <w:rFonts w:ascii="Calibri" w:eastAsia="Times New Roman" w:hAnsi="Calibri" w:cs="Calibri"/>
                <w:color w:val="000000"/>
                <w:sz w:val="16"/>
                <w:szCs w:val="16"/>
              </w:rPr>
              <w:t>EU exports (</w:t>
            </w:r>
            <w:r>
              <w:rPr>
                <w:rFonts w:ascii="Calibri" w:eastAsia="Times New Roman" w:hAnsi="Calibri" w:cs="Calibri"/>
                <w:color w:val="000000"/>
                <w:sz w:val="16"/>
                <w:szCs w:val="16"/>
              </w:rPr>
              <w:t>embedded</w:t>
            </w:r>
            <w:r w:rsidRPr="00973197">
              <w:rPr>
                <w:rFonts w:ascii="Calibri" w:eastAsia="Times New Roman" w:hAnsi="Calibri" w:cs="Calibri"/>
                <w:color w:val="000000"/>
                <w:sz w:val="16"/>
                <w:szCs w:val="16"/>
              </w:rPr>
              <w:t>)</w:t>
            </w:r>
          </w:p>
        </w:tc>
        <w:tc>
          <w:tcPr>
            <w:tcW w:w="1340" w:type="dxa"/>
            <w:tcBorders>
              <w:top w:val="nil"/>
              <w:left w:val="nil"/>
              <w:bottom w:val="single" w:sz="4" w:space="0" w:color="auto"/>
              <w:right w:val="single" w:sz="4" w:space="0" w:color="auto"/>
            </w:tcBorders>
            <w:shd w:val="clear" w:color="auto" w:fill="auto"/>
            <w:noWrap/>
            <w:vAlign w:val="bottom"/>
            <w:hideMark/>
          </w:tcPr>
          <w:p w14:paraId="6940127B" w14:textId="3D5EFC14"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   88 </w:t>
            </w:r>
          </w:p>
        </w:tc>
        <w:tc>
          <w:tcPr>
            <w:tcW w:w="1820" w:type="dxa"/>
            <w:tcBorders>
              <w:top w:val="nil"/>
              <w:left w:val="nil"/>
              <w:bottom w:val="single" w:sz="4" w:space="0" w:color="auto"/>
              <w:right w:val="single" w:sz="4" w:space="0" w:color="auto"/>
            </w:tcBorders>
            <w:shd w:val="clear" w:color="auto" w:fill="auto"/>
            <w:noWrap/>
            <w:vAlign w:val="bottom"/>
            <w:hideMark/>
          </w:tcPr>
          <w:p w14:paraId="5A11DF42" w14:textId="7FF959C9"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               61 </w:t>
            </w:r>
          </w:p>
        </w:tc>
        <w:tc>
          <w:tcPr>
            <w:tcW w:w="1500" w:type="dxa"/>
            <w:tcBorders>
              <w:top w:val="nil"/>
              <w:left w:val="nil"/>
              <w:bottom w:val="single" w:sz="4" w:space="0" w:color="auto"/>
              <w:right w:val="single" w:sz="4" w:space="0" w:color="auto"/>
            </w:tcBorders>
            <w:shd w:val="clear" w:color="auto" w:fill="auto"/>
            <w:noWrap/>
            <w:vAlign w:val="bottom"/>
            <w:hideMark/>
          </w:tcPr>
          <w:p w14:paraId="7AAEDA5D" w14:textId="1BF68203"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       60 </w:t>
            </w:r>
          </w:p>
        </w:tc>
        <w:tc>
          <w:tcPr>
            <w:tcW w:w="1560" w:type="dxa"/>
            <w:tcBorders>
              <w:top w:val="nil"/>
              <w:left w:val="nil"/>
              <w:bottom w:val="single" w:sz="4" w:space="0" w:color="auto"/>
              <w:right w:val="single" w:sz="4" w:space="0" w:color="auto"/>
            </w:tcBorders>
            <w:shd w:val="clear" w:color="000000" w:fill="E7E6E6"/>
            <w:noWrap/>
            <w:vAlign w:val="bottom"/>
            <w:hideMark/>
          </w:tcPr>
          <w:p w14:paraId="20FC1780" w14:textId="77777777"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-31%</w:t>
            </w:r>
          </w:p>
        </w:tc>
        <w:tc>
          <w:tcPr>
            <w:tcW w:w="1540" w:type="dxa"/>
            <w:tcBorders>
              <w:top w:val="nil"/>
              <w:left w:val="nil"/>
              <w:bottom w:val="single" w:sz="4" w:space="0" w:color="auto"/>
              <w:right w:val="single" w:sz="8" w:space="0" w:color="auto"/>
            </w:tcBorders>
            <w:shd w:val="clear" w:color="000000" w:fill="E7E6E6"/>
            <w:noWrap/>
            <w:vAlign w:val="bottom"/>
            <w:hideMark/>
          </w:tcPr>
          <w:p w14:paraId="021E4AC4" w14:textId="77777777"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-1.6%</w:t>
            </w:r>
          </w:p>
        </w:tc>
      </w:tr>
      <w:tr w:rsidR="00F077D8" w:rsidRPr="00973197" w14:paraId="1B744C1A" w14:textId="77777777" w:rsidTr="00F077D8">
        <w:trPr>
          <w:trHeight w:val="260"/>
        </w:trPr>
        <w:tc>
          <w:tcPr>
            <w:tcW w:w="2260" w:type="dxa"/>
            <w:tcBorders>
              <w:top w:val="nil"/>
              <w:left w:val="single" w:sz="8" w:space="0" w:color="auto"/>
              <w:bottom w:val="single" w:sz="4" w:space="0" w:color="auto"/>
              <w:right w:val="single" w:sz="4" w:space="0" w:color="auto"/>
            </w:tcBorders>
            <w:shd w:val="clear" w:color="auto" w:fill="auto"/>
            <w:noWrap/>
            <w:vAlign w:val="bottom"/>
            <w:hideMark/>
          </w:tcPr>
          <w:p w14:paraId="75B91B0B" w14:textId="77777777" w:rsidR="00F077D8" w:rsidRPr="00973197" w:rsidRDefault="00F077D8" w:rsidP="00445BC5">
            <w:pPr>
              <w:ind w:firstLine="0"/>
              <w:rPr>
                <w:rFonts w:ascii="Calibri" w:eastAsia="Times New Roman" w:hAnsi="Calibri" w:cs="Calibri"/>
                <w:color w:val="000000"/>
                <w:sz w:val="16"/>
                <w:szCs w:val="16"/>
              </w:rPr>
            </w:pPr>
            <w:r w:rsidRPr="00973197">
              <w:rPr>
                <w:rFonts w:ascii="Calibri" w:eastAsia="Times New Roman" w:hAnsi="Calibri" w:cs="Calibri"/>
                <w:color w:val="000000"/>
                <w:sz w:val="16"/>
                <w:szCs w:val="16"/>
              </w:rPr>
              <w:t>EU imports (</w:t>
            </w:r>
            <w:r>
              <w:rPr>
                <w:rFonts w:ascii="Calibri" w:eastAsia="Times New Roman" w:hAnsi="Calibri" w:cs="Calibri"/>
                <w:color w:val="000000"/>
                <w:sz w:val="16"/>
                <w:szCs w:val="16"/>
              </w:rPr>
              <w:t>embedded</w:t>
            </w:r>
            <w:r w:rsidRPr="00973197">
              <w:rPr>
                <w:rFonts w:ascii="Calibri" w:eastAsia="Times New Roman" w:hAnsi="Calibri" w:cs="Calibri"/>
                <w:color w:val="000000"/>
                <w:sz w:val="16"/>
                <w:szCs w:val="16"/>
              </w:rPr>
              <w:t>)</w:t>
            </w:r>
          </w:p>
        </w:tc>
        <w:tc>
          <w:tcPr>
            <w:tcW w:w="1340" w:type="dxa"/>
            <w:tcBorders>
              <w:top w:val="nil"/>
              <w:left w:val="nil"/>
              <w:bottom w:val="single" w:sz="4" w:space="0" w:color="auto"/>
              <w:right w:val="single" w:sz="4" w:space="0" w:color="auto"/>
            </w:tcBorders>
            <w:shd w:val="clear" w:color="auto" w:fill="auto"/>
            <w:noWrap/>
            <w:vAlign w:val="bottom"/>
            <w:hideMark/>
          </w:tcPr>
          <w:p w14:paraId="594F78CB" w14:textId="5AE668A8"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327 </w:t>
            </w:r>
          </w:p>
        </w:tc>
        <w:tc>
          <w:tcPr>
            <w:tcW w:w="1820" w:type="dxa"/>
            <w:tcBorders>
              <w:top w:val="nil"/>
              <w:left w:val="nil"/>
              <w:bottom w:val="single" w:sz="4" w:space="0" w:color="auto"/>
              <w:right w:val="single" w:sz="4" w:space="0" w:color="auto"/>
            </w:tcBorders>
            <w:shd w:val="clear" w:color="auto" w:fill="auto"/>
            <w:noWrap/>
            <w:vAlign w:val="bottom"/>
            <w:hideMark/>
          </w:tcPr>
          <w:p w14:paraId="58D9F111" w14:textId="5449DE61"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            331 </w:t>
            </w:r>
          </w:p>
        </w:tc>
        <w:tc>
          <w:tcPr>
            <w:tcW w:w="1500" w:type="dxa"/>
            <w:tcBorders>
              <w:top w:val="nil"/>
              <w:left w:val="nil"/>
              <w:bottom w:val="single" w:sz="4" w:space="0" w:color="auto"/>
              <w:right w:val="single" w:sz="4" w:space="0" w:color="auto"/>
            </w:tcBorders>
            <w:shd w:val="clear" w:color="auto" w:fill="auto"/>
            <w:noWrap/>
            <w:vAlign w:val="bottom"/>
            <w:hideMark/>
          </w:tcPr>
          <w:p w14:paraId="3C01F38A" w14:textId="30E517EA"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     293 </w:t>
            </w:r>
          </w:p>
        </w:tc>
        <w:tc>
          <w:tcPr>
            <w:tcW w:w="1560" w:type="dxa"/>
            <w:tcBorders>
              <w:top w:val="nil"/>
              <w:left w:val="nil"/>
              <w:bottom w:val="single" w:sz="4" w:space="0" w:color="auto"/>
              <w:right w:val="single" w:sz="4" w:space="0" w:color="auto"/>
            </w:tcBorders>
            <w:shd w:val="clear" w:color="000000" w:fill="E7E6E6"/>
            <w:noWrap/>
            <w:vAlign w:val="bottom"/>
            <w:hideMark/>
          </w:tcPr>
          <w:p w14:paraId="31E8D139" w14:textId="77777777"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1%</w:t>
            </w:r>
          </w:p>
        </w:tc>
        <w:tc>
          <w:tcPr>
            <w:tcW w:w="1540" w:type="dxa"/>
            <w:tcBorders>
              <w:top w:val="nil"/>
              <w:left w:val="nil"/>
              <w:bottom w:val="single" w:sz="4" w:space="0" w:color="auto"/>
              <w:right w:val="single" w:sz="8" w:space="0" w:color="auto"/>
            </w:tcBorders>
            <w:shd w:val="clear" w:color="000000" w:fill="E7E6E6"/>
            <w:noWrap/>
            <w:vAlign w:val="bottom"/>
            <w:hideMark/>
          </w:tcPr>
          <w:p w14:paraId="4BAF3440" w14:textId="77777777"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-11.5%</w:t>
            </w:r>
          </w:p>
        </w:tc>
      </w:tr>
      <w:tr w:rsidR="00F077D8" w:rsidRPr="00973197" w14:paraId="0524B40F" w14:textId="77777777" w:rsidTr="00F077D8">
        <w:trPr>
          <w:trHeight w:val="170"/>
        </w:trPr>
        <w:tc>
          <w:tcPr>
            <w:tcW w:w="10020" w:type="dxa"/>
            <w:gridSpan w:val="6"/>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5798348C" w14:textId="77777777" w:rsidR="00F077D8" w:rsidRPr="00973197" w:rsidRDefault="00F077D8" w:rsidP="00F077D8">
            <w:pPr>
              <w:jc w:val="center"/>
              <w:rPr>
                <w:rFonts w:ascii="Calibri" w:eastAsia="Times New Roman" w:hAnsi="Calibri" w:cs="Calibri"/>
                <w:color w:val="000000"/>
                <w:sz w:val="16"/>
                <w:szCs w:val="16"/>
              </w:rPr>
            </w:pPr>
            <w:r w:rsidRPr="00973197">
              <w:rPr>
                <w:rFonts w:ascii="Calibri" w:eastAsia="Times New Roman" w:hAnsi="Calibri" w:cs="Calibri"/>
                <w:color w:val="000000"/>
                <w:sz w:val="16"/>
                <w:szCs w:val="16"/>
              </w:rPr>
              <w:t> </w:t>
            </w:r>
          </w:p>
        </w:tc>
      </w:tr>
      <w:tr w:rsidR="00F077D8" w:rsidRPr="00973197" w14:paraId="54D45B28" w14:textId="77777777" w:rsidTr="00F077D8">
        <w:trPr>
          <w:trHeight w:val="730"/>
        </w:trPr>
        <w:tc>
          <w:tcPr>
            <w:tcW w:w="2260" w:type="dxa"/>
            <w:tcBorders>
              <w:top w:val="nil"/>
              <w:left w:val="single" w:sz="8" w:space="0" w:color="auto"/>
              <w:bottom w:val="single" w:sz="4" w:space="0" w:color="auto"/>
              <w:right w:val="single" w:sz="4" w:space="0" w:color="auto"/>
            </w:tcBorders>
            <w:shd w:val="clear" w:color="auto" w:fill="auto"/>
            <w:noWrap/>
            <w:vAlign w:val="bottom"/>
            <w:hideMark/>
          </w:tcPr>
          <w:p w14:paraId="6C1C44B7" w14:textId="77777777" w:rsidR="00F077D8" w:rsidRPr="00973197" w:rsidRDefault="00F077D8" w:rsidP="00445BC5">
            <w:pPr>
              <w:ind w:firstLine="0"/>
              <w:rPr>
                <w:rFonts w:ascii="Calibri" w:eastAsia="Times New Roman" w:hAnsi="Calibri" w:cs="Calibri"/>
                <w:b/>
                <w:bCs/>
                <w:color w:val="000000"/>
                <w:sz w:val="16"/>
                <w:szCs w:val="16"/>
              </w:rPr>
            </w:pPr>
            <w:r w:rsidRPr="00973197">
              <w:rPr>
                <w:rFonts w:ascii="Calibri" w:eastAsia="Times New Roman" w:hAnsi="Calibri" w:cs="Calibri"/>
                <w:b/>
                <w:bCs/>
                <w:color w:val="000000"/>
                <w:sz w:val="16"/>
                <w:szCs w:val="16"/>
              </w:rPr>
              <w:t>CONSTRUCTION MATERIALS</w:t>
            </w:r>
          </w:p>
        </w:tc>
        <w:tc>
          <w:tcPr>
            <w:tcW w:w="1340" w:type="dxa"/>
            <w:tcBorders>
              <w:top w:val="nil"/>
              <w:left w:val="nil"/>
              <w:bottom w:val="single" w:sz="4" w:space="0" w:color="auto"/>
              <w:right w:val="single" w:sz="4" w:space="0" w:color="auto"/>
            </w:tcBorders>
            <w:shd w:val="clear" w:color="auto" w:fill="auto"/>
            <w:vAlign w:val="bottom"/>
            <w:hideMark/>
          </w:tcPr>
          <w:p w14:paraId="13851333" w14:textId="77777777" w:rsidR="00F077D8" w:rsidRPr="00973197" w:rsidRDefault="00F077D8" w:rsidP="00445BC5">
            <w:pPr>
              <w:ind w:firstLine="0"/>
              <w:rPr>
                <w:rFonts w:ascii="Calibri" w:eastAsia="Times New Roman" w:hAnsi="Calibri" w:cs="Calibri"/>
                <w:b/>
                <w:bCs/>
                <w:color w:val="000000"/>
                <w:sz w:val="16"/>
                <w:szCs w:val="16"/>
              </w:rPr>
            </w:pPr>
            <w:r w:rsidRPr="00973197">
              <w:rPr>
                <w:rFonts w:ascii="Calibri" w:eastAsia="Times New Roman" w:hAnsi="Calibri" w:cs="Calibri"/>
                <w:b/>
                <w:bCs/>
                <w:color w:val="000000"/>
                <w:sz w:val="16"/>
                <w:szCs w:val="16"/>
              </w:rPr>
              <w:t>EGD-NDC</w:t>
            </w:r>
          </w:p>
        </w:tc>
        <w:tc>
          <w:tcPr>
            <w:tcW w:w="1820" w:type="dxa"/>
            <w:tcBorders>
              <w:top w:val="nil"/>
              <w:left w:val="nil"/>
              <w:bottom w:val="single" w:sz="4" w:space="0" w:color="auto"/>
              <w:right w:val="single" w:sz="4" w:space="0" w:color="auto"/>
            </w:tcBorders>
            <w:shd w:val="clear" w:color="auto" w:fill="auto"/>
            <w:vAlign w:val="bottom"/>
            <w:hideMark/>
          </w:tcPr>
          <w:p w14:paraId="733E4299" w14:textId="77777777" w:rsidR="00F077D8" w:rsidRPr="00973197" w:rsidRDefault="00F077D8" w:rsidP="00445BC5">
            <w:pPr>
              <w:ind w:firstLine="0"/>
              <w:rPr>
                <w:rFonts w:ascii="Calibri" w:eastAsia="Times New Roman" w:hAnsi="Calibri" w:cs="Calibri"/>
                <w:b/>
                <w:bCs/>
                <w:color w:val="000000"/>
                <w:sz w:val="16"/>
                <w:szCs w:val="16"/>
              </w:rPr>
            </w:pPr>
            <w:r>
              <w:rPr>
                <w:rFonts w:ascii="Calibri" w:eastAsia="Times New Roman" w:hAnsi="Calibri" w:cs="Calibri"/>
                <w:b/>
                <w:bCs/>
                <w:color w:val="000000"/>
                <w:sz w:val="16"/>
                <w:szCs w:val="16"/>
              </w:rPr>
              <w:t>NMN-tax</w:t>
            </w:r>
          </w:p>
        </w:tc>
        <w:tc>
          <w:tcPr>
            <w:tcW w:w="1500" w:type="dxa"/>
            <w:tcBorders>
              <w:top w:val="nil"/>
              <w:left w:val="nil"/>
              <w:bottom w:val="single" w:sz="4" w:space="0" w:color="auto"/>
              <w:right w:val="single" w:sz="4" w:space="0" w:color="auto"/>
            </w:tcBorders>
            <w:shd w:val="clear" w:color="auto" w:fill="auto"/>
            <w:vAlign w:val="bottom"/>
            <w:hideMark/>
          </w:tcPr>
          <w:p w14:paraId="368DD4D4" w14:textId="77777777" w:rsidR="00F077D8" w:rsidRPr="00973197" w:rsidRDefault="00F077D8" w:rsidP="00445BC5">
            <w:pPr>
              <w:ind w:firstLine="0"/>
              <w:rPr>
                <w:rFonts w:ascii="Calibri" w:eastAsia="Times New Roman" w:hAnsi="Calibri" w:cs="Calibri"/>
                <w:b/>
                <w:bCs/>
                <w:color w:val="000000"/>
                <w:sz w:val="16"/>
                <w:szCs w:val="16"/>
              </w:rPr>
            </w:pPr>
            <w:r>
              <w:rPr>
                <w:rFonts w:ascii="Calibri" w:eastAsia="Times New Roman" w:hAnsi="Calibri" w:cs="Calibri"/>
                <w:b/>
                <w:bCs/>
                <w:color w:val="000000"/>
                <w:sz w:val="16"/>
                <w:szCs w:val="16"/>
              </w:rPr>
              <w:t>NMN-tax</w:t>
            </w:r>
            <w:r w:rsidRPr="00973197">
              <w:rPr>
                <w:rFonts w:ascii="Calibri" w:eastAsia="Times New Roman" w:hAnsi="Calibri" w:cs="Calibri"/>
                <w:b/>
                <w:bCs/>
                <w:color w:val="000000"/>
                <w:sz w:val="16"/>
                <w:szCs w:val="16"/>
              </w:rPr>
              <w:t>*BAT</w:t>
            </w:r>
          </w:p>
        </w:tc>
        <w:tc>
          <w:tcPr>
            <w:tcW w:w="1560" w:type="dxa"/>
            <w:tcBorders>
              <w:top w:val="nil"/>
              <w:left w:val="nil"/>
              <w:bottom w:val="single" w:sz="4" w:space="0" w:color="auto"/>
              <w:right w:val="single" w:sz="4" w:space="0" w:color="auto"/>
            </w:tcBorders>
            <w:shd w:val="clear" w:color="000000" w:fill="E7E6E6"/>
            <w:vAlign w:val="bottom"/>
            <w:hideMark/>
          </w:tcPr>
          <w:p w14:paraId="7A2A9C8F" w14:textId="77777777" w:rsidR="00F077D8" w:rsidRPr="00973197" w:rsidRDefault="00F077D8" w:rsidP="00445BC5">
            <w:pPr>
              <w:ind w:firstLine="0"/>
              <w:rPr>
                <w:rFonts w:ascii="Calibri" w:eastAsia="Times New Roman" w:hAnsi="Calibri" w:cs="Calibri"/>
                <w:b/>
                <w:bCs/>
                <w:color w:val="000000"/>
                <w:sz w:val="16"/>
                <w:szCs w:val="16"/>
              </w:rPr>
            </w:pPr>
            <w:r w:rsidRPr="00973197">
              <w:rPr>
                <w:rFonts w:ascii="Calibri" w:eastAsia="Times New Roman" w:hAnsi="Calibri" w:cs="Calibri"/>
                <w:b/>
                <w:bCs/>
                <w:color w:val="000000"/>
                <w:sz w:val="16"/>
                <w:szCs w:val="16"/>
              </w:rPr>
              <w:t>Impact of material tax v EGD-NDC scenario</w:t>
            </w:r>
          </w:p>
        </w:tc>
        <w:tc>
          <w:tcPr>
            <w:tcW w:w="1540" w:type="dxa"/>
            <w:tcBorders>
              <w:top w:val="nil"/>
              <w:left w:val="nil"/>
              <w:bottom w:val="single" w:sz="4" w:space="0" w:color="auto"/>
              <w:right w:val="single" w:sz="8" w:space="0" w:color="auto"/>
            </w:tcBorders>
            <w:shd w:val="clear" w:color="000000" w:fill="E7E6E6"/>
            <w:vAlign w:val="bottom"/>
            <w:hideMark/>
          </w:tcPr>
          <w:p w14:paraId="4FC50818" w14:textId="77777777" w:rsidR="00F077D8" w:rsidRPr="00973197" w:rsidRDefault="00F077D8" w:rsidP="00445BC5">
            <w:pPr>
              <w:ind w:firstLine="0"/>
              <w:rPr>
                <w:rFonts w:ascii="Calibri" w:eastAsia="Times New Roman" w:hAnsi="Calibri" w:cs="Calibri"/>
                <w:b/>
                <w:bCs/>
                <w:color w:val="000000"/>
                <w:sz w:val="16"/>
                <w:szCs w:val="16"/>
              </w:rPr>
            </w:pPr>
            <w:r w:rsidRPr="00973197">
              <w:rPr>
                <w:rFonts w:ascii="Calibri" w:eastAsia="Times New Roman" w:hAnsi="Calibri" w:cs="Calibri"/>
                <w:b/>
                <w:bCs/>
                <w:color w:val="000000"/>
                <w:sz w:val="16"/>
                <w:szCs w:val="16"/>
              </w:rPr>
              <w:t>Impact of BAT v material tax scenario</w:t>
            </w:r>
          </w:p>
        </w:tc>
      </w:tr>
      <w:tr w:rsidR="00F077D8" w:rsidRPr="00973197" w14:paraId="64EBFAE3" w14:textId="77777777" w:rsidTr="00F077D8">
        <w:trPr>
          <w:trHeight w:val="290"/>
        </w:trPr>
        <w:tc>
          <w:tcPr>
            <w:tcW w:w="2260" w:type="dxa"/>
            <w:tcBorders>
              <w:top w:val="nil"/>
              <w:left w:val="single" w:sz="8" w:space="0" w:color="auto"/>
              <w:bottom w:val="single" w:sz="4" w:space="0" w:color="auto"/>
              <w:right w:val="single" w:sz="4" w:space="0" w:color="auto"/>
            </w:tcBorders>
            <w:shd w:val="clear" w:color="auto" w:fill="auto"/>
            <w:noWrap/>
            <w:vAlign w:val="bottom"/>
            <w:hideMark/>
          </w:tcPr>
          <w:p w14:paraId="71B9F095" w14:textId="77777777" w:rsidR="00F077D8" w:rsidRPr="00973197" w:rsidRDefault="00F077D8" w:rsidP="00445BC5">
            <w:pPr>
              <w:ind w:firstLine="0"/>
              <w:rPr>
                <w:rFonts w:ascii="Calibri" w:eastAsia="Times New Roman" w:hAnsi="Calibri" w:cs="Calibri"/>
                <w:color w:val="000000"/>
                <w:sz w:val="16"/>
                <w:szCs w:val="16"/>
              </w:rPr>
            </w:pPr>
            <w:r w:rsidRPr="00CA6F48">
              <w:rPr>
                <w:rFonts w:ascii="Calibri" w:eastAsia="Times New Roman" w:hAnsi="Calibri" w:cs="Calibri"/>
                <w:color w:val="000000"/>
                <w:sz w:val="16"/>
                <w:szCs w:val="16"/>
              </w:rPr>
              <w:t>EU production</w:t>
            </w:r>
            <w:r>
              <w:rPr>
                <w:rFonts w:ascii="Calibri" w:eastAsia="Times New Roman" w:hAnsi="Calibri" w:cs="Calibri"/>
                <w:color w:val="000000"/>
                <w:sz w:val="16"/>
                <w:szCs w:val="16"/>
              </w:rPr>
              <w:t>-based use</w:t>
            </w:r>
          </w:p>
        </w:tc>
        <w:tc>
          <w:tcPr>
            <w:tcW w:w="1340" w:type="dxa"/>
            <w:tcBorders>
              <w:top w:val="nil"/>
              <w:left w:val="nil"/>
              <w:bottom w:val="single" w:sz="4" w:space="0" w:color="auto"/>
              <w:right w:val="single" w:sz="4" w:space="0" w:color="auto"/>
            </w:tcBorders>
            <w:shd w:val="clear" w:color="auto" w:fill="auto"/>
            <w:noWrap/>
            <w:vAlign w:val="bottom"/>
            <w:hideMark/>
          </w:tcPr>
          <w:p w14:paraId="054F8948" w14:textId="5AF6C422"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4,302 </w:t>
            </w:r>
          </w:p>
        </w:tc>
        <w:tc>
          <w:tcPr>
            <w:tcW w:w="1820" w:type="dxa"/>
            <w:tcBorders>
              <w:top w:val="nil"/>
              <w:left w:val="nil"/>
              <w:bottom w:val="single" w:sz="4" w:space="0" w:color="auto"/>
              <w:right w:val="single" w:sz="4" w:space="0" w:color="auto"/>
            </w:tcBorders>
            <w:shd w:val="clear" w:color="auto" w:fill="auto"/>
            <w:noWrap/>
            <w:vAlign w:val="bottom"/>
            <w:hideMark/>
          </w:tcPr>
          <w:p w14:paraId="57523A17" w14:textId="5FD33C54"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         4,087 </w:t>
            </w:r>
          </w:p>
        </w:tc>
        <w:tc>
          <w:tcPr>
            <w:tcW w:w="1500" w:type="dxa"/>
            <w:tcBorders>
              <w:top w:val="nil"/>
              <w:left w:val="nil"/>
              <w:bottom w:val="single" w:sz="4" w:space="0" w:color="auto"/>
              <w:right w:val="single" w:sz="4" w:space="0" w:color="auto"/>
            </w:tcBorders>
            <w:shd w:val="clear" w:color="auto" w:fill="auto"/>
            <w:noWrap/>
            <w:vAlign w:val="bottom"/>
            <w:hideMark/>
          </w:tcPr>
          <w:p w14:paraId="088B6145" w14:textId="45BE57EE"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 4,215 </w:t>
            </w:r>
          </w:p>
        </w:tc>
        <w:tc>
          <w:tcPr>
            <w:tcW w:w="1560" w:type="dxa"/>
            <w:tcBorders>
              <w:top w:val="nil"/>
              <w:left w:val="nil"/>
              <w:bottom w:val="single" w:sz="4" w:space="0" w:color="auto"/>
              <w:right w:val="single" w:sz="4" w:space="0" w:color="auto"/>
            </w:tcBorders>
            <w:shd w:val="clear" w:color="000000" w:fill="E7E6E6"/>
            <w:noWrap/>
            <w:vAlign w:val="bottom"/>
            <w:hideMark/>
          </w:tcPr>
          <w:p w14:paraId="661F5088" w14:textId="77777777"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-5%</w:t>
            </w:r>
          </w:p>
        </w:tc>
        <w:tc>
          <w:tcPr>
            <w:tcW w:w="1540" w:type="dxa"/>
            <w:tcBorders>
              <w:top w:val="nil"/>
              <w:left w:val="nil"/>
              <w:bottom w:val="single" w:sz="4" w:space="0" w:color="auto"/>
              <w:right w:val="single" w:sz="8" w:space="0" w:color="auto"/>
            </w:tcBorders>
            <w:shd w:val="clear" w:color="000000" w:fill="E7E6E6"/>
            <w:noWrap/>
            <w:vAlign w:val="bottom"/>
            <w:hideMark/>
          </w:tcPr>
          <w:p w14:paraId="5A6161A6" w14:textId="77777777"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3.1%</w:t>
            </w:r>
          </w:p>
        </w:tc>
      </w:tr>
      <w:tr w:rsidR="00F077D8" w:rsidRPr="00973197" w14:paraId="21B84501" w14:textId="77777777" w:rsidTr="00F077D8">
        <w:trPr>
          <w:trHeight w:val="290"/>
        </w:trPr>
        <w:tc>
          <w:tcPr>
            <w:tcW w:w="2260" w:type="dxa"/>
            <w:tcBorders>
              <w:top w:val="nil"/>
              <w:left w:val="single" w:sz="8" w:space="0" w:color="auto"/>
              <w:bottom w:val="single" w:sz="4" w:space="0" w:color="auto"/>
              <w:right w:val="single" w:sz="4" w:space="0" w:color="auto"/>
            </w:tcBorders>
            <w:shd w:val="clear" w:color="auto" w:fill="auto"/>
            <w:noWrap/>
            <w:vAlign w:val="bottom"/>
            <w:hideMark/>
          </w:tcPr>
          <w:p w14:paraId="4C04D1A6" w14:textId="77777777" w:rsidR="00F077D8" w:rsidRPr="00973197" w:rsidRDefault="00F077D8" w:rsidP="00445BC5">
            <w:pPr>
              <w:ind w:firstLine="0"/>
              <w:rPr>
                <w:rFonts w:ascii="Calibri" w:eastAsia="Times New Roman" w:hAnsi="Calibri" w:cs="Calibri"/>
                <w:color w:val="000000"/>
                <w:sz w:val="16"/>
                <w:szCs w:val="16"/>
              </w:rPr>
            </w:pPr>
            <w:r w:rsidRPr="00973197">
              <w:rPr>
                <w:rFonts w:ascii="Calibri" w:eastAsia="Times New Roman" w:hAnsi="Calibri" w:cs="Calibri"/>
                <w:color w:val="000000"/>
                <w:sz w:val="16"/>
                <w:szCs w:val="16"/>
              </w:rPr>
              <w:t>EU consumption</w:t>
            </w:r>
            <w:r>
              <w:rPr>
                <w:rFonts w:ascii="Calibri" w:eastAsia="Times New Roman" w:hAnsi="Calibri" w:cs="Calibri"/>
                <w:color w:val="000000"/>
                <w:sz w:val="16"/>
                <w:szCs w:val="16"/>
              </w:rPr>
              <w:t>-based use</w:t>
            </w:r>
          </w:p>
        </w:tc>
        <w:tc>
          <w:tcPr>
            <w:tcW w:w="1340" w:type="dxa"/>
            <w:tcBorders>
              <w:top w:val="nil"/>
              <w:left w:val="nil"/>
              <w:bottom w:val="single" w:sz="4" w:space="0" w:color="auto"/>
              <w:right w:val="single" w:sz="4" w:space="0" w:color="auto"/>
            </w:tcBorders>
            <w:shd w:val="clear" w:color="auto" w:fill="auto"/>
            <w:noWrap/>
            <w:vAlign w:val="bottom"/>
            <w:hideMark/>
          </w:tcPr>
          <w:p w14:paraId="6FEB9875" w14:textId="47CF3F4B"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6,524 </w:t>
            </w:r>
          </w:p>
        </w:tc>
        <w:tc>
          <w:tcPr>
            <w:tcW w:w="1820" w:type="dxa"/>
            <w:tcBorders>
              <w:top w:val="nil"/>
              <w:left w:val="nil"/>
              <w:bottom w:val="single" w:sz="4" w:space="0" w:color="auto"/>
              <w:right w:val="single" w:sz="4" w:space="0" w:color="auto"/>
            </w:tcBorders>
            <w:shd w:val="clear" w:color="auto" w:fill="auto"/>
            <w:noWrap/>
            <w:vAlign w:val="bottom"/>
            <w:hideMark/>
          </w:tcPr>
          <w:p w14:paraId="3C44A176" w14:textId="32401124"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         6,427 </w:t>
            </w:r>
          </w:p>
        </w:tc>
        <w:tc>
          <w:tcPr>
            <w:tcW w:w="1500" w:type="dxa"/>
            <w:tcBorders>
              <w:top w:val="nil"/>
              <w:left w:val="nil"/>
              <w:bottom w:val="single" w:sz="4" w:space="0" w:color="auto"/>
              <w:right w:val="single" w:sz="4" w:space="0" w:color="auto"/>
            </w:tcBorders>
            <w:shd w:val="clear" w:color="auto" w:fill="auto"/>
            <w:noWrap/>
            <w:vAlign w:val="bottom"/>
            <w:hideMark/>
          </w:tcPr>
          <w:p w14:paraId="2FF30781" w14:textId="5EDE5716"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 6,420 </w:t>
            </w:r>
          </w:p>
        </w:tc>
        <w:tc>
          <w:tcPr>
            <w:tcW w:w="1560" w:type="dxa"/>
            <w:tcBorders>
              <w:top w:val="nil"/>
              <w:left w:val="nil"/>
              <w:bottom w:val="single" w:sz="4" w:space="0" w:color="auto"/>
              <w:right w:val="single" w:sz="4" w:space="0" w:color="auto"/>
            </w:tcBorders>
            <w:shd w:val="clear" w:color="000000" w:fill="E7E6E6"/>
            <w:noWrap/>
            <w:vAlign w:val="bottom"/>
            <w:hideMark/>
          </w:tcPr>
          <w:p w14:paraId="1973BF53" w14:textId="77777777"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-1%</w:t>
            </w:r>
          </w:p>
        </w:tc>
        <w:tc>
          <w:tcPr>
            <w:tcW w:w="1540" w:type="dxa"/>
            <w:tcBorders>
              <w:top w:val="nil"/>
              <w:left w:val="nil"/>
              <w:bottom w:val="single" w:sz="4" w:space="0" w:color="auto"/>
              <w:right w:val="single" w:sz="8" w:space="0" w:color="auto"/>
            </w:tcBorders>
            <w:shd w:val="clear" w:color="000000" w:fill="E7E6E6"/>
            <w:noWrap/>
            <w:vAlign w:val="bottom"/>
            <w:hideMark/>
          </w:tcPr>
          <w:p w14:paraId="087F965E" w14:textId="77777777"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-0.1%</w:t>
            </w:r>
          </w:p>
        </w:tc>
      </w:tr>
      <w:tr w:rsidR="00F077D8" w:rsidRPr="00973197" w14:paraId="2903C939" w14:textId="77777777" w:rsidTr="00F077D8">
        <w:trPr>
          <w:trHeight w:val="290"/>
        </w:trPr>
        <w:tc>
          <w:tcPr>
            <w:tcW w:w="2260" w:type="dxa"/>
            <w:tcBorders>
              <w:top w:val="nil"/>
              <w:left w:val="single" w:sz="8" w:space="0" w:color="auto"/>
              <w:bottom w:val="single" w:sz="4" w:space="0" w:color="auto"/>
              <w:right w:val="single" w:sz="4" w:space="0" w:color="auto"/>
            </w:tcBorders>
            <w:shd w:val="clear" w:color="auto" w:fill="auto"/>
            <w:noWrap/>
            <w:vAlign w:val="bottom"/>
            <w:hideMark/>
          </w:tcPr>
          <w:p w14:paraId="353BFB53" w14:textId="77777777" w:rsidR="00F077D8" w:rsidRPr="00973197" w:rsidRDefault="00F077D8" w:rsidP="00445BC5">
            <w:pPr>
              <w:ind w:firstLine="0"/>
              <w:rPr>
                <w:rFonts w:ascii="Calibri" w:eastAsia="Times New Roman" w:hAnsi="Calibri" w:cs="Calibri"/>
                <w:color w:val="000000"/>
                <w:sz w:val="16"/>
                <w:szCs w:val="16"/>
              </w:rPr>
            </w:pPr>
            <w:r>
              <w:rPr>
                <w:rFonts w:ascii="Calibri" w:eastAsia="Times New Roman" w:hAnsi="Calibri" w:cs="Calibri"/>
                <w:color w:val="000000"/>
                <w:sz w:val="16"/>
                <w:szCs w:val="16"/>
              </w:rPr>
              <w:t>Rest of world</w:t>
            </w:r>
            <w:r w:rsidRPr="00973197">
              <w:rPr>
                <w:rFonts w:ascii="Calibri" w:eastAsia="Times New Roman" w:hAnsi="Calibri" w:cs="Calibri"/>
                <w:color w:val="000000"/>
                <w:sz w:val="16"/>
                <w:szCs w:val="16"/>
              </w:rPr>
              <w:t xml:space="preserve"> production</w:t>
            </w:r>
          </w:p>
        </w:tc>
        <w:tc>
          <w:tcPr>
            <w:tcW w:w="1340" w:type="dxa"/>
            <w:tcBorders>
              <w:top w:val="nil"/>
              <w:left w:val="nil"/>
              <w:bottom w:val="single" w:sz="4" w:space="0" w:color="auto"/>
              <w:right w:val="single" w:sz="4" w:space="0" w:color="auto"/>
            </w:tcBorders>
            <w:shd w:val="clear" w:color="auto" w:fill="auto"/>
            <w:noWrap/>
            <w:vAlign w:val="bottom"/>
            <w:hideMark/>
          </w:tcPr>
          <w:p w14:paraId="59256F53" w14:textId="74BBEC25" w:rsidR="00F077D8" w:rsidRPr="00973197" w:rsidRDefault="00F077D8" w:rsidP="00BC5AB5">
            <w:pPr>
              <w:jc w:val="right"/>
              <w:rPr>
                <w:rFonts w:ascii="Calibri" w:eastAsia="Times New Roman" w:hAnsi="Calibri" w:cs="Calibri"/>
                <w:color w:val="000000"/>
                <w:sz w:val="16"/>
                <w:szCs w:val="16"/>
              </w:rPr>
            </w:pPr>
            <w:r>
              <w:rPr>
                <w:rFonts w:ascii="Calibri" w:eastAsia="Times New Roman" w:hAnsi="Calibri" w:cs="Calibri"/>
                <w:color w:val="000000"/>
                <w:sz w:val="16"/>
                <w:szCs w:val="16"/>
              </w:rPr>
              <w:t>85,472</w:t>
            </w:r>
            <w:r w:rsidRPr="00973197">
              <w:rPr>
                <w:rFonts w:ascii="Calibri" w:eastAsia="Times New Roman" w:hAnsi="Calibri" w:cs="Calibri"/>
                <w:color w:val="000000"/>
                <w:sz w:val="16"/>
                <w:szCs w:val="16"/>
              </w:rPr>
              <w:t xml:space="preserve"> </w:t>
            </w:r>
          </w:p>
        </w:tc>
        <w:tc>
          <w:tcPr>
            <w:tcW w:w="1820" w:type="dxa"/>
            <w:tcBorders>
              <w:top w:val="nil"/>
              <w:left w:val="nil"/>
              <w:bottom w:val="single" w:sz="4" w:space="0" w:color="auto"/>
              <w:right w:val="single" w:sz="4" w:space="0" w:color="auto"/>
            </w:tcBorders>
            <w:shd w:val="clear" w:color="auto" w:fill="auto"/>
            <w:noWrap/>
            <w:vAlign w:val="bottom"/>
            <w:hideMark/>
          </w:tcPr>
          <w:p w14:paraId="0C2CAAA2" w14:textId="12BFCC00"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       </w:t>
            </w:r>
            <w:r>
              <w:rPr>
                <w:rFonts w:ascii="Calibri" w:eastAsia="Times New Roman" w:hAnsi="Calibri" w:cs="Calibri"/>
                <w:color w:val="000000"/>
                <w:sz w:val="16"/>
                <w:szCs w:val="16"/>
              </w:rPr>
              <w:t>86,436</w:t>
            </w:r>
          </w:p>
        </w:tc>
        <w:tc>
          <w:tcPr>
            <w:tcW w:w="1500" w:type="dxa"/>
            <w:tcBorders>
              <w:top w:val="nil"/>
              <w:left w:val="nil"/>
              <w:bottom w:val="single" w:sz="4" w:space="0" w:color="auto"/>
              <w:right w:val="single" w:sz="4" w:space="0" w:color="auto"/>
            </w:tcBorders>
            <w:shd w:val="clear" w:color="auto" w:fill="auto"/>
            <w:noWrap/>
            <w:vAlign w:val="bottom"/>
            <w:hideMark/>
          </w:tcPr>
          <w:p w14:paraId="289AB669" w14:textId="2A4F367C" w:rsidR="00F077D8" w:rsidRPr="00973197" w:rsidRDefault="00F077D8" w:rsidP="00BC5AB5">
            <w:pPr>
              <w:jc w:val="right"/>
              <w:rPr>
                <w:rFonts w:ascii="Calibri" w:eastAsia="Times New Roman" w:hAnsi="Calibri" w:cs="Calibri"/>
                <w:color w:val="000000"/>
                <w:sz w:val="16"/>
                <w:szCs w:val="16"/>
              </w:rPr>
            </w:pPr>
            <w:r>
              <w:rPr>
                <w:rFonts w:ascii="Calibri" w:eastAsia="Times New Roman" w:hAnsi="Calibri" w:cs="Calibri"/>
                <w:color w:val="000000"/>
                <w:sz w:val="16"/>
                <w:szCs w:val="16"/>
              </w:rPr>
              <w:t>85,346</w:t>
            </w:r>
          </w:p>
        </w:tc>
        <w:tc>
          <w:tcPr>
            <w:tcW w:w="1560" w:type="dxa"/>
            <w:tcBorders>
              <w:top w:val="nil"/>
              <w:left w:val="nil"/>
              <w:bottom w:val="single" w:sz="4" w:space="0" w:color="auto"/>
              <w:right w:val="single" w:sz="4" w:space="0" w:color="auto"/>
            </w:tcBorders>
            <w:shd w:val="clear" w:color="000000" w:fill="E7E6E6"/>
            <w:noWrap/>
            <w:vAlign w:val="bottom"/>
            <w:hideMark/>
          </w:tcPr>
          <w:p w14:paraId="52549E67" w14:textId="77777777"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1%</w:t>
            </w:r>
          </w:p>
        </w:tc>
        <w:tc>
          <w:tcPr>
            <w:tcW w:w="1540" w:type="dxa"/>
            <w:tcBorders>
              <w:top w:val="nil"/>
              <w:left w:val="nil"/>
              <w:bottom w:val="single" w:sz="4" w:space="0" w:color="auto"/>
              <w:right w:val="single" w:sz="8" w:space="0" w:color="auto"/>
            </w:tcBorders>
            <w:shd w:val="clear" w:color="000000" w:fill="E7E6E6"/>
            <w:noWrap/>
            <w:vAlign w:val="bottom"/>
            <w:hideMark/>
          </w:tcPr>
          <w:p w14:paraId="134DC178" w14:textId="77777777"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-1.</w:t>
            </w:r>
            <w:r>
              <w:rPr>
                <w:rFonts w:ascii="Calibri" w:eastAsia="Times New Roman" w:hAnsi="Calibri" w:cs="Calibri"/>
                <w:color w:val="000000"/>
                <w:sz w:val="16"/>
                <w:szCs w:val="16"/>
              </w:rPr>
              <w:t>3</w:t>
            </w:r>
            <w:r w:rsidRPr="00973197">
              <w:rPr>
                <w:rFonts w:ascii="Calibri" w:eastAsia="Times New Roman" w:hAnsi="Calibri" w:cs="Calibri"/>
                <w:color w:val="000000"/>
                <w:sz w:val="16"/>
                <w:szCs w:val="16"/>
              </w:rPr>
              <w:t>%</w:t>
            </w:r>
          </w:p>
        </w:tc>
      </w:tr>
      <w:tr w:rsidR="00F077D8" w:rsidRPr="00973197" w14:paraId="29E5CDCE" w14:textId="77777777" w:rsidTr="00F077D8">
        <w:trPr>
          <w:trHeight w:val="290"/>
        </w:trPr>
        <w:tc>
          <w:tcPr>
            <w:tcW w:w="2260" w:type="dxa"/>
            <w:tcBorders>
              <w:top w:val="nil"/>
              <w:left w:val="single" w:sz="8" w:space="0" w:color="auto"/>
              <w:bottom w:val="single" w:sz="4" w:space="0" w:color="auto"/>
              <w:right w:val="single" w:sz="4" w:space="0" w:color="auto"/>
            </w:tcBorders>
            <w:shd w:val="clear" w:color="auto" w:fill="auto"/>
            <w:noWrap/>
            <w:vAlign w:val="bottom"/>
            <w:hideMark/>
          </w:tcPr>
          <w:p w14:paraId="114B6521" w14:textId="77777777" w:rsidR="00F077D8" w:rsidRPr="00973197" w:rsidRDefault="00F077D8" w:rsidP="00445BC5">
            <w:pPr>
              <w:ind w:firstLine="0"/>
              <w:rPr>
                <w:rFonts w:ascii="Calibri" w:eastAsia="Times New Roman" w:hAnsi="Calibri" w:cs="Calibri"/>
                <w:color w:val="000000"/>
                <w:sz w:val="16"/>
                <w:szCs w:val="16"/>
              </w:rPr>
            </w:pPr>
            <w:r w:rsidRPr="00973197">
              <w:rPr>
                <w:rFonts w:ascii="Calibri" w:eastAsia="Times New Roman" w:hAnsi="Calibri" w:cs="Calibri"/>
                <w:color w:val="000000"/>
                <w:sz w:val="16"/>
                <w:szCs w:val="16"/>
              </w:rPr>
              <w:t>EU exports</w:t>
            </w:r>
          </w:p>
        </w:tc>
        <w:tc>
          <w:tcPr>
            <w:tcW w:w="1340" w:type="dxa"/>
            <w:tcBorders>
              <w:top w:val="nil"/>
              <w:left w:val="nil"/>
              <w:bottom w:val="single" w:sz="4" w:space="0" w:color="auto"/>
              <w:right w:val="single" w:sz="4" w:space="0" w:color="auto"/>
            </w:tcBorders>
            <w:shd w:val="clear" w:color="auto" w:fill="auto"/>
            <w:noWrap/>
            <w:vAlign w:val="bottom"/>
            <w:hideMark/>
          </w:tcPr>
          <w:p w14:paraId="1473592A" w14:textId="6301C9C8"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678 </w:t>
            </w:r>
          </w:p>
        </w:tc>
        <w:tc>
          <w:tcPr>
            <w:tcW w:w="1820" w:type="dxa"/>
            <w:tcBorders>
              <w:top w:val="nil"/>
              <w:left w:val="nil"/>
              <w:bottom w:val="single" w:sz="4" w:space="0" w:color="auto"/>
              <w:right w:val="single" w:sz="4" w:space="0" w:color="auto"/>
            </w:tcBorders>
            <w:shd w:val="clear" w:color="auto" w:fill="auto"/>
            <w:noWrap/>
            <w:vAlign w:val="bottom"/>
            <w:hideMark/>
          </w:tcPr>
          <w:p w14:paraId="28306040" w14:textId="56A6D6D2"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            626 </w:t>
            </w:r>
          </w:p>
        </w:tc>
        <w:tc>
          <w:tcPr>
            <w:tcW w:w="1500" w:type="dxa"/>
            <w:tcBorders>
              <w:top w:val="nil"/>
              <w:left w:val="nil"/>
              <w:bottom w:val="single" w:sz="4" w:space="0" w:color="auto"/>
              <w:right w:val="single" w:sz="4" w:space="0" w:color="auto"/>
            </w:tcBorders>
            <w:shd w:val="clear" w:color="auto" w:fill="auto"/>
            <w:noWrap/>
            <w:vAlign w:val="bottom"/>
            <w:hideMark/>
          </w:tcPr>
          <w:p w14:paraId="62E92F5F" w14:textId="598C15F9"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     672 </w:t>
            </w:r>
          </w:p>
        </w:tc>
        <w:tc>
          <w:tcPr>
            <w:tcW w:w="1560" w:type="dxa"/>
            <w:tcBorders>
              <w:top w:val="nil"/>
              <w:left w:val="nil"/>
              <w:bottom w:val="single" w:sz="4" w:space="0" w:color="auto"/>
              <w:right w:val="single" w:sz="4" w:space="0" w:color="auto"/>
            </w:tcBorders>
            <w:shd w:val="clear" w:color="000000" w:fill="E7E6E6"/>
            <w:noWrap/>
            <w:vAlign w:val="bottom"/>
            <w:hideMark/>
          </w:tcPr>
          <w:p w14:paraId="26CB2B3A" w14:textId="77777777"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-8%</w:t>
            </w:r>
          </w:p>
        </w:tc>
        <w:tc>
          <w:tcPr>
            <w:tcW w:w="1540" w:type="dxa"/>
            <w:tcBorders>
              <w:top w:val="nil"/>
              <w:left w:val="nil"/>
              <w:bottom w:val="single" w:sz="4" w:space="0" w:color="auto"/>
              <w:right w:val="single" w:sz="8" w:space="0" w:color="auto"/>
            </w:tcBorders>
            <w:shd w:val="clear" w:color="000000" w:fill="E7E6E6"/>
            <w:noWrap/>
            <w:vAlign w:val="bottom"/>
            <w:hideMark/>
          </w:tcPr>
          <w:p w14:paraId="5B461022" w14:textId="77777777"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7.3%</w:t>
            </w:r>
          </w:p>
        </w:tc>
      </w:tr>
      <w:tr w:rsidR="00F077D8" w:rsidRPr="00973197" w14:paraId="19B809ED" w14:textId="77777777" w:rsidTr="00F077D8">
        <w:trPr>
          <w:trHeight w:val="300"/>
        </w:trPr>
        <w:tc>
          <w:tcPr>
            <w:tcW w:w="2260" w:type="dxa"/>
            <w:tcBorders>
              <w:top w:val="nil"/>
              <w:left w:val="single" w:sz="8" w:space="0" w:color="auto"/>
              <w:bottom w:val="single" w:sz="8" w:space="0" w:color="auto"/>
              <w:right w:val="single" w:sz="4" w:space="0" w:color="auto"/>
            </w:tcBorders>
            <w:shd w:val="clear" w:color="auto" w:fill="auto"/>
            <w:noWrap/>
            <w:vAlign w:val="bottom"/>
            <w:hideMark/>
          </w:tcPr>
          <w:p w14:paraId="70152F6D" w14:textId="77777777" w:rsidR="00F077D8" w:rsidRPr="00973197" w:rsidRDefault="00F077D8" w:rsidP="00445BC5">
            <w:pPr>
              <w:ind w:firstLine="0"/>
              <w:rPr>
                <w:rFonts w:ascii="Calibri" w:eastAsia="Times New Roman" w:hAnsi="Calibri" w:cs="Calibri"/>
                <w:color w:val="000000"/>
                <w:sz w:val="16"/>
                <w:szCs w:val="16"/>
              </w:rPr>
            </w:pPr>
            <w:r w:rsidRPr="00973197">
              <w:rPr>
                <w:rFonts w:ascii="Calibri" w:eastAsia="Times New Roman" w:hAnsi="Calibri" w:cs="Calibri"/>
                <w:color w:val="000000"/>
                <w:sz w:val="16"/>
                <w:szCs w:val="16"/>
              </w:rPr>
              <w:t>EU imports</w:t>
            </w:r>
          </w:p>
        </w:tc>
        <w:tc>
          <w:tcPr>
            <w:tcW w:w="1340" w:type="dxa"/>
            <w:tcBorders>
              <w:top w:val="nil"/>
              <w:left w:val="nil"/>
              <w:bottom w:val="single" w:sz="8" w:space="0" w:color="auto"/>
              <w:right w:val="single" w:sz="4" w:space="0" w:color="auto"/>
            </w:tcBorders>
            <w:shd w:val="clear" w:color="auto" w:fill="auto"/>
            <w:noWrap/>
            <w:vAlign w:val="bottom"/>
            <w:hideMark/>
          </w:tcPr>
          <w:p w14:paraId="77C94F65" w14:textId="685F47B7"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2,900 </w:t>
            </w:r>
          </w:p>
        </w:tc>
        <w:tc>
          <w:tcPr>
            <w:tcW w:w="1820" w:type="dxa"/>
            <w:tcBorders>
              <w:top w:val="nil"/>
              <w:left w:val="nil"/>
              <w:bottom w:val="single" w:sz="8" w:space="0" w:color="auto"/>
              <w:right w:val="single" w:sz="4" w:space="0" w:color="auto"/>
            </w:tcBorders>
            <w:shd w:val="clear" w:color="auto" w:fill="auto"/>
            <w:noWrap/>
            <w:vAlign w:val="bottom"/>
            <w:hideMark/>
          </w:tcPr>
          <w:p w14:paraId="00F7DDFD" w14:textId="6E33C992"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         2,966 </w:t>
            </w:r>
          </w:p>
        </w:tc>
        <w:tc>
          <w:tcPr>
            <w:tcW w:w="1500" w:type="dxa"/>
            <w:tcBorders>
              <w:top w:val="nil"/>
              <w:left w:val="nil"/>
              <w:bottom w:val="single" w:sz="8" w:space="0" w:color="auto"/>
              <w:right w:val="single" w:sz="4" w:space="0" w:color="auto"/>
            </w:tcBorders>
            <w:shd w:val="clear" w:color="auto" w:fill="auto"/>
            <w:noWrap/>
            <w:vAlign w:val="bottom"/>
            <w:hideMark/>
          </w:tcPr>
          <w:p w14:paraId="400BF5F9" w14:textId="53C8D741"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 xml:space="preserve"> 2,877 </w:t>
            </w:r>
          </w:p>
        </w:tc>
        <w:tc>
          <w:tcPr>
            <w:tcW w:w="1560" w:type="dxa"/>
            <w:tcBorders>
              <w:top w:val="nil"/>
              <w:left w:val="nil"/>
              <w:bottom w:val="single" w:sz="8" w:space="0" w:color="auto"/>
              <w:right w:val="single" w:sz="4" w:space="0" w:color="auto"/>
            </w:tcBorders>
            <w:shd w:val="clear" w:color="000000" w:fill="E7E6E6"/>
            <w:noWrap/>
            <w:vAlign w:val="bottom"/>
            <w:hideMark/>
          </w:tcPr>
          <w:p w14:paraId="25E81ABD" w14:textId="77777777"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2%</w:t>
            </w:r>
          </w:p>
        </w:tc>
        <w:tc>
          <w:tcPr>
            <w:tcW w:w="1540" w:type="dxa"/>
            <w:tcBorders>
              <w:top w:val="nil"/>
              <w:left w:val="nil"/>
              <w:bottom w:val="single" w:sz="8" w:space="0" w:color="auto"/>
              <w:right w:val="single" w:sz="8" w:space="0" w:color="auto"/>
            </w:tcBorders>
            <w:shd w:val="clear" w:color="000000" w:fill="E7E6E6"/>
            <w:noWrap/>
            <w:vAlign w:val="bottom"/>
            <w:hideMark/>
          </w:tcPr>
          <w:p w14:paraId="54569C53" w14:textId="77777777" w:rsidR="00F077D8" w:rsidRPr="00973197" w:rsidRDefault="00F077D8" w:rsidP="00BC5AB5">
            <w:pPr>
              <w:jc w:val="right"/>
              <w:rPr>
                <w:rFonts w:ascii="Calibri" w:eastAsia="Times New Roman" w:hAnsi="Calibri" w:cs="Calibri"/>
                <w:color w:val="000000"/>
                <w:sz w:val="16"/>
                <w:szCs w:val="16"/>
              </w:rPr>
            </w:pPr>
            <w:r w:rsidRPr="00973197">
              <w:rPr>
                <w:rFonts w:ascii="Calibri" w:eastAsia="Times New Roman" w:hAnsi="Calibri" w:cs="Calibri"/>
                <w:color w:val="000000"/>
                <w:sz w:val="16"/>
                <w:szCs w:val="16"/>
              </w:rPr>
              <w:t>-3.0%</w:t>
            </w:r>
          </w:p>
        </w:tc>
      </w:tr>
    </w:tbl>
    <w:p w14:paraId="4461808B" w14:textId="77777777" w:rsidR="00F077D8" w:rsidRDefault="00F077D8" w:rsidP="00F077D8"/>
    <w:p w14:paraId="6B8D3E38" w14:textId="124E7EA4" w:rsidR="00F077D8" w:rsidRDefault="00D4659E" w:rsidP="00F077D8">
      <w:r w:rsidRPr="00D4659E">
        <w:rPr>
          <w:bCs/>
        </w:rPr>
        <w:t>The p</w:t>
      </w:r>
      <w:r w:rsidR="00F077D8">
        <w:t xml:space="preserve">rice effects will be felt by both consumers and producers demanding primary materials in the production of value-added downstream products. Imposing BATs in the metals sector would lead to Europe’s consumer prices (CPI) </w:t>
      </w:r>
      <w:r>
        <w:t xml:space="preserve">to </w:t>
      </w:r>
      <w:r w:rsidR="00F077D8">
        <w:t xml:space="preserve">rise close to one percent over the fiscal policy scenario without BAT. Material intensive economies would be impacted more adversely – for example, prices would increase by 1.4 percent in Poland and Romania. </w:t>
      </w:r>
    </w:p>
    <w:p w14:paraId="155D1D5F" w14:textId="1D3FA3EE" w:rsidR="00F077D8" w:rsidRDefault="00D4659E" w:rsidP="00F077D8">
      <w:r>
        <w:t>In addition, d</w:t>
      </w:r>
      <w:r w:rsidR="00F077D8">
        <w:t>epending on how a BAT</w:t>
      </w:r>
      <w:r>
        <w:t>s</w:t>
      </w:r>
      <w:r w:rsidR="00F077D8">
        <w:t xml:space="preserve"> </w:t>
      </w:r>
      <w:r>
        <w:t>are</w:t>
      </w:r>
      <w:r w:rsidR="00F077D8">
        <w:t xml:space="preserve"> implemented, t</w:t>
      </w:r>
      <w:r>
        <w:t>hey</w:t>
      </w:r>
      <w:r w:rsidR="00F077D8">
        <w:t xml:space="preserve"> could contribute to changes in relative prices of inputs at different stages of the value chain, with potentially negative consequences for competitiveness of domestic producers in higher value-added positions further </w:t>
      </w:r>
      <w:r w:rsidR="00F077D8">
        <w:lastRenderedPageBreak/>
        <w:t xml:space="preserve">down value chain. For example, imposing BAT on primary steel levels the playing field for domestic primary producers with foreign producers who do not pay a material tax, but if the BAT is not also imposed on cars using that steel, domestic producers of cars may find themselves outcompeted by those same foreign producers. This is important because the majority of primary materials consumed in the EU come in not through primary material imports but rather through primary materials embedded in other imported products. In the scenarios presented above, BAT is imposed on all primary materials inputs embedded in imports (so, for example, not just primary steel but the value of primary steel in the import of a car). In practice imposing BAT across the value chain can be technically difficult to implement, so it is likely that, at least initially, a BAT on primary materials would not account for embedded materials in downstream products, creating a potential distortion for European producers. In the long term, however, anything short of </w:t>
      </w:r>
      <w:r w:rsidR="00F077D8" w:rsidRPr="00E851DA">
        <w:t xml:space="preserve">pricing in externalities along the whole value chain will </w:t>
      </w:r>
      <w:r w:rsidR="00F077D8">
        <w:t>likely result in</w:t>
      </w:r>
      <w:r w:rsidR="00F077D8" w:rsidRPr="00E851DA">
        <w:t xml:space="preserve"> some form of leakage</w:t>
      </w:r>
      <w:r w:rsidR="00F077D8">
        <w:t>.</w:t>
      </w:r>
    </w:p>
    <w:p w14:paraId="1BBAEAEB" w14:textId="3E0CA79B" w:rsidR="00F077D8" w:rsidRDefault="00F077D8" w:rsidP="00F077D8">
      <w:r w:rsidRPr="00D4659E">
        <w:rPr>
          <w:bCs/>
        </w:rPr>
        <w:t>Given the importance of the trade channel in shaping CE outcomes, Europe’s CE policies will have significant global spillovers</w:t>
      </w:r>
      <w:r w:rsidRPr="00D4659E">
        <w:t xml:space="preserve">. Results from the modelling suggest that overall export </w:t>
      </w:r>
      <w:r>
        <w:t>impacts are modest if not insignificant (</w:t>
      </w:r>
      <w:r w:rsidR="00D4659E">
        <w:t>Figure 14</w:t>
      </w:r>
      <w:r>
        <w:t>). In most regions, and especially China, imposition of BAT substantially reduces exports. Under a comprehensive CE scenario that combines production and consumption side measures (but does not include BAT), Europe’s neighbors face the largest hit to exports, while impacts in Sub-Saharan Africa and in LMICs overall, are not more than 0.5 percent compared to the reference scenario. One reason why the impacts appear modest is that while some CE measures reduce overall demand for primary materials, others may strengthen the relative comparative advantage of LMICs as exporters (particularly if BAT is not imposed). Overall, however, the model results probably underestimate the potential negative impacts on developing country exporters as it assumes economies adjust equal to changing demand and price structures. For example, while the model shows developing countries experiencing substantial declines in primary metals exports, these are largely offset by gains in exports of recycled metals. Overall, the results imply large shifts in the structure of developing country exports – away from extractives, power, and industry and toward more services (</w:t>
      </w:r>
      <w:r w:rsidR="00D4659E">
        <w:t>Figure 15)</w:t>
      </w:r>
      <w:r>
        <w:t xml:space="preserve">. </w:t>
      </w:r>
    </w:p>
    <w:p w14:paraId="6CD30B31" w14:textId="77777777" w:rsidR="00F077D8" w:rsidRDefault="00F077D8" w:rsidP="00F077D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818"/>
      </w:tblGrid>
      <w:tr w:rsidR="00F077D8" w14:paraId="1269291B" w14:textId="77777777" w:rsidTr="00F077D8">
        <w:tc>
          <w:tcPr>
            <w:tcW w:w="4615" w:type="dxa"/>
          </w:tcPr>
          <w:p w14:paraId="277DA59D" w14:textId="77777777" w:rsidR="00F077D8" w:rsidRDefault="00F077D8" w:rsidP="00D4659E">
            <w:pPr>
              <w:ind w:firstLine="0"/>
            </w:pPr>
            <w:r>
              <w:rPr>
                <w:noProof/>
              </w:rPr>
              <w:drawing>
                <wp:inline distT="0" distB="0" distL="0" distR="0" wp14:anchorId="5F02DF94" wp14:editId="0C48121A">
                  <wp:extent cx="2831349" cy="1814732"/>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38271" cy="1819168"/>
                          </a:xfrm>
                          <a:prstGeom prst="rect">
                            <a:avLst/>
                          </a:prstGeom>
                          <a:noFill/>
                        </pic:spPr>
                      </pic:pic>
                    </a:graphicData>
                  </a:graphic>
                </wp:inline>
              </w:drawing>
            </w:r>
          </w:p>
          <w:p w14:paraId="5C6BAB4B" w14:textId="77777777" w:rsidR="001F1DDA" w:rsidRPr="00BC5AB5" w:rsidRDefault="001F1DDA" w:rsidP="00BC5AB5">
            <w:pPr>
              <w:pStyle w:val="Caption"/>
              <w:keepNext/>
              <w:ind w:firstLine="0"/>
              <w:rPr>
                <w:rFonts w:asciiTheme="minorHAnsi" w:eastAsiaTheme="minorHAnsi" w:hAnsiTheme="minorHAnsi" w:cstheme="minorBidi"/>
                <w:b/>
                <w:i w:val="0"/>
                <w:iCs w:val="0"/>
                <w:color w:val="auto"/>
                <w:sz w:val="24"/>
                <w:szCs w:val="24"/>
                <w:lang w:val="en-US" w:eastAsia="en-US"/>
              </w:rPr>
            </w:pPr>
            <w:bookmarkStart w:id="10" w:name="_Ref98251007"/>
            <w:r w:rsidRPr="00BC5AB5">
              <w:rPr>
                <w:rFonts w:asciiTheme="minorHAnsi" w:eastAsiaTheme="minorHAnsi" w:hAnsiTheme="minorHAnsi" w:cstheme="minorBidi"/>
                <w:b/>
                <w:i w:val="0"/>
                <w:iCs w:val="0"/>
                <w:color w:val="auto"/>
                <w:sz w:val="24"/>
                <w:szCs w:val="24"/>
                <w:lang w:val="en-US" w:eastAsia="en-US"/>
              </w:rPr>
              <w:t>Figure</w:t>
            </w:r>
            <w:bookmarkEnd w:id="10"/>
            <w:r w:rsidRPr="00BC5AB5">
              <w:rPr>
                <w:rFonts w:asciiTheme="minorHAnsi" w:eastAsiaTheme="minorHAnsi" w:hAnsiTheme="minorHAnsi" w:cstheme="minorBidi"/>
                <w:b/>
                <w:i w:val="0"/>
                <w:iCs w:val="0"/>
                <w:color w:val="auto"/>
                <w:sz w:val="24"/>
                <w:szCs w:val="24"/>
                <w:lang w:val="en-US" w:eastAsia="en-US"/>
              </w:rPr>
              <w:t xml:space="preserve"> 14: Impacts of selected CE scenarios on exports in regions / country groupings outside Europe</w:t>
            </w:r>
          </w:p>
          <w:p w14:paraId="68993E0B" w14:textId="117097D6" w:rsidR="001F1DDA" w:rsidRPr="001F1DDA" w:rsidRDefault="001F1DDA" w:rsidP="00D4659E">
            <w:pPr>
              <w:ind w:firstLine="0"/>
              <w:rPr>
                <w:lang w:val="en-CA"/>
              </w:rPr>
            </w:pPr>
          </w:p>
        </w:tc>
        <w:tc>
          <w:tcPr>
            <w:tcW w:w="4745" w:type="dxa"/>
          </w:tcPr>
          <w:p w14:paraId="7DF0323E" w14:textId="77777777" w:rsidR="00F077D8" w:rsidRDefault="00F077D8" w:rsidP="00D4659E">
            <w:pPr>
              <w:ind w:firstLine="0"/>
            </w:pPr>
            <w:r>
              <w:rPr>
                <w:noProof/>
              </w:rPr>
              <w:drawing>
                <wp:inline distT="0" distB="0" distL="0" distR="0" wp14:anchorId="43EB210C" wp14:editId="2E5FACA4">
                  <wp:extent cx="2922539" cy="1828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33434" cy="1835618"/>
                          </a:xfrm>
                          <a:prstGeom prst="rect">
                            <a:avLst/>
                          </a:prstGeom>
                          <a:noFill/>
                        </pic:spPr>
                      </pic:pic>
                    </a:graphicData>
                  </a:graphic>
                </wp:inline>
              </w:drawing>
            </w:r>
          </w:p>
          <w:p w14:paraId="3CD06320" w14:textId="77777777" w:rsidR="001F1DDA" w:rsidRPr="00BC5AB5" w:rsidRDefault="001F1DDA" w:rsidP="00BC5AB5">
            <w:pPr>
              <w:pStyle w:val="Caption"/>
              <w:keepNext/>
              <w:ind w:firstLine="0"/>
              <w:rPr>
                <w:rFonts w:asciiTheme="minorHAnsi" w:eastAsiaTheme="minorHAnsi" w:hAnsiTheme="minorHAnsi" w:cstheme="minorBidi"/>
                <w:b/>
                <w:i w:val="0"/>
                <w:iCs w:val="0"/>
                <w:color w:val="auto"/>
                <w:sz w:val="24"/>
                <w:szCs w:val="24"/>
                <w:lang w:val="en-US" w:eastAsia="en-US"/>
              </w:rPr>
            </w:pPr>
            <w:bookmarkStart w:id="11" w:name="_Ref98251759"/>
            <w:r w:rsidRPr="00BC5AB5">
              <w:rPr>
                <w:rFonts w:asciiTheme="minorHAnsi" w:eastAsiaTheme="minorHAnsi" w:hAnsiTheme="minorHAnsi" w:cstheme="minorBidi"/>
                <w:b/>
                <w:i w:val="0"/>
                <w:iCs w:val="0"/>
                <w:color w:val="auto"/>
                <w:sz w:val="24"/>
                <w:szCs w:val="24"/>
                <w:lang w:val="en-US" w:eastAsia="en-US"/>
              </w:rPr>
              <w:t>Figure</w:t>
            </w:r>
            <w:bookmarkEnd w:id="11"/>
            <w:r w:rsidRPr="00BC5AB5">
              <w:rPr>
                <w:rFonts w:asciiTheme="minorHAnsi" w:eastAsiaTheme="minorHAnsi" w:hAnsiTheme="minorHAnsi" w:cstheme="minorBidi"/>
                <w:b/>
                <w:i w:val="0"/>
                <w:iCs w:val="0"/>
                <w:color w:val="auto"/>
                <w:sz w:val="24"/>
                <w:szCs w:val="24"/>
                <w:lang w:val="en-US" w:eastAsia="en-US"/>
              </w:rPr>
              <w:t xml:space="preserve"> 15: Change in composition of LMIC exports by broad category under Combined CE scenario</w:t>
            </w:r>
          </w:p>
          <w:p w14:paraId="2030FD11" w14:textId="27D05240" w:rsidR="001F1DDA" w:rsidRPr="001F1DDA" w:rsidRDefault="001F1DDA" w:rsidP="00D4659E">
            <w:pPr>
              <w:ind w:firstLine="0"/>
              <w:rPr>
                <w:lang w:val="en-CA"/>
              </w:rPr>
            </w:pPr>
          </w:p>
        </w:tc>
      </w:tr>
      <w:tr w:rsidR="00F077D8" w14:paraId="1AA83E57" w14:textId="77777777" w:rsidTr="00F077D8">
        <w:tc>
          <w:tcPr>
            <w:tcW w:w="9360" w:type="dxa"/>
            <w:gridSpan w:val="2"/>
          </w:tcPr>
          <w:p w14:paraId="675A9F90" w14:textId="77777777" w:rsidR="00F077D8" w:rsidRPr="00BC5AB5" w:rsidRDefault="00F077D8" w:rsidP="00F077D8">
            <w:pPr>
              <w:pStyle w:val="Caption"/>
              <w:rPr>
                <w:rFonts w:asciiTheme="minorHAnsi" w:hAnsiTheme="minorHAnsi" w:cstheme="minorHAnsi"/>
                <w:color w:val="auto"/>
              </w:rPr>
            </w:pPr>
            <w:r w:rsidRPr="00BC5AB5">
              <w:rPr>
                <w:rFonts w:asciiTheme="minorHAnsi" w:hAnsiTheme="minorHAnsi" w:cstheme="minorHAnsi"/>
                <w:color w:val="auto"/>
              </w:rPr>
              <w:t>*Note: LMIC countries are defined here as low and middle income countries outside of EU, excluding China and Russia</w:t>
            </w:r>
          </w:p>
        </w:tc>
      </w:tr>
    </w:tbl>
    <w:p w14:paraId="436C6014" w14:textId="77777777" w:rsidR="00F077D8" w:rsidRDefault="00F077D8" w:rsidP="00F077D8"/>
    <w:p w14:paraId="5D78CD0C" w14:textId="251A529A" w:rsidR="00F077D8" w:rsidRDefault="00F077D8" w:rsidP="00F077D8">
      <w:r>
        <w:lastRenderedPageBreak/>
        <w:t>Implementation of a broad combination of CE policies would have sizeable impacts on the structure of Europe’s economy already by 2030, with services increasing its share of output by 2.3 percentage points while industry falls by a further nearly one percentage point and ‘other goods and services’ (including extraction) falling by 1.6 percentage points (</w:t>
      </w:r>
      <w:r>
        <w:fldChar w:fldCharType="begin"/>
      </w:r>
      <w:r>
        <w:instrText xml:space="preserve"> REF _Ref95134727 \h  \* MERGEFORMAT </w:instrText>
      </w:r>
      <w:r>
        <w:fldChar w:fldCharType="separate"/>
      </w:r>
      <w:r>
        <w:t xml:space="preserve">Table </w:t>
      </w:r>
      <w:r>
        <w:rPr>
          <w:noProof/>
        </w:rPr>
        <w:t>6</w:t>
      </w:r>
      <w:r>
        <w:fldChar w:fldCharType="end"/>
      </w:r>
      <w:r>
        <w:t xml:space="preserve">). </w:t>
      </w:r>
    </w:p>
    <w:p w14:paraId="6E72D65C" w14:textId="77777777" w:rsidR="001D5CEA" w:rsidRDefault="001D5CEA" w:rsidP="00F077D8">
      <w:pPr>
        <w:pStyle w:val="Caption"/>
      </w:pPr>
      <w:bookmarkStart w:id="12" w:name="_Ref95134727"/>
    </w:p>
    <w:p w14:paraId="660FB0CB" w14:textId="763F1E1B" w:rsidR="00F077D8" w:rsidRPr="00BC5AB5" w:rsidRDefault="00F077D8" w:rsidP="00BC5AB5">
      <w:pPr>
        <w:pStyle w:val="Caption"/>
        <w:ind w:firstLine="0"/>
        <w:rPr>
          <w:rFonts w:asciiTheme="minorHAnsi" w:hAnsiTheme="minorHAnsi" w:cstheme="minorHAnsi"/>
          <w:b/>
          <w:bCs/>
          <w:i w:val="0"/>
          <w:color w:val="auto"/>
          <w:sz w:val="24"/>
          <w:szCs w:val="24"/>
        </w:rPr>
      </w:pPr>
      <w:r w:rsidRPr="00BC5AB5">
        <w:rPr>
          <w:rFonts w:asciiTheme="minorHAnsi" w:hAnsiTheme="minorHAnsi" w:cstheme="minorHAnsi"/>
          <w:b/>
          <w:i w:val="0"/>
          <w:color w:val="auto"/>
          <w:sz w:val="24"/>
          <w:szCs w:val="24"/>
        </w:rPr>
        <w:t xml:space="preserve">Table </w:t>
      </w:r>
      <w:r w:rsidRPr="00BC5AB5">
        <w:rPr>
          <w:rFonts w:asciiTheme="minorHAnsi" w:hAnsiTheme="minorHAnsi" w:cstheme="minorHAnsi"/>
          <w:b/>
          <w:i w:val="0"/>
          <w:color w:val="auto"/>
          <w:sz w:val="24"/>
          <w:szCs w:val="24"/>
        </w:rPr>
        <w:fldChar w:fldCharType="begin"/>
      </w:r>
      <w:r w:rsidRPr="00BC5AB5">
        <w:rPr>
          <w:rFonts w:asciiTheme="minorHAnsi" w:hAnsiTheme="minorHAnsi" w:cstheme="minorHAnsi"/>
          <w:b/>
          <w:i w:val="0"/>
          <w:color w:val="auto"/>
          <w:sz w:val="24"/>
          <w:szCs w:val="24"/>
        </w:rPr>
        <w:instrText xml:space="preserve"> SEQ Table \* ARABIC </w:instrText>
      </w:r>
      <w:r w:rsidRPr="00BC5AB5">
        <w:rPr>
          <w:rFonts w:asciiTheme="minorHAnsi" w:hAnsiTheme="minorHAnsi" w:cstheme="minorHAnsi"/>
          <w:b/>
          <w:i w:val="0"/>
          <w:color w:val="auto"/>
          <w:sz w:val="24"/>
          <w:szCs w:val="24"/>
        </w:rPr>
        <w:fldChar w:fldCharType="separate"/>
      </w:r>
      <w:r w:rsidRPr="00BC5AB5">
        <w:rPr>
          <w:rFonts w:asciiTheme="minorHAnsi" w:hAnsiTheme="minorHAnsi" w:cstheme="minorHAnsi"/>
          <w:b/>
          <w:i w:val="0"/>
          <w:noProof/>
          <w:color w:val="auto"/>
          <w:sz w:val="24"/>
          <w:szCs w:val="24"/>
        </w:rPr>
        <w:t>6</w:t>
      </w:r>
      <w:r w:rsidRPr="00BC5AB5">
        <w:rPr>
          <w:rFonts w:asciiTheme="minorHAnsi" w:hAnsiTheme="minorHAnsi" w:cstheme="minorHAnsi"/>
          <w:b/>
          <w:i w:val="0"/>
          <w:noProof/>
          <w:color w:val="auto"/>
          <w:sz w:val="24"/>
          <w:szCs w:val="24"/>
        </w:rPr>
        <w:fldChar w:fldCharType="end"/>
      </w:r>
      <w:bookmarkEnd w:id="12"/>
      <w:r w:rsidRPr="00BC5AB5">
        <w:rPr>
          <w:rFonts w:asciiTheme="minorHAnsi" w:hAnsiTheme="minorHAnsi" w:cstheme="minorHAnsi"/>
          <w:b/>
          <w:i w:val="0"/>
          <w:color w:val="auto"/>
          <w:sz w:val="24"/>
          <w:szCs w:val="24"/>
        </w:rPr>
        <w:t>: Change in share of output by broad sector in 2030 relative to reference scenario</w:t>
      </w: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0"/>
        <w:gridCol w:w="1220"/>
        <w:gridCol w:w="1220"/>
        <w:gridCol w:w="1220"/>
        <w:gridCol w:w="1220"/>
        <w:gridCol w:w="1220"/>
        <w:gridCol w:w="1220"/>
      </w:tblGrid>
      <w:tr w:rsidR="00F077D8" w:rsidRPr="00392601" w14:paraId="07DE4302" w14:textId="77777777" w:rsidTr="00F077D8">
        <w:trPr>
          <w:trHeight w:val="288"/>
          <w:tblHeader/>
        </w:trPr>
        <w:tc>
          <w:tcPr>
            <w:tcW w:w="1480" w:type="dxa"/>
            <w:shd w:val="clear" w:color="auto" w:fill="auto"/>
            <w:noWrap/>
            <w:vAlign w:val="bottom"/>
            <w:hideMark/>
          </w:tcPr>
          <w:p w14:paraId="02FE58A8" w14:textId="77777777" w:rsidR="00F077D8" w:rsidRPr="00392601" w:rsidRDefault="00F077D8" w:rsidP="00F077D8">
            <w:pPr>
              <w:rPr>
                <w:rFonts w:ascii="Calibri" w:eastAsia="Times New Roman" w:hAnsi="Calibri" w:cs="Calibri"/>
                <w:color w:val="000000"/>
                <w:sz w:val="18"/>
                <w:szCs w:val="18"/>
              </w:rPr>
            </w:pPr>
            <w:r w:rsidRPr="00392601">
              <w:rPr>
                <w:rFonts w:ascii="Calibri" w:eastAsia="Times New Roman" w:hAnsi="Calibri" w:cs="Calibri"/>
                <w:color w:val="000000"/>
                <w:sz w:val="18"/>
                <w:szCs w:val="18"/>
              </w:rPr>
              <w:t> </w:t>
            </w:r>
          </w:p>
        </w:tc>
        <w:tc>
          <w:tcPr>
            <w:tcW w:w="1220" w:type="dxa"/>
            <w:shd w:val="clear" w:color="auto" w:fill="auto"/>
            <w:vAlign w:val="bottom"/>
            <w:hideMark/>
          </w:tcPr>
          <w:p w14:paraId="729BD0A3" w14:textId="77777777" w:rsidR="00F077D8" w:rsidRPr="00392601" w:rsidRDefault="00F077D8" w:rsidP="008934AA">
            <w:pPr>
              <w:ind w:firstLine="0"/>
              <w:rPr>
                <w:rFonts w:ascii="Calibri" w:eastAsia="Times New Roman" w:hAnsi="Calibri" w:cs="Calibri"/>
                <w:b/>
                <w:bCs/>
                <w:color w:val="000000"/>
                <w:sz w:val="18"/>
                <w:szCs w:val="18"/>
              </w:rPr>
            </w:pPr>
            <w:r w:rsidRPr="00392601">
              <w:rPr>
                <w:rFonts w:ascii="Calibri" w:eastAsia="Times New Roman" w:hAnsi="Calibri" w:cs="Calibri"/>
                <w:b/>
                <w:bCs/>
                <w:color w:val="000000"/>
                <w:sz w:val="18"/>
                <w:szCs w:val="18"/>
              </w:rPr>
              <w:t>Agriculture</w:t>
            </w:r>
          </w:p>
        </w:tc>
        <w:tc>
          <w:tcPr>
            <w:tcW w:w="1220" w:type="dxa"/>
            <w:shd w:val="clear" w:color="auto" w:fill="auto"/>
            <w:vAlign w:val="bottom"/>
            <w:hideMark/>
          </w:tcPr>
          <w:p w14:paraId="5E9FF27A" w14:textId="77777777" w:rsidR="00F077D8" w:rsidRPr="00392601" w:rsidRDefault="00F077D8" w:rsidP="008934AA">
            <w:pPr>
              <w:ind w:firstLine="0"/>
              <w:rPr>
                <w:rFonts w:ascii="Calibri" w:eastAsia="Times New Roman" w:hAnsi="Calibri" w:cs="Calibri"/>
                <w:b/>
                <w:bCs/>
                <w:color w:val="000000"/>
                <w:sz w:val="18"/>
                <w:szCs w:val="18"/>
              </w:rPr>
            </w:pPr>
            <w:r w:rsidRPr="00392601">
              <w:rPr>
                <w:rFonts w:ascii="Calibri" w:eastAsia="Times New Roman" w:hAnsi="Calibri" w:cs="Calibri"/>
                <w:b/>
                <w:bCs/>
                <w:color w:val="000000"/>
                <w:sz w:val="18"/>
                <w:szCs w:val="18"/>
              </w:rPr>
              <w:t>Industry</w:t>
            </w:r>
          </w:p>
        </w:tc>
        <w:tc>
          <w:tcPr>
            <w:tcW w:w="1220" w:type="dxa"/>
            <w:shd w:val="clear" w:color="auto" w:fill="auto"/>
            <w:vAlign w:val="bottom"/>
            <w:hideMark/>
          </w:tcPr>
          <w:p w14:paraId="39262D6E" w14:textId="77777777" w:rsidR="00F077D8" w:rsidRPr="00392601" w:rsidRDefault="00F077D8" w:rsidP="008934AA">
            <w:pPr>
              <w:ind w:firstLine="0"/>
              <w:rPr>
                <w:rFonts w:ascii="Calibri" w:eastAsia="Times New Roman" w:hAnsi="Calibri" w:cs="Calibri"/>
                <w:b/>
                <w:bCs/>
                <w:color w:val="000000"/>
                <w:sz w:val="18"/>
                <w:szCs w:val="18"/>
              </w:rPr>
            </w:pPr>
            <w:r w:rsidRPr="00392601">
              <w:rPr>
                <w:rFonts w:ascii="Calibri" w:eastAsia="Times New Roman" w:hAnsi="Calibri" w:cs="Calibri"/>
                <w:b/>
                <w:bCs/>
                <w:color w:val="000000"/>
                <w:sz w:val="18"/>
                <w:szCs w:val="18"/>
              </w:rPr>
              <w:t>Power</w:t>
            </w:r>
          </w:p>
        </w:tc>
        <w:tc>
          <w:tcPr>
            <w:tcW w:w="1220" w:type="dxa"/>
            <w:shd w:val="clear" w:color="auto" w:fill="auto"/>
            <w:vAlign w:val="bottom"/>
            <w:hideMark/>
          </w:tcPr>
          <w:p w14:paraId="08A99926" w14:textId="77777777" w:rsidR="00F077D8" w:rsidRPr="00392601" w:rsidRDefault="00F077D8" w:rsidP="008934AA">
            <w:pPr>
              <w:ind w:firstLine="0"/>
              <w:rPr>
                <w:rFonts w:ascii="Calibri" w:eastAsia="Times New Roman" w:hAnsi="Calibri" w:cs="Calibri"/>
                <w:b/>
                <w:bCs/>
                <w:color w:val="000000"/>
                <w:sz w:val="18"/>
                <w:szCs w:val="18"/>
              </w:rPr>
            </w:pPr>
            <w:r w:rsidRPr="00392601">
              <w:rPr>
                <w:rFonts w:ascii="Calibri" w:eastAsia="Times New Roman" w:hAnsi="Calibri" w:cs="Calibri"/>
                <w:b/>
                <w:bCs/>
                <w:color w:val="000000"/>
                <w:sz w:val="18"/>
                <w:szCs w:val="18"/>
              </w:rPr>
              <w:t>Transport</w:t>
            </w:r>
          </w:p>
        </w:tc>
        <w:tc>
          <w:tcPr>
            <w:tcW w:w="1220" w:type="dxa"/>
            <w:shd w:val="clear" w:color="auto" w:fill="auto"/>
            <w:vAlign w:val="bottom"/>
            <w:hideMark/>
          </w:tcPr>
          <w:p w14:paraId="6D650584" w14:textId="77777777" w:rsidR="00F077D8" w:rsidRPr="00392601" w:rsidRDefault="00F077D8" w:rsidP="008934AA">
            <w:pPr>
              <w:ind w:firstLine="0"/>
              <w:rPr>
                <w:rFonts w:ascii="Calibri" w:eastAsia="Times New Roman" w:hAnsi="Calibri" w:cs="Calibri"/>
                <w:b/>
                <w:bCs/>
                <w:color w:val="000000"/>
                <w:sz w:val="18"/>
                <w:szCs w:val="18"/>
              </w:rPr>
            </w:pPr>
            <w:r w:rsidRPr="00392601">
              <w:rPr>
                <w:rFonts w:ascii="Calibri" w:eastAsia="Times New Roman" w:hAnsi="Calibri" w:cs="Calibri"/>
                <w:b/>
                <w:bCs/>
                <w:color w:val="000000"/>
                <w:sz w:val="18"/>
                <w:szCs w:val="18"/>
              </w:rPr>
              <w:t>Trade and other services</w:t>
            </w:r>
          </w:p>
        </w:tc>
        <w:tc>
          <w:tcPr>
            <w:tcW w:w="1220" w:type="dxa"/>
            <w:shd w:val="clear" w:color="auto" w:fill="auto"/>
            <w:vAlign w:val="bottom"/>
            <w:hideMark/>
          </w:tcPr>
          <w:p w14:paraId="57919A6E" w14:textId="77777777" w:rsidR="00F077D8" w:rsidRPr="00392601" w:rsidRDefault="00F077D8" w:rsidP="008934AA">
            <w:pPr>
              <w:ind w:firstLine="0"/>
              <w:rPr>
                <w:rFonts w:ascii="Calibri" w:eastAsia="Times New Roman" w:hAnsi="Calibri" w:cs="Calibri"/>
                <w:b/>
                <w:bCs/>
                <w:color w:val="000000"/>
                <w:sz w:val="18"/>
                <w:szCs w:val="18"/>
              </w:rPr>
            </w:pPr>
            <w:r w:rsidRPr="00392601">
              <w:rPr>
                <w:rFonts w:ascii="Calibri" w:eastAsia="Times New Roman" w:hAnsi="Calibri" w:cs="Calibri"/>
                <w:b/>
                <w:bCs/>
                <w:color w:val="000000"/>
                <w:sz w:val="18"/>
                <w:szCs w:val="18"/>
              </w:rPr>
              <w:t>Other goods and services</w:t>
            </w:r>
          </w:p>
        </w:tc>
      </w:tr>
      <w:tr w:rsidR="00F077D8" w:rsidRPr="00392601" w14:paraId="56231E3C" w14:textId="77777777" w:rsidTr="00F077D8">
        <w:trPr>
          <w:trHeight w:val="278"/>
        </w:trPr>
        <w:tc>
          <w:tcPr>
            <w:tcW w:w="1480" w:type="dxa"/>
            <w:shd w:val="clear" w:color="auto" w:fill="auto"/>
            <w:noWrap/>
            <w:vAlign w:val="center"/>
            <w:hideMark/>
          </w:tcPr>
          <w:p w14:paraId="74BD5D6B" w14:textId="77777777" w:rsidR="00F077D8" w:rsidRPr="00392601" w:rsidRDefault="00F077D8" w:rsidP="008934AA">
            <w:pPr>
              <w:ind w:firstLine="0"/>
              <w:rPr>
                <w:rFonts w:ascii="Calibri" w:eastAsia="Times New Roman" w:hAnsi="Calibri" w:cs="Calibri"/>
                <w:color w:val="000000"/>
                <w:sz w:val="18"/>
                <w:szCs w:val="18"/>
              </w:rPr>
            </w:pPr>
            <w:proofErr w:type="spellStart"/>
            <w:r w:rsidRPr="00392601">
              <w:rPr>
                <w:rFonts w:ascii="Calibri" w:eastAsia="Times New Roman" w:hAnsi="Calibri" w:cs="Calibri"/>
                <w:color w:val="000000"/>
                <w:sz w:val="18"/>
                <w:szCs w:val="18"/>
              </w:rPr>
              <w:t>MetalFF</w:t>
            </w:r>
            <w:proofErr w:type="spellEnd"/>
            <w:r w:rsidRPr="00392601">
              <w:rPr>
                <w:rFonts w:ascii="Calibri" w:eastAsia="Times New Roman" w:hAnsi="Calibri" w:cs="Calibri"/>
                <w:color w:val="000000"/>
                <w:sz w:val="18"/>
                <w:szCs w:val="18"/>
              </w:rPr>
              <w:t>-total</w:t>
            </w:r>
          </w:p>
        </w:tc>
        <w:tc>
          <w:tcPr>
            <w:tcW w:w="1220" w:type="dxa"/>
            <w:shd w:val="clear" w:color="auto" w:fill="auto"/>
            <w:noWrap/>
            <w:vAlign w:val="center"/>
            <w:hideMark/>
          </w:tcPr>
          <w:p w14:paraId="1FB5CCD5" w14:textId="7F005108" w:rsidR="00F077D8" w:rsidRPr="00392601" w:rsidRDefault="00F077D8" w:rsidP="00F077D8">
            <w:pPr>
              <w:rPr>
                <w:rFonts w:ascii="Calibri" w:eastAsia="Times New Roman" w:hAnsi="Calibri" w:cs="Calibri"/>
                <w:color w:val="000000"/>
                <w:sz w:val="18"/>
                <w:szCs w:val="18"/>
              </w:rPr>
            </w:pPr>
            <w:r w:rsidRPr="00392601">
              <w:rPr>
                <w:rFonts w:ascii="Calibri" w:eastAsia="Times New Roman" w:hAnsi="Calibri" w:cs="Calibri"/>
                <w:color w:val="000000"/>
                <w:sz w:val="18"/>
                <w:szCs w:val="18"/>
              </w:rPr>
              <w:t>(0.01)</w:t>
            </w:r>
          </w:p>
        </w:tc>
        <w:tc>
          <w:tcPr>
            <w:tcW w:w="1220" w:type="dxa"/>
            <w:shd w:val="clear" w:color="auto" w:fill="auto"/>
            <w:noWrap/>
            <w:vAlign w:val="center"/>
            <w:hideMark/>
          </w:tcPr>
          <w:p w14:paraId="1C7FBDB4" w14:textId="41A7719C" w:rsidR="00F077D8" w:rsidRPr="00392601" w:rsidRDefault="00BC5AB5" w:rsidP="00F077D8">
            <w:pPr>
              <w:rPr>
                <w:rFonts w:ascii="Calibri" w:eastAsia="Times New Roman" w:hAnsi="Calibri" w:cs="Calibri"/>
                <w:b/>
                <w:bCs/>
                <w:color w:val="000000"/>
                <w:sz w:val="18"/>
                <w:szCs w:val="18"/>
              </w:rPr>
            </w:pPr>
            <w:r>
              <w:rPr>
                <w:rFonts w:ascii="Calibri" w:eastAsia="Times New Roman" w:hAnsi="Calibri" w:cs="Calibri"/>
                <w:b/>
                <w:bCs/>
                <w:color w:val="000000"/>
                <w:sz w:val="18"/>
                <w:szCs w:val="18"/>
              </w:rPr>
              <w:t>0</w:t>
            </w:r>
            <w:r w:rsidR="00F077D8" w:rsidRPr="00392601">
              <w:rPr>
                <w:rFonts w:ascii="Calibri" w:eastAsia="Times New Roman" w:hAnsi="Calibri" w:cs="Calibri"/>
                <w:b/>
                <w:bCs/>
                <w:color w:val="000000"/>
                <w:sz w:val="18"/>
                <w:szCs w:val="18"/>
              </w:rPr>
              <w:t xml:space="preserve">.34 </w:t>
            </w:r>
          </w:p>
        </w:tc>
        <w:tc>
          <w:tcPr>
            <w:tcW w:w="1220" w:type="dxa"/>
            <w:shd w:val="clear" w:color="auto" w:fill="auto"/>
            <w:noWrap/>
            <w:vAlign w:val="center"/>
            <w:hideMark/>
          </w:tcPr>
          <w:p w14:paraId="6B9D7050" w14:textId="5311EF85" w:rsidR="00F077D8" w:rsidRPr="00392601" w:rsidRDefault="00F077D8" w:rsidP="00F077D8">
            <w:pPr>
              <w:rPr>
                <w:rFonts w:ascii="Calibri" w:eastAsia="Times New Roman" w:hAnsi="Calibri" w:cs="Calibri"/>
                <w:color w:val="000000"/>
                <w:sz w:val="18"/>
                <w:szCs w:val="18"/>
              </w:rPr>
            </w:pPr>
            <w:r w:rsidRPr="00392601">
              <w:rPr>
                <w:rFonts w:ascii="Calibri" w:eastAsia="Times New Roman" w:hAnsi="Calibri" w:cs="Calibri"/>
                <w:color w:val="000000"/>
                <w:sz w:val="18"/>
                <w:szCs w:val="18"/>
              </w:rPr>
              <w:t>(0.07)</w:t>
            </w:r>
          </w:p>
        </w:tc>
        <w:tc>
          <w:tcPr>
            <w:tcW w:w="1220" w:type="dxa"/>
            <w:shd w:val="clear" w:color="auto" w:fill="auto"/>
            <w:noWrap/>
            <w:vAlign w:val="center"/>
            <w:hideMark/>
          </w:tcPr>
          <w:p w14:paraId="11EAA9AC" w14:textId="0A495AFD" w:rsidR="00F077D8" w:rsidRPr="00392601" w:rsidRDefault="00F077D8" w:rsidP="00F077D8">
            <w:pPr>
              <w:rPr>
                <w:rFonts w:ascii="Calibri" w:eastAsia="Times New Roman" w:hAnsi="Calibri" w:cs="Calibri"/>
                <w:color w:val="000000"/>
                <w:sz w:val="18"/>
                <w:szCs w:val="18"/>
              </w:rPr>
            </w:pPr>
            <w:r w:rsidRPr="00392601">
              <w:rPr>
                <w:rFonts w:ascii="Calibri" w:eastAsia="Times New Roman" w:hAnsi="Calibri" w:cs="Calibri"/>
                <w:color w:val="000000"/>
                <w:sz w:val="18"/>
                <w:szCs w:val="18"/>
              </w:rPr>
              <w:t>(0.02)</w:t>
            </w:r>
          </w:p>
        </w:tc>
        <w:tc>
          <w:tcPr>
            <w:tcW w:w="1220" w:type="dxa"/>
            <w:shd w:val="clear" w:color="auto" w:fill="auto"/>
            <w:noWrap/>
            <w:vAlign w:val="center"/>
            <w:hideMark/>
          </w:tcPr>
          <w:p w14:paraId="727BE1A8" w14:textId="60C51B69" w:rsidR="00F077D8" w:rsidRPr="00392601" w:rsidRDefault="00F077D8" w:rsidP="00F077D8">
            <w:pPr>
              <w:rPr>
                <w:rFonts w:ascii="Calibri" w:eastAsia="Times New Roman" w:hAnsi="Calibri" w:cs="Calibri"/>
                <w:b/>
                <w:bCs/>
                <w:color w:val="000000"/>
                <w:sz w:val="18"/>
                <w:szCs w:val="18"/>
              </w:rPr>
            </w:pPr>
            <w:r w:rsidRPr="00392601">
              <w:rPr>
                <w:rFonts w:ascii="Calibri" w:eastAsia="Times New Roman" w:hAnsi="Calibri" w:cs="Calibri"/>
                <w:b/>
                <w:bCs/>
                <w:color w:val="000000"/>
                <w:sz w:val="18"/>
                <w:szCs w:val="18"/>
              </w:rPr>
              <w:t>(0.28)</w:t>
            </w:r>
          </w:p>
        </w:tc>
        <w:tc>
          <w:tcPr>
            <w:tcW w:w="1220" w:type="dxa"/>
            <w:shd w:val="clear" w:color="auto" w:fill="auto"/>
            <w:noWrap/>
            <w:vAlign w:val="center"/>
            <w:hideMark/>
          </w:tcPr>
          <w:p w14:paraId="158CD063" w14:textId="78FBA85C" w:rsidR="00F077D8" w:rsidRPr="00392601" w:rsidRDefault="00BC5AB5" w:rsidP="00F077D8">
            <w:pPr>
              <w:rPr>
                <w:rFonts w:ascii="Calibri" w:eastAsia="Times New Roman" w:hAnsi="Calibri" w:cs="Calibri"/>
                <w:color w:val="000000"/>
                <w:sz w:val="18"/>
                <w:szCs w:val="18"/>
              </w:rPr>
            </w:pPr>
            <w:r>
              <w:rPr>
                <w:rFonts w:ascii="Calibri" w:eastAsia="Times New Roman" w:hAnsi="Calibri" w:cs="Calibri"/>
                <w:color w:val="000000"/>
                <w:sz w:val="18"/>
                <w:szCs w:val="18"/>
              </w:rPr>
              <w:t>0</w:t>
            </w:r>
            <w:r w:rsidR="00F077D8" w:rsidRPr="00392601">
              <w:rPr>
                <w:rFonts w:ascii="Calibri" w:eastAsia="Times New Roman" w:hAnsi="Calibri" w:cs="Calibri"/>
                <w:color w:val="000000"/>
                <w:sz w:val="18"/>
                <w:szCs w:val="18"/>
              </w:rPr>
              <w:t xml:space="preserve">.03 </w:t>
            </w:r>
          </w:p>
        </w:tc>
      </w:tr>
      <w:tr w:rsidR="00F077D8" w:rsidRPr="00392601" w14:paraId="561A6F6C" w14:textId="77777777" w:rsidTr="00F077D8">
        <w:trPr>
          <w:trHeight w:val="288"/>
        </w:trPr>
        <w:tc>
          <w:tcPr>
            <w:tcW w:w="1480" w:type="dxa"/>
            <w:shd w:val="clear" w:color="auto" w:fill="auto"/>
            <w:noWrap/>
            <w:vAlign w:val="center"/>
            <w:hideMark/>
          </w:tcPr>
          <w:p w14:paraId="1C4BCD73" w14:textId="77777777" w:rsidR="00F077D8" w:rsidRPr="00392601" w:rsidRDefault="00F077D8" w:rsidP="008934AA">
            <w:pPr>
              <w:ind w:firstLine="0"/>
              <w:rPr>
                <w:rFonts w:ascii="Calibri" w:eastAsia="Times New Roman" w:hAnsi="Calibri" w:cs="Calibri"/>
                <w:color w:val="000000"/>
                <w:sz w:val="18"/>
                <w:szCs w:val="18"/>
              </w:rPr>
            </w:pPr>
            <w:r>
              <w:rPr>
                <w:rFonts w:ascii="Calibri" w:eastAsia="Times New Roman" w:hAnsi="Calibri" w:cs="Calibri"/>
                <w:color w:val="000000"/>
                <w:sz w:val="18"/>
                <w:szCs w:val="18"/>
              </w:rPr>
              <w:t>NMN-tax</w:t>
            </w:r>
          </w:p>
        </w:tc>
        <w:tc>
          <w:tcPr>
            <w:tcW w:w="1220" w:type="dxa"/>
            <w:shd w:val="clear" w:color="auto" w:fill="auto"/>
            <w:noWrap/>
            <w:vAlign w:val="center"/>
            <w:hideMark/>
          </w:tcPr>
          <w:p w14:paraId="23156C9A" w14:textId="4A318D27" w:rsidR="00F077D8" w:rsidRPr="00392601" w:rsidRDefault="00F077D8" w:rsidP="00F077D8">
            <w:pPr>
              <w:rPr>
                <w:rFonts w:ascii="Calibri" w:eastAsia="Times New Roman" w:hAnsi="Calibri" w:cs="Calibri"/>
                <w:color w:val="000000"/>
                <w:sz w:val="18"/>
                <w:szCs w:val="18"/>
              </w:rPr>
            </w:pPr>
            <w:r w:rsidRPr="00392601">
              <w:rPr>
                <w:rFonts w:ascii="Calibri" w:eastAsia="Times New Roman" w:hAnsi="Calibri" w:cs="Calibri"/>
                <w:color w:val="000000"/>
                <w:sz w:val="18"/>
                <w:szCs w:val="18"/>
              </w:rPr>
              <w:t xml:space="preserve">0.00 </w:t>
            </w:r>
          </w:p>
        </w:tc>
        <w:tc>
          <w:tcPr>
            <w:tcW w:w="1220" w:type="dxa"/>
            <w:shd w:val="clear" w:color="auto" w:fill="auto"/>
            <w:noWrap/>
            <w:vAlign w:val="center"/>
            <w:hideMark/>
          </w:tcPr>
          <w:p w14:paraId="07F40FCA" w14:textId="7C79A1BF" w:rsidR="00F077D8" w:rsidRPr="00392601" w:rsidRDefault="00F077D8" w:rsidP="00F077D8">
            <w:pPr>
              <w:rPr>
                <w:rFonts w:ascii="Calibri" w:eastAsia="Times New Roman" w:hAnsi="Calibri" w:cs="Calibri"/>
                <w:color w:val="000000"/>
                <w:sz w:val="18"/>
                <w:szCs w:val="18"/>
              </w:rPr>
            </w:pPr>
            <w:r w:rsidRPr="00392601">
              <w:rPr>
                <w:rFonts w:ascii="Calibri" w:eastAsia="Times New Roman" w:hAnsi="Calibri" w:cs="Calibri"/>
                <w:color w:val="000000"/>
                <w:sz w:val="18"/>
                <w:szCs w:val="18"/>
              </w:rPr>
              <w:t>(0.02)</w:t>
            </w:r>
          </w:p>
        </w:tc>
        <w:tc>
          <w:tcPr>
            <w:tcW w:w="1220" w:type="dxa"/>
            <w:shd w:val="clear" w:color="auto" w:fill="auto"/>
            <w:noWrap/>
            <w:vAlign w:val="center"/>
            <w:hideMark/>
          </w:tcPr>
          <w:p w14:paraId="390E6291" w14:textId="19B7B047" w:rsidR="00F077D8" w:rsidRPr="00392601" w:rsidRDefault="00F077D8" w:rsidP="00F077D8">
            <w:pPr>
              <w:rPr>
                <w:rFonts w:ascii="Calibri" w:eastAsia="Times New Roman" w:hAnsi="Calibri" w:cs="Calibri"/>
                <w:color w:val="000000"/>
                <w:sz w:val="18"/>
                <w:szCs w:val="18"/>
              </w:rPr>
            </w:pPr>
            <w:r w:rsidRPr="00392601">
              <w:rPr>
                <w:rFonts w:ascii="Calibri" w:eastAsia="Times New Roman" w:hAnsi="Calibri" w:cs="Calibri"/>
                <w:color w:val="000000"/>
                <w:sz w:val="18"/>
                <w:szCs w:val="18"/>
              </w:rPr>
              <w:t>(0.00)</w:t>
            </w:r>
          </w:p>
        </w:tc>
        <w:tc>
          <w:tcPr>
            <w:tcW w:w="1220" w:type="dxa"/>
            <w:shd w:val="clear" w:color="auto" w:fill="auto"/>
            <w:noWrap/>
            <w:vAlign w:val="center"/>
            <w:hideMark/>
          </w:tcPr>
          <w:p w14:paraId="77E838A1" w14:textId="5E00910D" w:rsidR="00F077D8" w:rsidRPr="00392601" w:rsidRDefault="00F077D8" w:rsidP="00F077D8">
            <w:pPr>
              <w:rPr>
                <w:rFonts w:ascii="Calibri" w:eastAsia="Times New Roman" w:hAnsi="Calibri" w:cs="Calibri"/>
                <w:color w:val="000000"/>
                <w:sz w:val="18"/>
                <w:szCs w:val="18"/>
              </w:rPr>
            </w:pPr>
            <w:r w:rsidRPr="00392601">
              <w:rPr>
                <w:rFonts w:ascii="Calibri" w:eastAsia="Times New Roman" w:hAnsi="Calibri" w:cs="Calibri"/>
                <w:color w:val="000000"/>
                <w:sz w:val="18"/>
                <w:szCs w:val="18"/>
              </w:rPr>
              <w:t>(0.00)</w:t>
            </w:r>
          </w:p>
        </w:tc>
        <w:tc>
          <w:tcPr>
            <w:tcW w:w="1220" w:type="dxa"/>
            <w:shd w:val="clear" w:color="auto" w:fill="auto"/>
            <w:noWrap/>
            <w:vAlign w:val="center"/>
            <w:hideMark/>
          </w:tcPr>
          <w:p w14:paraId="22D15E2B" w14:textId="4014E74F" w:rsidR="00F077D8" w:rsidRPr="00392601" w:rsidRDefault="00BC5AB5" w:rsidP="00F077D8">
            <w:pPr>
              <w:rPr>
                <w:rFonts w:ascii="Calibri" w:eastAsia="Times New Roman" w:hAnsi="Calibri" w:cs="Calibri"/>
                <w:color w:val="000000"/>
                <w:sz w:val="18"/>
                <w:szCs w:val="18"/>
              </w:rPr>
            </w:pPr>
            <w:r>
              <w:rPr>
                <w:rFonts w:ascii="Calibri" w:eastAsia="Times New Roman" w:hAnsi="Calibri" w:cs="Calibri"/>
                <w:color w:val="000000"/>
                <w:sz w:val="18"/>
                <w:szCs w:val="18"/>
              </w:rPr>
              <w:t>0</w:t>
            </w:r>
            <w:r w:rsidR="00F077D8" w:rsidRPr="00392601">
              <w:rPr>
                <w:rFonts w:ascii="Calibri" w:eastAsia="Times New Roman" w:hAnsi="Calibri" w:cs="Calibri"/>
                <w:color w:val="000000"/>
                <w:sz w:val="18"/>
                <w:szCs w:val="18"/>
              </w:rPr>
              <w:t xml:space="preserve">.03 </w:t>
            </w:r>
          </w:p>
        </w:tc>
        <w:tc>
          <w:tcPr>
            <w:tcW w:w="1220" w:type="dxa"/>
            <w:shd w:val="clear" w:color="auto" w:fill="auto"/>
            <w:noWrap/>
            <w:vAlign w:val="center"/>
            <w:hideMark/>
          </w:tcPr>
          <w:p w14:paraId="55165DD4" w14:textId="20392263" w:rsidR="00F077D8" w:rsidRPr="00392601" w:rsidRDefault="00F077D8" w:rsidP="00F077D8">
            <w:pPr>
              <w:rPr>
                <w:rFonts w:ascii="Calibri" w:eastAsia="Times New Roman" w:hAnsi="Calibri" w:cs="Calibri"/>
                <w:color w:val="000000"/>
                <w:sz w:val="18"/>
                <w:szCs w:val="18"/>
              </w:rPr>
            </w:pPr>
            <w:r w:rsidRPr="00392601">
              <w:rPr>
                <w:rFonts w:ascii="Calibri" w:eastAsia="Times New Roman" w:hAnsi="Calibri" w:cs="Calibri"/>
                <w:color w:val="000000"/>
                <w:sz w:val="18"/>
                <w:szCs w:val="18"/>
              </w:rPr>
              <w:t>(0.02)</w:t>
            </w:r>
          </w:p>
        </w:tc>
      </w:tr>
      <w:tr w:rsidR="00F077D8" w:rsidRPr="00392601" w14:paraId="191086BD" w14:textId="77777777" w:rsidTr="00F077D8">
        <w:trPr>
          <w:trHeight w:val="288"/>
        </w:trPr>
        <w:tc>
          <w:tcPr>
            <w:tcW w:w="1480" w:type="dxa"/>
            <w:shd w:val="clear" w:color="auto" w:fill="auto"/>
            <w:noWrap/>
            <w:vAlign w:val="center"/>
            <w:hideMark/>
          </w:tcPr>
          <w:p w14:paraId="4F31612B" w14:textId="77777777" w:rsidR="00F077D8" w:rsidRPr="00392601" w:rsidRDefault="00F077D8" w:rsidP="008934AA">
            <w:pPr>
              <w:ind w:firstLine="0"/>
              <w:rPr>
                <w:rFonts w:ascii="Calibri" w:eastAsia="Times New Roman" w:hAnsi="Calibri" w:cs="Calibri"/>
                <w:color w:val="000000"/>
                <w:sz w:val="18"/>
                <w:szCs w:val="18"/>
              </w:rPr>
            </w:pPr>
            <w:r w:rsidRPr="00392601">
              <w:rPr>
                <w:rFonts w:ascii="Calibri" w:eastAsia="Times New Roman" w:hAnsi="Calibri" w:cs="Calibri"/>
                <w:color w:val="000000"/>
                <w:sz w:val="18"/>
                <w:szCs w:val="18"/>
              </w:rPr>
              <w:t>Design</w:t>
            </w:r>
          </w:p>
        </w:tc>
        <w:tc>
          <w:tcPr>
            <w:tcW w:w="1220" w:type="dxa"/>
            <w:shd w:val="clear" w:color="auto" w:fill="auto"/>
            <w:noWrap/>
            <w:vAlign w:val="center"/>
            <w:hideMark/>
          </w:tcPr>
          <w:p w14:paraId="34698DC8" w14:textId="6A00E4B6" w:rsidR="00F077D8" w:rsidRPr="00392601" w:rsidRDefault="00F077D8" w:rsidP="00F077D8">
            <w:pPr>
              <w:rPr>
                <w:rFonts w:ascii="Calibri" w:eastAsia="Times New Roman" w:hAnsi="Calibri" w:cs="Calibri"/>
                <w:color w:val="000000"/>
                <w:sz w:val="18"/>
                <w:szCs w:val="18"/>
              </w:rPr>
            </w:pPr>
            <w:r w:rsidRPr="00392601">
              <w:rPr>
                <w:rFonts w:ascii="Calibri" w:eastAsia="Times New Roman" w:hAnsi="Calibri" w:cs="Calibri"/>
                <w:color w:val="000000"/>
                <w:sz w:val="18"/>
                <w:szCs w:val="18"/>
              </w:rPr>
              <w:t xml:space="preserve">0.01 </w:t>
            </w:r>
          </w:p>
        </w:tc>
        <w:tc>
          <w:tcPr>
            <w:tcW w:w="1220" w:type="dxa"/>
            <w:shd w:val="clear" w:color="auto" w:fill="auto"/>
            <w:noWrap/>
            <w:vAlign w:val="center"/>
            <w:hideMark/>
          </w:tcPr>
          <w:p w14:paraId="5070FF5B" w14:textId="1FDAA7CE" w:rsidR="00F077D8" w:rsidRPr="00392601" w:rsidRDefault="00F077D8" w:rsidP="00F077D8">
            <w:pPr>
              <w:rPr>
                <w:rFonts w:ascii="Calibri" w:eastAsia="Times New Roman" w:hAnsi="Calibri" w:cs="Calibri"/>
                <w:b/>
                <w:bCs/>
                <w:color w:val="000000"/>
                <w:sz w:val="18"/>
                <w:szCs w:val="18"/>
              </w:rPr>
            </w:pPr>
            <w:r w:rsidRPr="00392601">
              <w:rPr>
                <w:rFonts w:ascii="Calibri" w:eastAsia="Times New Roman" w:hAnsi="Calibri" w:cs="Calibri"/>
                <w:b/>
                <w:bCs/>
                <w:color w:val="000000"/>
                <w:sz w:val="18"/>
                <w:szCs w:val="18"/>
              </w:rPr>
              <w:t>(0.64)</w:t>
            </w:r>
          </w:p>
        </w:tc>
        <w:tc>
          <w:tcPr>
            <w:tcW w:w="1220" w:type="dxa"/>
            <w:shd w:val="clear" w:color="auto" w:fill="auto"/>
            <w:noWrap/>
            <w:vAlign w:val="center"/>
            <w:hideMark/>
          </w:tcPr>
          <w:p w14:paraId="1A012DC3" w14:textId="08A1E85C" w:rsidR="00F077D8" w:rsidRPr="00392601" w:rsidRDefault="00F077D8" w:rsidP="00F077D8">
            <w:pPr>
              <w:rPr>
                <w:rFonts w:ascii="Calibri" w:eastAsia="Times New Roman" w:hAnsi="Calibri" w:cs="Calibri"/>
                <w:color w:val="000000"/>
                <w:sz w:val="18"/>
                <w:szCs w:val="18"/>
              </w:rPr>
            </w:pPr>
            <w:r w:rsidRPr="00392601">
              <w:rPr>
                <w:rFonts w:ascii="Calibri" w:eastAsia="Times New Roman" w:hAnsi="Calibri" w:cs="Calibri"/>
                <w:color w:val="000000"/>
                <w:sz w:val="18"/>
                <w:szCs w:val="18"/>
              </w:rPr>
              <w:t>(0.02)</w:t>
            </w:r>
          </w:p>
        </w:tc>
        <w:tc>
          <w:tcPr>
            <w:tcW w:w="1220" w:type="dxa"/>
            <w:shd w:val="clear" w:color="auto" w:fill="auto"/>
            <w:noWrap/>
            <w:vAlign w:val="center"/>
            <w:hideMark/>
          </w:tcPr>
          <w:p w14:paraId="3A45544D" w14:textId="1C801BDC" w:rsidR="00F077D8" w:rsidRPr="00392601" w:rsidRDefault="00F077D8" w:rsidP="00F077D8">
            <w:pPr>
              <w:rPr>
                <w:rFonts w:ascii="Calibri" w:eastAsia="Times New Roman" w:hAnsi="Calibri" w:cs="Calibri"/>
                <w:color w:val="000000"/>
                <w:sz w:val="18"/>
                <w:szCs w:val="18"/>
              </w:rPr>
            </w:pPr>
            <w:r w:rsidRPr="00392601">
              <w:rPr>
                <w:rFonts w:ascii="Calibri" w:eastAsia="Times New Roman" w:hAnsi="Calibri" w:cs="Calibri"/>
                <w:color w:val="000000"/>
                <w:sz w:val="18"/>
                <w:szCs w:val="18"/>
              </w:rPr>
              <w:t xml:space="preserve">0.01 </w:t>
            </w:r>
          </w:p>
        </w:tc>
        <w:tc>
          <w:tcPr>
            <w:tcW w:w="1220" w:type="dxa"/>
            <w:shd w:val="clear" w:color="auto" w:fill="auto"/>
            <w:noWrap/>
            <w:vAlign w:val="center"/>
            <w:hideMark/>
          </w:tcPr>
          <w:p w14:paraId="10BFEC3C" w14:textId="23DC3011" w:rsidR="00F077D8" w:rsidRPr="00392601" w:rsidRDefault="00F077D8" w:rsidP="00F077D8">
            <w:pPr>
              <w:rPr>
                <w:rFonts w:ascii="Calibri" w:eastAsia="Times New Roman" w:hAnsi="Calibri" w:cs="Calibri"/>
                <w:b/>
                <w:bCs/>
                <w:color w:val="000000"/>
                <w:sz w:val="18"/>
                <w:szCs w:val="18"/>
              </w:rPr>
            </w:pPr>
            <w:r w:rsidRPr="00392601">
              <w:rPr>
                <w:rFonts w:ascii="Calibri" w:eastAsia="Times New Roman" w:hAnsi="Calibri" w:cs="Calibri"/>
                <w:b/>
                <w:bCs/>
                <w:color w:val="000000"/>
                <w:sz w:val="18"/>
                <w:szCs w:val="18"/>
              </w:rPr>
              <w:t xml:space="preserve">1.80 </w:t>
            </w:r>
          </w:p>
        </w:tc>
        <w:tc>
          <w:tcPr>
            <w:tcW w:w="1220" w:type="dxa"/>
            <w:shd w:val="clear" w:color="auto" w:fill="auto"/>
            <w:noWrap/>
            <w:vAlign w:val="center"/>
            <w:hideMark/>
          </w:tcPr>
          <w:p w14:paraId="2DD6809B" w14:textId="3A204ACD" w:rsidR="00F077D8" w:rsidRPr="00392601" w:rsidRDefault="00F077D8" w:rsidP="00F077D8">
            <w:pPr>
              <w:rPr>
                <w:rFonts w:ascii="Calibri" w:eastAsia="Times New Roman" w:hAnsi="Calibri" w:cs="Calibri"/>
                <w:b/>
                <w:bCs/>
                <w:color w:val="000000"/>
                <w:sz w:val="18"/>
                <w:szCs w:val="18"/>
              </w:rPr>
            </w:pPr>
            <w:r w:rsidRPr="00392601">
              <w:rPr>
                <w:rFonts w:ascii="Calibri" w:eastAsia="Times New Roman" w:hAnsi="Calibri" w:cs="Calibri"/>
                <w:b/>
                <w:bCs/>
                <w:color w:val="000000"/>
                <w:sz w:val="18"/>
                <w:szCs w:val="18"/>
              </w:rPr>
              <w:t>(1.16)</w:t>
            </w:r>
          </w:p>
        </w:tc>
      </w:tr>
      <w:tr w:rsidR="00F077D8" w:rsidRPr="00392601" w14:paraId="475D09C0" w14:textId="77777777" w:rsidTr="00F077D8">
        <w:trPr>
          <w:trHeight w:val="288"/>
        </w:trPr>
        <w:tc>
          <w:tcPr>
            <w:tcW w:w="1480" w:type="dxa"/>
            <w:shd w:val="clear" w:color="auto" w:fill="auto"/>
            <w:noWrap/>
            <w:vAlign w:val="center"/>
            <w:hideMark/>
          </w:tcPr>
          <w:p w14:paraId="2A0DBEA1" w14:textId="77777777" w:rsidR="00F077D8" w:rsidRPr="00392601" w:rsidRDefault="00F077D8" w:rsidP="008934AA">
            <w:pPr>
              <w:ind w:firstLine="0"/>
              <w:rPr>
                <w:rFonts w:ascii="Calibri" w:eastAsia="Times New Roman" w:hAnsi="Calibri" w:cs="Calibri"/>
                <w:color w:val="000000"/>
                <w:sz w:val="18"/>
                <w:szCs w:val="18"/>
              </w:rPr>
            </w:pPr>
            <w:r w:rsidRPr="00392601">
              <w:rPr>
                <w:rFonts w:ascii="Calibri" w:eastAsia="Times New Roman" w:hAnsi="Calibri" w:cs="Calibri"/>
                <w:color w:val="000000"/>
                <w:sz w:val="18"/>
                <w:szCs w:val="18"/>
              </w:rPr>
              <w:t xml:space="preserve">Extend </w:t>
            </w:r>
          </w:p>
        </w:tc>
        <w:tc>
          <w:tcPr>
            <w:tcW w:w="1220" w:type="dxa"/>
            <w:shd w:val="clear" w:color="auto" w:fill="auto"/>
            <w:noWrap/>
            <w:vAlign w:val="center"/>
            <w:hideMark/>
          </w:tcPr>
          <w:p w14:paraId="6C56E247" w14:textId="6F70CCA0" w:rsidR="00F077D8" w:rsidRPr="00392601" w:rsidRDefault="00F077D8" w:rsidP="00F077D8">
            <w:pPr>
              <w:rPr>
                <w:rFonts w:ascii="Calibri" w:eastAsia="Times New Roman" w:hAnsi="Calibri" w:cs="Calibri"/>
                <w:color w:val="000000"/>
                <w:sz w:val="18"/>
                <w:szCs w:val="18"/>
              </w:rPr>
            </w:pPr>
            <w:r w:rsidRPr="00392601">
              <w:rPr>
                <w:rFonts w:ascii="Calibri" w:eastAsia="Times New Roman" w:hAnsi="Calibri" w:cs="Calibri"/>
                <w:color w:val="000000"/>
                <w:sz w:val="18"/>
                <w:szCs w:val="18"/>
              </w:rPr>
              <w:t>(0.00)</w:t>
            </w:r>
          </w:p>
        </w:tc>
        <w:tc>
          <w:tcPr>
            <w:tcW w:w="1220" w:type="dxa"/>
            <w:shd w:val="clear" w:color="auto" w:fill="auto"/>
            <w:noWrap/>
            <w:vAlign w:val="center"/>
            <w:hideMark/>
          </w:tcPr>
          <w:p w14:paraId="5C33BC0C" w14:textId="0B29CD21" w:rsidR="00F077D8" w:rsidRPr="00392601" w:rsidRDefault="00F077D8" w:rsidP="00F077D8">
            <w:pPr>
              <w:rPr>
                <w:rFonts w:ascii="Calibri" w:eastAsia="Times New Roman" w:hAnsi="Calibri" w:cs="Calibri"/>
                <w:color w:val="000000"/>
                <w:sz w:val="18"/>
                <w:szCs w:val="18"/>
              </w:rPr>
            </w:pPr>
            <w:r w:rsidRPr="00392601">
              <w:rPr>
                <w:rFonts w:ascii="Calibri" w:eastAsia="Times New Roman" w:hAnsi="Calibri" w:cs="Calibri"/>
                <w:color w:val="000000"/>
                <w:sz w:val="18"/>
                <w:szCs w:val="18"/>
              </w:rPr>
              <w:t>(0.13)</w:t>
            </w:r>
          </w:p>
        </w:tc>
        <w:tc>
          <w:tcPr>
            <w:tcW w:w="1220" w:type="dxa"/>
            <w:shd w:val="clear" w:color="auto" w:fill="auto"/>
            <w:noWrap/>
            <w:vAlign w:val="center"/>
            <w:hideMark/>
          </w:tcPr>
          <w:p w14:paraId="47C1F4BF" w14:textId="4CB119CA" w:rsidR="00F077D8" w:rsidRPr="00392601" w:rsidRDefault="00F077D8" w:rsidP="00F077D8">
            <w:pPr>
              <w:rPr>
                <w:rFonts w:ascii="Calibri" w:eastAsia="Times New Roman" w:hAnsi="Calibri" w:cs="Calibri"/>
                <w:color w:val="000000"/>
                <w:sz w:val="18"/>
                <w:szCs w:val="18"/>
              </w:rPr>
            </w:pPr>
            <w:r w:rsidRPr="00392601">
              <w:rPr>
                <w:rFonts w:ascii="Calibri" w:eastAsia="Times New Roman" w:hAnsi="Calibri" w:cs="Calibri"/>
                <w:color w:val="000000"/>
                <w:sz w:val="18"/>
                <w:szCs w:val="18"/>
              </w:rPr>
              <w:t>(0.00)</w:t>
            </w:r>
          </w:p>
        </w:tc>
        <w:tc>
          <w:tcPr>
            <w:tcW w:w="1220" w:type="dxa"/>
            <w:shd w:val="clear" w:color="auto" w:fill="auto"/>
            <w:noWrap/>
            <w:vAlign w:val="center"/>
            <w:hideMark/>
          </w:tcPr>
          <w:p w14:paraId="76D71BCD" w14:textId="12BA9F5B" w:rsidR="00F077D8" w:rsidRPr="00392601" w:rsidRDefault="00F077D8" w:rsidP="00F077D8">
            <w:pPr>
              <w:rPr>
                <w:rFonts w:ascii="Calibri" w:eastAsia="Times New Roman" w:hAnsi="Calibri" w:cs="Calibri"/>
                <w:color w:val="000000"/>
                <w:sz w:val="18"/>
                <w:szCs w:val="18"/>
              </w:rPr>
            </w:pPr>
            <w:r w:rsidRPr="00392601">
              <w:rPr>
                <w:rFonts w:ascii="Calibri" w:eastAsia="Times New Roman" w:hAnsi="Calibri" w:cs="Calibri"/>
                <w:color w:val="000000"/>
                <w:sz w:val="18"/>
                <w:szCs w:val="18"/>
              </w:rPr>
              <w:t>(0.00)</w:t>
            </w:r>
          </w:p>
        </w:tc>
        <w:tc>
          <w:tcPr>
            <w:tcW w:w="1220" w:type="dxa"/>
            <w:shd w:val="clear" w:color="auto" w:fill="auto"/>
            <w:noWrap/>
            <w:vAlign w:val="center"/>
            <w:hideMark/>
          </w:tcPr>
          <w:p w14:paraId="35526E33" w14:textId="512CB6C5" w:rsidR="00F077D8" w:rsidRPr="00392601" w:rsidRDefault="00F077D8" w:rsidP="00F077D8">
            <w:pPr>
              <w:rPr>
                <w:rFonts w:ascii="Calibri" w:eastAsia="Times New Roman" w:hAnsi="Calibri" w:cs="Calibri"/>
                <w:b/>
                <w:bCs/>
                <w:color w:val="000000"/>
                <w:sz w:val="18"/>
                <w:szCs w:val="18"/>
              </w:rPr>
            </w:pPr>
            <w:r w:rsidRPr="00392601">
              <w:rPr>
                <w:rFonts w:ascii="Calibri" w:eastAsia="Times New Roman" w:hAnsi="Calibri" w:cs="Calibri"/>
                <w:b/>
                <w:bCs/>
                <w:color w:val="000000"/>
                <w:sz w:val="18"/>
                <w:szCs w:val="18"/>
              </w:rPr>
              <w:t xml:space="preserve">0.87 </w:t>
            </w:r>
          </w:p>
        </w:tc>
        <w:tc>
          <w:tcPr>
            <w:tcW w:w="1220" w:type="dxa"/>
            <w:shd w:val="clear" w:color="auto" w:fill="auto"/>
            <w:noWrap/>
            <w:vAlign w:val="center"/>
            <w:hideMark/>
          </w:tcPr>
          <w:p w14:paraId="365A7591" w14:textId="7D2E0AB8" w:rsidR="00F077D8" w:rsidRPr="00392601" w:rsidRDefault="00F077D8" w:rsidP="00F077D8">
            <w:pPr>
              <w:rPr>
                <w:rFonts w:ascii="Calibri" w:eastAsia="Times New Roman" w:hAnsi="Calibri" w:cs="Calibri"/>
                <w:b/>
                <w:bCs/>
                <w:color w:val="000000"/>
                <w:sz w:val="18"/>
                <w:szCs w:val="18"/>
              </w:rPr>
            </w:pPr>
            <w:r w:rsidRPr="00392601">
              <w:rPr>
                <w:rFonts w:ascii="Calibri" w:eastAsia="Times New Roman" w:hAnsi="Calibri" w:cs="Calibri"/>
                <w:b/>
                <w:bCs/>
                <w:color w:val="000000"/>
                <w:sz w:val="18"/>
                <w:szCs w:val="18"/>
              </w:rPr>
              <w:t>(0.72)</w:t>
            </w:r>
          </w:p>
        </w:tc>
      </w:tr>
      <w:tr w:rsidR="00F077D8" w:rsidRPr="00392601" w14:paraId="5FA7BE2E" w14:textId="77777777" w:rsidTr="00F077D8">
        <w:trPr>
          <w:trHeight w:val="288"/>
        </w:trPr>
        <w:tc>
          <w:tcPr>
            <w:tcW w:w="1480" w:type="dxa"/>
            <w:shd w:val="clear" w:color="auto" w:fill="auto"/>
            <w:noWrap/>
            <w:vAlign w:val="center"/>
            <w:hideMark/>
          </w:tcPr>
          <w:p w14:paraId="574BEEEE" w14:textId="77777777" w:rsidR="00F077D8" w:rsidRPr="00392601" w:rsidRDefault="00F077D8" w:rsidP="008934AA">
            <w:pPr>
              <w:ind w:firstLine="0"/>
              <w:rPr>
                <w:rFonts w:ascii="Calibri" w:eastAsia="Times New Roman" w:hAnsi="Calibri" w:cs="Calibri"/>
                <w:color w:val="000000"/>
                <w:sz w:val="18"/>
                <w:szCs w:val="18"/>
              </w:rPr>
            </w:pPr>
            <w:proofErr w:type="spellStart"/>
            <w:r w:rsidRPr="00392601">
              <w:rPr>
                <w:rFonts w:ascii="Calibri" w:eastAsia="Times New Roman" w:hAnsi="Calibri" w:cs="Calibri"/>
                <w:color w:val="000000"/>
                <w:sz w:val="18"/>
                <w:szCs w:val="18"/>
              </w:rPr>
              <w:t>Prefshift</w:t>
            </w:r>
            <w:proofErr w:type="spellEnd"/>
          </w:p>
        </w:tc>
        <w:tc>
          <w:tcPr>
            <w:tcW w:w="1220" w:type="dxa"/>
            <w:shd w:val="clear" w:color="auto" w:fill="auto"/>
            <w:noWrap/>
            <w:vAlign w:val="center"/>
            <w:hideMark/>
          </w:tcPr>
          <w:p w14:paraId="1719F4AF" w14:textId="5567119B" w:rsidR="00F077D8" w:rsidRPr="00392601" w:rsidRDefault="00F077D8" w:rsidP="00F077D8">
            <w:pPr>
              <w:rPr>
                <w:rFonts w:ascii="Calibri" w:eastAsia="Times New Roman" w:hAnsi="Calibri" w:cs="Calibri"/>
                <w:color w:val="000000"/>
                <w:sz w:val="18"/>
                <w:szCs w:val="18"/>
              </w:rPr>
            </w:pPr>
            <w:r w:rsidRPr="00392601">
              <w:rPr>
                <w:rFonts w:ascii="Calibri" w:eastAsia="Times New Roman" w:hAnsi="Calibri" w:cs="Calibri"/>
                <w:color w:val="000000"/>
                <w:sz w:val="18"/>
                <w:szCs w:val="18"/>
              </w:rPr>
              <w:t xml:space="preserve">0.02 </w:t>
            </w:r>
          </w:p>
        </w:tc>
        <w:tc>
          <w:tcPr>
            <w:tcW w:w="1220" w:type="dxa"/>
            <w:shd w:val="clear" w:color="auto" w:fill="auto"/>
            <w:noWrap/>
            <w:vAlign w:val="center"/>
            <w:hideMark/>
          </w:tcPr>
          <w:p w14:paraId="59CC9758" w14:textId="066A14C6" w:rsidR="00F077D8" w:rsidRPr="00392601" w:rsidRDefault="00F077D8" w:rsidP="00F077D8">
            <w:pPr>
              <w:rPr>
                <w:rFonts w:ascii="Calibri" w:eastAsia="Times New Roman" w:hAnsi="Calibri" w:cs="Calibri"/>
                <w:b/>
                <w:bCs/>
                <w:color w:val="000000"/>
                <w:sz w:val="18"/>
                <w:szCs w:val="18"/>
              </w:rPr>
            </w:pPr>
            <w:r w:rsidRPr="00392601">
              <w:rPr>
                <w:rFonts w:ascii="Calibri" w:eastAsia="Times New Roman" w:hAnsi="Calibri" w:cs="Calibri"/>
                <w:b/>
                <w:bCs/>
                <w:color w:val="000000"/>
                <w:sz w:val="18"/>
                <w:szCs w:val="18"/>
              </w:rPr>
              <w:t>(0.36)</w:t>
            </w:r>
          </w:p>
        </w:tc>
        <w:tc>
          <w:tcPr>
            <w:tcW w:w="1220" w:type="dxa"/>
            <w:shd w:val="clear" w:color="auto" w:fill="auto"/>
            <w:noWrap/>
            <w:vAlign w:val="center"/>
            <w:hideMark/>
          </w:tcPr>
          <w:p w14:paraId="18D6E689" w14:textId="355F1B94" w:rsidR="00F077D8" w:rsidRPr="00392601" w:rsidRDefault="00BC5AB5" w:rsidP="00F077D8">
            <w:pPr>
              <w:rPr>
                <w:rFonts w:ascii="Calibri" w:eastAsia="Times New Roman" w:hAnsi="Calibri" w:cs="Calibri"/>
                <w:color w:val="000000"/>
                <w:sz w:val="18"/>
                <w:szCs w:val="18"/>
              </w:rPr>
            </w:pPr>
            <w:r>
              <w:rPr>
                <w:rFonts w:ascii="Calibri" w:eastAsia="Times New Roman" w:hAnsi="Calibri" w:cs="Calibri"/>
                <w:color w:val="000000"/>
                <w:sz w:val="18"/>
                <w:szCs w:val="18"/>
              </w:rPr>
              <w:t>0</w:t>
            </w:r>
            <w:r w:rsidR="00F077D8" w:rsidRPr="00392601">
              <w:rPr>
                <w:rFonts w:ascii="Calibri" w:eastAsia="Times New Roman" w:hAnsi="Calibri" w:cs="Calibri"/>
                <w:color w:val="000000"/>
                <w:sz w:val="18"/>
                <w:szCs w:val="18"/>
              </w:rPr>
              <w:t xml:space="preserve">.07 </w:t>
            </w:r>
          </w:p>
        </w:tc>
        <w:tc>
          <w:tcPr>
            <w:tcW w:w="1220" w:type="dxa"/>
            <w:shd w:val="clear" w:color="auto" w:fill="auto"/>
            <w:noWrap/>
            <w:vAlign w:val="center"/>
            <w:hideMark/>
          </w:tcPr>
          <w:p w14:paraId="0756C7E6" w14:textId="1CB1C24D" w:rsidR="00F077D8" w:rsidRPr="00392601" w:rsidRDefault="00F077D8" w:rsidP="00F077D8">
            <w:pPr>
              <w:rPr>
                <w:rFonts w:ascii="Calibri" w:eastAsia="Times New Roman" w:hAnsi="Calibri" w:cs="Calibri"/>
                <w:color w:val="000000"/>
                <w:sz w:val="18"/>
                <w:szCs w:val="18"/>
              </w:rPr>
            </w:pPr>
            <w:r w:rsidRPr="00392601">
              <w:rPr>
                <w:rFonts w:ascii="Calibri" w:eastAsia="Times New Roman" w:hAnsi="Calibri" w:cs="Calibri"/>
                <w:color w:val="000000"/>
                <w:sz w:val="18"/>
                <w:szCs w:val="18"/>
              </w:rPr>
              <w:t xml:space="preserve">0.04 </w:t>
            </w:r>
          </w:p>
        </w:tc>
        <w:tc>
          <w:tcPr>
            <w:tcW w:w="1220" w:type="dxa"/>
            <w:shd w:val="clear" w:color="auto" w:fill="auto"/>
            <w:noWrap/>
            <w:vAlign w:val="center"/>
            <w:hideMark/>
          </w:tcPr>
          <w:p w14:paraId="273F89E3" w14:textId="3B6C7F0E" w:rsidR="00F077D8" w:rsidRPr="00392601" w:rsidRDefault="00F077D8" w:rsidP="00F077D8">
            <w:pPr>
              <w:rPr>
                <w:rFonts w:ascii="Calibri" w:eastAsia="Times New Roman" w:hAnsi="Calibri" w:cs="Calibri"/>
                <w:b/>
                <w:bCs/>
                <w:color w:val="000000"/>
                <w:sz w:val="18"/>
                <w:szCs w:val="18"/>
              </w:rPr>
            </w:pPr>
            <w:r w:rsidRPr="00392601">
              <w:rPr>
                <w:rFonts w:ascii="Calibri" w:eastAsia="Times New Roman" w:hAnsi="Calibri" w:cs="Calibri"/>
                <w:b/>
                <w:bCs/>
                <w:color w:val="000000"/>
                <w:sz w:val="18"/>
                <w:szCs w:val="18"/>
              </w:rPr>
              <w:t xml:space="preserve">0.92 </w:t>
            </w:r>
          </w:p>
        </w:tc>
        <w:tc>
          <w:tcPr>
            <w:tcW w:w="1220" w:type="dxa"/>
            <w:shd w:val="clear" w:color="auto" w:fill="auto"/>
            <w:noWrap/>
            <w:vAlign w:val="center"/>
            <w:hideMark/>
          </w:tcPr>
          <w:p w14:paraId="4B99A04E" w14:textId="293DE520" w:rsidR="00F077D8" w:rsidRPr="00392601" w:rsidRDefault="00F077D8" w:rsidP="00F077D8">
            <w:pPr>
              <w:rPr>
                <w:rFonts w:ascii="Calibri" w:eastAsia="Times New Roman" w:hAnsi="Calibri" w:cs="Calibri"/>
                <w:b/>
                <w:bCs/>
                <w:color w:val="000000"/>
                <w:sz w:val="18"/>
                <w:szCs w:val="18"/>
              </w:rPr>
            </w:pPr>
            <w:r w:rsidRPr="00392601">
              <w:rPr>
                <w:rFonts w:ascii="Calibri" w:eastAsia="Times New Roman" w:hAnsi="Calibri" w:cs="Calibri"/>
                <w:b/>
                <w:bCs/>
                <w:color w:val="000000"/>
                <w:sz w:val="18"/>
                <w:szCs w:val="18"/>
              </w:rPr>
              <w:t>(0.70)</w:t>
            </w:r>
          </w:p>
        </w:tc>
      </w:tr>
      <w:tr w:rsidR="00F077D8" w:rsidRPr="00392601" w14:paraId="32D3ED00" w14:textId="77777777" w:rsidTr="00F077D8">
        <w:trPr>
          <w:trHeight w:val="368"/>
        </w:trPr>
        <w:tc>
          <w:tcPr>
            <w:tcW w:w="1480" w:type="dxa"/>
            <w:shd w:val="clear" w:color="auto" w:fill="E7E6E6" w:themeFill="background2"/>
            <w:noWrap/>
            <w:vAlign w:val="center"/>
          </w:tcPr>
          <w:p w14:paraId="4137CF7D" w14:textId="77777777" w:rsidR="00F077D8" w:rsidRPr="00392601" w:rsidRDefault="00F077D8" w:rsidP="008934AA">
            <w:pPr>
              <w:ind w:firstLine="0"/>
              <w:rPr>
                <w:rFonts w:ascii="Calibri" w:eastAsia="Times New Roman" w:hAnsi="Calibri" w:cs="Calibri"/>
                <w:color w:val="000000"/>
                <w:sz w:val="18"/>
                <w:szCs w:val="18"/>
              </w:rPr>
            </w:pPr>
            <w:r>
              <w:rPr>
                <w:rFonts w:ascii="Calibri" w:eastAsia="Times New Roman" w:hAnsi="Calibri" w:cs="Calibri"/>
                <w:color w:val="000000"/>
                <w:sz w:val="18"/>
                <w:szCs w:val="18"/>
              </w:rPr>
              <w:t xml:space="preserve">Combined </w:t>
            </w:r>
          </w:p>
        </w:tc>
        <w:tc>
          <w:tcPr>
            <w:tcW w:w="1220" w:type="dxa"/>
            <w:shd w:val="clear" w:color="auto" w:fill="E7E6E6" w:themeFill="background2"/>
            <w:noWrap/>
            <w:vAlign w:val="center"/>
          </w:tcPr>
          <w:p w14:paraId="151FD404" w14:textId="6E1B4E55" w:rsidR="00F077D8" w:rsidRPr="007B3A24" w:rsidRDefault="00F077D8" w:rsidP="00F077D8">
            <w:pPr>
              <w:rPr>
                <w:rFonts w:ascii="Calibri" w:eastAsia="Times New Roman" w:hAnsi="Calibri" w:cs="Calibri"/>
                <w:color w:val="000000"/>
                <w:sz w:val="18"/>
                <w:szCs w:val="18"/>
              </w:rPr>
            </w:pPr>
            <w:r w:rsidRPr="007B3A24">
              <w:rPr>
                <w:sz w:val="18"/>
                <w:szCs w:val="18"/>
              </w:rPr>
              <w:t xml:space="preserve">0.0 </w:t>
            </w:r>
          </w:p>
        </w:tc>
        <w:tc>
          <w:tcPr>
            <w:tcW w:w="1220" w:type="dxa"/>
            <w:shd w:val="clear" w:color="auto" w:fill="E7E6E6" w:themeFill="background2"/>
            <w:noWrap/>
            <w:vAlign w:val="center"/>
          </w:tcPr>
          <w:p w14:paraId="01155C9F" w14:textId="289909B8" w:rsidR="00F077D8" w:rsidRPr="007B3A24" w:rsidRDefault="00F077D8" w:rsidP="00F077D8">
            <w:pPr>
              <w:rPr>
                <w:rFonts w:ascii="Calibri" w:eastAsia="Times New Roman" w:hAnsi="Calibri" w:cs="Calibri"/>
                <w:b/>
                <w:bCs/>
                <w:color w:val="000000"/>
                <w:sz w:val="18"/>
                <w:szCs w:val="18"/>
              </w:rPr>
            </w:pPr>
            <w:r w:rsidRPr="007B3A24">
              <w:rPr>
                <w:b/>
                <w:bCs/>
                <w:sz w:val="18"/>
                <w:szCs w:val="18"/>
              </w:rPr>
              <w:t>(0.9)</w:t>
            </w:r>
          </w:p>
        </w:tc>
        <w:tc>
          <w:tcPr>
            <w:tcW w:w="1220" w:type="dxa"/>
            <w:shd w:val="clear" w:color="auto" w:fill="E7E6E6" w:themeFill="background2"/>
            <w:noWrap/>
            <w:vAlign w:val="center"/>
          </w:tcPr>
          <w:p w14:paraId="2B8EF7F6" w14:textId="77777777" w:rsidR="00F077D8" w:rsidRPr="007B3A24" w:rsidRDefault="00F077D8" w:rsidP="00F077D8">
            <w:pPr>
              <w:rPr>
                <w:rFonts w:ascii="Calibri" w:eastAsia="Times New Roman" w:hAnsi="Calibri" w:cs="Calibri"/>
                <w:color w:val="000000"/>
                <w:sz w:val="18"/>
                <w:szCs w:val="18"/>
              </w:rPr>
            </w:pPr>
            <w:r w:rsidRPr="007B3A24">
              <w:rPr>
                <w:sz w:val="18"/>
                <w:szCs w:val="18"/>
              </w:rPr>
              <w:t xml:space="preserve"> 0.1 </w:t>
            </w:r>
          </w:p>
        </w:tc>
        <w:tc>
          <w:tcPr>
            <w:tcW w:w="1220" w:type="dxa"/>
            <w:shd w:val="clear" w:color="auto" w:fill="E7E6E6" w:themeFill="background2"/>
            <w:noWrap/>
            <w:vAlign w:val="center"/>
          </w:tcPr>
          <w:p w14:paraId="26CB54B0" w14:textId="77777777" w:rsidR="00F077D8" w:rsidRPr="007B3A24" w:rsidRDefault="00F077D8" w:rsidP="00F077D8">
            <w:pPr>
              <w:rPr>
                <w:rFonts w:ascii="Calibri" w:eastAsia="Times New Roman" w:hAnsi="Calibri" w:cs="Calibri"/>
                <w:color w:val="000000"/>
                <w:sz w:val="18"/>
                <w:szCs w:val="18"/>
              </w:rPr>
            </w:pPr>
            <w:r w:rsidRPr="007B3A24">
              <w:rPr>
                <w:sz w:val="18"/>
                <w:szCs w:val="18"/>
              </w:rPr>
              <w:t xml:space="preserve"> 0.1 </w:t>
            </w:r>
          </w:p>
        </w:tc>
        <w:tc>
          <w:tcPr>
            <w:tcW w:w="1220" w:type="dxa"/>
            <w:shd w:val="clear" w:color="auto" w:fill="E7E6E6" w:themeFill="background2"/>
            <w:noWrap/>
            <w:vAlign w:val="center"/>
          </w:tcPr>
          <w:p w14:paraId="617CAB61" w14:textId="77777777" w:rsidR="00F077D8" w:rsidRPr="007B3A24" w:rsidRDefault="00F077D8" w:rsidP="00F077D8">
            <w:pPr>
              <w:rPr>
                <w:rFonts w:ascii="Calibri" w:eastAsia="Times New Roman" w:hAnsi="Calibri" w:cs="Calibri"/>
                <w:b/>
                <w:bCs/>
                <w:color w:val="000000"/>
                <w:sz w:val="18"/>
                <w:szCs w:val="18"/>
              </w:rPr>
            </w:pPr>
            <w:r w:rsidRPr="007B3A24">
              <w:rPr>
                <w:b/>
                <w:bCs/>
                <w:sz w:val="18"/>
                <w:szCs w:val="18"/>
              </w:rPr>
              <w:t xml:space="preserve"> 2.3 </w:t>
            </w:r>
          </w:p>
        </w:tc>
        <w:tc>
          <w:tcPr>
            <w:tcW w:w="1220" w:type="dxa"/>
            <w:shd w:val="clear" w:color="auto" w:fill="E7E6E6" w:themeFill="background2"/>
            <w:noWrap/>
            <w:vAlign w:val="center"/>
          </w:tcPr>
          <w:p w14:paraId="06C79CB8" w14:textId="77777777" w:rsidR="00F077D8" w:rsidRPr="007B3A24" w:rsidRDefault="00F077D8" w:rsidP="00F077D8">
            <w:pPr>
              <w:rPr>
                <w:rFonts w:ascii="Calibri" w:eastAsia="Times New Roman" w:hAnsi="Calibri" w:cs="Calibri"/>
                <w:b/>
                <w:bCs/>
                <w:color w:val="000000"/>
                <w:sz w:val="18"/>
                <w:szCs w:val="18"/>
              </w:rPr>
            </w:pPr>
            <w:r w:rsidRPr="007B3A24">
              <w:rPr>
                <w:b/>
                <w:bCs/>
                <w:sz w:val="18"/>
                <w:szCs w:val="18"/>
              </w:rPr>
              <w:t xml:space="preserve"> (1.6)</w:t>
            </w:r>
          </w:p>
        </w:tc>
      </w:tr>
    </w:tbl>
    <w:p w14:paraId="0737EEA6" w14:textId="77777777" w:rsidR="00F077D8" w:rsidRDefault="00F077D8" w:rsidP="00F077D8"/>
    <w:p w14:paraId="39DCDEA6" w14:textId="77777777" w:rsidR="008934AA" w:rsidRDefault="008934AA" w:rsidP="008934AA">
      <w:r w:rsidRPr="002F4C4F">
        <w:t xml:space="preserve">The shifts are largest under a scenario where </w:t>
      </w:r>
      <w:r w:rsidRPr="00AE6306">
        <w:t xml:space="preserve">producers ‘design-out’ materials from production, in effect replacing material inputs with services inputs. </w:t>
      </w:r>
      <w:r w:rsidRPr="00C02CC3">
        <w:t>Similarly, product lifetime extension sees a substitution away from production sectors and to services sectors (e.g. repair</w:t>
      </w:r>
      <w:r w:rsidRPr="00495B03">
        <w:t xml:space="preserve"> and reuse), while overall consumer preference shifts away from materials quite obviously shif</w:t>
      </w:r>
      <w:r w:rsidRPr="003C571B">
        <w:t>ts economic activity towards services.</w:t>
      </w:r>
      <w:r>
        <w:t xml:space="preserve"> By contrast, production side fiscal policies in the metals and plastics sectors work in the opposite direction to the consumption-side policies, increasing industry relative to plastics. This may seem counterintuitive but relates to the relative impact of tax and subsidy policies on driving secondary production to the point where it more than offsets primary production, increasing the relative share of industry</w:t>
      </w:r>
      <w:r>
        <w:rPr>
          <w:rStyle w:val="FootnoteReference"/>
        </w:rPr>
        <w:footnoteReference w:id="13"/>
      </w:r>
      <w:r>
        <w:t>.</w:t>
      </w:r>
    </w:p>
    <w:p w14:paraId="6956640A" w14:textId="77777777" w:rsidR="008934AA" w:rsidRDefault="008934AA" w:rsidP="008934AA">
      <w:r w:rsidRPr="008934AA">
        <w:rPr>
          <w:bCs/>
        </w:rPr>
        <w:t>The scale of structural shifts is larger in the newer Member States.</w:t>
      </w:r>
      <w:r w:rsidRPr="008934AA">
        <w:t xml:space="preserve"> In Bulgaria and Poland, </w:t>
      </w:r>
      <w:r>
        <w:t xml:space="preserve">for example, the share of the Trade and Other Services sector increases by 6 percent relative to the EGD-NDC scenario by 2030 in the </w:t>
      </w:r>
      <w:r w:rsidRPr="00A82639">
        <w:rPr>
          <w:i/>
          <w:iCs/>
        </w:rPr>
        <w:t>Design</w:t>
      </w:r>
      <w:r>
        <w:t xml:space="preserve"> scenario (and by 3 percent in the </w:t>
      </w:r>
      <w:r w:rsidRPr="00EB7681">
        <w:rPr>
          <w:i/>
          <w:iCs/>
        </w:rPr>
        <w:t>Extend</w:t>
      </w:r>
      <w:r>
        <w:t xml:space="preserve"> and </w:t>
      </w:r>
      <w:proofErr w:type="spellStart"/>
      <w:r w:rsidRPr="00EB7681">
        <w:rPr>
          <w:i/>
          <w:iCs/>
        </w:rPr>
        <w:t>Prefshift</w:t>
      </w:r>
      <w:proofErr w:type="spellEnd"/>
      <w:r>
        <w:t xml:space="preserve"> scenarios) while the relative share of the Industry sector declines commensurately. For production-side policies, impacts are again relatively larger in newer Member States (5 percent growth in relative share of the industrial sector in Bulgaria, 3 percent in Croatia, and 2 percent in Romania, under the </w:t>
      </w:r>
      <w:proofErr w:type="spellStart"/>
      <w:r w:rsidRPr="001F33DF">
        <w:rPr>
          <w:i/>
          <w:iCs/>
        </w:rPr>
        <w:t>MetalFF</w:t>
      </w:r>
      <w:proofErr w:type="spellEnd"/>
      <w:r w:rsidRPr="001F33DF">
        <w:rPr>
          <w:i/>
          <w:iCs/>
        </w:rPr>
        <w:t>-total</w:t>
      </w:r>
      <w:r>
        <w:t xml:space="preserve"> scenario) and also appear to come more at the expense of the power and extraction sectors than from services. </w:t>
      </w:r>
    </w:p>
    <w:p w14:paraId="07CAFB06" w14:textId="1C814194" w:rsidR="00F077D8" w:rsidRDefault="00F077D8" w:rsidP="00F077D8">
      <w:r w:rsidRPr="008934AA">
        <w:rPr>
          <w:bCs/>
        </w:rPr>
        <w:t>The macroeconomic costs of achieving the circular economy will be minor.</w:t>
      </w:r>
      <w:r w:rsidRPr="008934AA">
        <w:t xml:space="preserve"> </w:t>
      </w:r>
      <w:r>
        <w:t>While CE will no doubt create economic opportunities, alternative policies explored in this assessment – all of which aim to reduce and shift demand – do have macroeconomic costs.</w:t>
      </w:r>
      <w:r>
        <w:rPr>
          <w:rStyle w:val="FootnoteReference"/>
        </w:rPr>
        <w:footnoteReference w:id="14"/>
      </w:r>
      <w:r>
        <w:t xml:space="preserve"> In the </w:t>
      </w:r>
      <w:r w:rsidRPr="0098302C">
        <w:rPr>
          <w:i/>
          <w:iCs/>
        </w:rPr>
        <w:t>Combined</w:t>
      </w:r>
      <w:r>
        <w:t xml:space="preserve"> scenario, total annual GDP is around one percent lower relative to the reference scenario in 2030 – for most of the individual policy scenarios, the cost is around 0.3-0.4 percent of 2030 GDP (</w:t>
      </w:r>
      <w:r w:rsidR="008934AA">
        <w:t>Figure 16</w:t>
      </w:r>
      <w:r>
        <w:t xml:space="preserve">). This may be considered a minor cost, particularly as it does not </w:t>
      </w:r>
      <w:r w:rsidR="00445BC5">
        <w:t>consider</w:t>
      </w:r>
      <w:r>
        <w:t xml:space="preserve"> co-benefits of achieving material </w:t>
      </w:r>
      <w:r>
        <w:lastRenderedPageBreak/>
        <w:t xml:space="preserve">decoupling (e.g. improved health and productivity resulting from lower pollution, increased biodiversity, etc.). Moreover, it is important to recognize that this ‘cost’ is relative to baseline growth – real GDP in the </w:t>
      </w:r>
      <w:r w:rsidRPr="002D393E">
        <w:rPr>
          <w:i/>
          <w:iCs/>
        </w:rPr>
        <w:t>Combined</w:t>
      </w:r>
      <w:r>
        <w:t xml:space="preserve"> scenario is still 13.5 percent higher in 2030 versus </w:t>
      </w:r>
      <w:r w:rsidRPr="002D393E">
        <w:rPr>
          <w:i/>
          <w:iCs/>
        </w:rPr>
        <w:t>BAU</w:t>
      </w:r>
      <w:r>
        <w:t xml:space="preserve"> in 2021. GDP implications at the country level are broadly in line with overall EU trends, with Bulgaria and Poland most exposed to production-side policies targeting metals and fossil fuels and Poland and Romania most exposed to policies that aim to ‘design-out’ materials as inputs in production, perhaps reflecting their positions in European manufacturing value chains. </w:t>
      </w:r>
    </w:p>
    <w:p w14:paraId="110CC8CF" w14:textId="77777777" w:rsidR="00F077D8" w:rsidRDefault="00F077D8" w:rsidP="00F077D8"/>
    <w:p w14:paraId="02E6F491" w14:textId="77777777" w:rsidR="00F077D8" w:rsidRDefault="00F077D8" w:rsidP="00F7569F">
      <w:pPr>
        <w:ind w:firstLine="0"/>
        <w:jc w:val="center"/>
      </w:pPr>
      <w:r>
        <w:rPr>
          <w:noProof/>
        </w:rPr>
        <w:drawing>
          <wp:inline distT="0" distB="0" distL="0" distR="0" wp14:anchorId="276EDCE8" wp14:editId="449E32E7">
            <wp:extent cx="4951656" cy="2995683"/>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93681" cy="3021107"/>
                    </a:xfrm>
                    <a:prstGeom prst="rect">
                      <a:avLst/>
                    </a:prstGeom>
                    <a:noFill/>
                  </pic:spPr>
                </pic:pic>
              </a:graphicData>
            </a:graphic>
          </wp:inline>
        </w:drawing>
      </w:r>
    </w:p>
    <w:p w14:paraId="78F4F7C6" w14:textId="77777777" w:rsidR="008934AA" w:rsidRPr="008934AA" w:rsidRDefault="008934AA" w:rsidP="00BC5AB5">
      <w:pPr>
        <w:pStyle w:val="Caption"/>
        <w:keepNext/>
        <w:ind w:firstLine="0"/>
        <w:rPr>
          <w:b/>
          <w:i w:val="0"/>
        </w:rPr>
      </w:pPr>
      <w:bookmarkStart w:id="13" w:name="_Ref95136623"/>
      <w:r w:rsidRPr="00BC5AB5">
        <w:rPr>
          <w:rFonts w:asciiTheme="minorHAnsi" w:eastAsiaTheme="minorHAnsi" w:hAnsiTheme="minorHAnsi" w:cstheme="minorBidi"/>
          <w:b/>
          <w:i w:val="0"/>
          <w:iCs w:val="0"/>
          <w:color w:val="auto"/>
          <w:sz w:val="24"/>
          <w:szCs w:val="24"/>
          <w:lang w:val="en-US" w:eastAsia="en-US"/>
        </w:rPr>
        <w:t>Figure</w:t>
      </w:r>
      <w:bookmarkEnd w:id="13"/>
      <w:r w:rsidRPr="00BC5AB5">
        <w:rPr>
          <w:rFonts w:asciiTheme="minorHAnsi" w:eastAsiaTheme="minorHAnsi" w:hAnsiTheme="minorHAnsi" w:cstheme="minorBidi"/>
          <w:b/>
          <w:i w:val="0"/>
          <w:iCs w:val="0"/>
          <w:color w:val="auto"/>
          <w:sz w:val="24"/>
          <w:szCs w:val="24"/>
          <w:lang w:val="en-US" w:eastAsia="en-US"/>
        </w:rPr>
        <w:t xml:space="preserve"> 16: Change in Europe GDP relative to EGD-NDC scenario (2030)</w:t>
      </w:r>
    </w:p>
    <w:p w14:paraId="71410749" w14:textId="77777777" w:rsidR="00F077D8" w:rsidRPr="008934AA" w:rsidRDefault="00F077D8" w:rsidP="00F077D8">
      <w:pPr>
        <w:rPr>
          <w:lang w:val="en-CA"/>
        </w:rPr>
      </w:pPr>
    </w:p>
    <w:p w14:paraId="66C16698" w14:textId="29902D9C" w:rsidR="00F077D8" w:rsidRDefault="00F077D8" w:rsidP="00F077D8">
      <w:pPr>
        <w:rPr>
          <w:i/>
          <w:iCs/>
        </w:rPr>
      </w:pPr>
      <w:r>
        <w:t xml:space="preserve">While consumer prices are expected to rise moderately under most CE policy scenarios, the net effect under the </w:t>
      </w:r>
      <w:r w:rsidRPr="00280436">
        <w:rPr>
          <w:i/>
          <w:iCs/>
        </w:rPr>
        <w:t>Combined</w:t>
      </w:r>
      <w:r>
        <w:t xml:space="preserve"> scenario shows no change compared to the reference scenario (</w:t>
      </w:r>
      <w:r w:rsidR="008934AA">
        <w:t>Figure 1</w:t>
      </w:r>
      <w:r w:rsidR="0008165D">
        <w:t>7</w:t>
      </w:r>
      <w:r>
        <w:t>). As noted earlier, the impact of BAT for primary metals has the largest overall impact, increasing CPI by 0.7 percent. Demand-side scenarios (</w:t>
      </w:r>
      <w:r w:rsidRPr="007A4A70">
        <w:rPr>
          <w:i/>
          <w:iCs/>
        </w:rPr>
        <w:t>Extend</w:t>
      </w:r>
      <w:r>
        <w:t xml:space="preserve"> and </w:t>
      </w:r>
      <w:proofErr w:type="spellStart"/>
      <w:r w:rsidRPr="007A4A70">
        <w:rPr>
          <w:i/>
          <w:iCs/>
        </w:rPr>
        <w:t>Prefshift</w:t>
      </w:r>
      <w:proofErr w:type="spellEnd"/>
      <w:r>
        <w:t xml:space="preserve">) also result in modest increases in consumer prices. Again, the effects in some countries are higher than for Europe overall, with CPI rising close to 1 percent relative to the reference scenario for the demand-side policies in Bulgaria, Croatia, and Poland, and above 1 percent in Poland and Romania for metals taxes with BAT. </w:t>
      </w:r>
      <w:r w:rsidR="008934AA">
        <w:t>Figure 1</w:t>
      </w:r>
      <w:r w:rsidR="0008165D">
        <w:t>8</w:t>
      </w:r>
      <w:r w:rsidR="008934AA">
        <w:t xml:space="preserve"> </w:t>
      </w:r>
      <w:r>
        <w:t>breaks consumer prices down into key categories for selected production-side CE policy scenarios</w:t>
      </w:r>
      <w:r>
        <w:rPr>
          <w:rStyle w:val="FootnoteReference"/>
        </w:rPr>
        <w:footnoteReference w:id="15"/>
      </w:r>
      <w:r>
        <w:t xml:space="preserve">. It again highlights the impact of BAT on overall prices, and also shows how price rises will vary significantly across key goods and services. Notably, goods and services and also food prices will rise more sharply than energy and transport prices. </w:t>
      </w:r>
    </w:p>
    <w:p w14:paraId="2489B55B" w14:textId="77777777" w:rsidR="00F077D8" w:rsidRDefault="00F077D8" w:rsidP="00F077D8">
      <w:pPr>
        <w:rPr>
          <w:i/>
          <w:iCs/>
        </w:rPr>
      </w:pPr>
    </w:p>
    <w:p w14:paraId="4278D178" w14:textId="77777777" w:rsidR="00F077D8" w:rsidRDefault="00F077D8" w:rsidP="00F7569F">
      <w:pPr>
        <w:ind w:firstLine="0"/>
        <w:jc w:val="center"/>
      </w:pPr>
      <w:r>
        <w:rPr>
          <w:noProof/>
        </w:rPr>
        <w:lastRenderedPageBreak/>
        <w:drawing>
          <wp:inline distT="0" distB="0" distL="0" distR="0" wp14:anchorId="7C23BD24" wp14:editId="4E45D5F2">
            <wp:extent cx="4782465" cy="2893325"/>
            <wp:effectExtent l="0" t="0" r="0" b="254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807471" cy="2908453"/>
                    </a:xfrm>
                    <a:prstGeom prst="rect">
                      <a:avLst/>
                    </a:prstGeom>
                    <a:noFill/>
                  </pic:spPr>
                </pic:pic>
              </a:graphicData>
            </a:graphic>
          </wp:inline>
        </w:drawing>
      </w:r>
    </w:p>
    <w:p w14:paraId="0D5545BF" w14:textId="77777777" w:rsidR="008934AA" w:rsidRPr="00BC5AB5" w:rsidRDefault="008934AA" w:rsidP="00BC5AB5">
      <w:pPr>
        <w:pStyle w:val="Caption"/>
        <w:keepNext/>
        <w:ind w:firstLine="0"/>
        <w:rPr>
          <w:rFonts w:asciiTheme="minorHAnsi" w:eastAsiaTheme="minorHAnsi" w:hAnsiTheme="minorHAnsi" w:cstheme="minorBidi"/>
          <w:b/>
          <w:i w:val="0"/>
          <w:iCs w:val="0"/>
          <w:color w:val="auto"/>
          <w:sz w:val="24"/>
          <w:szCs w:val="24"/>
          <w:lang w:val="en-US" w:eastAsia="en-US"/>
        </w:rPr>
      </w:pPr>
      <w:bookmarkStart w:id="14" w:name="_Ref95143574"/>
      <w:r w:rsidRPr="00BC5AB5">
        <w:rPr>
          <w:rFonts w:asciiTheme="minorHAnsi" w:eastAsiaTheme="minorHAnsi" w:hAnsiTheme="minorHAnsi" w:cstheme="minorBidi"/>
          <w:b/>
          <w:i w:val="0"/>
          <w:iCs w:val="0"/>
          <w:color w:val="auto"/>
          <w:sz w:val="24"/>
          <w:szCs w:val="24"/>
          <w:lang w:val="en-US" w:eastAsia="en-US"/>
        </w:rPr>
        <w:t>Figure</w:t>
      </w:r>
      <w:bookmarkEnd w:id="14"/>
      <w:r w:rsidRPr="00BC5AB5">
        <w:rPr>
          <w:rFonts w:asciiTheme="minorHAnsi" w:eastAsiaTheme="minorHAnsi" w:hAnsiTheme="minorHAnsi" w:cstheme="minorBidi"/>
          <w:b/>
          <w:i w:val="0"/>
          <w:iCs w:val="0"/>
          <w:color w:val="auto"/>
          <w:sz w:val="24"/>
          <w:szCs w:val="24"/>
          <w:lang w:val="en-US" w:eastAsia="en-US"/>
        </w:rPr>
        <w:t xml:space="preserve"> 17: Change in consumer prices in Europe relative to reference scenario (2030)</w:t>
      </w:r>
    </w:p>
    <w:p w14:paraId="3008AFED" w14:textId="77777777" w:rsidR="00F077D8" w:rsidRPr="008934AA" w:rsidRDefault="00F077D8" w:rsidP="00F077D8">
      <w:pPr>
        <w:rPr>
          <w:lang w:val="en-CA"/>
        </w:rPr>
      </w:pPr>
    </w:p>
    <w:p w14:paraId="556BC93F" w14:textId="77777777" w:rsidR="008934AA" w:rsidRDefault="008934AA" w:rsidP="00F7569F">
      <w:pPr>
        <w:ind w:firstLine="0"/>
        <w:jc w:val="center"/>
      </w:pPr>
      <w:r>
        <w:rPr>
          <w:noProof/>
        </w:rPr>
        <w:drawing>
          <wp:inline distT="0" distB="0" distL="0" distR="0" wp14:anchorId="5D74420B" wp14:editId="60FD297D">
            <wp:extent cx="4779264" cy="2872854"/>
            <wp:effectExtent l="0" t="0" r="2540" b="381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30243" cy="2903498"/>
                    </a:xfrm>
                    <a:prstGeom prst="rect">
                      <a:avLst/>
                    </a:prstGeom>
                    <a:noFill/>
                  </pic:spPr>
                </pic:pic>
              </a:graphicData>
            </a:graphic>
          </wp:inline>
        </w:drawing>
      </w:r>
    </w:p>
    <w:p w14:paraId="24EB88D3" w14:textId="3F031A5C" w:rsidR="008934AA" w:rsidRDefault="008934AA" w:rsidP="00BC5AB5">
      <w:pPr>
        <w:pStyle w:val="Caption"/>
        <w:keepNext/>
        <w:ind w:firstLine="0"/>
      </w:pPr>
      <w:bookmarkStart w:id="15" w:name="_Ref95945006"/>
      <w:r w:rsidRPr="00BC5AB5">
        <w:rPr>
          <w:rFonts w:asciiTheme="minorHAnsi" w:eastAsiaTheme="minorHAnsi" w:hAnsiTheme="minorHAnsi" w:cstheme="minorBidi"/>
          <w:b/>
          <w:i w:val="0"/>
          <w:iCs w:val="0"/>
          <w:color w:val="auto"/>
          <w:sz w:val="24"/>
          <w:szCs w:val="24"/>
          <w:lang w:val="en-US" w:eastAsia="en-US"/>
        </w:rPr>
        <w:t>Figure</w:t>
      </w:r>
      <w:bookmarkEnd w:id="15"/>
      <w:r w:rsidRPr="00BC5AB5">
        <w:rPr>
          <w:rFonts w:asciiTheme="minorHAnsi" w:eastAsiaTheme="minorHAnsi" w:hAnsiTheme="minorHAnsi" w:cstheme="minorBidi"/>
          <w:b/>
          <w:i w:val="0"/>
          <w:iCs w:val="0"/>
          <w:color w:val="auto"/>
          <w:sz w:val="24"/>
          <w:szCs w:val="24"/>
          <w:lang w:val="en-US" w:eastAsia="en-US"/>
        </w:rPr>
        <w:t xml:space="preserve"> 18: Change in consumer prices across key categories for primary metals scenarios (2030)</w:t>
      </w:r>
    </w:p>
    <w:p w14:paraId="23145100" w14:textId="77777777" w:rsidR="008934AA" w:rsidRPr="008934AA" w:rsidRDefault="008934AA" w:rsidP="008934AA">
      <w:pPr>
        <w:rPr>
          <w:lang w:val="en-CA"/>
        </w:rPr>
      </w:pPr>
    </w:p>
    <w:p w14:paraId="220F80E0" w14:textId="77777777" w:rsidR="0008165D" w:rsidRDefault="0008165D" w:rsidP="0008165D">
      <w:r w:rsidRPr="008934AA">
        <w:rPr>
          <w:bCs/>
        </w:rPr>
        <w:t>While labor market impacts from most individual CE policies are modest</w:t>
      </w:r>
      <w:r w:rsidRPr="008934AA">
        <w:t xml:space="preserve">, </w:t>
      </w:r>
      <w:r w:rsidRPr="008934AA">
        <w:rPr>
          <w:bCs/>
        </w:rPr>
        <w:t>in combination (</w:t>
      </w:r>
      <w:r w:rsidRPr="008934AA">
        <w:rPr>
          <w:bCs/>
          <w:i/>
          <w:iCs/>
        </w:rPr>
        <w:t>Combine</w:t>
      </w:r>
      <w:r w:rsidRPr="008934AA">
        <w:rPr>
          <w:bCs/>
        </w:rPr>
        <w:t>) they are relatively significant for unskilled workers</w:t>
      </w:r>
      <w:r>
        <w:t xml:space="preserve"> (Figure 19</w:t>
      </w:r>
      <w:r>
        <w:fldChar w:fldCharType="begin"/>
      </w:r>
      <w:r>
        <w:instrText xml:space="preserve"> REF _Ref95144392 \h </w:instrText>
      </w:r>
      <w:r>
        <w:fldChar w:fldCharType="end"/>
      </w:r>
      <w:r>
        <w:t>) – relative to the reference scenario unskilled workers see unemployment rise by 0.6 percentage points and real wages decline by 2.6 percent. Skilled workers, by contrast, experience lower unemployment and only slightly lower wages. Impacts vary markedly across individual CE policy scenarios. Fiscal policies targeting production of primary materials has almost no impact on unemployment and wages. By contrast the upstream and demand-side scenarios show much larger effects, with a clear skills-bias. Under all three scenarios (</w:t>
      </w:r>
      <w:r w:rsidRPr="00B22A0C">
        <w:rPr>
          <w:i/>
          <w:iCs/>
        </w:rPr>
        <w:t>Design</w:t>
      </w:r>
      <w:r>
        <w:t xml:space="preserve">, </w:t>
      </w:r>
      <w:r w:rsidRPr="00B22A0C">
        <w:rPr>
          <w:i/>
          <w:iCs/>
        </w:rPr>
        <w:t>Extend</w:t>
      </w:r>
      <w:r>
        <w:t xml:space="preserve">, </w:t>
      </w:r>
      <w:proofErr w:type="spellStart"/>
      <w:r w:rsidRPr="00B22A0C">
        <w:rPr>
          <w:i/>
          <w:iCs/>
        </w:rPr>
        <w:t>Prefshift</w:t>
      </w:r>
      <w:proofErr w:type="spellEnd"/>
      <w:r>
        <w:t xml:space="preserve">) unemployment rises and wages fall for unskilled workers, while unemployment falls and wages rise for skilled workers. </w:t>
      </w:r>
    </w:p>
    <w:p w14:paraId="11088982" w14:textId="77777777" w:rsidR="00F077D8" w:rsidRDefault="00F077D8" w:rsidP="00F077D8"/>
    <w:p w14:paraId="0F8FFC2C" w14:textId="1684E665" w:rsidR="00F077D8" w:rsidRPr="00294866" w:rsidRDefault="00F077D8" w:rsidP="008934AA">
      <w:pPr>
        <w:pStyle w:val="Caption"/>
        <w:keepNext/>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6"/>
        <w:gridCol w:w="4675"/>
      </w:tblGrid>
      <w:tr w:rsidR="00F077D8" w14:paraId="5C6D0507" w14:textId="77777777" w:rsidTr="001D5CEA">
        <w:tc>
          <w:tcPr>
            <w:tcW w:w="4726" w:type="dxa"/>
          </w:tcPr>
          <w:p w14:paraId="21C9E373" w14:textId="77777777" w:rsidR="00F077D8" w:rsidRDefault="00F077D8" w:rsidP="008934AA">
            <w:pPr>
              <w:ind w:firstLine="0"/>
              <w:rPr>
                <w:noProof/>
              </w:rPr>
            </w:pPr>
            <w:r>
              <w:rPr>
                <w:noProof/>
              </w:rPr>
              <w:drawing>
                <wp:inline distT="0" distB="0" distL="0" distR="0" wp14:anchorId="4FA2EAC9" wp14:editId="3815F683">
                  <wp:extent cx="2863887" cy="15430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78212" cy="1550768"/>
                          </a:xfrm>
                          <a:prstGeom prst="rect">
                            <a:avLst/>
                          </a:prstGeom>
                          <a:noFill/>
                        </pic:spPr>
                      </pic:pic>
                    </a:graphicData>
                  </a:graphic>
                </wp:inline>
              </w:drawing>
            </w:r>
          </w:p>
        </w:tc>
        <w:tc>
          <w:tcPr>
            <w:tcW w:w="4675" w:type="dxa"/>
          </w:tcPr>
          <w:p w14:paraId="592786D8" w14:textId="77777777" w:rsidR="00F077D8" w:rsidRDefault="00F077D8" w:rsidP="008934AA">
            <w:pPr>
              <w:ind w:firstLine="0"/>
              <w:rPr>
                <w:noProof/>
              </w:rPr>
            </w:pPr>
            <w:r>
              <w:rPr>
                <w:noProof/>
              </w:rPr>
              <w:drawing>
                <wp:inline distT="0" distB="0" distL="0" distR="0" wp14:anchorId="3D9EE318" wp14:editId="137AF1F4">
                  <wp:extent cx="2664208" cy="156210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99658" cy="1582885"/>
                          </a:xfrm>
                          <a:prstGeom prst="rect">
                            <a:avLst/>
                          </a:prstGeom>
                          <a:noFill/>
                        </pic:spPr>
                      </pic:pic>
                    </a:graphicData>
                  </a:graphic>
                </wp:inline>
              </w:drawing>
            </w:r>
          </w:p>
        </w:tc>
      </w:tr>
    </w:tbl>
    <w:p w14:paraId="5D66C159" w14:textId="6B847751" w:rsidR="00F077D8" w:rsidRDefault="001D5CEA" w:rsidP="001D5CEA">
      <w:pPr>
        <w:ind w:firstLine="0"/>
        <w:rPr>
          <w:b/>
        </w:rPr>
      </w:pPr>
      <w:bookmarkStart w:id="16" w:name="_Ref95144392"/>
      <w:r w:rsidRPr="001D5CEA">
        <w:rPr>
          <w:b/>
        </w:rPr>
        <w:t>Figure</w:t>
      </w:r>
      <w:bookmarkEnd w:id="16"/>
      <w:r w:rsidRPr="001D5CEA">
        <w:rPr>
          <w:b/>
        </w:rPr>
        <w:t xml:space="preserve"> 19: Change in unemployment rate (left) and real wage (right) by skill level: Europe relative to reference scenario (2030)</w:t>
      </w:r>
    </w:p>
    <w:p w14:paraId="53E23EC8" w14:textId="77777777" w:rsidR="001D5CEA" w:rsidRPr="001D5CEA" w:rsidRDefault="001D5CEA" w:rsidP="001D5CEA">
      <w:pPr>
        <w:ind w:firstLine="0"/>
        <w:rPr>
          <w:b/>
          <w:noProof/>
        </w:rPr>
      </w:pPr>
    </w:p>
    <w:p w14:paraId="619C92F1" w14:textId="77777777" w:rsidR="0008165D" w:rsidRDefault="0008165D" w:rsidP="0008165D">
      <w:bookmarkStart w:id="17" w:name="_Ref95145262"/>
      <w:r w:rsidRPr="008934AA">
        <w:rPr>
          <w:bCs/>
        </w:rPr>
        <w:t>Country-level distributional impacts can be significant, driven by underlying sectoral and skills structures</w:t>
      </w:r>
      <w:r w:rsidRPr="008934AA">
        <w:t>.</w:t>
      </w:r>
      <w:r>
        <w:t xml:space="preserve"> For example, in the </w:t>
      </w:r>
      <w:r w:rsidRPr="00BA3827">
        <w:rPr>
          <w:i/>
          <w:iCs/>
        </w:rPr>
        <w:t>Combined</w:t>
      </w:r>
      <w:r>
        <w:t xml:space="preserve"> scenario (Figure 20) Poland, real wages for unskilled workers are down 5.6 percent. Moreover, skilled workers gain considerably in all countries but Croatia. One notable difference in the newer Member States relative to Europe overall is that the largest impacts are seen through the production-side CE scenarios than through the upstream and demand-side scenarios. Specifically, skilled workers appear to fare much less well in all four countries (versus Europe overall) under the upstream and demand-side scenarios; rather their gains come mainly in the production-side CE intervention scenarios. In parallel unskilled workers in these countries see wages fall more through production-side interventions than in Europe overall. This likely reflects the higher concentration of unskilled workers in the newer Member States, resulting in greater exposure to declines in unskilled activities and at a weaker position to benefit from gains in skilled activities.</w:t>
      </w:r>
    </w:p>
    <w:p w14:paraId="6BAC9AF6" w14:textId="77777777" w:rsidR="0008165D" w:rsidRDefault="0008165D" w:rsidP="00F077D8">
      <w:pPr>
        <w:pStyle w:val="Caption"/>
        <w:keepNext/>
        <w:rPr>
          <w:lang w:val="en-US"/>
        </w:rPr>
      </w:pPr>
    </w:p>
    <w:bookmarkEnd w:id="17"/>
    <w:p w14:paraId="0790E648" w14:textId="77777777" w:rsidR="00F077D8" w:rsidRDefault="00F077D8" w:rsidP="00F7569F">
      <w:pPr>
        <w:ind w:firstLine="0"/>
        <w:jc w:val="center"/>
        <w:rPr>
          <w:noProof/>
        </w:rPr>
      </w:pPr>
      <w:r>
        <w:rPr>
          <w:noProof/>
        </w:rPr>
        <w:drawing>
          <wp:inline distT="0" distB="0" distL="0" distR="0" wp14:anchorId="6EA0D622" wp14:editId="0DB7D1A0">
            <wp:extent cx="4665743" cy="2804615"/>
            <wp:effectExtent l="0" t="0" r="190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08646" cy="2830404"/>
                    </a:xfrm>
                    <a:prstGeom prst="rect">
                      <a:avLst/>
                    </a:prstGeom>
                    <a:noFill/>
                  </pic:spPr>
                </pic:pic>
              </a:graphicData>
            </a:graphic>
          </wp:inline>
        </w:drawing>
      </w:r>
    </w:p>
    <w:p w14:paraId="5159476D" w14:textId="77777777" w:rsidR="001D5CEA" w:rsidRPr="00BC5AB5" w:rsidRDefault="001D5CEA" w:rsidP="001D5CEA">
      <w:pPr>
        <w:pStyle w:val="Caption"/>
        <w:keepNext/>
        <w:ind w:firstLine="0"/>
        <w:rPr>
          <w:rFonts w:asciiTheme="minorHAnsi" w:eastAsiaTheme="minorHAnsi" w:hAnsiTheme="minorHAnsi" w:cstheme="minorBidi"/>
          <w:b/>
          <w:i w:val="0"/>
          <w:iCs w:val="0"/>
          <w:color w:val="auto"/>
          <w:sz w:val="24"/>
          <w:szCs w:val="24"/>
          <w:lang w:val="en-US" w:eastAsia="en-US"/>
        </w:rPr>
      </w:pPr>
      <w:r w:rsidRPr="00BC5AB5">
        <w:rPr>
          <w:rFonts w:asciiTheme="minorHAnsi" w:eastAsiaTheme="minorHAnsi" w:hAnsiTheme="minorHAnsi" w:cstheme="minorBidi"/>
          <w:b/>
          <w:i w:val="0"/>
          <w:iCs w:val="0"/>
          <w:color w:val="auto"/>
          <w:sz w:val="24"/>
          <w:szCs w:val="24"/>
          <w:lang w:val="en-US" w:eastAsia="en-US"/>
        </w:rPr>
        <w:t>Figure 20: Change in real wages by skill level at country level (2030)- Combined scenario</w:t>
      </w:r>
    </w:p>
    <w:p w14:paraId="3C86060F" w14:textId="23765438" w:rsidR="009A783A" w:rsidRPr="001D5CEA" w:rsidRDefault="009A783A">
      <w:pPr>
        <w:spacing w:after="160"/>
        <w:ind w:firstLine="0"/>
        <w:jc w:val="left"/>
        <w:rPr>
          <w:noProof/>
          <w:lang w:val="en-CA"/>
        </w:rPr>
      </w:pPr>
    </w:p>
    <w:p w14:paraId="17C34BD1" w14:textId="0749F31E" w:rsidR="00B762EE" w:rsidRPr="00AD4B79" w:rsidRDefault="00B762EE" w:rsidP="00B762EE">
      <w:pPr>
        <w:pStyle w:val="Heading1"/>
        <w:rPr>
          <w:lang w:val="fr-FR"/>
        </w:rPr>
      </w:pPr>
      <w:r w:rsidRPr="00AD4B79">
        <w:rPr>
          <w:lang w:val="fr-FR"/>
        </w:rPr>
        <w:lastRenderedPageBreak/>
        <w:t xml:space="preserve">4. </w:t>
      </w:r>
      <w:r w:rsidR="009A783A">
        <w:rPr>
          <w:lang w:val="fr-FR"/>
        </w:rPr>
        <w:t>C</w:t>
      </w:r>
      <w:r w:rsidRPr="00AD4B79">
        <w:rPr>
          <w:lang w:val="fr-FR"/>
        </w:rPr>
        <w:t>onclusions</w:t>
      </w:r>
    </w:p>
    <w:p w14:paraId="1D3311FD" w14:textId="77777777" w:rsidR="00EA7EB7" w:rsidRPr="00F7569F" w:rsidRDefault="00EA7EB7" w:rsidP="00EA7EB7">
      <w:pPr>
        <w:numPr>
          <w:ilvl w:val="0"/>
          <w:numId w:val="6"/>
        </w:numPr>
        <w:rPr>
          <w:rFonts w:eastAsia="Times New Roman" w:cs="Times New Roman"/>
          <w:szCs w:val="24"/>
        </w:rPr>
      </w:pPr>
      <w:r w:rsidRPr="00F7569F">
        <w:rPr>
          <w:rFonts w:eastAsia="Times New Roman" w:cs="Times New Roman"/>
          <w:b/>
          <w:bCs/>
          <w:szCs w:val="24"/>
        </w:rPr>
        <w:t>Climate and CE policies are complementary</w:t>
      </w:r>
      <w:r w:rsidRPr="00F7569F">
        <w:rPr>
          <w:rFonts w:eastAsia="Times New Roman" w:cs="Times New Roman"/>
          <w:szCs w:val="24"/>
        </w:rPr>
        <w:t>: EGD measures targeting CO</w:t>
      </w:r>
      <w:r w:rsidRPr="00F7569F">
        <w:rPr>
          <w:rFonts w:eastAsia="Times New Roman" w:cs="Times New Roman"/>
          <w:szCs w:val="24"/>
          <w:vertAlign w:val="subscript"/>
        </w:rPr>
        <w:t>2</w:t>
      </w:r>
      <w:r w:rsidRPr="00F7569F">
        <w:rPr>
          <w:rFonts w:eastAsia="Times New Roman" w:cs="Times New Roman"/>
          <w:szCs w:val="24"/>
        </w:rPr>
        <w:t xml:space="preserve"> emissions will have an impact on material use, but only a modest one. Similarly, materials-focused measures will have only a modest impact on CO</w:t>
      </w:r>
      <w:r w:rsidRPr="00F7569F">
        <w:rPr>
          <w:rFonts w:eastAsia="Times New Roman" w:cs="Times New Roman"/>
          <w:szCs w:val="24"/>
          <w:vertAlign w:val="subscript"/>
        </w:rPr>
        <w:t>2</w:t>
      </w:r>
      <w:r w:rsidRPr="00F7569F">
        <w:rPr>
          <w:rFonts w:eastAsia="Times New Roman" w:cs="Times New Roman"/>
          <w:szCs w:val="24"/>
        </w:rPr>
        <w:t xml:space="preserve"> emissions.</w:t>
      </w:r>
    </w:p>
    <w:p w14:paraId="4B45E429" w14:textId="77777777" w:rsidR="00EA7EB7" w:rsidRPr="00F7569F" w:rsidRDefault="00EA7EB7" w:rsidP="00EA7EB7">
      <w:pPr>
        <w:numPr>
          <w:ilvl w:val="0"/>
          <w:numId w:val="6"/>
        </w:numPr>
        <w:rPr>
          <w:rFonts w:eastAsia="Times New Roman" w:cs="Times New Roman"/>
          <w:szCs w:val="24"/>
        </w:rPr>
      </w:pPr>
      <w:r w:rsidRPr="00F7569F">
        <w:rPr>
          <w:rFonts w:eastAsia="Times New Roman" w:cs="Times New Roman"/>
          <w:b/>
          <w:bCs/>
          <w:szCs w:val="24"/>
        </w:rPr>
        <w:t>CE measures can have a significant impact on materials consumption</w:t>
      </w:r>
      <w:r w:rsidRPr="00F7569F">
        <w:rPr>
          <w:rFonts w:eastAsia="Times New Roman" w:cs="Times New Roman"/>
          <w:szCs w:val="24"/>
        </w:rPr>
        <w:t>: Scenarios indicate aggregate material production in EU could decline 5-9% (relative to baseline in 2030) under alternative CE policies; for some products (notably metals) substantially larger declines are possible.</w:t>
      </w:r>
    </w:p>
    <w:p w14:paraId="534EDD26" w14:textId="77777777" w:rsidR="00EA7EB7" w:rsidRPr="00F7569F" w:rsidRDefault="00EA7EB7" w:rsidP="00EA7EB7">
      <w:pPr>
        <w:numPr>
          <w:ilvl w:val="0"/>
          <w:numId w:val="6"/>
        </w:numPr>
        <w:rPr>
          <w:rFonts w:eastAsia="Times New Roman" w:cs="Times New Roman"/>
          <w:szCs w:val="24"/>
        </w:rPr>
      </w:pPr>
      <w:r w:rsidRPr="00F7569F">
        <w:rPr>
          <w:rFonts w:eastAsia="Times New Roman" w:cs="Times New Roman"/>
          <w:b/>
          <w:bCs/>
          <w:szCs w:val="24"/>
        </w:rPr>
        <w:t>Measures must be targeted</w:t>
      </w:r>
      <w:r w:rsidRPr="00F7569F">
        <w:rPr>
          <w:rFonts w:eastAsia="Times New Roman" w:cs="Times New Roman"/>
          <w:szCs w:val="24"/>
        </w:rPr>
        <w:t>: Response to CE measures varies substantially by material – e.g. metals reduce most with policies targeting production directly (recycling) and design, while construction materials respond best to design policies (and may require policies better targeting investment rather than consumption); countries’ baseline conditions will also impact outcomes.</w:t>
      </w:r>
    </w:p>
    <w:p w14:paraId="1386D5FF" w14:textId="77777777" w:rsidR="00EA7EB7" w:rsidRPr="00F7569F" w:rsidRDefault="00EA7EB7" w:rsidP="00EA7EB7">
      <w:pPr>
        <w:numPr>
          <w:ilvl w:val="0"/>
          <w:numId w:val="6"/>
        </w:numPr>
        <w:rPr>
          <w:rFonts w:eastAsia="Times New Roman" w:cs="Times New Roman"/>
          <w:szCs w:val="24"/>
        </w:rPr>
      </w:pPr>
      <w:r w:rsidRPr="00F7569F">
        <w:rPr>
          <w:rFonts w:eastAsia="Times New Roman" w:cs="Times New Roman"/>
          <w:b/>
          <w:bCs/>
          <w:szCs w:val="24"/>
        </w:rPr>
        <w:t>Leakage will be a concern for some materials</w:t>
      </w:r>
      <w:r w:rsidRPr="00F7569F">
        <w:rPr>
          <w:rFonts w:eastAsia="Times New Roman" w:cs="Times New Roman"/>
          <w:szCs w:val="24"/>
        </w:rPr>
        <w:t>: Significant gaps between production and consumption-based savings for some materials and policies are observed, however these depend on the nature of the underlying policy mechanism:</w:t>
      </w:r>
    </w:p>
    <w:p w14:paraId="36CC4D49" w14:textId="77777777" w:rsidR="00EA7EB7" w:rsidRPr="00F7569F" w:rsidRDefault="00EA7EB7" w:rsidP="00EA7EB7">
      <w:pPr>
        <w:numPr>
          <w:ilvl w:val="0"/>
          <w:numId w:val="5"/>
        </w:numPr>
        <w:tabs>
          <w:tab w:val="clear" w:pos="720"/>
          <w:tab w:val="num" w:pos="1080"/>
        </w:tabs>
        <w:ind w:left="1440"/>
        <w:rPr>
          <w:rFonts w:eastAsia="Times New Roman" w:cs="Times New Roman"/>
          <w:szCs w:val="24"/>
        </w:rPr>
      </w:pPr>
      <w:r w:rsidRPr="00F7569F">
        <w:rPr>
          <w:szCs w:val="24"/>
        </w:rPr>
        <w:t xml:space="preserve">In the case of </w:t>
      </w:r>
      <w:r w:rsidRPr="00F7569F">
        <w:rPr>
          <w:b/>
          <w:szCs w:val="24"/>
        </w:rPr>
        <w:t>production-based actions</w:t>
      </w:r>
      <w:r w:rsidRPr="00F7569F">
        <w:rPr>
          <w:szCs w:val="24"/>
        </w:rPr>
        <w:t xml:space="preserve"> (scenarios with subsidies to secondary production and taxes on primary production), output of primary materials in the rest of the world increases, partly substituting domestic EU inputs, and an </w:t>
      </w:r>
      <w:r w:rsidRPr="00F7569F">
        <w:rPr>
          <w:b/>
          <w:szCs w:val="24"/>
        </w:rPr>
        <w:t>increase</w:t>
      </w:r>
      <w:r w:rsidRPr="00F7569F">
        <w:rPr>
          <w:szCs w:val="24"/>
        </w:rPr>
        <w:t xml:space="preserve"> in </w:t>
      </w:r>
      <w:r w:rsidRPr="00F7569F">
        <w:rPr>
          <w:b/>
          <w:szCs w:val="24"/>
        </w:rPr>
        <w:t>leakage</w:t>
      </w:r>
      <w:r w:rsidRPr="00F7569F">
        <w:rPr>
          <w:szCs w:val="24"/>
        </w:rPr>
        <w:t xml:space="preserve"> is observed.</w:t>
      </w:r>
    </w:p>
    <w:p w14:paraId="56BDC575" w14:textId="77777777" w:rsidR="00EA7EB7" w:rsidRPr="00F7569F" w:rsidRDefault="00EA7EB7" w:rsidP="00EA7EB7">
      <w:pPr>
        <w:numPr>
          <w:ilvl w:val="0"/>
          <w:numId w:val="5"/>
        </w:numPr>
        <w:tabs>
          <w:tab w:val="clear" w:pos="720"/>
          <w:tab w:val="num" w:pos="1080"/>
        </w:tabs>
        <w:ind w:left="1440"/>
        <w:rPr>
          <w:rFonts w:eastAsia="Times New Roman" w:cs="Times New Roman"/>
          <w:szCs w:val="24"/>
        </w:rPr>
      </w:pPr>
      <w:r w:rsidRPr="00F7569F">
        <w:rPr>
          <w:szCs w:val="24"/>
        </w:rPr>
        <w:t xml:space="preserve">A different pattern is observed when </w:t>
      </w:r>
      <w:r w:rsidRPr="00F7569F">
        <w:rPr>
          <w:b/>
          <w:szCs w:val="24"/>
        </w:rPr>
        <w:t>consumption or intermediate use-focused measures</w:t>
      </w:r>
      <w:r w:rsidRPr="00F7569F">
        <w:rPr>
          <w:szCs w:val="24"/>
        </w:rPr>
        <w:t xml:space="preserve"> are implemented. In this case, a substantial </w:t>
      </w:r>
      <w:r w:rsidRPr="00F7569F">
        <w:rPr>
          <w:b/>
          <w:szCs w:val="24"/>
        </w:rPr>
        <w:t>negative leakage is estimated</w:t>
      </w:r>
      <w:r w:rsidRPr="00F7569F">
        <w:rPr>
          <w:szCs w:val="24"/>
        </w:rPr>
        <w:t>, as the EU-wide material demand is falling and it does not matter whether materials are sourced domestically or imported.</w:t>
      </w:r>
    </w:p>
    <w:p w14:paraId="494CEE79" w14:textId="21EBFB4F" w:rsidR="00EA7EB7" w:rsidRPr="00F7569F" w:rsidRDefault="00EA7EB7" w:rsidP="00EA7EB7">
      <w:pPr>
        <w:pStyle w:val="ListParagraph"/>
        <w:numPr>
          <w:ilvl w:val="0"/>
          <w:numId w:val="7"/>
        </w:numPr>
        <w:ind w:left="720"/>
        <w:rPr>
          <w:rFonts w:eastAsia="Times New Roman" w:cs="Times New Roman"/>
          <w:szCs w:val="24"/>
        </w:rPr>
      </w:pPr>
      <w:r w:rsidRPr="00F7569F">
        <w:rPr>
          <w:szCs w:val="24"/>
        </w:rPr>
        <w:t xml:space="preserve">Depending on the channel of ‘circularity’, </w:t>
      </w:r>
      <w:r w:rsidRPr="00F7569F">
        <w:rPr>
          <w:b/>
          <w:szCs w:val="24"/>
        </w:rPr>
        <w:t>domestic output</w:t>
      </w:r>
      <w:r w:rsidRPr="00F7569F">
        <w:rPr>
          <w:szCs w:val="24"/>
        </w:rPr>
        <w:t xml:space="preserve"> in Europe </w:t>
      </w:r>
      <w:r w:rsidRPr="00F7569F">
        <w:rPr>
          <w:b/>
          <w:szCs w:val="24"/>
        </w:rPr>
        <w:t>could be significantly impacted</w:t>
      </w:r>
      <w:r w:rsidRPr="00F7569F">
        <w:rPr>
          <w:szCs w:val="24"/>
        </w:rPr>
        <w:t xml:space="preserve">. The tax and subsidy channel </w:t>
      </w:r>
      <w:r w:rsidR="00FD3070" w:rsidRPr="00F7569F">
        <w:rPr>
          <w:szCs w:val="24"/>
        </w:rPr>
        <w:t>have</w:t>
      </w:r>
      <w:r w:rsidRPr="00F7569F">
        <w:rPr>
          <w:szCs w:val="24"/>
        </w:rPr>
        <w:t xml:space="preserve"> the greatest impact on domestic output—particularly in those sectors directly impacted by the taxes and subsidies.</w:t>
      </w:r>
    </w:p>
    <w:p w14:paraId="2765710C" w14:textId="77777777" w:rsidR="00EA7EB7" w:rsidRPr="00F7569F" w:rsidRDefault="00EA7EB7" w:rsidP="00EA7EB7">
      <w:pPr>
        <w:pStyle w:val="ListParagraph"/>
        <w:numPr>
          <w:ilvl w:val="0"/>
          <w:numId w:val="7"/>
        </w:numPr>
        <w:ind w:left="720"/>
        <w:rPr>
          <w:szCs w:val="24"/>
        </w:rPr>
      </w:pPr>
      <w:r w:rsidRPr="00F7569F">
        <w:rPr>
          <w:szCs w:val="24"/>
        </w:rPr>
        <w:t xml:space="preserve">The EU Green Deal and the ‘circularity’ scenarios will lead to a </w:t>
      </w:r>
      <w:r w:rsidRPr="00F7569F">
        <w:rPr>
          <w:b/>
          <w:szCs w:val="24"/>
        </w:rPr>
        <w:t>short-term increase in unemployment</w:t>
      </w:r>
      <w:r w:rsidRPr="00F7569F">
        <w:rPr>
          <w:szCs w:val="24"/>
        </w:rPr>
        <w:t xml:space="preserve">—in general similar between skilled and unskilled workers. However, the impact on </w:t>
      </w:r>
      <w:r w:rsidRPr="00F7569F">
        <w:rPr>
          <w:b/>
          <w:szCs w:val="24"/>
        </w:rPr>
        <w:t>unskilled workers</w:t>
      </w:r>
      <w:r w:rsidRPr="00F7569F">
        <w:rPr>
          <w:szCs w:val="24"/>
        </w:rPr>
        <w:t xml:space="preserve"> will be more pronounced due to the changing production structures that benefit services over material-based inputs.</w:t>
      </w:r>
    </w:p>
    <w:p w14:paraId="79AEB212" w14:textId="77777777" w:rsidR="00EA7EB7" w:rsidRPr="00F7569F" w:rsidRDefault="00EA7EB7" w:rsidP="00EA7EB7">
      <w:pPr>
        <w:pStyle w:val="ListParagraph"/>
        <w:numPr>
          <w:ilvl w:val="0"/>
          <w:numId w:val="7"/>
        </w:numPr>
        <w:ind w:left="720"/>
        <w:rPr>
          <w:rFonts w:eastAsia="Times New Roman" w:cs="Times New Roman"/>
          <w:szCs w:val="24"/>
        </w:rPr>
      </w:pPr>
      <w:r w:rsidRPr="00F7569F">
        <w:rPr>
          <w:szCs w:val="24"/>
        </w:rPr>
        <w:t xml:space="preserve">The </w:t>
      </w:r>
      <w:r w:rsidRPr="00F7569F">
        <w:rPr>
          <w:b/>
          <w:szCs w:val="24"/>
        </w:rPr>
        <w:t>negative impacts on real income</w:t>
      </w:r>
      <w:r w:rsidRPr="00F7569F">
        <w:rPr>
          <w:szCs w:val="24"/>
        </w:rPr>
        <w:t xml:space="preserve"> in 2030 will vary from 0.6 to 1.2 percent in Europe on aggregate and between 0.4 and 2.0 percent across the individual modeled regions in Europe (excluding the two sensitivity analyses).</w:t>
      </w:r>
    </w:p>
    <w:p w14:paraId="3B6FCB00" w14:textId="52482C61" w:rsidR="00E62904" w:rsidRPr="00F7569F" w:rsidRDefault="00E62904">
      <w:pPr>
        <w:spacing w:after="160"/>
        <w:ind w:firstLine="0"/>
        <w:jc w:val="left"/>
        <w:rPr>
          <w:rFonts w:asciiTheme="majorHAnsi" w:eastAsiaTheme="majorEastAsia" w:hAnsiTheme="majorHAnsi" w:cstheme="majorBidi"/>
          <w:color w:val="2E74B5" w:themeColor="accent1" w:themeShade="BF"/>
          <w:szCs w:val="24"/>
        </w:rPr>
      </w:pPr>
      <w:r w:rsidRPr="00F7569F">
        <w:rPr>
          <w:szCs w:val="24"/>
        </w:rPr>
        <w:br w:type="page"/>
      </w:r>
    </w:p>
    <w:p w14:paraId="7810B43E" w14:textId="127F5F18" w:rsidR="00E745B9" w:rsidRPr="00050AB1" w:rsidRDefault="00A319EA" w:rsidP="00DF01C8">
      <w:pPr>
        <w:pStyle w:val="Heading1"/>
        <w:ind w:firstLine="0"/>
        <w:rPr>
          <w:lang w:val="es-EC"/>
        </w:rPr>
      </w:pPr>
      <w:r w:rsidRPr="00050AB1">
        <w:rPr>
          <w:lang w:val="es-EC"/>
        </w:rPr>
        <w:lastRenderedPageBreak/>
        <w:t>References</w:t>
      </w:r>
    </w:p>
    <w:p w14:paraId="2B6C68B4" w14:textId="77777777" w:rsidR="00DF01C8" w:rsidRDefault="00DF01C8" w:rsidP="00DF01C8">
      <w:pPr>
        <w:spacing w:after="120"/>
        <w:ind w:left="547" w:hanging="547"/>
      </w:pPr>
    </w:p>
    <w:p w14:paraId="33DF93AD" w14:textId="43D3B24F" w:rsidR="0050196A" w:rsidRPr="00DF01C8" w:rsidRDefault="0050196A" w:rsidP="00DF01C8">
      <w:pPr>
        <w:spacing w:after="120"/>
        <w:ind w:left="547" w:hanging="547"/>
        <w:rPr>
          <w:szCs w:val="24"/>
        </w:rPr>
      </w:pPr>
      <w:r w:rsidRPr="00DF01C8">
        <w:rPr>
          <w:szCs w:val="24"/>
          <w:lang w:val="pt-BR"/>
        </w:rPr>
        <w:t xml:space="preserve">Aguilar-Hernandez, A. Glenn, Rodrigues, F.D. João, Tukker, A. 2020. </w:t>
      </w:r>
      <w:r w:rsidRPr="00DF01C8">
        <w:rPr>
          <w:bCs/>
          <w:szCs w:val="24"/>
        </w:rPr>
        <w:t xml:space="preserve">Macroeconomic, social and environmental impacts of a circular economy up to 2050: a meta-analysis of prospective studies. </w:t>
      </w:r>
      <w:r w:rsidRPr="00DF01C8">
        <w:rPr>
          <w:szCs w:val="24"/>
        </w:rPr>
        <w:t xml:space="preserve">J. Clean. Prod. (2020), p. 123421. </w:t>
      </w:r>
      <w:hyperlink r:id="rId36" w:tgtFrame="_blank" w:tooltip="Persistent link using digital object identifier" w:history="1">
        <w:r w:rsidRPr="00DF01C8">
          <w:rPr>
            <w:rStyle w:val="Hyperlink"/>
            <w:szCs w:val="24"/>
          </w:rPr>
          <w:t>https://doi.org/10.1016/j.jclepro.2020.123421</w:t>
        </w:r>
      </w:hyperlink>
    </w:p>
    <w:p w14:paraId="23313615" w14:textId="77777777" w:rsidR="00924BD5" w:rsidRPr="00DF01C8" w:rsidRDefault="00924BD5" w:rsidP="003510DF">
      <w:pPr>
        <w:spacing w:after="120"/>
        <w:ind w:left="547" w:hanging="547"/>
        <w:rPr>
          <w:iCs/>
          <w:szCs w:val="24"/>
        </w:rPr>
      </w:pPr>
      <w:r w:rsidRPr="00DF01C8">
        <w:rPr>
          <w:iCs/>
          <w:szCs w:val="24"/>
        </w:rPr>
        <w:t xml:space="preserve">Bank of Korea. 2019. 2015 Benchmark Input-Output Tables. </w:t>
      </w:r>
      <w:hyperlink r:id="rId37" w:history="1">
        <w:r w:rsidRPr="00DF01C8">
          <w:rPr>
            <w:rStyle w:val="Hyperlink"/>
            <w:iCs/>
            <w:szCs w:val="24"/>
          </w:rPr>
          <w:t>https://www.bok.or.kr/eng/bbs/E0000634/view.do?nttId=10050569&amp;menuNo=400069</w:t>
        </w:r>
      </w:hyperlink>
    </w:p>
    <w:p w14:paraId="31F47C20" w14:textId="77777777" w:rsidR="00717632" w:rsidRPr="00DF01C8" w:rsidRDefault="00717632" w:rsidP="003510DF">
      <w:pPr>
        <w:spacing w:after="120"/>
        <w:ind w:left="547" w:hanging="547"/>
        <w:rPr>
          <w:szCs w:val="24"/>
        </w:rPr>
      </w:pPr>
      <w:r w:rsidRPr="00DF01C8">
        <w:rPr>
          <w:szCs w:val="24"/>
          <w:lang w:val="fr-FR"/>
        </w:rPr>
        <w:t xml:space="preserve">Bibas, R., J. Chateau and E. Lanzi. </w:t>
      </w:r>
      <w:r w:rsidRPr="00DF01C8">
        <w:rPr>
          <w:szCs w:val="24"/>
        </w:rPr>
        <w:t xml:space="preserve">2021. Policy scenarios for a transition to a more resource efficient and circular economy, </w:t>
      </w:r>
      <w:r w:rsidRPr="00DF01C8">
        <w:rPr>
          <w:i/>
          <w:iCs/>
          <w:szCs w:val="24"/>
        </w:rPr>
        <w:t>OECD Environment Working Papers</w:t>
      </w:r>
      <w:r w:rsidRPr="00DF01C8">
        <w:rPr>
          <w:szCs w:val="24"/>
        </w:rPr>
        <w:t xml:space="preserve">, No. 169, OECD Publishing, Paris, </w:t>
      </w:r>
      <w:hyperlink r:id="rId38" w:history="1">
        <w:r w:rsidRPr="00DF01C8">
          <w:rPr>
            <w:rStyle w:val="Hyperlink"/>
            <w:szCs w:val="24"/>
          </w:rPr>
          <w:t>https://doi.org/10.1787/c1f3c8d0-en</w:t>
        </w:r>
      </w:hyperlink>
      <w:r w:rsidRPr="00DF01C8">
        <w:rPr>
          <w:szCs w:val="24"/>
        </w:rPr>
        <w:t>.</w:t>
      </w:r>
    </w:p>
    <w:p w14:paraId="0B4AAFD2" w14:textId="77777777" w:rsidR="008B293F" w:rsidRPr="00DF01C8" w:rsidRDefault="008B293F" w:rsidP="003510DF">
      <w:pPr>
        <w:spacing w:after="120"/>
        <w:ind w:left="547" w:hanging="547"/>
        <w:rPr>
          <w:b/>
          <w:bCs/>
          <w:szCs w:val="24"/>
        </w:rPr>
      </w:pPr>
      <w:proofErr w:type="spellStart"/>
      <w:r w:rsidRPr="00DF01C8">
        <w:rPr>
          <w:szCs w:val="24"/>
        </w:rPr>
        <w:t>Burchart-Korol</w:t>
      </w:r>
      <w:proofErr w:type="spellEnd"/>
      <w:r w:rsidRPr="00DF01C8">
        <w:rPr>
          <w:szCs w:val="24"/>
        </w:rPr>
        <w:t xml:space="preserve">, D. 2013. </w:t>
      </w:r>
      <w:r w:rsidRPr="00DF01C8">
        <w:rPr>
          <w:bCs/>
          <w:szCs w:val="24"/>
        </w:rPr>
        <w:t xml:space="preserve">Life cycle assessment of steel production in Poland: a case study. Journal of Cleaner Production, Volume 54, 1 September 2013, Pages 235-243. </w:t>
      </w:r>
      <w:hyperlink r:id="rId39" w:tgtFrame="_blank" w:tooltip="Persistent link using digital object identifier" w:history="1">
        <w:r w:rsidRPr="00DF01C8">
          <w:rPr>
            <w:rStyle w:val="Hyperlink"/>
            <w:bCs/>
            <w:szCs w:val="24"/>
          </w:rPr>
          <w:t>https://doi.org/10.1016/j.jclepro.2013.04.031</w:t>
        </w:r>
      </w:hyperlink>
    </w:p>
    <w:p w14:paraId="4B47B6BF" w14:textId="77777777" w:rsidR="00BF1A89" w:rsidRPr="00DF01C8" w:rsidRDefault="00BF1A89" w:rsidP="003510DF">
      <w:pPr>
        <w:spacing w:after="120"/>
        <w:ind w:left="547" w:hanging="547"/>
        <w:rPr>
          <w:szCs w:val="24"/>
        </w:rPr>
      </w:pPr>
      <w:r w:rsidRPr="00DF01C8">
        <w:rPr>
          <w:szCs w:val="24"/>
        </w:rPr>
        <w:t xml:space="preserve">Bureau of International Recycling (BIR). 2008. Report on the Environmental Benefits of Recycling. </w:t>
      </w:r>
      <w:hyperlink r:id="rId40" w:history="1">
        <w:r w:rsidRPr="00DF01C8">
          <w:rPr>
            <w:rStyle w:val="Hyperlink"/>
            <w:szCs w:val="24"/>
          </w:rPr>
          <w:t>https://www.mgg-recycling.com/wp-content/uploads/2013/06/BIR_CO2_report.pdf</w:t>
        </w:r>
      </w:hyperlink>
      <w:r w:rsidRPr="00DF01C8">
        <w:rPr>
          <w:szCs w:val="24"/>
        </w:rPr>
        <w:t xml:space="preserve"> </w:t>
      </w:r>
    </w:p>
    <w:p w14:paraId="193AA4B7" w14:textId="77777777" w:rsidR="00641C96" w:rsidRPr="00DF01C8" w:rsidRDefault="00641C96" w:rsidP="00641C96">
      <w:pPr>
        <w:spacing w:after="120"/>
        <w:ind w:left="547" w:hanging="547"/>
        <w:rPr>
          <w:bCs/>
          <w:szCs w:val="24"/>
        </w:rPr>
      </w:pPr>
      <w:r w:rsidRPr="00DF01C8">
        <w:rPr>
          <w:szCs w:val="24"/>
        </w:rPr>
        <w:t xml:space="preserve">CEPII. 2021. </w:t>
      </w:r>
      <w:r w:rsidRPr="00DF01C8">
        <w:rPr>
          <w:bCs/>
          <w:szCs w:val="24"/>
        </w:rPr>
        <w:t xml:space="preserve">Description of BACI. </w:t>
      </w:r>
      <w:hyperlink r:id="rId41" w:history="1">
        <w:r w:rsidRPr="00DF01C8">
          <w:rPr>
            <w:rStyle w:val="Hyperlink"/>
            <w:bCs/>
            <w:szCs w:val="24"/>
          </w:rPr>
          <w:t>http://www.cepii.fr/DATA_DOWNLOAD/baci/doc/DescriptionBACI.html</w:t>
        </w:r>
      </w:hyperlink>
    </w:p>
    <w:p w14:paraId="79CDC676" w14:textId="3C77EEB6" w:rsidR="00827C85" w:rsidRPr="00DF01C8" w:rsidRDefault="00827C85" w:rsidP="003510DF">
      <w:pPr>
        <w:spacing w:after="120"/>
        <w:ind w:left="547" w:hanging="547"/>
        <w:rPr>
          <w:rStyle w:val="Hyperlink"/>
          <w:szCs w:val="24"/>
        </w:rPr>
      </w:pPr>
      <w:r w:rsidRPr="00DF01C8">
        <w:rPr>
          <w:szCs w:val="24"/>
        </w:rPr>
        <w:t xml:space="preserve">Chepeliev, M. 2020. GTAP-Power Data Base: Version 10. Journal of Global Economic Analysis, Vol. 5, No. 2, p. 110-137, 2020, doi: </w:t>
      </w:r>
      <w:hyperlink r:id="rId42" w:history="1">
        <w:r w:rsidRPr="00DF01C8">
          <w:rPr>
            <w:rStyle w:val="Hyperlink"/>
            <w:szCs w:val="24"/>
          </w:rPr>
          <w:t>https://doi.org/10.21642/JGEA.050203AF</w:t>
        </w:r>
      </w:hyperlink>
    </w:p>
    <w:p w14:paraId="040DCBE1" w14:textId="6B04017E" w:rsidR="00DF01C8" w:rsidRPr="00DF01C8" w:rsidRDefault="007E0BA4" w:rsidP="00DF01C8">
      <w:pPr>
        <w:ind w:left="540" w:hanging="540"/>
        <w:rPr>
          <w:rFonts w:eastAsia="Times New Roman" w:cs="Times New Roman"/>
          <w:szCs w:val="24"/>
        </w:rPr>
      </w:pPr>
      <w:r w:rsidRPr="007E0BA4">
        <w:rPr>
          <w:rFonts w:eastAsia="Times New Roman" w:cs="Times New Roman"/>
          <w:szCs w:val="24"/>
        </w:rPr>
        <w:t xml:space="preserve">Chepeliev, M., Aguiar, A., Liverani, A., Farole, T., van der Mensbrugghe, D., &amp; Wang, L. 2021. </w:t>
      </w:r>
      <w:r w:rsidR="00DF01C8" w:rsidRPr="00DF01C8">
        <w:rPr>
          <w:rFonts w:eastAsia="Times New Roman" w:cs="Times New Roman"/>
          <w:szCs w:val="24"/>
        </w:rPr>
        <w:t xml:space="preserve">Circular Economy Transition in the Eastern European Member States. Presented during the 24th Annual Conference on Global Economic Analysis (Virtual Conference). </w:t>
      </w:r>
      <w:hyperlink r:id="rId43" w:history="1">
        <w:r w:rsidR="00DF01C8" w:rsidRPr="00DF01C8">
          <w:rPr>
            <w:rFonts w:eastAsia="Times New Roman" w:cs="Times New Roman"/>
            <w:color w:val="0563C1" w:themeColor="hyperlink"/>
            <w:szCs w:val="24"/>
            <w:u w:val="single"/>
          </w:rPr>
          <w:t>https://www.gtap.agecon.purdue.edu/resources/res_display.asp?RecordID=6354</w:t>
        </w:r>
      </w:hyperlink>
    </w:p>
    <w:p w14:paraId="66438FBB" w14:textId="77777777" w:rsidR="00CE23E1" w:rsidRPr="00DF01C8" w:rsidRDefault="00CE23E1" w:rsidP="00CE23E1">
      <w:pPr>
        <w:spacing w:after="120"/>
        <w:ind w:left="547" w:hanging="547"/>
        <w:rPr>
          <w:szCs w:val="24"/>
        </w:rPr>
      </w:pPr>
      <w:r w:rsidRPr="00DF01C8">
        <w:rPr>
          <w:szCs w:val="24"/>
        </w:rPr>
        <w:t>Dixon, P.B., and M.T. Rimmer. 2002. Dynamic general equilibrium modelling for forecasting and policy: a practical guide and documentation of MONASH, 1st ed., vol. 256. Amsterdam: Elsevier.</w:t>
      </w:r>
    </w:p>
    <w:p w14:paraId="48EDE44E" w14:textId="77777777" w:rsidR="001C2372" w:rsidRPr="00DF01C8" w:rsidRDefault="001C2372" w:rsidP="003510DF">
      <w:pPr>
        <w:spacing w:after="120"/>
        <w:ind w:left="547" w:hanging="547"/>
        <w:rPr>
          <w:szCs w:val="24"/>
        </w:rPr>
      </w:pPr>
      <w:r w:rsidRPr="00DF01C8">
        <w:rPr>
          <w:szCs w:val="24"/>
        </w:rPr>
        <w:t>Domenech, T</w:t>
      </w:r>
      <w:r w:rsidR="00CE23E1" w:rsidRPr="00DF01C8">
        <w:rPr>
          <w:szCs w:val="24"/>
        </w:rPr>
        <w:t>.</w:t>
      </w:r>
      <w:r w:rsidRPr="00DF01C8">
        <w:rPr>
          <w:szCs w:val="24"/>
        </w:rPr>
        <w:t>, and Bahn-</w:t>
      </w:r>
      <w:proofErr w:type="spellStart"/>
      <w:r w:rsidRPr="00DF01C8">
        <w:rPr>
          <w:szCs w:val="24"/>
        </w:rPr>
        <w:t>Walkowiak</w:t>
      </w:r>
      <w:proofErr w:type="spellEnd"/>
      <w:r w:rsidR="00CE23E1" w:rsidRPr="00DF01C8">
        <w:rPr>
          <w:szCs w:val="24"/>
        </w:rPr>
        <w:t>, B.</w:t>
      </w:r>
      <w:r w:rsidRPr="00DF01C8">
        <w:rPr>
          <w:szCs w:val="24"/>
        </w:rPr>
        <w:t xml:space="preserve"> 2019. Transition towards a resource efficient circular economy in Europe: Policy lessons from the EU and the member states. Ecological Economics 155: 7–19.</w:t>
      </w:r>
    </w:p>
    <w:p w14:paraId="695C6956" w14:textId="77777777" w:rsidR="008B293F" w:rsidRPr="00DF01C8" w:rsidRDefault="008B293F" w:rsidP="003510DF">
      <w:pPr>
        <w:spacing w:after="120"/>
        <w:ind w:left="547" w:hanging="547"/>
        <w:rPr>
          <w:szCs w:val="24"/>
        </w:rPr>
      </w:pPr>
      <w:r w:rsidRPr="00DF01C8">
        <w:rPr>
          <w:szCs w:val="24"/>
        </w:rPr>
        <w:t xml:space="preserve">Dong, D., van </w:t>
      </w:r>
      <w:proofErr w:type="spellStart"/>
      <w:r w:rsidRPr="00DF01C8">
        <w:rPr>
          <w:szCs w:val="24"/>
        </w:rPr>
        <w:t>Oers</w:t>
      </w:r>
      <w:proofErr w:type="spellEnd"/>
      <w:r w:rsidRPr="00DF01C8">
        <w:rPr>
          <w:szCs w:val="24"/>
        </w:rPr>
        <w:t xml:space="preserve">, L., </w:t>
      </w:r>
      <w:proofErr w:type="spellStart"/>
      <w:r w:rsidRPr="00DF01C8">
        <w:rPr>
          <w:szCs w:val="24"/>
        </w:rPr>
        <w:t>Tukker</w:t>
      </w:r>
      <w:proofErr w:type="spellEnd"/>
      <w:r w:rsidRPr="00DF01C8">
        <w:rPr>
          <w:szCs w:val="24"/>
        </w:rPr>
        <w:t xml:space="preserve">, A., van der </w:t>
      </w:r>
      <w:proofErr w:type="spellStart"/>
      <w:r w:rsidRPr="00DF01C8">
        <w:rPr>
          <w:szCs w:val="24"/>
        </w:rPr>
        <w:t>Voet</w:t>
      </w:r>
      <w:proofErr w:type="spellEnd"/>
      <w:r w:rsidRPr="00DF01C8">
        <w:rPr>
          <w:szCs w:val="24"/>
        </w:rPr>
        <w:t xml:space="preserve">, E. 2020. </w:t>
      </w:r>
      <w:r w:rsidRPr="00DF01C8">
        <w:rPr>
          <w:bCs/>
          <w:szCs w:val="24"/>
        </w:rPr>
        <w:t xml:space="preserve">Assessing the future environmental impacts of copper production in China: Implications of the energy transition. </w:t>
      </w:r>
      <w:r w:rsidRPr="00DF01C8">
        <w:rPr>
          <w:szCs w:val="24"/>
        </w:rPr>
        <w:t xml:space="preserve">J. Clean Prod., 274 (2020), p. 122825, </w:t>
      </w:r>
      <w:hyperlink r:id="rId44" w:tgtFrame="_blank" w:history="1">
        <w:r w:rsidRPr="00DF01C8">
          <w:rPr>
            <w:rStyle w:val="Hyperlink"/>
            <w:szCs w:val="24"/>
          </w:rPr>
          <w:t>10.1016/j.jclepro.2020.122825</w:t>
        </w:r>
      </w:hyperlink>
    </w:p>
    <w:p w14:paraId="194202C1" w14:textId="77777777" w:rsidR="000D0679" w:rsidRPr="00DF01C8" w:rsidRDefault="000D0679" w:rsidP="003510DF">
      <w:pPr>
        <w:spacing w:after="120"/>
        <w:ind w:left="547" w:hanging="547"/>
        <w:rPr>
          <w:szCs w:val="24"/>
          <w:lang w:val="fr-FR"/>
        </w:rPr>
      </w:pPr>
      <w:r w:rsidRPr="00DF01C8">
        <w:rPr>
          <w:szCs w:val="24"/>
        </w:rPr>
        <w:t>European Commission (EC). 2020</w:t>
      </w:r>
      <w:r w:rsidR="0097603B" w:rsidRPr="00DF01C8">
        <w:rPr>
          <w:szCs w:val="24"/>
        </w:rPr>
        <w:t>a</w:t>
      </w:r>
      <w:r w:rsidRPr="00DF01C8">
        <w:rPr>
          <w:szCs w:val="24"/>
        </w:rPr>
        <w:t xml:space="preserve">. </w:t>
      </w:r>
      <w:r w:rsidR="008F0E59" w:rsidRPr="00DF01C8">
        <w:rPr>
          <w:szCs w:val="24"/>
        </w:rPr>
        <w:t xml:space="preserve">A new Circular Economy Action Plan For a cleaner and more competitive Europe. </w:t>
      </w:r>
      <w:r w:rsidR="008F0E59" w:rsidRPr="00DF01C8">
        <w:rPr>
          <w:szCs w:val="24"/>
          <w:lang w:val="fr-FR"/>
        </w:rPr>
        <w:t xml:space="preserve">Brussels, 11.3.2020. </w:t>
      </w:r>
      <w:hyperlink r:id="rId45" w:history="1">
        <w:r w:rsidR="008F0E59" w:rsidRPr="00DF01C8">
          <w:rPr>
            <w:rStyle w:val="Hyperlink"/>
            <w:szCs w:val="24"/>
            <w:lang w:val="fr-FR"/>
          </w:rPr>
          <w:t>https://eur-lex.europa.eu/legal-content/EN/TXT/?qid=1583933814386&amp;uri=COM:2020:98:FIN</w:t>
        </w:r>
      </w:hyperlink>
    </w:p>
    <w:p w14:paraId="147058EB" w14:textId="77777777" w:rsidR="0097603B" w:rsidRPr="00DF01C8" w:rsidRDefault="0097603B" w:rsidP="003510DF">
      <w:pPr>
        <w:spacing w:after="120"/>
        <w:ind w:left="547" w:hanging="547"/>
        <w:rPr>
          <w:bCs/>
          <w:szCs w:val="24"/>
        </w:rPr>
      </w:pPr>
      <w:proofErr w:type="spellStart"/>
      <w:r w:rsidRPr="00DF01C8">
        <w:rPr>
          <w:szCs w:val="24"/>
          <w:lang w:val="fr-FR"/>
        </w:rPr>
        <w:t>European</w:t>
      </w:r>
      <w:proofErr w:type="spellEnd"/>
      <w:r w:rsidRPr="00DF01C8">
        <w:rPr>
          <w:szCs w:val="24"/>
          <w:lang w:val="fr-FR"/>
        </w:rPr>
        <w:t xml:space="preserve"> Commission (EC). 2020b. </w:t>
      </w:r>
      <w:r w:rsidRPr="00DF01C8">
        <w:rPr>
          <w:bCs/>
          <w:szCs w:val="24"/>
        </w:rPr>
        <w:t xml:space="preserve">Circular material use rate. </w:t>
      </w:r>
      <w:hyperlink r:id="rId46" w:history="1">
        <w:r w:rsidRPr="00DF01C8">
          <w:rPr>
            <w:rStyle w:val="Hyperlink"/>
            <w:bCs/>
            <w:szCs w:val="24"/>
          </w:rPr>
          <w:t>https://ec.europa.eu/eurostat/web/products-datasets/-/cei_srm030</w:t>
        </w:r>
      </w:hyperlink>
    </w:p>
    <w:p w14:paraId="350FE8B1" w14:textId="77777777" w:rsidR="0006142E" w:rsidRPr="00DF01C8" w:rsidRDefault="0006142E" w:rsidP="003510DF">
      <w:pPr>
        <w:spacing w:after="120"/>
        <w:ind w:left="547" w:hanging="547"/>
        <w:rPr>
          <w:bCs/>
          <w:szCs w:val="24"/>
        </w:rPr>
      </w:pPr>
      <w:r w:rsidRPr="00DF01C8">
        <w:rPr>
          <w:szCs w:val="24"/>
        </w:rPr>
        <w:lastRenderedPageBreak/>
        <w:t xml:space="preserve">European Environmental Agency (EEA). 2020. </w:t>
      </w:r>
      <w:r w:rsidRPr="00DF01C8">
        <w:rPr>
          <w:bCs/>
          <w:szCs w:val="24"/>
        </w:rPr>
        <w:t xml:space="preserve">Countries which adopted a national resource efficiency or circular economy strategy or action plan. </w:t>
      </w:r>
      <w:hyperlink r:id="rId47" w:history="1">
        <w:r w:rsidRPr="00DF01C8">
          <w:rPr>
            <w:rStyle w:val="Hyperlink"/>
            <w:bCs/>
            <w:szCs w:val="24"/>
          </w:rPr>
          <w:t>https://www.eea.europa.eu/data-and-maps/figures/countries-which-adopted-a-national</w:t>
        </w:r>
      </w:hyperlink>
    </w:p>
    <w:p w14:paraId="30763DF1" w14:textId="77777777" w:rsidR="00DF01C8" w:rsidRPr="00DF01C8" w:rsidRDefault="00DF01C8" w:rsidP="00DF01C8">
      <w:pPr>
        <w:ind w:left="540" w:hanging="540"/>
        <w:rPr>
          <w:rFonts w:eastAsia="Times New Roman" w:cs="Times New Roman"/>
          <w:szCs w:val="24"/>
        </w:rPr>
      </w:pPr>
      <w:r w:rsidRPr="00DF01C8">
        <w:rPr>
          <w:rFonts w:eastAsia="Times New Roman" w:cs="Times New Roman"/>
          <w:szCs w:val="24"/>
        </w:rPr>
        <w:t xml:space="preserve">Haberl, H. </w:t>
      </w:r>
      <w:r w:rsidRPr="00DF01C8">
        <w:rPr>
          <w:rFonts w:eastAsia="Times New Roman" w:cs="Times New Roman"/>
          <w:iCs/>
          <w:szCs w:val="24"/>
        </w:rPr>
        <w:t>et al.</w:t>
      </w:r>
      <w:r w:rsidRPr="00DF01C8">
        <w:rPr>
          <w:rFonts w:eastAsia="Times New Roman" w:cs="Times New Roman"/>
          <w:szCs w:val="24"/>
        </w:rPr>
        <w:t xml:space="preserve"> 2020. </w:t>
      </w:r>
      <w:r w:rsidRPr="00DF01C8">
        <w:rPr>
          <w:rFonts w:eastAsia="Times New Roman" w:cs="Times New Roman"/>
          <w:bCs/>
          <w:szCs w:val="24"/>
        </w:rPr>
        <w:t xml:space="preserve">A systematic review of the evidence on decoupling of GDP, resource use and GHG emissions, part II: synthesizing the insights. </w:t>
      </w:r>
      <w:r w:rsidRPr="00DF01C8">
        <w:rPr>
          <w:rFonts w:eastAsia="Times New Roman" w:cs="Times New Roman"/>
          <w:szCs w:val="24"/>
        </w:rPr>
        <w:t xml:space="preserve"> </w:t>
      </w:r>
      <w:r w:rsidRPr="00DF01C8">
        <w:rPr>
          <w:rFonts w:eastAsia="Times New Roman" w:cs="Times New Roman"/>
          <w:i/>
          <w:iCs/>
          <w:szCs w:val="24"/>
        </w:rPr>
        <w:t>Environ. Res. Lett.</w:t>
      </w:r>
      <w:r w:rsidRPr="00DF01C8">
        <w:rPr>
          <w:rFonts w:eastAsia="Times New Roman" w:cs="Times New Roman"/>
          <w:szCs w:val="24"/>
        </w:rPr>
        <w:t xml:space="preserve"> </w:t>
      </w:r>
      <w:r w:rsidRPr="00DF01C8">
        <w:rPr>
          <w:rFonts w:eastAsia="Times New Roman" w:cs="Times New Roman"/>
          <w:bCs/>
          <w:szCs w:val="24"/>
        </w:rPr>
        <w:t>15</w:t>
      </w:r>
      <w:r w:rsidRPr="00DF01C8">
        <w:rPr>
          <w:rFonts w:eastAsia="Times New Roman" w:cs="Times New Roman"/>
          <w:szCs w:val="24"/>
        </w:rPr>
        <w:t xml:space="preserve"> 065003. </w:t>
      </w:r>
      <w:hyperlink r:id="rId48" w:history="1">
        <w:r w:rsidRPr="00DF01C8">
          <w:rPr>
            <w:rFonts w:eastAsia="Times New Roman" w:cs="Times New Roman"/>
            <w:color w:val="0563C1" w:themeColor="hyperlink"/>
            <w:szCs w:val="24"/>
            <w:u w:val="single"/>
          </w:rPr>
          <w:t>https://doi.org/10.1088/1748-9326/ab842a</w:t>
        </w:r>
      </w:hyperlink>
    </w:p>
    <w:p w14:paraId="3E5EA66B" w14:textId="43330172" w:rsidR="00BF1A89" w:rsidRPr="00DF01C8" w:rsidRDefault="00BF1A89" w:rsidP="003510DF">
      <w:pPr>
        <w:spacing w:after="120"/>
        <w:ind w:left="547" w:hanging="547"/>
        <w:rPr>
          <w:bCs/>
          <w:szCs w:val="24"/>
        </w:rPr>
      </w:pPr>
      <w:r w:rsidRPr="00DF01C8">
        <w:rPr>
          <w:szCs w:val="24"/>
        </w:rPr>
        <w:t>Hopewell</w:t>
      </w:r>
      <w:r w:rsidR="00D2137A" w:rsidRPr="00DF01C8">
        <w:rPr>
          <w:szCs w:val="24"/>
        </w:rPr>
        <w:t xml:space="preserve">, J., Dvorak, R., &amp; </w:t>
      </w:r>
      <w:proofErr w:type="spellStart"/>
      <w:r w:rsidR="00D2137A" w:rsidRPr="00DF01C8">
        <w:rPr>
          <w:szCs w:val="24"/>
        </w:rPr>
        <w:t>Kosior</w:t>
      </w:r>
      <w:proofErr w:type="spellEnd"/>
      <w:r w:rsidR="00D2137A" w:rsidRPr="00DF01C8">
        <w:rPr>
          <w:szCs w:val="24"/>
        </w:rPr>
        <w:t xml:space="preserve">, E. </w:t>
      </w:r>
      <w:r w:rsidRPr="00DF01C8">
        <w:rPr>
          <w:szCs w:val="24"/>
        </w:rPr>
        <w:t xml:space="preserve">2009. Plastics recycling: challenges and opportunities. </w:t>
      </w:r>
      <w:r w:rsidRPr="00DF01C8">
        <w:rPr>
          <w:i/>
          <w:iCs/>
          <w:szCs w:val="24"/>
        </w:rPr>
        <w:t>Philosophical transactions of the Royal Society of London. Series B, Biological sciences</w:t>
      </w:r>
      <w:r w:rsidRPr="00DF01C8">
        <w:rPr>
          <w:szCs w:val="24"/>
        </w:rPr>
        <w:t xml:space="preserve">, </w:t>
      </w:r>
      <w:r w:rsidRPr="00DF01C8">
        <w:rPr>
          <w:i/>
          <w:iCs/>
          <w:szCs w:val="24"/>
        </w:rPr>
        <w:t>364</w:t>
      </w:r>
      <w:r w:rsidRPr="00DF01C8">
        <w:rPr>
          <w:szCs w:val="24"/>
        </w:rPr>
        <w:t xml:space="preserve">(1526), 2115–2126. </w:t>
      </w:r>
      <w:hyperlink r:id="rId49" w:history="1">
        <w:r w:rsidR="00D2137A" w:rsidRPr="00DF01C8">
          <w:rPr>
            <w:rStyle w:val="Hyperlink"/>
            <w:szCs w:val="24"/>
          </w:rPr>
          <w:t>https://doi.org/10.1098/rstb.2008.0311</w:t>
        </w:r>
      </w:hyperlink>
      <w:r w:rsidR="00D2137A" w:rsidRPr="00DF01C8">
        <w:rPr>
          <w:szCs w:val="24"/>
        </w:rPr>
        <w:t xml:space="preserve"> </w:t>
      </w:r>
    </w:p>
    <w:p w14:paraId="502321B9" w14:textId="77777777" w:rsidR="00E12DF1" w:rsidRPr="00DF01C8" w:rsidRDefault="00E12DF1" w:rsidP="003510DF">
      <w:pPr>
        <w:spacing w:after="120"/>
        <w:ind w:left="547" w:hanging="547"/>
        <w:rPr>
          <w:bCs/>
          <w:szCs w:val="24"/>
        </w:rPr>
      </w:pPr>
      <w:r w:rsidRPr="00DF01C8">
        <w:rPr>
          <w:bCs/>
          <w:szCs w:val="24"/>
        </w:rPr>
        <w:t xml:space="preserve">Horridge, M. 2011. </w:t>
      </w:r>
      <w:proofErr w:type="spellStart"/>
      <w:r w:rsidRPr="00DF01C8">
        <w:rPr>
          <w:bCs/>
          <w:szCs w:val="24"/>
        </w:rPr>
        <w:t>GTAPAdjust</w:t>
      </w:r>
      <w:proofErr w:type="spellEnd"/>
      <w:r w:rsidRPr="00DF01C8">
        <w:rPr>
          <w:bCs/>
          <w:szCs w:val="24"/>
        </w:rPr>
        <w:t xml:space="preserve">: A program to balance or adjust a GTAP database </w:t>
      </w:r>
      <w:hyperlink r:id="rId50" w:anchor="tpmh0104" w:history="1">
        <w:r w:rsidRPr="00DF01C8">
          <w:rPr>
            <w:rStyle w:val="Hyperlink"/>
            <w:bCs/>
            <w:szCs w:val="24"/>
          </w:rPr>
          <w:t>https://www.copsmodels.com/archivep.htm#tpmh0104</w:t>
        </w:r>
      </w:hyperlink>
      <w:r w:rsidRPr="00DF01C8">
        <w:rPr>
          <w:bCs/>
          <w:szCs w:val="24"/>
        </w:rPr>
        <w:t xml:space="preserve"> </w:t>
      </w:r>
    </w:p>
    <w:p w14:paraId="6ED1A1A7" w14:textId="77777777" w:rsidR="00E12DF1" w:rsidRPr="00DF01C8" w:rsidRDefault="00E12DF1" w:rsidP="003510DF">
      <w:pPr>
        <w:spacing w:after="120"/>
        <w:ind w:left="547" w:hanging="547"/>
        <w:rPr>
          <w:bCs/>
          <w:szCs w:val="24"/>
          <w:lang w:val="pt-BR"/>
        </w:rPr>
      </w:pPr>
      <w:r w:rsidRPr="00DF01C8">
        <w:rPr>
          <w:bCs/>
          <w:szCs w:val="24"/>
          <w:lang w:val="pt-BR"/>
        </w:rPr>
        <w:t xml:space="preserve">Horridge, M. 2008. MSplitCom. </w:t>
      </w:r>
      <w:hyperlink r:id="rId51" w:history="1">
        <w:r w:rsidRPr="00DF01C8">
          <w:rPr>
            <w:rStyle w:val="Hyperlink"/>
            <w:bCs/>
            <w:szCs w:val="24"/>
            <w:lang w:val="pt-BR"/>
          </w:rPr>
          <w:t>https://www.copsmodels.com/msplitcom.htm</w:t>
        </w:r>
      </w:hyperlink>
      <w:r w:rsidRPr="00DF01C8">
        <w:rPr>
          <w:bCs/>
          <w:szCs w:val="24"/>
          <w:lang w:val="pt-BR"/>
        </w:rPr>
        <w:t xml:space="preserve"> </w:t>
      </w:r>
    </w:p>
    <w:p w14:paraId="27C999D0" w14:textId="77777777" w:rsidR="00DF01C8" w:rsidRPr="00DF01C8" w:rsidRDefault="00DF01C8" w:rsidP="00DF01C8">
      <w:pPr>
        <w:ind w:left="540" w:hanging="540"/>
        <w:rPr>
          <w:rFonts w:eastAsia="Times New Roman" w:cs="Times New Roman"/>
          <w:szCs w:val="24"/>
        </w:rPr>
      </w:pPr>
      <w:r w:rsidRPr="00DF01C8">
        <w:rPr>
          <w:rFonts w:eastAsia="Times New Roman" w:cs="Times New Roman"/>
          <w:szCs w:val="24"/>
        </w:rPr>
        <w:t xml:space="preserve">IRP (2019). Global Resources Outlook 2019: Natural Resources for the Future We Want. </w:t>
      </w:r>
      <w:proofErr w:type="spellStart"/>
      <w:r w:rsidRPr="00DF01C8">
        <w:rPr>
          <w:rFonts w:eastAsia="Times New Roman" w:cs="Times New Roman"/>
          <w:szCs w:val="24"/>
        </w:rPr>
        <w:t>Oberle</w:t>
      </w:r>
      <w:proofErr w:type="spellEnd"/>
      <w:r w:rsidRPr="00DF01C8">
        <w:rPr>
          <w:rFonts w:eastAsia="Times New Roman" w:cs="Times New Roman"/>
          <w:szCs w:val="24"/>
        </w:rPr>
        <w:t xml:space="preserve">, B., et al. A Report of the International Resource Panel. United Nations Environment </w:t>
      </w:r>
      <w:proofErr w:type="spellStart"/>
      <w:r w:rsidRPr="00DF01C8">
        <w:rPr>
          <w:rFonts w:eastAsia="Times New Roman" w:cs="Times New Roman"/>
          <w:szCs w:val="24"/>
        </w:rPr>
        <w:t>Programme</w:t>
      </w:r>
      <w:proofErr w:type="spellEnd"/>
      <w:r w:rsidRPr="00DF01C8">
        <w:rPr>
          <w:rFonts w:eastAsia="Times New Roman" w:cs="Times New Roman"/>
          <w:szCs w:val="24"/>
        </w:rPr>
        <w:t>. Nairobi, Kenya.</w:t>
      </w:r>
    </w:p>
    <w:p w14:paraId="7B336FA3" w14:textId="77777777" w:rsidR="00FE0ED2" w:rsidRPr="00DF01C8" w:rsidRDefault="00FE0ED2" w:rsidP="003510DF">
      <w:pPr>
        <w:spacing w:after="120"/>
        <w:ind w:left="547" w:hanging="547"/>
        <w:rPr>
          <w:bCs/>
          <w:szCs w:val="24"/>
        </w:rPr>
      </w:pPr>
      <w:r w:rsidRPr="00DF01C8">
        <w:rPr>
          <w:bCs/>
          <w:szCs w:val="24"/>
          <w:lang w:val="pt-BR"/>
        </w:rPr>
        <w:t xml:space="preserve">Jambeck, J.R., Andrady, A., Geyer, R., Narayan, R., Perryman, M., Siegler, T., Wilcox, C., Lavender Law, K., 2015. </w:t>
      </w:r>
      <w:r w:rsidRPr="00DF01C8">
        <w:rPr>
          <w:bCs/>
          <w:szCs w:val="24"/>
        </w:rPr>
        <w:t xml:space="preserve">Plastic waste inputs from land into the ocean, </w:t>
      </w:r>
      <w:r w:rsidRPr="00DF01C8">
        <w:rPr>
          <w:bCs/>
          <w:i/>
          <w:iCs/>
          <w:szCs w:val="24"/>
        </w:rPr>
        <w:t xml:space="preserve">Science, </w:t>
      </w:r>
      <w:r w:rsidRPr="00DF01C8">
        <w:rPr>
          <w:bCs/>
          <w:szCs w:val="24"/>
        </w:rPr>
        <w:t>347, p. 768-771.</w:t>
      </w:r>
    </w:p>
    <w:p w14:paraId="7F4EB6AC" w14:textId="77777777" w:rsidR="008B293F" w:rsidRPr="00DF01C8" w:rsidRDefault="008B293F" w:rsidP="003510DF">
      <w:pPr>
        <w:spacing w:after="120"/>
        <w:ind w:left="547" w:hanging="547"/>
        <w:rPr>
          <w:szCs w:val="24"/>
          <w:lang w:val="de-DE"/>
        </w:rPr>
      </w:pPr>
      <w:r w:rsidRPr="00DF01C8">
        <w:rPr>
          <w:szCs w:val="24"/>
          <w:lang w:val="de-DE"/>
        </w:rPr>
        <w:t xml:space="preserve">Kirschen, M., Badr, K., Pfeifer, H. 2011. </w:t>
      </w:r>
      <w:r w:rsidRPr="00DF01C8">
        <w:rPr>
          <w:bCs/>
          <w:szCs w:val="24"/>
        </w:rPr>
        <w:t>Influence of direct reduced iron on the energy balance of the electric arc furnace in steel industry.</w:t>
      </w:r>
      <w:r w:rsidRPr="00DF01C8">
        <w:rPr>
          <w:b/>
          <w:bCs/>
          <w:szCs w:val="24"/>
        </w:rPr>
        <w:t xml:space="preserve"> </w:t>
      </w:r>
      <w:r w:rsidRPr="00DF01C8">
        <w:rPr>
          <w:szCs w:val="24"/>
          <w:lang w:val="de-DE"/>
        </w:rPr>
        <w:t xml:space="preserve">Energy, 36 (2011), pp. 6146-6155, </w:t>
      </w:r>
      <w:hyperlink r:id="rId52" w:tgtFrame="_blank" w:history="1">
        <w:r w:rsidRPr="00DF01C8">
          <w:rPr>
            <w:rStyle w:val="Hyperlink"/>
            <w:szCs w:val="24"/>
            <w:lang w:val="de-DE"/>
          </w:rPr>
          <w:t>10.1016/j.energy.2011.07.050</w:t>
        </w:r>
      </w:hyperlink>
    </w:p>
    <w:p w14:paraId="09C2EB6F" w14:textId="77777777" w:rsidR="00A335BD" w:rsidRPr="00DF01C8" w:rsidRDefault="00A335BD" w:rsidP="003510DF">
      <w:pPr>
        <w:spacing w:after="120"/>
        <w:ind w:left="547" w:hanging="547"/>
        <w:rPr>
          <w:bCs/>
          <w:szCs w:val="24"/>
        </w:rPr>
      </w:pPr>
      <w:r w:rsidRPr="00DF01C8">
        <w:rPr>
          <w:szCs w:val="24"/>
          <w:lang w:val="de-DE"/>
        </w:rPr>
        <w:t xml:space="preserve">Kirchherr, J., Reike, D., Hekkert, M. 2017. </w:t>
      </w:r>
      <w:r w:rsidRPr="00DF01C8">
        <w:rPr>
          <w:bCs/>
          <w:szCs w:val="24"/>
        </w:rPr>
        <w:t xml:space="preserve">Conceptualizing the circular economy: An analysis of 114 definitions. Resources, Conservation and Recycling, Volume 127, December 2017, Pages 221-232. </w:t>
      </w:r>
      <w:hyperlink r:id="rId53" w:tgtFrame="_blank" w:tooltip="Persistent link using digital object identifier" w:history="1">
        <w:r w:rsidRPr="00DF01C8">
          <w:rPr>
            <w:rStyle w:val="Hyperlink"/>
            <w:bCs/>
            <w:szCs w:val="24"/>
          </w:rPr>
          <w:t>https://doi.org/10.1016/j.resconrec.2017.09.005</w:t>
        </w:r>
      </w:hyperlink>
    </w:p>
    <w:p w14:paraId="15CEBA0C" w14:textId="77777777" w:rsidR="00A335BD" w:rsidRPr="00DF01C8" w:rsidRDefault="00A335BD" w:rsidP="003510DF">
      <w:pPr>
        <w:spacing w:after="120"/>
        <w:ind w:left="547" w:hanging="547"/>
        <w:rPr>
          <w:szCs w:val="24"/>
        </w:rPr>
      </w:pPr>
      <w:proofErr w:type="spellStart"/>
      <w:r w:rsidRPr="00DF01C8">
        <w:rPr>
          <w:szCs w:val="24"/>
          <w:lang w:val="es-EC"/>
        </w:rPr>
        <w:t>Korhonen</w:t>
      </w:r>
      <w:proofErr w:type="spellEnd"/>
      <w:r w:rsidRPr="00DF01C8">
        <w:rPr>
          <w:szCs w:val="24"/>
          <w:lang w:val="es-EC"/>
        </w:rPr>
        <w:t xml:space="preserve">, J., </w:t>
      </w:r>
      <w:proofErr w:type="spellStart"/>
      <w:r w:rsidRPr="00DF01C8">
        <w:rPr>
          <w:szCs w:val="24"/>
          <w:lang w:val="es-EC"/>
        </w:rPr>
        <w:t>Honkasalo</w:t>
      </w:r>
      <w:proofErr w:type="spellEnd"/>
      <w:r w:rsidRPr="00DF01C8">
        <w:rPr>
          <w:szCs w:val="24"/>
          <w:lang w:val="es-EC"/>
        </w:rPr>
        <w:t xml:space="preserve">, A., </w:t>
      </w:r>
      <w:proofErr w:type="spellStart"/>
      <w:r w:rsidRPr="00DF01C8">
        <w:rPr>
          <w:szCs w:val="24"/>
          <w:lang w:val="es-EC"/>
        </w:rPr>
        <w:t>Seppala</w:t>
      </w:r>
      <w:proofErr w:type="spellEnd"/>
      <w:r w:rsidRPr="00DF01C8">
        <w:rPr>
          <w:szCs w:val="24"/>
          <w:lang w:val="es-EC"/>
        </w:rPr>
        <w:t xml:space="preserve">, J. 2018. </w:t>
      </w:r>
      <w:r w:rsidRPr="00DF01C8">
        <w:rPr>
          <w:bCs/>
          <w:szCs w:val="24"/>
        </w:rPr>
        <w:t xml:space="preserve">Circular Economy: The Concept and its Limitations. Ecological Economics, Volume 143, January 2018, Pages 37-46. </w:t>
      </w:r>
      <w:hyperlink r:id="rId54" w:tgtFrame="_blank" w:tooltip="Persistent link using digital object identifier" w:history="1">
        <w:r w:rsidRPr="00DF01C8">
          <w:rPr>
            <w:rStyle w:val="Hyperlink"/>
            <w:bCs/>
            <w:szCs w:val="24"/>
          </w:rPr>
          <w:t>https://doi.org/10.1016/j.ecolecon.2017.06.041</w:t>
        </w:r>
      </w:hyperlink>
    </w:p>
    <w:p w14:paraId="36C42518" w14:textId="77777777" w:rsidR="00ED111F" w:rsidRPr="00DF01C8" w:rsidRDefault="00ED111F" w:rsidP="003510DF">
      <w:pPr>
        <w:spacing w:after="120"/>
        <w:ind w:left="547" w:hanging="547"/>
        <w:rPr>
          <w:szCs w:val="24"/>
        </w:rPr>
      </w:pPr>
      <w:r w:rsidRPr="00DF01C8">
        <w:rPr>
          <w:szCs w:val="24"/>
          <w:lang w:val="de-DE"/>
        </w:rPr>
        <w:t>Kraussman, F., Lauk, C., Haas, W., and Wiedenhofer, D.</w:t>
      </w:r>
      <w:r w:rsidR="00B65008" w:rsidRPr="00DF01C8">
        <w:rPr>
          <w:szCs w:val="24"/>
          <w:lang w:val="de-DE"/>
        </w:rPr>
        <w:t xml:space="preserve"> </w:t>
      </w:r>
      <w:r w:rsidRPr="00DF01C8">
        <w:rPr>
          <w:szCs w:val="24"/>
          <w:lang w:val="de-DE"/>
        </w:rPr>
        <w:t xml:space="preserve">2018. </w:t>
      </w:r>
      <w:r w:rsidRPr="00DF01C8">
        <w:rPr>
          <w:szCs w:val="24"/>
        </w:rPr>
        <w:t xml:space="preserve">From resource extraction to outflows of wastes and emissions: The socioeconomic metabolism of the global economy, 1900–2015, </w:t>
      </w:r>
      <w:r w:rsidRPr="00DF01C8">
        <w:rPr>
          <w:i/>
          <w:iCs/>
          <w:szCs w:val="24"/>
        </w:rPr>
        <w:t>Global Environmental Change</w:t>
      </w:r>
      <w:r w:rsidRPr="00DF01C8">
        <w:rPr>
          <w:szCs w:val="24"/>
        </w:rPr>
        <w:t>,</w:t>
      </w:r>
      <w:r w:rsidRPr="00DF01C8">
        <w:rPr>
          <w:i/>
          <w:iCs/>
          <w:szCs w:val="24"/>
        </w:rPr>
        <w:t xml:space="preserve"> </w:t>
      </w:r>
      <w:r w:rsidRPr="00DF01C8">
        <w:rPr>
          <w:szCs w:val="24"/>
        </w:rPr>
        <w:t xml:space="preserve">vol 52: 131:140 </w:t>
      </w:r>
      <w:hyperlink r:id="rId55" w:tgtFrame="_blank" w:tooltip="Persistent link using digital object identifier" w:history="1">
        <w:r w:rsidRPr="00DF01C8">
          <w:rPr>
            <w:rStyle w:val="Hyperlink"/>
            <w:szCs w:val="24"/>
          </w:rPr>
          <w:t>https://doi.org/10.1016/j.gloenvcha.2018.07.003</w:t>
        </w:r>
      </w:hyperlink>
    </w:p>
    <w:p w14:paraId="1DCFCF2E" w14:textId="77777777" w:rsidR="008B293F" w:rsidRPr="00DF01C8" w:rsidRDefault="008B293F" w:rsidP="003510DF">
      <w:pPr>
        <w:spacing w:after="120"/>
        <w:ind w:left="547" w:hanging="547"/>
        <w:rPr>
          <w:szCs w:val="24"/>
        </w:rPr>
      </w:pPr>
      <w:r w:rsidRPr="00DF01C8">
        <w:rPr>
          <w:szCs w:val="24"/>
        </w:rPr>
        <w:t xml:space="preserve">Liu, Z., </w:t>
      </w:r>
      <w:proofErr w:type="spellStart"/>
      <w:r w:rsidRPr="00DF01C8">
        <w:rPr>
          <w:szCs w:val="24"/>
        </w:rPr>
        <w:t>Geng</w:t>
      </w:r>
      <w:proofErr w:type="spellEnd"/>
      <w:r w:rsidRPr="00DF01C8">
        <w:rPr>
          <w:szCs w:val="24"/>
        </w:rPr>
        <w:t xml:space="preserve">, Y., Adams, M. </w:t>
      </w:r>
      <w:r w:rsidRPr="00DF01C8">
        <w:rPr>
          <w:i/>
          <w:iCs/>
          <w:szCs w:val="24"/>
        </w:rPr>
        <w:t xml:space="preserve">et al. </w:t>
      </w:r>
      <w:r w:rsidRPr="00DF01C8">
        <w:rPr>
          <w:iCs/>
          <w:szCs w:val="24"/>
        </w:rPr>
        <w:t xml:space="preserve">2016. </w:t>
      </w:r>
      <w:r w:rsidRPr="00DF01C8">
        <w:rPr>
          <w:bCs/>
          <w:szCs w:val="24"/>
        </w:rPr>
        <w:t>Uncovering driving forces on greenhouse gas emissions in China' aluminum industry from the perspective of life cycle analysis.</w:t>
      </w:r>
      <w:r w:rsidRPr="00DF01C8">
        <w:rPr>
          <w:b/>
          <w:bCs/>
          <w:szCs w:val="24"/>
        </w:rPr>
        <w:t xml:space="preserve"> </w:t>
      </w:r>
      <w:r w:rsidRPr="00DF01C8">
        <w:rPr>
          <w:szCs w:val="24"/>
        </w:rPr>
        <w:t xml:space="preserve">Applied Energy, 166 (2016), pp. 253-263, </w:t>
      </w:r>
      <w:hyperlink r:id="rId56" w:tgtFrame="_blank" w:history="1">
        <w:r w:rsidRPr="00DF01C8">
          <w:rPr>
            <w:rStyle w:val="Hyperlink"/>
            <w:szCs w:val="24"/>
          </w:rPr>
          <w:t>10.1016/j.apenergy.2015.11.075</w:t>
        </w:r>
      </w:hyperlink>
    </w:p>
    <w:p w14:paraId="2F75E5C7" w14:textId="77777777" w:rsidR="00DF01C8" w:rsidRPr="00DF01C8" w:rsidRDefault="00DF01C8" w:rsidP="00DF01C8">
      <w:pPr>
        <w:ind w:left="540" w:hanging="540"/>
        <w:rPr>
          <w:rFonts w:eastAsia="Times New Roman" w:cs="Times New Roman"/>
          <w:szCs w:val="24"/>
        </w:rPr>
      </w:pPr>
      <w:r w:rsidRPr="00DF01C8">
        <w:rPr>
          <w:rFonts w:eastAsia="Times New Roman" w:cs="Times New Roman"/>
          <w:szCs w:val="24"/>
        </w:rPr>
        <w:t xml:space="preserve">Marques, A., et al. 2019. Increasing impacts of land use on biodiversity and carbon sequestration driven by population and economic growth. </w:t>
      </w:r>
      <w:r w:rsidRPr="00DF01C8">
        <w:rPr>
          <w:rFonts w:eastAsia="Times New Roman" w:cs="Times New Roman"/>
          <w:i/>
          <w:iCs/>
          <w:szCs w:val="24"/>
        </w:rPr>
        <w:t>Nature Ecology &amp; Evolution</w:t>
      </w:r>
      <w:r w:rsidRPr="00DF01C8">
        <w:rPr>
          <w:rFonts w:eastAsia="Times New Roman" w:cs="Times New Roman"/>
          <w:szCs w:val="24"/>
        </w:rPr>
        <w:t xml:space="preserve">, 3(4), 628. </w:t>
      </w:r>
      <w:hyperlink r:id="rId57" w:history="1">
        <w:r w:rsidRPr="00DF01C8">
          <w:rPr>
            <w:rFonts w:eastAsia="Times New Roman" w:cs="Times New Roman"/>
            <w:color w:val="0563C1" w:themeColor="hyperlink"/>
            <w:szCs w:val="24"/>
            <w:u w:val="single"/>
          </w:rPr>
          <w:t>https://doi.org/10.1038/s41559-019-0824-3</w:t>
        </w:r>
      </w:hyperlink>
    </w:p>
    <w:p w14:paraId="484BD9CC" w14:textId="77777777" w:rsidR="00CC6D53" w:rsidRPr="00DF01C8" w:rsidRDefault="00CC6D53" w:rsidP="003510DF">
      <w:pPr>
        <w:spacing w:after="120"/>
        <w:ind w:left="547" w:hanging="547"/>
        <w:rPr>
          <w:szCs w:val="24"/>
        </w:rPr>
      </w:pPr>
      <w:r w:rsidRPr="00DF01C8">
        <w:rPr>
          <w:szCs w:val="24"/>
        </w:rPr>
        <w:lastRenderedPageBreak/>
        <w:t xml:space="preserve">McCarthy, A., R. Dellink and R. </w:t>
      </w:r>
      <w:proofErr w:type="spellStart"/>
      <w:r w:rsidRPr="00DF01C8">
        <w:rPr>
          <w:szCs w:val="24"/>
        </w:rPr>
        <w:t>Bibas</w:t>
      </w:r>
      <w:proofErr w:type="spellEnd"/>
      <w:r w:rsidRPr="00DF01C8">
        <w:rPr>
          <w:szCs w:val="24"/>
        </w:rPr>
        <w:t xml:space="preserve">, 2018, “The Macroeconomics of the Circular Economy Transition: A Critical Review of Modelling Approaches”, OECD Environment Working Papers, No. 130, OECD Publishing, Paris. </w:t>
      </w:r>
      <w:hyperlink r:id="rId58" w:history="1">
        <w:r w:rsidRPr="00DF01C8">
          <w:rPr>
            <w:rStyle w:val="Hyperlink"/>
            <w:szCs w:val="24"/>
          </w:rPr>
          <w:t>http://dx.doi.org/10.1787/af983f9a-en</w:t>
        </w:r>
      </w:hyperlink>
    </w:p>
    <w:p w14:paraId="20EF48E5" w14:textId="77777777" w:rsidR="00924BD5" w:rsidRPr="00DF01C8" w:rsidRDefault="00924BD5" w:rsidP="003510DF">
      <w:pPr>
        <w:spacing w:after="120"/>
        <w:ind w:left="547" w:hanging="547"/>
        <w:rPr>
          <w:szCs w:val="24"/>
        </w:rPr>
      </w:pPr>
      <w:r w:rsidRPr="00DF01C8">
        <w:rPr>
          <w:szCs w:val="24"/>
        </w:rPr>
        <w:t xml:space="preserve">Ministry of Internal Affairs and Communications of Japan (MIC). 2019. 2015 Input-Output Tables for Japan. </w:t>
      </w:r>
      <w:hyperlink r:id="rId59" w:history="1">
        <w:r w:rsidRPr="00DF01C8">
          <w:rPr>
            <w:rStyle w:val="Hyperlink"/>
            <w:szCs w:val="24"/>
          </w:rPr>
          <w:t>https://www.soumu.go.jp/english/dgpp_ss/data/io/io15_00001.htm</w:t>
        </w:r>
      </w:hyperlink>
    </w:p>
    <w:p w14:paraId="16CC2E3E" w14:textId="77777777" w:rsidR="00717632" w:rsidRPr="00DF01C8" w:rsidRDefault="00717632" w:rsidP="003510DF">
      <w:pPr>
        <w:spacing w:after="120"/>
        <w:ind w:left="547" w:hanging="547"/>
        <w:rPr>
          <w:szCs w:val="24"/>
        </w:rPr>
      </w:pPr>
      <w:r w:rsidRPr="00DF01C8">
        <w:rPr>
          <w:szCs w:val="24"/>
        </w:rPr>
        <w:t xml:space="preserve">Organization for Economic Cooperation and Development (OECD). 2018. Global Material Resources Outlook to 2060: Economic Drivers and Environmental Consequences, OECD Publishing, Paris. </w:t>
      </w:r>
      <w:hyperlink r:id="rId60" w:history="1">
        <w:r w:rsidRPr="00DF01C8">
          <w:rPr>
            <w:rStyle w:val="Hyperlink"/>
            <w:szCs w:val="24"/>
          </w:rPr>
          <w:t>https://doi.org/10.1787/9789264307452-en</w:t>
        </w:r>
      </w:hyperlink>
      <w:r w:rsidRPr="00DF01C8">
        <w:rPr>
          <w:szCs w:val="24"/>
        </w:rPr>
        <w:t xml:space="preserve"> </w:t>
      </w:r>
    </w:p>
    <w:p w14:paraId="751DF456" w14:textId="77777777" w:rsidR="00DF01C8" w:rsidRPr="00DF01C8" w:rsidRDefault="00DF01C8" w:rsidP="00DF01C8">
      <w:pPr>
        <w:ind w:left="540" w:hanging="540"/>
        <w:rPr>
          <w:rFonts w:eastAsia="Times New Roman" w:cs="Times New Roman"/>
          <w:szCs w:val="24"/>
        </w:rPr>
      </w:pPr>
      <w:r w:rsidRPr="00DF01C8">
        <w:rPr>
          <w:rFonts w:eastAsia="Times New Roman" w:cs="Times New Roman"/>
          <w:szCs w:val="24"/>
        </w:rPr>
        <w:t xml:space="preserve">Otero, I. et al. Biodiversity policy beyond economic growth. </w:t>
      </w:r>
      <w:proofErr w:type="spellStart"/>
      <w:r w:rsidRPr="00DF01C8">
        <w:rPr>
          <w:rFonts w:eastAsia="Times New Roman" w:cs="Times New Roman"/>
          <w:i/>
          <w:iCs/>
          <w:szCs w:val="24"/>
        </w:rPr>
        <w:t>Conserv</w:t>
      </w:r>
      <w:proofErr w:type="spellEnd"/>
      <w:r w:rsidRPr="00DF01C8">
        <w:rPr>
          <w:rFonts w:eastAsia="Times New Roman" w:cs="Times New Roman"/>
          <w:i/>
          <w:iCs/>
          <w:szCs w:val="24"/>
        </w:rPr>
        <w:t>. Lett.</w:t>
      </w:r>
      <w:r w:rsidRPr="00DF01C8">
        <w:rPr>
          <w:rFonts w:eastAsia="Times New Roman" w:cs="Times New Roman"/>
          <w:szCs w:val="24"/>
        </w:rPr>
        <w:t xml:space="preserve"> </w:t>
      </w:r>
      <w:r w:rsidRPr="00DF01C8">
        <w:rPr>
          <w:rFonts w:eastAsia="Times New Roman" w:cs="Times New Roman"/>
          <w:bCs/>
          <w:szCs w:val="24"/>
        </w:rPr>
        <w:t>13</w:t>
      </w:r>
      <w:r w:rsidRPr="00DF01C8">
        <w:rPr>
          <w:rFonts w:eastAsia="Times New Roman" w:cs="Times New Roman"/>
          <w:szCs w:val="24"/>
        </w:rPr>
        <w:t xml:space="preserve">, e12713 (2020). </w:t>
      </w:r>
      <w:hyperlink r:id="rId61" w:history="1">
        <w:r w:rsidRPr="00DF01C8">
          <w:rPr>
            <w:rFonts w:eastAsia="Times New Roman" w:cs="Times New Roman"/>
            <w:color w:val="0563C1" w:themeColor="hyperlink"/>
            <w:szCs w:val="24"/>
            <w:u w:val="single"/>
          </w:rPr>
          <w:t>https://doi.org/10.1111/conl.12713</w:t>
        </w:r>
      </w:hyperlink>
    </w:p>
    <w:p w14:paraId="193377B6" w14:textId="77777777" w:rsidR="00DF01C8" w:rsidRPr="00DF01C8" w:rsidRDefault="00DF01C8" w:rsidP="00DF01C8">
      <w:pPr>
        <w:ind w:left="540" w:hanging="540"/>
        <w:rPr>
          <w:rFonts w:eastAsia="Times New Roman" w:cs="Times New Roman"/>
          <w:bCs/>
          <w:szCs w:val="24"/>
        </w:rPr>
      </w:pPr>
      <w:proofErr w:type="spellStart"/>
      <w:r w:rsidRPr="00DF01C8">
        <w:rPr>
          <w:rFonts w:eastAsia="Times New Roman" w:cs="Times New Roman"/>
          <w:szCs w:val="24"/>
        </w:rPr>
        <w:t>Roser</w:t>
      </w:r>
      <w:proofErr w:type="spellEnd"/>
      <w:r w:rsidRPr="00DF01C8">
        <w:rPr>
          <w:rFonts w:eastAsia="Times New Roman" w:cs="Times New Roman"/>
          <w:szCs w:val="24"/>
        </w:rPr>
        <w:t xml:space="preserve">, M. 2020. </w:t>
      </w:r>
      <w:r w:rsidRPr="00DF01C8">
        <w:rPr>
          <w:rFonts w:eastAsia="Times New Roman" w:cs="Times New Roman"/>
          <w:bCs/>
          <w:szCs w:val="24"/>
        </w:rPr>
        <w:t xml:space="preserve">The short history of global living conditions and why it matters that we know it. Our World in Data. </w:t>
      </w:r>
      <w:hyperlink r:id="rId62" w:history="1">
        <w:r w:rsidRPr="00DF01C8">
          <w:rPr>
            <w:rFonts w:eastAsia="Times New Roman" w:cs="Times New Roman"/>
            <w:bCs/>
            <w:color w:val="0563C1" w:themeColor="hyperlink"/>
            <w:szCs w:val="24"/>
            <w:u w:val="single"/>
          </w:rPr>
          <w:t>https://ourworldindata.org/a-history-of-global-living-conditions-in-5-charts</w:t>
        </w:r>
      </w:hyperlink>
      <w:r w:rsidRPr="00DF01C8">
        <w:rPr>
          <w:rFonts w:eastAsia="Times New Roman" w:cs="Times New Roman"/>
          <w:bCs/>
          <w:szCs w:val="24"/>
        </w:rPr>
        <w:t xml:space="preserve"> </w:t>
      </w:r>
    </w:p>
    <w:p w14:paraId="66844D51" w14:textId="77777777" w:rsidR="00DF01C8" w:rsidRPr="00DF01C8" w:rsidRDefault="00DF01C8" w:rsidP="00DF01C8">
      <w:pPr>
        <w:ind w:left="540" w:hanging="540"/>
        <w:rPr>
          <w:rFonts w:eastAsia="Times New Roman" w:cs="Times New Roman"/>
          <w:szCs w:val="24"/>
        </w:rPr>
      </w:pPr>
      <w:proofErr w:type="spellStart"/>
      <w:r w:rsidRPr="00DF01C8">
        <w:rPr>
          <w:rFonts w:eastAsia="Times New Roman" w:cs="Times New Roman"/>
          <w:szCs w:val="24"/>
        </w:rPr>
        <w:t>Schandl</w:t>
      </w:r>
      <w:proofErr w:type="spellEnd"/>
      <w:r w:rsidRPr="00DF01C8">
        <w:rPr>
          <w:rFonts w:eastAsia="Times New Roman" w:cs="Times New Roman"/>
          <w:szCs w:val="24"/>
        </w:rPr>
        <w:t xml:space="preserve">, H., </w:t>
      </w:r>
      <w:r w:rsidRPr="00DF01C8">
        <w:rPr>
          <w:rFonts w:eastAsia="Times New Roman" w:cs="Times New Roman"/>
          <w:iCs/>
          <w:szCs w:val="24"/>
        </w:rPr>
        <w:t xml:space="preserve">et al. 2017. </w:t>
      </w:r>
      <w:r w:rsidRPr="00DF01C8">
        <w:rPr>
          <w:rFonts w:eastAsia="Times New Roman" w:cs="Times New Roman"/>
          <w:bCs/>
          <w:szCs w:val="24"/>
        </w:rPr>
        <w:t xml:space="preserve">Global material flows and resource productivity: forty years of evidence. </w:t>
      </w:r>
      <w:r w:rsidRPr="00DF01C8">
        <w:rPr>
          <w:rFonts w:eastAsia="Times New Roman" w:cs="Times New Roman"/>
          <w:szCs w:val="24"/>
        </w:rPr>
        <w:t xml:space="preserve">J. Ind. Ecol. (2017), </w:t>
      </w:r>
      <w:hyperlink r:id="rId63" w:tgtFrame="_blank" w:history="1">
        <w:r w:rsidRPr="00DF01C8">
          <w:rPr>
            <w:rFonts w:eastAsia="Times New Roman" w:cs="Times New Roman"/>
            <w:color w:val="0563C1" w:themeColor="hyperlink"/>
            <w:szCs w:val="24"/>
            <w:u w:val="single"/>
          </w:rPr>
          <w:t>10.1111/jiec.12626</w:t>
        </w:r>
      </w:hyperlink>
    </w:p>
    <w:p w14:paraId="3216CB14" w14:textId="77777777" w:rsidR="003510DF" w:rsidRPr="00DF01C8" w:rsidRDefault="003510DF" w:rsidP="003510DF">
      <w:pPr>
        <w:spacing w:after="120"/>
        <w:ind w:left="547" w:hanging="547"/>
        <w:rPr>
          <w:rStyle w:val="ng-binding"/>
          <w:szCs w:val="24"/>
          <w:lang w:val="fr-FR"/>
        </w:rPr>
      </w:pPr>
      <w:proofErr w:type="spellStart"/>
      <w:r w:rsidRPr="00DF01C8">
        <w:rPr>
          <w:rStyle w:val="ng-binding"/>
          <w:szCs w:val="24"/>
        </w:rPr>
        <w:t>Sosinsky</w:t>
      </w:r>
      <w:proofErr w:type="spellEnd"/>
      <w:r w:rsidRPr="00DF01C8">
        <w:rPr>
          <w:rStyle w:val="ng-binding"/>
          <w:szCs w:val="24"/>
        </w:rPr>
        <w:t xml:space="preserve">, D.J., Campbell, P., Mahapatra, R., </w:t>
      </w:r>
      <w:proofErr w:type="spellStart"/>
      <w:r w:rsidRPr="00DF01C8">
        <w:rPr>
          <w:rStyle w:val="ng-binding"/>
          <w:szCs w:val="24"/>
        </w:rPr>
        <w:t>Bledje</w:t>
      </w:r>
      <w:proofErr w:type="spellEnd"/>
      <w:r w:rsidRPr="00DF01C8">
        <w:rPr>
          <w:rStyle w:val="ng-binding"/>
          <w:szCs w:val="24"/>
        </w:rPr>
        <w:t xml:space="preserve">, W., and Fisher, F. 2008. </w:t>
      </w:r>
      <w:r w:rsidRPr="00DF01C8">
        <w:rPr>
          <w:szCs w:val="24"/>
        </w:rPr>
        <w:t xml:space="preserve">The </w:t>
      </w:r>
      <w:proofErr w:type="spellStart"/>
      <w:r w:rsidRPr="00DF01C8">
        <w:rPr>
          <w:szCs w:val="24"/>
        </w:rPr>
        <w:t>Castrip</w:t>
      </w:r>
      <w:proofErr w:type="spellEnd"/>
      <w:r w:rsidRPr="00DF01C8">
        <w:rPr>
          <w:szCs w:val="24"/>
        </w:rPr>
        <w:t xml:space="preserve">® Process – Recent </w:t>
      </w:r>
      <w:r w:rsidR="00BF1A89" w:rsidRPr="00DF01C8">
        <w:rPr>
          <w:szCs w:val="24"/>
        </w:rPr>
        <w:t>Developments a</w:t>
      </w:r>
      <w:r w:rsidRPr="00DF01C8">
        <w:rPr>
          <w:szCs w:val="24"/>
        </w:rPr>
        <w:t>t Nucor Steel’s Commercial Strip Casting Plant</w:t>
      </w:r>
      <w:r w:rsidR="00BF1A89" w:rsidRPr="00DF01C8">
        <w:rPr>
          <w:szCs w:val="24"/>
        </w:rPr>
        <w:t xml:space="preserve">. </w:t>
      </w:r>
      <w:proofErr w:type="spellStart"/>
      <w:r w:rsidR="00BF1A89" w:rsidRPr="00DF01C8">
        <w:rPr>
          <w:szCs w:val="24"/>
          <w:lang w:val="fr-FR"/>
        </w:rPr>
        <w:t>Metallurgist</w:t>
      </w:r>
      <w:proofErr w:type="spellEnd"/>
      <w:r w:rsidR="00BF1A89" w:rsidRPr="00DF01C8">
        <w:rPr>
          <w:szCs w:val="24"/>
          <w:lang w:val="fr-FR"/>
        </w:rPr>
        <w:t xml:space="preserve">, Vol. 52, Nos. 11–12, 2008. </w:t>
      </w:r>
      <w:hyperlink r:id="rId64" w:history="1">
        <w:r w:rsidR="00BF1A89" w:rsidRPr="00DF01C8">
          <w:rPr>
            <w:rStyle w:val="Hyperlink"/>
            <w:szCs w:val="24"/>
            <w:lang w:val="fr-FR"/>
          </w:rPr>
          <w:t>https://link.springer.com/content/pdf/10.1007/s11015-009-9116-5.pdf</w:t>
        </w:r>
      </w:hyperlink>
      <w:r w:rsidR="00BF1A89" w:rsidRPr="00DF01C8">
        <w:rPr>
          <w:szCs w:val="24"/>
          <w:lang w:val="fr-FR"/>
        </w:rPr>
        <w:t xml:space="preserve"> </w:t>
      </w:r>
    </w:p>
    <w:p w14:paraId="2F798DD7" w14:textId="214BFC88" w:rsidR="00924BD5" w:rsidRPr="00DF01C8" w:rsidRDefault="00924BD5" w:rsidP="003510DF">
      <w:pPr>
        <w:spacing w:after="120"/>
        <w:ind w:left="547" w:hanging="547"/>
        <w:rPr>
          <w:szCs w:val="24"/>
          <w:lang w:val="pt-BR"/>
        </w:rPr>
      </w:pPr>
      <w:r w:rsidRPr="00DF01C8">
        <w:rPr>
          <w:rStyle w:val="ng-binding"/>
          <w:szCs w:val="24"/>
          <w:lang w:val="fr-FR"/>
        </w:rPr>
        <w:t xml:space="preserve">Stadler et al. 2019. </w:t>
      </w:r>
      <w:r w:rsidRPr="00DF01C8">
        <w:rPr>
          <w:rStyle w:val="ng-binding"/>
          <w:szCs w:val="24"/>
        </w:rPr>
        <w:t xml:space="preserve">EXIOBASE 3 (3.7) [Data set]. </w:t>
      </w:r>
      <w:r w:rsidRPr="00DF01C8">
        <w:rPr>
          <w:rStyle w:val="ng-binding"/>
          <w:szCs w:val="24"/>
          <w:lang w:val="pt-BR"/>
        </w:rPr>
        <w:t xml:space="preserve">Zenodo. </w:t>
      </w:r>
      <w:r w:rsidR="007E0BA4">
        <w:rPr>
          <w:rStyle w:val="ng-binding"/>
          <w:szCs w:val="24"/>
          <w:lang w:val="pt-BR"/>
        </w:rPr>
        <w:fldChar w:fldCharType="begin"/>
      </w:r>
      <w:r w:rsidR="007E0BA4">
        <w:rPr>
          <w:rStyle w:val="ng-binding"/>
          <w:szCs w:val="24"/>
          <w:lang w:val="pt-BR"/>
        </w:rPr>
        <w:instrText xml:space="preserve"> HYPERLINK "</w:instrText>
      </w:r>
      <w:r w:rsidR="007E0BA4" w:rsidRPr="00DF01C8">
        <w:rPr>
          <w:rStyle w:val="ng-binding"/>
          <w:szCs w:val="24"/>
          <w:lang w:val="pt-BR"/>
        </w:rPr>
        <w:instrText>https://doi.org/10.5281/zenodo.3583071</w:instrText>
      </w:r>
      <w:r w:rsidR="007E0BA4">
        <w:rPr>
          <w:rStyle w:val="ng-binding"/>
          <w:szCs w:val="24"/>
          <w:lang w:val="pt-BR"/>
        </w:rPr>
        <w:instrText xml:space="preserve">" </w:instrText>
      </w:r>
      <w:r w:rsidR="007E0BA4">
        <w:rPr>
          <w:rStyle w:val="ng-binding"/>
          <w:szCs w:val="24"/>
          <w:lang w:val="pt-BR"/>
        </w:rPr>
        <w:fldChar w:fldCharType="separate"/>
      </w:r>
      <w:r w:rsidR="007E0BA4" w:rsidRPr="00EE26BF">
        <w:rPr>
          <w:rStyle w:val="Hyperlink"/>
          <w:szCs w:val="24"/>
          <w:lang w:val="pt-BR"/>
        </w:rPr>
        <w:t>https://doi.org/10.5281/zenodo.3583071</w:t>
      </w:r>
      <w:r w:rsidR="007E0BA4">
        <w:rPr>
          <w:rStyle w:val="ng-binding"/>
          <w:szCs w:val="24"/>
          <w:lang w:val="pt-BR"/>
        </w:rPr>
        <w:fldChar w:fldCharType="end"/>
      </w:r>
      <w:r w:rsidR="007E0BA4">
        <w:rPr>
          <w:rStyle w:val="ng-binding"/>
          <w:szCs w:val="24"/>
          <w:lang w:val="pt-BR"/>
        </w:rPr>
        <w:t xml:space="preserve"> </w:t>
      </w:r>
    </w:p>
    <w:p w14:paraId="65434732" w14:textId="77777777" w:rsidR="00924BD5" w:rsidRPr="00DF01C8" w:rsidRDefault="00924BD5" w:rsidP="003510DF">
      <w:pPr>
        <w:spacing w:after="120"/>
        <w:ind w:left="547" w:hanging="547"/>
        <w:rPr>
          <w:szCs w:val="24"/>
        </w:rPr>
      </w:pPr>
      <w:proofErr w:type="spellStart"/>
      <w:r w:rsidRPr="00DF01C8">
        <w:rPr>
          <w:szCs w:val="24"/>
          <w:lang w:val="es-EC"/>
        </w:rPr>
        <w:t>Statistics</w:t>
      </w:r>
      <w:proofErr w:type="spellEnd"/>
      <w:r w:rsidRPr="00DF01C8">
        <w:rPr>
          <w:szCs w:val="24"/>
          <w:lang w:val="es-EC"/>
        </w:rPr>
        <w:t xml:space="preserve"> </w:t>
      </w:r>
      <w:proofErr w:type="spellStart"/>
      <w:r w:rsidRPr="00DF01C8">
        <w:rPr>
          <w:szCs w:val="24"/>
          <w:lang w:val="es-EC"/>
        </w:rPr>
        <w:t>Canada</w:t>
      </w:r>
      <w:proofErr w:type="spellEnd"/>
      <w:r w:rsidRPr="00DF01C8">
        <w:rPr>
          <w:szCs w:val="24"/>
          <w:lang w:val="es-EC"/>
        </w:rPr>
        <w:t xml:space="preserve">. </w:t>
      </w:r>
      <w:r w:rsidRPr="00DF01C8">
        <w:rPr>
          <w:szCs w:val="24"/>
        </w:rPr>
        <w:t xml:space="preserve">2019. Supply and Use Tables. </w:t>
      </w:r>
      <w:hyperlink r:id="rId65" w:history="1">
        <w:r w:rsidRPr="00DF01C8">
          <w:rPr>
            <w:rStyle w:val="Hyperlink"/>
            <w:szCs w:val="24"/>
          </w:rPr>
          <w:t>https://www150.statcan.gc.ca/n1/pub/15-602-x/15-602-x2017001-eng.htm</w:t>
        </w:r>
      </w:hyperlink>
    </w:p>
    <w:p w14:paraId="610F3E0D" w14:textId="77777777" w:rsidR="00475D26" w:rsidRPr="00DF01C8" w:rsidRDefault="00475D26" w:rsidP="003510DF">
      <w:pPr>
        <w:spacing w:after="120"/>
        <w:ind w:left="547" w:hanging="547"/>
        <w:rPr>
          <w:szCs w:val="24"/>
        </w:rPr>
      </w:pPr>
      <w:r w:rsidRPr="00DF01C8">
        <w:rPr>
          <w:szCs w:val="24"/>
        </w:rPr>
        <w:t>Steffen et al. 2015. Planetary boundaries: guiding human development on a changing planet. Science 347: 736–746. DOI: 10.1126/science.1259855</w:t>
      </w:r>
      <w:r w:rsidR="00120643" w:rsidRPr="00DF01C8">
        <w:rPr>
          <w:szCs w:val="24"/>
        </w:rPr>
        <w:t xml:space="preserve"> </w:t>
      </w:r>
      <w:r w:rsidR="00BF1A89" w:rsidRPr="00DF01C8">
        <w:rPr>
          <w:szCs w:val="24"/>
        </w:rPr>
        <w:t xml:space="preserve"> </w:t>
      </w:r>
      <w:r w:rsidR="00CC6D53" w:rsidRPr="00DF01C8">
        <w:rPr>
          <w:szCs w:val="24"/>
        </w:rPr>
        <w:t xml:space="preserve"> </w:t>
      </w:r>
    </w:p>
    <w:p w14:paraId="72B880EA" w14:textId="77777777" w:rsidR="00DF01C8" w:rsidRPr="00DF01C8" w:rsidRDefault="00DF01C8" w:rsidP="00DF01C8">
      <w:pPr>
        <w:ind w:left="540" w:hanging="540"/>
        <w:rPr>
          <w:rFonts w:eastAsia="Times New Roman" w:cs="Times New Roman"/>
          <w:szCs w:val="24"/>
        </w:rPr>
      </w:pPr>
      <w:r w:rsidRPr="00DF01C8">
        <w:rPr>
          <w:rFonts w:eastAsia="Times New Roman" w:cs="Times New Roman"/>
          <w:iCs/>
          <w:szCs w:val="24"/>
        </w:rPr>
        <w:t xml:space="preserve">Steinberger, J. K., </w:t>
      </w:r>
      <w:proofErr w:type="spellStart"/>
      <w:r w:rsidRPr="00DF01C8">
        <w:rPr>
          <w:rFonts w:eastAsia="Times New Roman" w:cs="Times New Roman"/>
          <w:iCs/>
          <w:szCs w:val="24"/>
        </w:rPr>
        <w:t>Krausmann</w:t>
      </w:r>
      <w:proofErr w:type="spellEnd"/>
      <w:r w:rsidRPr="00DF01C8">
        <w:rPr>
          <w:rFonts w:eastAsia="Times New Roman" w:cs="Times New Roman"/>
          <w:iCs/>
          <w:szCs w:val="24"/>
        </w:rPr>
        <w:t xml:space="preserve">, F., </w:t>
      </w:r>
      <w:proofErr w:type="spellStart"/>
      <w:r w:rsidRPr="00DF01C8">
        <w:rPr>
          <w:rFonts w:eastAsia="Times New Roman" w:cs="Times New Roman"/>
          <w:iCs/>
          <w:szCs w:val="24"/>
        </w:rPr>
        <w:t>Getzner</w:t>
      </w:r>
      <w:proofErr w:type="spellEnd"/>
      <w:r w:rsidRPr="00DF01C8">
        <w:rPr>
          <w:rFonts w:eastAsia="Times New Roman" w:cs="Times New Roman"/>
          <w:iCs/>
          <w:szCs w:val="24"/>
        </w:rPr>
        <w:t xml:space="preserve">, M., </w:t>
      </w:r>
      <w:proofErr w:type="spellStart"/>
      <w:r w:rsidRPr="00DF01C8">
        <w:rPr>
          <w:rFonts w:eastAsia="Times New Roman" w:cs="Times New Roman"/>
          <w:iCs/>
          <w:szCs w:val="24"/>
        </w:rPr>
        <w:t>Schandl</w:t>
      </w:r>
      <w:proofErr w:type="spellEnd"/>
      <w:r w:rsidRPr="00DF01C8">
        <w:rPr>
          <w:rFonts w:eastAsia="Times New Roman" w:cs="Times New Roman"/>
          <w:iCs/>
          <w:szCs w:val="24"/>
        </w:rPr>
        <w:t xml:space="preserve">, H., &amp; West, J. 2013. Development and dematerialization: An international study. </w:t>
      </w:r>
      <w:proofErr w:type="spellStart"/>
      <w:r w:rsidRPr="00DF01C8">
        <w:rPr>
          <w:rFonts w:eastAsia="Times New Roman" w:cs="Times New Roman"/>
          <w:iCs/>
          <w:szCs w:val="24"/>
        </w:rPr>
        <w:t>Plos</w:t>
      </w:r>
      <w:proofErr w:type="spellEnd"/>
      <w:r w:rsidRPr="00DF01C8">
        <w:rPr>
          <w:rFonts w:eastAsia="Times New Roman" w:cs="Times New Roman"/>
          <w:iCs/>
          <w:szCs w:val="24"/>
        </w:rPr>
        <w:t xml:space="preserve"> One, 8(10), e70385. </w:t>
      </w:r>
      <w:hyperlink r:id="rId66" w:history="1">
        <w:r w:rsidRPr="00DF01C8">
          <w:rPr>
            <w:rFonts w:eastAsia="Times New Roman" w:cs="Times New Roman"/>
            <w:iCs/>
            <w:color w:val="0563C1" w:themeColor="hyperlink"/>
            <w:szCs w:val="24"/>
            <w:u w:val="single"/>
          </w:rPr>
          <w:t>https://doi.org/10.1371/journal.pone.0070385</w:t>
        </w:r>
      </w:hyperlink>
    </w:p>
    <w:p w14:paraId="20CC605A" w14:textId="77777777" w:rsidR="00BF1A89" w:rsidRPr="00DF01C8" w:rsidRDefault="00BF1A89" w:rsidP="003510DF">
      <w:pPr>
        <w:spacing w:after="120"/>
        <w:ind w:left="547" w:hanging="547"/>
        <w:rPr>
          <w:szCs w:val="24"/>
        </w:rPr>
      </w:pPr>
      <w:r w:rsidRPr="00DF01C8">
        <w:rPr>
          <w:szCs w:val="24"/>
        </w:rPr>
        <w:t xml:space="preserve">The Association of Plastic Recyclers (APR). 2020. Virgin vs. Recycled Plastic Life Cycle Assessment Energy Profile and Life Cycle Assessment Environmental Burdens. The Association of Plastic Recyclers White Paper. </w:t>
      </w:r>
      <w:hyperlink r:id="rId67" w:history="1">
        <w:r w:rsidRPr="00DF01C8">
          <w:rPr>
            <w:rStyle w:val="Hyperlink"/>
            <w:szCs w:val="24"/>
          </w:rPr>
          <w:t>https://plasticsrecycling.org/images/library/APR-Recycled-vs-Virgin-May2020.pdf</w:t>
        </w:r>
      </w:hyperlink>
    </w:p>
    <w:p w14:paraId="5B991830" w14:textId="77777777" w:rsidR="00120643" w:rsidRPr="00DF01C8" w:rsidRDefault="00120643" w:rsidP="003510DF">
      <w:pPr>
        <w:spacing w:after="120"/>
        <w:ind w:left="547" w:hanging="547"/>
        <w:rPr>
          <w:szCs w:val="24"/>
        </w:rPr>
      </w:pPr>
      <w:r w:rsidRPr="00DF01C8">
        <w:rPr>
          <w:szCs w:val="24"/>
        </w:rPr>
        <w:t xml:space="preserve">United Nations (UN). 2020. United Nations Environment </w:t>
      </w:r>
      <w:proofErr w:type="spellStart"/>
      <w:r w:rsidRPr="00DF01C8">
        <w:rPr>
          <w:szCs w:val="24"/>
        </w:rPr>
        <w:t>Programme</w:t>
      </w:r>
      <w:proofErr w:type="spellEnd"/>
      <w:r w:rsidRPr="00DF01C8">
        <w:rPr>
          <w:szCs w:val="24"/>
        </w:rPr>
        <w:t xml:space="preserve"> International Resource Panel Global Material Flows Database. </w:t>
      </w:r>
      <w:hyperlink r:id="rId68" w:history="1">
        <w:r w:rsidRPr="00DF01C8">
          <w:rPr>
            <w:rStyle w:val="Hyperlink"/>
            <w:szCs w:val="24"/>
          </w:rPr>
          <w:t>https://www.resourcepanel.org/global-material-flows-database</w:t>
        </w:r>
      </w:hyperlink>
      <w:r w:rsidRPr="00DF01C8">
        <w:rPr>
          <w:szCs w:val="24"/>
        </w:rPr>
        <w:t xml:space="preserve"> </w:t>
      </w:r>
    </w:p>
    <w:p w14:paraId="1B41CBD2" w14:textId="77777777" w:rsidR="00924BD5" w:rsidRPr="00DF01C8" w:rsidRDefault="00924BD5" w:rsidP="003510DF">
      <w:pPr>
        <w:spacing w:after="120"/>
        <w:ind w:left="547" w:hanging="547"/>
        <w:rPr>
          <w:szCs w:val="24"/>
          <w:lang w:val="de-DE"/>
        </w:rPr>
      </w:pPr>
      <w:r w:rsidRPr="00DF01C8">
        <w:rPr>
          <w:szCs w:val="24"/>
        </w:rPr>
        <w:t xml:space="preserve">United States Bureau of Economic Analysis (US BEA). 2018. Input-Output Accounts Data. </w:t>
      </w:r>
      <w:hyperlink r:id="rId69" w:history="1">
        <w:r w:rsidRPr="00DF01C8">
          <w:rPr>
            <w:rStyle w:val="Hyperlink"/>
            <w:szCs w:val="24"/>
            <w:lang w:val="de-DE"/>
          </w:rPr>
          <w:t>https://www.bea.gov/industry/input-output-accounts-data</w:t>
        </w:r>
      </w:hyperlink>
    </w:p>
    <w:p w14:paraId="4634FDB9" w14:textId="77777777" w:rsidR="00A61D53" w:rsidRPr="00DF01C8" w:rsidRDefault="00A61D53" w:rsidP="003510DF">
      <w:pPr>
        <w:spacing w:after="120"/>
        <w:ind w:left="547" w:hanging="547"/>
        <w:rPr>
          <w:szCs w:val="24"/>
        </w:rPr>
      </w:pPr>
      <w:r w:rsidRPr="00DF01C8">
        <w:rPr>
          <w:szCs w:val="24"/>
          <w:lang w:val="de-DE"/>
        </w:rPr>
        <w:t xml:space="preserve">van der Mensbrugghe, D., 2019. </w:t>
      </w:r>
      <w:r w:rsidRPr="00DF01C8">
        <w:rPr>
          <w:szCs w:val="24"/>
        </w:rPr>
        <w:t xml:space="preserve">The Environmental Impact and Sustainability Applied General Equilibrium (ENVISAGE) Model. Version 10.01. Center for Global Trade Analysis, Purdue University. </w:t>
      </w:r>
      <w:hyperlink r:id="rId70" w:history="1">
        <w:r w:rsidRPr="00DF01C8">
          <w:rPr>
            <w:rStyle w:val="Hyperlink"/>
            <w:szCs w:val="24"/>
          </w:rPr>
          <w:t>https://mygeohub.org/groups/gtap/envisage-docs</w:t>
        </w:r>
      </w:hyperlink>
    </w:p>
    <w:p w14:paraId="79F67227" w14:textId="77777777" w:rsidR="002E7E7B" w:rsidRPr="00DF01C8" w:rsidRDefault="002E7E7B" w:rsidP="003510DF">
      <w:pPr>
        <w:spacing w:after="120"/>
        <w:ind w:left="547" w:hanging="547"/>
        <w:rPr>
          <w:szCs w:val="24"/>
        </w:rPr>
      </w:pPr>
      <w:r w:rsidRPr="00DF01C8">
        <w:rPr>
          <w:szCs w:val="24"/>
        </w:rPr>
        <w:lastRenderedPageBreak/>
        <w:t xml:space="preserve">Wiebe, K.S., M. </w:t>
      </w:r>
      <w:proofErr w:type="spellStart"/>
      <w:r w:rsidRPr="00DF01C8">
        <w:rPr>
          <w:szCs w:val="24"/>
        </w:rPr>
        <w:t>Harsdorff</w:t>
      </w:r>
      <w:proofErr w:type="spellEnd"/>
      <w:r w:rsidRPr="00DF01C8">
        <w:rPr>
          <w:szCs w:val="24"/>
        </w:rPr>
        <w:t xml:space="preserve">, G. Montt, M.S. Simas, R. Wood. 2019. </w:t>
      </w:r>
      <w:r w:rsidRPr="00DF01C8">
        <w:rPr>
          <w:bCs/>
          <w:szCs w:val="24"/>
        </w:rPr>
        <w:t xml:space="preserve">Global circular economy scenario in a multiregional input-output framework. </w:t>
      </w:r>
      <w:r w:rsidRPr="00DF01C8">
        <w:rPr>
          <w:szCs w:val="24"/>
        </w:rPr>
        <w:t xml:space="preserve">Environ. Sci. Technol., 56 (2019), pp. 6362-6373, </w:t>
      </w:r>
      <w:hyperlink r:id="rId71" w:tgtFrame="_blank" w:history="1">
        <w:r w:rsidRPr="00DF01C8">
          <w:rPr>
            <w:rStyle w:val="Hyperlink"/>
            <w:szCs w:val="24"/>
          </w:rPr>
          <w:t>10.1021/acs.est.9b01208</w:t>
        </w:r>
      </w:hyperlink>
    </w:p>
    <w:p w14:paraId="7E863B19" w14:textId="77777777" w:rsidR="002E7E7B" w:rsidRPr="00DF01C8" w:rsidRDefault="002E7E7B" w:rsidP="003510DF">
      <w:pPr>
        <w:spacing w:after="120"/>
        <w:ind w:left="547" w:hanging="547"/>
        <w:rPr>
          <w:szCs w:val="24"/>
        </w:rPr>
      </w:pPr>
      <w:r w:rsidRPr="00DF01C8">
        <w:rPr>
          <w:szCs w:val="24"/>
        </w:rPr>
        <w:t xml:space="preserve">Winning, M., Calzadilla, A., Bleischwitz, R. </w:t>
      </w:r>
      <w:r w:rsidRPr="00DF01C8">
        <w:rPr>
          <w:i/>
          <w:iCs/>
          <w:szCs w:val="24"/>
        </w:rPr>
        <w:t>et al.</w:t>
      </w:r>
      <w:r w:rsidRPr="00DF01C8">
        <w:rPr>
          <w:szCs w:val="24"/>
        </w:rPr>
        <w:t xml:space="preserve"> Towards a circular economy: insights based on the development of the global ENGAGE-materials model and evidence for the iron and steel industry. </w:t>
      </w:r>
      <w:r w:rsidRPr="00DF01C8">
        <w:rPr>
          <w:i/>
          <w:iCs/>
          <w:szCs w:val="24"/>
        </w:rPr>
        <w:t xml:space="preserve">Int Econ </w:t>
      </w:r>
      <w:proofErr w:type="spellStart"/>
      <w:r w:rsidRPr="00DF01C8">
        <w:rPr>
          <w:i/>
          <w:iCs/>
          <w:szCs w:val="24"/>
        </w:rPr>
        <w:t>Econ</w:t>
      </w:r>
      <w:proofErr w:type="spellEnd"/>
      <w:r w:rsidRPr="00DF01C8">
        <w:rPr>
          <w:i/>
          <w:iCs/>
          <w:szCs w:val="24"/>
        </w:rPr>
        <w:t xml:space="preserve"> Policy</w:t>
      </w:r>
      <w:r w:rsidRPr="00DF01C8">
        <w:rPr>
          <w:szCs w:val="24"/>
        </w:rPr>
        <w:t xml:space="preserve"> </w:t>
      </w:r>
      <w:r w:rsidRPr="00DF01C8">
        <w:rPr>
          <w:b/>
          <w:bCs/>
          <w:szCs w:val="24"/>
        </w:rPr>
        <w:t xml:space="preserve">14, </w:t>
      </w:r>
      <w:r w:rsidRPr="00DF01C8">
        <w:rPr>
          <w:szCs w:val="24"/>
        </w:rPr>
        <w:t xml:space="preserve">383–407 (2017). </w:t>
      </w:r>
      <w:hyperlink r:id="rId72" w:history="1">
        <w:r w:rsidRPr="00DF01C8">
          <w:rPr>
            <w:rStyle w:val="Hyperlink"/>
            <w:szCs w:val="24"/>
          </w:rPr>
          <w:t>https://doi.org/10.1007/s10368-017-0385-3</w:t>
        </w:r>
      </w:hyperlink>
    </w:p>
    <w:p w14:paraId="3D624E9C" w14:textId="7F6E8977" w:rsidR="00DF01C8" w:rsidRPr="00DF01C8" w:rsidRDefault="00DF01C8" w:rsidP="00DF01C8">
      <w:pPr>
        <w:spacing w:after="120"/>
        <w:ind w:left="547" w:hanging="547"/>
        <w:rPr>
          <w:rFonts w:eastAsia="Times New Roman" w:cs="Times New Roman"/>
          <w:bCs/>
          <w:color w:val="0563C1" w:themeColor="hyperlink"/>
          <w:szCs w:val="24"/>
          <w:u w:val="single"/>
        </w:rPr>
      </w:pPr>
      <w:r w:rsidRPr="00DF01C8">
        <w:rPr>
          <w:rFonts w:eastAsia="Times New Roman" w:cs="Times New Roman"/>
          <w:szCs w:val="24"/>
        </w:rPr>
        <w:t>World Bank (WB).</w:t>
      </w:r>
      <w:r w:rsidRPr="00DF01C8">
        <w:rPr>
          <w:rFonts w:eastAsia="Times New Roman" w:cs="Times New Roman"/>
          <w:bCs/>
          <w:szCs w:val="24"/>
        </w:rPr>
        <w:t xml:space="preserve"> 2021a. GDP per capita (constant 2015 US$). </w:t>
      </w:r>
      <w:hyperlink r:id="rId73" w:history="1">
        <w:r w:rsidRPr="00DF01C8">
          <w:rPr>
            <w:rFonts w:eastAsia="Times New Roman" w:cs="Times New Roman"/>
            <w:bCs/>
            <w:color w:val="0563C1" w:themeColor="hyperlink"/>
            <w:szCs w:val="24"/>
            <w:u w:val="single"/>
          </w:rPr>
          <w:t>https://data.worldbank.org/indicator/NY.GDP.PCAP.KD</w:t>
        </w:r>
      </w:hyperlink>
    </w:p>
    <w:p w14:paraId="63776CE2" w14:textId="250F1F4D" w:rsidR="0037414A" w:rsidRPr="00DF01C8" w:rsidRDefault="00ED111F" w:rsidP="003510DF">
      <w:pPr>
        <w:spacing w:after="120"/>
        <w:ind w:left="547" w:hanging="547"/>
        <w:rPr>
          <w:rStyle w:val="Hyperlink"/>
          <w:szCs w:val="24"/>
        </w:rPr>
      </w:pPr>
      <w:r w:rsidRPr="00DF01C8">
        <w:rPr>
          <w:szCs w:val="24"/>
        </w:rPr>
        <w:t xml:space="preserve">World Bank. 2021b. Population, total. </w:t>
      </w:r>
      <w:hyperlink r:id="rId74" w:history="1">
        <w:r w:rsidRPr="00DF01C8">
          <w:rPr>
            <w:rStyle w:val="Hyperlink"/>
            <w:szCs w:val="24"/>
          </w:rPr>
          <w:t>https://data.worldbank.org/indicator/SP.POP.TOTL</w:t>
        </w:r>
      </w:hyperlink>
    </w:p>
    <w:p w14:paraId="77990F83" w14:textId="2F94230F" w:rsidR="00FD1630" w:rsidRPr="00AF0789" w:rsidRDefault="00AF0789" w:rsidP="00AF0789">
      <w:pPr>
        <w:ind w:left="540" w:hanging="540"/>
        <w:rPr>
          <w:rStyle w:val="Hyperlink"/>
          <w:color w:val="auto"/>
          <w:u w:val="none"/>
        </w:rPr>
      </w:pPr>
      <w:r w:rsidRPr="00AF0789">
        <w:rPr>
          <w:rStyle w:val="Hyperlink"/>
          <w:color w:val="auto"/>
          <w:u w:val="none"/>
        </w:rPr>
        <w:t xml:space="preserve">World Bank (2022). </w:t>
      </w:r>
      <w:r w:rsidRPr="00AF0789">
        <w:t>Squaring the Circle:</w:t>
      </w:r>
      <w:r>
        <w:t xml:space="preserve"> </w:t>
      </w:r>
      <w:r w:rsidRPr="00AF0789">
        <w:t>Policies from Europe’s Circular Economy Transition</w:t>
      </w:r>
      <w:r>
        <w:t>. Forthcoming.</w:t>
      </w:r>
    </w:p>
    <w:p w14:paraId="45F506A1" w14:textId="77777777" w:rsidR="00FD1630" w:rsidRDefault="00FD1630">
      <w:pPr>
        <w:rPr>
          <w:rStyle w:val="Hyperlink"/>
        </w:rPr>
      </w:pPr>
      <w:r>
        <w:rPr>
          <w:rStyle w:val="Hyperlink"/>
        </w:rPr>
        <w:br w:type="page"/>
      </w:r>
    </w:p>
    <w:p w14:paraId="640C3A02" w14:textId="77777777" w:rsidR="00FD1630" w:rsidRDefault="00A61326" w:rsidP="00A61326">
      <w:pPr>
        <w:pStyle w:val="Heading1"/>
      </w:pPr>
      <w:r>
        <w:lastRenderedPageBreak/>
        <w:t>Appendix</w:t>
      </w:r>
      <w:r w:rsidR="00FD1630">
        <w:t xml:space="preserve"> </w:t>
      </w:r>
      <w:r>
        <w:t>A</w:t>
      </w:r>
      <w:r w:rsidR="00FD1630">
        <w:t>. An overview of the data sources</w:t>
      </w:r>
      <w:r>
        <w:t xml:space="preserve"> used</w:t>
      </w:r>
      <w:r w:rsidR="00FD1630">
        <w:t xml:space="preserve"> </w:t>
      </w:r>
      <w:r>
        <w:t>for the GTAP-CE database construction</w:t>
      </w:r>
    </w:p>
    <w:p w14:paraId="441A51AB" w14:textId="77777777" w:rsidR="00A61326" w:rsidRDefault="00A61326" w:rsidP="00A61326">
      <w:r>
        <w:t xml:space="preserve">For the case of </w:t>
      </w:r>
      <w:r w:rsidRPr="00BE3335">
        <w:rPr>
          <w:b/>
        </w:rPr>
        <w:t>iron ores</w:t>
      </w:r>
      <w:r>
        <w:t xml:space="preserve"> production, data are based on USGS 2015 Mineral Yearbook (</w:t>
      </w:r>
      <w:hyperlink r:id="rId75" w:history="1">
        <w:r w:rsidRPr="001E6A2F">
          <w:rPr>
            <w:rStyle w:val="Hyperlink"/>
          </w:rPr>
          <w:t>https://s3-us-west-2.amazonaws.com/prd-wret/assets/palladium/production/mineral-pubs/iron-ore/myb1-2015-feore.xlsx</w:t>
        </w:r>
      </w:hyperlink>
      <w:r>
        <w:t xml:space="preserve">). For the case of China, usable ore is reported. ‘Other’ category in the initial Yearbook included the following countries - </w:t>
      </w:r>
      <w:r w:rsidRPr="005A46C9">
        <w:t>Bhutan, Kenya, Nigeria, Portugal (</w:t>
      </w:r>
      <w:proofErr w:type="spellStart"/>
      <w:r w:rsidRPr="005A46C9">
        <w:t>manganiferous</w:t>
      </w:r>
      <w:proofErr w:type="spellEnd"/>
      <w:r w:rsidRPr="005A46C9">
        <w:t xml:space="preserve"> </w:t>
      </w:r>
      <w:r w:rsidRPr="00176203">
        <w:t>iron ore), Togo, and Uganda</w:t>
      </w:r>
      <w:r>
        <w:t xml:space="preserve"> – and total production for these six countries was reported (150 thousand metric tons (</w:t>
      </w:r>
      <w:proofErr w:type="spellStart"/>
      <w:r>
        <w:t>tmt</w:t>
      </w:r>
      <w:proofErr w:type="spellEnd"/>
      <w:r>
        <w:t xml:space="preserve">)). This was further disaggregated by individual countries, using the following assumptions. 2012 USGS data was used for Kenya (11 </w:t>
      </w:r>
      <w:proofErr w:type="spellStart"/>
      <w:r>
        <w:t>tmt</w:t>
      </w:r>
      <w:proofErr w:type="spellEnd"/>
      <w:r>
        <w:t xml:space="preserve">), Nigeria (70 </w:t>
      </w:r>
      <w:proofErr w:type="spellStart"/>
      <w:r>
        <w:t>tmt</w:t>
      </w:r>
      <w:proofErr w:type="spellEnd"/>
      <w:r>
        <w:t xml:space="preserve">), Portugal (14 </w:t>
      </w:r>
      <w:proofErr w:type="spellStart"/>
      <w:r>
        <w:t>tmt</w:t>
      </w:r>
      <w:proofErr w:type="spellEnd"/>
      <w:r>
        <w:t>). For Bhutan, statistics for Bhutan and Nepal from USGS individual country profiles (</w:t>
      </w:r>
      <w:hyperlink r:id="rId76" w:history="1">
        <w:r w:rsidRPr="001E6A2F">
          <w:rPr>
            <w:rStyle w:val="Hyperlink"/>
          </w:rPr>
          <w:t>https://s3-us-west-2.amazonaws.com/prd-wret/assets/palladium/production/mineral-pubs/country/2014/myb3-2014-bt-np.xls</w:t>
        </w:r>
      </w:hyperlink>
      <w:r>
        <w:t xml:space="preserve">) was used (19 </w:t>
      </w:r>
      <w:proofErr w:type="spellStart"/>
      <w:r>
        <w:t>tmt</w:t>
      </w:r>
      <w:proofErr w:type="spellEnd"/>
      <w:r>
        <w:t xml:space="preserve">). For Uganda, 2012 data from USGS individual country profiles was used (4 </w:t>
      </w:r>
      <w:proofErr w:type="spellStart"/>
      <w:r>
        <w:t>tmt</w:t>
      </w:r>
      <w:proofErr w:type="spellEnd"/>
      <w:r>
        <w:t xml:space="preserve">). For Togo, remaining part of the total crude ores production (32 </w:t>
      </w:r>
      <w:proofErr w:type="spellStart"/>
      <w:r>
        <w:t>tmt</w:t>
      </w:r>
      <w:proofErr w:type="spellEnd"/>
      <w:r>
        <w:t xml:space="preserve">) was assigned. Considering the reported 2014 </w:t>
      </w:r>
      <w:proofErr w:type="spellStart"/>
      <w:r>
        <w:t>Ferum</w:t>
      </w:r>
      <w:proofErr w:type="spellEnd"/>
      <w:r>
        <w:t xml:space="preserve"> content of 21.6 </w:t>
      </w:r>
      <w:proofErr w:type="spellStart"/>
      <w:r>
        <w:t>tmt</w:t>
      </w:r>
      <w:proofErr w:type="spellEnd"/>
      <w:r>
        <w:t xml:space="preserve"> for Togo provides 32 </w:t>
      </w:r>
      <w:proofErr w:type="spellStart"/>
      <w:r>
        <w:t>tmt</w:t>
      </w:r>
      <w:proofErr w:type="spellEnd"/>
      <w:r>
        <w:t xml:space="preserve"> of the equivalent crude ores mining can be considered a feasible estimate.   </w:t>
      </w:r>
    </w:p>
    <w:p w14:paraId="40BBD906" w14:textId="77777777" w:rsidR="00A61326" w:rsidRDefault="00A61326" w:rsidP="00A61326">
      <w:r>
        <w:t xml:space="preserve">For the case of </w:t>
      </w:r>
      <w:r w:rsidRPr="00BE3335">
        <w:rPr>
          <w:b/>
        </w:rPr>
        <w:t>bauxite ores</w:t>
      </w:r>
      <w:r>
        <w:t xml:space="preserve"> production, data are based on USGS 2015 Mineral Yearbook (</w:t>
      </w:r>
      <w:hyperlink r:id="rId77" w:history="1">
        <w:r w:rsidRPr="001E6A2F">
          <w:rPr>
            <w:rStyle w:val="Hyperlink"/>
          </w:rPr>
          <w:t>https://s3-us-west-2.amazonaws.com/prd-wret/assets/palladium/production/mineral-pubs/bauxite/myb1-2015-bauxi.xlsx</w:t>
        </w:r>
      </w:hyperlink>
      <w:r>
        <w:t>). In the case of US, data are not reported in the USGS Yearbook due to the proprietary reasons. To gap fill data for US, data from Statista (</w:t>
      </w:r>
      <w:hyperlink r:id="rId78" w:history="1">
        <w:r w:rsidRPr="001E6A2F">
          <w:rPr>
            <w:rStyle w:val="Hyperlink"/>
          </w:rPr>
          <w:t>https://www.statista.com/statistics/1038450/us-bauxite-production/</w:t>
        </w:r>
      </w:hyperlink>
      <w:r>
        <w:t xml:space="preserve">) was used (243.5 </w:t>
      </w:r>
      <w:proofErr w:type="spellStart"/>
      <w:r>
        <w:t>tmt</w:t>
      </w:r>
      <w:proofErr w:type="spellEnd"/>
      <w:r>
        <w:t>).</w:t>
      </w:r>
    </w:p>
    <w:p w14:paraId="01819519" w14:textId="77777777" w:rsidR="00A61326" w:rsidRDefault="00A61326" w:rsidP="00A61326">
      <w:r>
        <w:t xml:space="preserve">For the case of </w:t>
      </w:r>
      <w:r w:rsidRPr="001762F3">
        <w:rPr>
          <w:b/>
        </w:rPr>
        <w:t>copper ores</w:t>
      </w:r>
      <w:r>
        <w:t>, data are based on the USGS 2015 Mineral Yearbook (</w:t>
      </w:r>
      <w:hyperlink r:id="rId79" w:history="1">
        <w:r w:rsidRPr="001E6A2F">
          <w:rPr>
            <w:rStyle w:val="Hyperlink"/>
          </w:rPr>
          <w:t>https://s3-us-west-2.amazonaws.com/prd-wret/assets/palladium/production/mineral-pubs/copper/myb1-2015-coppe.xlsx</w:t>
        </w:r>
      </w:hyperlink>
      <w:r>
        <w:t xml:space="preserve">). Production is reported in tons of copper content are is differentiated by two technologies – concentrating and leaching (e.g. see </w:t>
      </w:r>
      <w:hyperlink r:id="rId80" w:history="1">
        <w:r w:rsidRPr="001E6A2F">
          <w:rPr>
            <w:rStyle w:val="Hyperlink"/>
          </w:rPr>
          <w:t>https://copperalliance.eu/about-copper/copper-and-its-alloys/processes/</w:t>
        </w:r>
      </w:hyperlink>
      <w:r>
        <w:t>).</w:t>
      </w:r>
    </w:p>
    <w:p w14:paraId="6341925B" w14:textId="77777777" w:rsidR="00A61326" w:rsidRDefault="00A61326" w:rsidP="00A61326">
      <w:r>
        <w:t xml:space="preserve"> For the case of </w:t>
      </w:r>
      <w:r w:rsidRPr="00B32FE0">
        <w:rPr>
          <w:b/>
        </w:rPr>
        <w:t>copper production</w:t>
      </w:r>
      <w:r>
        <w:rPr>
          <w:b/>
        </w:rPr>
        <w:t xml:space="preserve"> (distinguished by primary and secondary)</w:t>
      </w:r>
      <w:r>
        <w:t>, estimates are derived from USGS 2015 Mineral Yearbook (</w:t>
      </w:r>
      <w:hyperlink r:id="rId81" w:history="1">
        <w:r w:rsidRPr="001E6A2F">
          <w:rPr>
            <w:rStyle w:val="Hyperlink"/>
          </w:rPr>
          <w:t>https://s3-us-west-2.amazonaws.com/prd-wret/assets/palladium/production/mineral-pubs/copper/myb1-2015-coppe.xlsx</w:t>
        </w:r>
      </w:hyperlink>
      <w:r>
        <w:t>). For smelting in North Korea, no differentiation by technologies is reported and we have assumed the same primary/secondary mix as for South Korea. For smelting in Turkey, no differentiation by technologies is reported and we have assumed the same primary/secondary mix as for Poland.</w:t>
      </w:r>
    </w:p>
    <w:p w14:paraId="6598A8B1" w14:textId="77777777" w:rsidR="00A61326" w:rsidRDefault="00A61326" w:rsidP="00A61326">
      <w:r>
        <w:t xml:space="preserve">For the case of </w:t>
      </w:r>
      <w:r w:rsidRPr="00E7067A">
        <w:rPr>
          <w:b/>
        </w:rPr>
        <w:t>primary</w:t>
      </w:r>
      <w:r>
        <w:t xml:space="preserve"> </w:t>
      </w:r>
      <w:r>
        <w:rPr>
          <w:b/>
        </w:rPr>
        <w:t>aluminum</w:t>
      </w:r>
      <w:r w:rsidRPr="00B32FE0">
        <w:rPr>
          <w:b/>
        </w:rPr>
        <w:t xml:space="preserve"> production</w:t>
      </w:r>
      <w:r>
        <w:t>, estimates are derived from USGS 2015 Mineral Yearbook (</w:t>
      </w:r>
      <w:hyperlink r:id="rId82" w:history="1">
        <w:r w:rsidRPr="001E6A2F">
          <w:rPr>
            <w:rStyle w:val="Hyperlink"/>
          </w:rPr>
          <w:t>https://s3-us-west-2.amazonaws.com/prd-wret/assets/palladium/production/mineral-pubs/aluminum/myb1-2015-alumi.xls</w:t>
        </w:r>
      </w:hyperlink>
      <w:r>
        <w:t>).</w:t>
      </w:r>
    </w:p>
    <w:p w14:paraId="2C8C685E" w14:textId="77777777" w:rsidR="00A61326" w:rsidRDefault="00A61326" w:rsidP="00A61326">
      <w:r w:rsidRPr="00E7067A">
        <w:rPr>
          <w:b/>
        </w:rPr>
        <w:t>Secondary aluminum production</w:t>
      </w:r>
      <w:r>
        <w:t xml:space="preserve"> data (</w:t>
      </w:r>
      <w:proofErr w:type="gramStart"/>
      <w:r>
        <w:t>producers</w:t>
      </w:r>
      <w:proofErr w:type="gramEnd"/>
      <w:r>
        <w:t xml:space="preserve"> capacity as of 2020) is sourced from </w:t>
      </w:r>
      <w:hyperlink r:id="rId83" w:history="1">
        <w:r w:rsidRPr="000F07E3">
          <w:rPr>
            <w:rStyle w:val="Hyperlink"/>
          </w:rPr>
          <w:t>https://www.lightmetalage.com/resources-section/secondary-producers/</w:t>
        </w:r>
      </w:hyperlink>
      <w:r>
        <w:t xml:space="preserve"> and further aggregated by countries. These data can be further scaled to match secondary production volumes for 2014 using aggregate regional data from </w:t>
      </w:r>
      <w:hyperlink r:id="rId84" w:history="1">
        <w:r w:rsidRPr="000F07E3">
          <w:rPr>
            <w:rStyle w:val="Hyperlink"/>
          </w:rPr>
          <w:t>https://www.world-aluminium.org/statistics/primary-aluminium-production/</w:t>
        </w:r>
      </w:hyperlink>
      <w:r>
        <w:t xml:space="preserve"> and country/region-specific data (for EU and USA). For the 2014 totals of the secondary (recycled) aluminum production we rely on </w:t>
      </w:r>
      <w:hyperlink r:id="rId85" w:anchor="regional" w:history="1">
        <w:r w:rsidRPr="000F07E3">
          <w:rPr>
            <w:rStyle w:val="Hyperlink"/>
          </w:rPr>
          <w:t>https://alucycle.world-aluminium.org/public-access/#regional</w:t>
        </w:r>
      </w:hyperlink>
      <w:r>
        <w:t xml:space="preserve"> that reports data for 9 aggregate regions.</w:t>
      </w:r>
    </w:p>
    <w:p w14:paraId="218C9E5D" w14:textId="77777777" w:rsidR="00A61326" w:rsidRDefault="00A61326" w:rsidP="00A61326">
      <w:r w:rsidRPr="0040701F">
        <w:rPr>
          <w:b/>
        </w:rPr>
        <w:lastRenderedPageBreak/>
        <w:t>Total steel production</w:t>
      </w:r>
      <w:r>
        <w:t xml:space="preserve"> is derived from USGS 2015 Mineral Yearbook. </w:t>
      </w:r>
      <w:r w:rsidRPr="0040701F">
        <w:rPr>
          <w:b/>
        </w:rPr>
        <w:t>Secondary steel production</w:t>
      </w:r>
      <w:r>
        <w:t xml:space="preserve"> quantities are sourced from the World Steel 2016 report </w:t>
      </w:r>
      <w:hyperlink r:id="rId86" w:history="1">
        <w:r w:rsidRPr="00CB61EB">
          <w:rPr>
            <w:rStyle w:val="Hyperlink"/>
          </w:rPr>
          <w:t>https://www.worldsteel.org/en/dam/jcr:37ad1117-fefc-4df3-b84f-6295478ae460/Steel%2520Statistical%2520Yearbook%25202016.pdf</w:t>
        </w:r>
      </w:hyperlink>
      <w:r>
        <w:t xml:space="preserve"> using Electric Furnaces production volumes. Total of the world steel data for steel production exactly match the USGS total for steel production, though several minor producers are reported in the </w:t>
      </w:r>
      <w:proofErr w:type="spellStart"/>
      <w:r>
        <w:t>worldsteel</w:t>
      </w:r>
      <w:proofErr w:type="spellEnd"/>
      <w:r>
        <w:t xml:space="preserve"> data and not reported by USGS. These are added to the USGS volumes.</w:t>
      </w:r>
    </w:p>
    <w:p w14:paraId="2AA422D0" w14:textId="77777777" w:rsidR="00A61326" w:rsidRPr="00AE2E2D" w:rsidRDefault="00A61326" w:rsidP="00A61326">
      <w:r>
        <w:rPr>
          <w:b/>
        </w:rPr>
        <w:t xml:space="preserve">Extraction of non-metallic minerals and non-ferrous metal ores </w:t>
      </w:r>
      <w:r>
        <w:t xml:space="preserve">is sourced from the UNEP IRP MFA database </w:t>
      </w:r>
      <w:hyperlink r:id="rId87" w:history="1">
        <w:r w:rsidRPr="00CB61EB">
          <w:rPr>
            <w:rStyle w:val="Hyperlink"/>
          </w:rPr>
          <w:t>https://www.resourcepanel.org/global-material-flows-database</w:t>
        </w:r>
      </w:hyperlink>
      <w:r>
        <w:t xml:space="preserve"> Extraction of other ores (moo) is estimated as total non-ferrous ores mining less bauxite and copper ores.</w:t>
      </w:r>
    </w:p>
    <w:p w14:paraId="75D854E9" w14:textId="77777777" w:rsidR="00A61326" w:rsidRPr="00EF77A4" w:rsidRDefault="00A61326" w:rsidP="00A61326">
      <w:r>
        <w:rPr>
          <w:b/>
        </w:rPr>
        <w:t xml:space="preserve">Output values </w:t>
      </w:r>
      <w:r>
        <w:t xml:space="preserve">of selected commodity groups for 2007 are sourced from the UNIDO database. </w:t>
      </w:r>
      <w:r>
        <w:rPr>
          <w:b/>
        </w:rPr>
        <w:t xml:space="preserve">Exchange rates </w:t>
      </w:r>
      <w:r>
        <w:t>for converting country-specific currencies to USD are sourced from the World Bank.</w:t>
      </w:r>
    </w:p>
    <w:p w14:paraId="073E5633" w14:textId="77777777" w:rsidR="00A61326" w:rsidRDefault="00A61326" w:rsidP="00A61326">
      <w:r w:rsidRPr="00AE46C3">
        <w:rPr>
          <w:b/>
        </w:rPr>
        <w:t>Plastics waste generation</w:t>
      </w:r>
      <w:r>
        <w:t xml:space="preserve"> data by countries for 2010 is sourced from </w:t>
      </w:r>
      <w:hyperlink r:id="rId88" w:history="1">
        <w:r w:rsidRPr="00CB61EB">
          <w:rPr>
            <w:rStyle w:val="Hyperlink"/>
          </w:rPr>
          <w:t>https://ourworldindata.org/plastic-pollution</w:t>
        </w:r>
      </w:hyperlink>
      <w:r>
        <w:t xml:space="preserve"> which is in turn based on the per capita plastic waste generation reported in </w:t>
      </w:r>
      <w:proofErr w:type="spellStart"/>
      <w:r>
        <w:t>Jambeck</w:t>
      </w:r>
      <w:proofErr w:type="spellEnd"/>
      <w:r>
        <w:t xml:space="preserve"> et al. (2015) </w:t>
      </w:r>
      <w:hyperlink r:id="rId89" w:tgtFrame="_blank" w:history="1">
        <w:r>
          <w:rPr>
            <w:rStyle w:val="Hyperlink"/>
          </w:rPr>
          <w:t>http://science.sciencemag.org/content/347/6223/768/</w:t>
        </w:r>
      </w:hyperlink>
    </w:p>
    <w:p w14:paraId="7D7D9733" w14:textId="77777777" w:rsidR="00A61326" w:rsidRDefault="00A61326" w:rsidP="00A61326">
      <w:r w:rsidRPr="00E249EC">
        <w:rPr>
          <w:b/>
        </w:rPr>
        <w:t>Plastics recycling and recovery rates</w:t>
      </w:r>
      <w:r>
        <w:t xml:space="preserve"> for </w:t>
      </w:r>
      <w:r w:rsidRPr="00E249EC">
        <w:rPr>
          <w:b/>
        </w:rPr>
        <w:t>EU</w:t>
      </w:r>
      <w:r>
        <w:t xml:space="preserve"> for 2014 are sourced from </w:t>
      </w:r>
      <w:hyperlink r:id="rId90" w:history="1">
        <w:r w:rsidRPr="00CB61EB">
          <w:rPr>
            <w:rStyle w:val="Hyperlink"/>
          </w:rPr>
          <w:t>https://committee.iso.org/files/live/sites/tc61/files/The%20Plastic%20Industry%20Berlin%20Aug%202016%20-%20Copy.pdf</w:t>
        </w:r>
      </w:hyperlink>
    </w:p>
    <w:p w14:paraId="561E73F7" w14:textId="77777777" w:rsidR="00A61326" w:rsidRDefault="00A61326" w:rsidP="00A61326">
      <w:r>
        <w:t xml:space="preserve">For selected non-EU countries, including </w:t>
      </w:r>
      <w:r w:rsidRPr="00101688">
        <w:rPr>
          <w:b/>
        </w:rPr>
        <w:t>Mexico, USA, Argentina, Brazil, Morocco, South Africa, India, GCC group, China, Australia, South Korea and Japan</w:t>
      </w:r>
      <w:r>
        <w:t xml:space="preserve"> the </w:t>
      </w:r>
      <w:r w:rsidRPr="00101688">
        <w:rPr>
          <w:b/>
        </w:rPr>
        <w:t>plastic recycling rates</w:t>
      </w:r>
      <w:r>
        <w:t xml:space="preserve"> have been sourced from </w:t>
      </w:r>
      <w:hyperlink r:id="rId91" w:history="1">
        <w:r w:rsidRPr="00D57346">
          <w:rPr>
            <w:rStyle w:val="Hyperlink"/>
          </w:rPr>
          <w:t>https://www.veolia.co.uk/sites/g/files/dvc1681/files/document/2018/10/Veolia%20UK%20_%20Planet%20Magazine%2016.pdf</w:t>
        </w:r>
      </w:hyperlink>
    </w:p>
    <w:p w14:paraId="6953AF0F" w14:textId="77777777" w:rsidR="00A61326" w:rsidRDefault="00A61326" w:rsidP="00A61326">
      <w:r>
        <w:t xml:space="preserve">For the case of </w:t>
      </w:r>
      <w:r w:rsidRPr="00E56F9E">
        <w:rPr>
          <w:b/>
        </w:rPr>
        <w:t>Nigeria</w:t>
      </w:r>
      <w:r>
        <w:t xml:space="preserve"> a 10% </w:t>
      </w:r>
      <w:r w:rsidRPr="00E56F9E">
        <w:rPr>
          <w:b/>
        </w:rPr>
        <w:t>plastics recycling rate</w:t>
      </w:r>
      <w:r>
        <w:t xml:space="preserve"> is used based on </w:t>
      </w:r>
      <w:hyperlink r:id="rId92" w:history="1">
        <w:r w:rsidRPr="00D57346">
          <w:rPr>
            <w:rStyle w:val="Hyperlink"/>
          </w:rPr>
          <w:t>https://enveurope.springeropen.com/articles/10.1186/s12302-019-0254-5</w:t>
        </w:r>
      </w:hyperlink>
    </w:p>
    <w:p w14:paraId="4A6FB49B" w14:textId="77777777" w:rsidR="00A61326" w:rsidRDefault="00A61326" w:rsidP="00A61326">
      <w:r>
        <w:t xml:space="preserve">For </w:t>
      </w:r>
      <w:r w:rsidRPr="00E56F9E">
        <w:rPr>
          <w:b/>
        </w:rPr>
        <w:t>Latin America (LAC) plastic recycling rate</w:t>
      </w:r>
      <w:r>
        <w:t xml:space="preserve"> is assumed to be 4%, somewhat lower than the average recycling rate for all waste (4.5%), a suggested in </w:t>
      </w:r>
      <w:hyperlink r:id="rId93" w:history="1">
        <w:r w:rsidRPr="00D57346">
          <w:rPr>
            <w:rStyle w:val="Hyperlink"/>
          </w:rPr>
          <w:t>https://publications.iadb.org/publications/english/document/Plastic-Waste-Management-and-Leakage-in-Latin-America-and-the-Caribbean.pdf</w:t>
        </w:r>
      </w:hyperlink>
    </w:p>
    <w:p w14:paraId="3A707633" w14:textId="77777777" w:rsidR="00A61326" w:rsidRDefault="00A61326" w:rsidP="00A61326">
      <w:r>
        <w:t xml:space="preserve">For the </w:t>
      </w:r>
      <w:r w:rsidRPr="00E56F9E">
        <w:rPr>
          <w:b/>
        </w:rPr>
        <w:t>Sub Saharan Africa (SSA)</w:t>
      </w:r>
      <w:r>
        <w:t xml:space="preserve"> region we use an average </w:t>
      </w:r>
      <w:r w:rsidRPr="00E56F9E">
        <w:rPr>
          <w:b/>
        </w:rPr>
        <w:t>plastic recycling rate</w:t>
      </w:r>
      <w:r>
        <w:t xml:space="preserve"> of 3%, considering that an average recycling rate for all waste is 4% based on </w:t>
      </w:r>
      <w:hyperlink r:id="rId94" w:history="1">
        <w:r w:rsidRPr="00D57346">
          <w:rPr>
            <w:rStyle w:val="Hyperlink"/>
          </w:rPr>
          <w:t>https://wedocs.unep.org/bitstream/handle/20.500.11822/30975/Africa_WMO_Poster.pdf</w:t>
        </w:r>
      </w:hyperlink>
    </w:p>
    <w:p w14:paraId="07735ED8" w14:textId="77777777" w:rsidR="00A61326" w:rsidRDefault="00A61326" w:rsidP="00A61326">
      <w:r>
        <w:t xml:space="preserve">For </w:t>
      </w:r>
      <w:r w:rsidRPr="005B3CD1">
        <w:rPr>
          <w:b/>
        </w:rPr>
        <w:t>Canada</w:t>
      </w:r>
      <w:r>
        <w:t xml:space="preserve"> a </w:t>
      </w:r>
      <w:r w:rsidRPr="00E56F9E">
        <w:rPr>
          <w:b/>
        </w:rPr>
        <w:t>plastic recycling</w:t>
      </w:r>
      <w:r w:rsidRPr="005B3CD1">
        <w:rPr>
          <w:b/>
        </w:rPr>
        <w:t xml:space="preserve"> rate</w:t>
      </w:r>
      <w:r>
        <w:t xml:space="preserve"> of 9% is used from </w:t>
      </w:r>
      <w:hyperlink r:id="rId95" w:history="1">
        <w:r w:rsidRPr="00D57346">
          <w:rPr>
            <w:rStyle w:val="Hyperlink"/>
          </w:rPr>
          <w:t>https://www.canada.ca/en/environment-climate-change/news/2020/10/canada-one-step-closer-to-zero-plastic-waste-by-2030.html</w:t>
        </w:r>
      </w:hyperlink>
    </w:p>
    <w:p w14:paraId="700A2F8D" w14:textId="77777777" w:rsidR="00A61326" w:rsidRDefault="00A61326" w:rsidP="00A61326">
      <w:r>
        <w:t xml:space="preserve">For an aggregate North America (NAM) region a </w:t>
      </w:r>
      <w:r w:rsidRPr="00E56F9E">
        <w:rPr>
          <w:b/>
        </w:rPr>
        <w:t>plastic recycling</w:t>
      </w:r>
      <w:r w:rsidRPr="005B3CD1">
        <w:rPr>
          <w:b/>
        </w:rPr>
        <w:t xml:space="preserve"> rate</w:t>
      </w:r>
      <w:r>
        <w:t xml:space="preserve"> of 9% is used, as an average of US and Canada recycling rates.</w:t>
      </w:r>
    </w:p>
    <w:p w14:paraId="51CF1F12" w14:textId="77777777" w:rsidR="00A61326" w:rsidRDefault="00A61326" w:rsidP="00A61326">
      <w:r>
        <w:t xml:space="preserve">For the </w:t>
      </w:r>
      <w:r w:rsidRPr="005B3CD1">
        <w:rPr>
          <w:b/>
        </w:rPr>
        <w:t>Middle East and North Africa</w:t>
      </w:r>
      <w:r>
        <w:t xml:space="preserve"> aggregate region we use a </w:t>
      </w:r>
      <w:r w:rsidRPr="005B3CD1">
        <w:rPr>
          <w:b/>
        </w:rPr>
        <w:t>plastic recycling rate</w:t>
      </w:r>
      <w:r>
        <w:t xml:space="preserve"> of 10% based on the GCC group data.</w:t>
      </w:r>
    </w:p>
    <w:p w14:paraId="11E7D048" w14:textId="77777777" w:rsidR="00A61326" w:rsidRDefault="00A61326" w:rsidP="00A61326">
      <w:r>
        <w:t xml:space="preserve">For </w:t>
      </w:r>
      <w:r w:rsidRPr="005B3CD1">
        <w:rPr>
          <w:b/>
        </w:rPr>
        <w:t>Russia</w:t>
      </w:r>
      <w:r>
        <w:rPr>
          <w:b/>
        </w:rPr>
        <w:t>,</w:t>
      </w:r>
      <w:r w:rsidRPr="005B3CD1">
        <w:rPr>
          <w:b/>
        </w:rPr>
        <w:t xml:space="preserve"> plastics recycling rate</w:t>
      </w:r>
      <w:r>
        <w:t xml:space="preserve"> of 4% is used based on the average recycling rate </w:t>
      </w:r>
      <w:hyperlink r:id="rId96" w:history="1">
        <w:r w:rsidRPr="00D57346">
          <w:rPr>
            <w:rStyle w:val="Hyperlink"/>
          </w:rPr>
          <w:t>https://www.ifc.org/wps/wcm/connect/news_ext_content/ifc_external_corporate_site/news+an</w:t>
        </w:r>
        <w:r w:rsidRPr="00D57346">
          <w:rPr>
            <w:rStyle w:val="Hyperlink"/>
          </w:rPr>
          <w:lastRenderedPageBreak/>
          <w:t>d+events/news/moscow+kids+recycling</w:t>
        </w:r>
      </w:hyperlink>
      <w:r>
        <w:t xml:space="preserve"> and  lower than other estimate of average recycling of 5%-7% </w:t>
      </w:r>
      <w:hyperlink r:id="rId97" w:history="1">
        <w:r w:rsidRPr="00D57346">
          <w:rPr>
            <w:rStyle w:val="Hyperlink"/>
          </w:rPr>
          <w:t>https://documents1.worldbank.org/curated/pt/702251549554831489/pdf/Waste-in-Russia-Garbage-or-Valuable-Resource.pdf</w:t>
        </w:r>
      </w:hyperlink>
      <w:r>
        <w:t xml:space="preserve"> </w:t>
      </w:r>
    </w:p>
    <w:p w14:paraId="052E0C5D" w14:textId="77777777" w:rsidR="00A61326" w:rsidRDefault="00A61326" w:rsidP="00A61326">
      <w:r>
        <w:t xml:space="preserve">For </w:t>
      </w:r>
      <w:r w:rsidRPr="00B14CFD">
        <w:t>Europe and Central Asia</w:t>
      </w:r>
      <w:r>
        <w:t xml:space="preserve"> (ECA) </w:t>
      </w:r>
      <w:r w:rsidRPr="005B3CD1">
        <w:rPr>
          <w:b/>
        </w:rPr>
        <w:t>plastics recycling rate</w:t>
      </w:r>
      <w:r>
        <w:t xml:space="preserve"> of 4% is used same as for Russia.</w:t>
      </w:r>
    </w:p>
    <w:p w14:paraId="529CF3B9" w14:textId="77777777" w:rsidR="00A61326" w:rsidRDefault="00A61326" w:rsidP="00A61326">
      <w:r>
        <w:t xml:space="preserve">For </w:t>
      </w:r>
      <w:r w:rsidRPr="00B14CFD">
        <w:rPr>
          <w:b/>
        </w:rPr>
        <w:t>Afghanistan, Bangladesh and Sri Lanka</w:t>
      </w:r>
      <w:r>
        <w:t xml:space="preserve"> plastic recycling rates are sourced from </w:t>
      </w:r>
      <w:hyperlink r:id="rId98" w:history="1">
        <w:r w:rsidRPr="00D57346">
          <w:rPr>
            <w:rStyle w:val="Hyperlink"/>
          </w:rPr>
          <w:t>https://www.unescap.org/sites/default/files/SSWA%20Development_Paper20-02_Marine%20Plastic%20Pollution%20in%20South%20Asia.pdf</w:t>
        </w:r>
      </w:hyperlink>
    </w:p>
    <w:p w14:paraId="6A3ED2ED" w14:textId="77777777" w:rsidR="00A61326" w:rsidRDefault="00A61326" w:rsidP="00A61326">
      <w:r>
        <w:t xml:space="preserve">For the </w:t>
      </w:r>
      <w:r w:rsidRPr="00B14CFD">
        <w:rPr>
          <w:b/>
        </w:rPr>
        <w:t>South Asia</w:t>
      </w:r>
      <w:r>
        <w:t xml:space="preserve"> aggregate region </w:t>
      </w:r>
      <w:r w:rsidRPr="00B14CFD">
        <w:rPr>
          <w:b/>
        </w:rPr>
        <w:t>plastics recycling rate</w:t>
      </w:r>
      <w:r>
        <w:t xml:space="preserve"> of 12% is used based on data from Bangladesh.</w:t>
      </w:r>
    </w:p>
    <w:p w14:paraId="072EBC52" w14:textId="77777777" w:rsidR="00A61326" w:rsidRDefault="00A61326" w:rsidP="00A61326">
      <w:r>
        <w:t xml:space="preserve">For the case of </w:t>
      </w:r>
      <w:r w:rsidRPr="00DB61DB">
        <w:rPr>
          <w:b/>
        </w:rPr>
        <w:t>Malaysia a plastics recycling rate</w:t>
      </w:r>
      <w:r>
        <w:t xml:space="preserve"> of 4.5% (for 2014) was sourced from </w:t>
      </w:r>
      <w:hyperlink r:id="rId99" w:history="1">
        <w:r w:rsidRPr="00D57346">
          <w:rPr>
            <w:rStyle w:val="Hyperlink"/>
          </w:rPr>
          <w:t>http://www.krinstitute.org/Views-@-Plastic-;_An_Undegradable_Problem.aspx</w:t>
        </w:r>
      </w:hyperlink>
    </w:p>
    <w:p w14:paraId="26FB50AF" w14:textId="77777777" w:rsidR="00A61326" w:rsidRDefault="00A61326" w:rsidP="00A61326">
      <w:r>
        <w:t xml:space="preserve">For the case of </w:t>
      </w:r>
      <w:r>
        <w:rPr>
          <w:b/>
        </w:rPr>
        <w:t>Philippines,</w:t>
      </w:r>
      <w:r w:rsidRPr="00DB61DB">
        <w:rPr>
          <w:b/>
        </w:rPr>
        <w:t xml:space="preserve"> a plastics recycling rate</w:t>
      </w:r>
      <w:r>
        <w:t xml:space="preserve"> of 9% (for 2015) was sourced from </w:t>
      </w:r>
      <w:hyperlink r:id="rId100" w:history="1">
        <w:r w:rsidRPr="00D57346">
          <w:rPr>
            <w:rStyle w:val="Hyperlink"/>
          </w:rPr>
          <w:t>https://wwf.org.ph/wp-content/uploads/2020/12/WWF_REPORT_EPR_Philippines_.pdf</w:t>
        </w:r>
      </w:hyperlink>
    </w:p>
    <w:p w14:paraId="12531A93" w14:textId="77777777" w:rsidR="00A61326" w:rsidRDefault="00A61326" w:rsidP="00A61326">
      <w:r>
        <w:t xml:space="preserve">For the </w:t>
      </w:r>
      <w:r w:rsidRPr="0064645B">
        <w:rPr>
          <w:b/>
        </w:rPr>
        <w:t>East Asia and Pacific region</w:t>
      </w:r>
      <w:r>
        <w:t xml:space="preserve"> an average of MYS and PHL of </w:t>
      </w:r>
      <w:r w:rsidRPr="0064645B">
        <w:rPr>
          <w:b/>
        </w:rPr>
        <w:t>plastics recycling rate</w:t>
      </w:r>
      <w:r>
        <w:t xml:space="preserve"> was used (7%).</w:t>
      </w:r>
    </w:p>
    <w:p w14:paraId="192F3A71" w14:textId="77777777" w:rsidR="00A61326" w:rsidRDefault="00A61326" w:rsidP="00A61326">
      <w:r w:rsidRPr="006D6C35">
        <w:rPr>
          <w:b/>
        </w:rPr>
        <w:t>Global plastics production and shares</w:t>
      </w:r>
      <w:r>
        <w:t xml:space="preserve"> by </w:t>
      </w:r>
      <w:r w:rsidRPr="006D6C35">
        <w:rPr>
          <w:b/>
        </w:rPr>
        <w:t>key</w:t>
      </w:r>
      <w:r>
        <w:t xml:space="preserve"> producing </w:t>
      </w:r>
      <w:r w:rsidRPr="006D6C35">
        <w:rPr>
          <w:b/>
        </w:rPr>
        <w:t>regions</w:t>
      </w:r>
      <w:r>
        <w:t xml:space="preserve"> are adopted from </w:t>
      </w:r>
      <w:hyperlink r:id="rId101" w:history="1">
        <w:r w:rsidRPr="00D57346">
          <w:rPr>
            <w:rStyle w:val="Hyperlink"/>
          </w:rPr>
          <w:t>https://www.corepla.it/documenti/5f2fa32a-7081-416f-8bac-2efff3ff2fbd/Plastics+TheFacts+2015.pdf</w:t>
        </w:r>
      </w:hyperlink>
    </w:p>
    <w:p w14:paraId="43E1CE01" w14:textId="77777777" w:rsidR="00FD1630" w:rsidRDefault="00A61326" w:rsidP="00A61326">
      <w:pPr>
        <w:tabs>
          <w:tab w:val="left" w:pos="0"/>
        </w:tabs>
      </w:pPr>
      <w:r>
        <w:t xml:space="preserve">To estimate the </w:t>
      </w:r>
      <w:r w:rsidRPr="00661068">
        <w:rPr>
          <w:b/>
        </w:rPr>
        <w:t>price of other ‘</w:t>
      </w:r>
      <w:proofErr w:type="spellStart"/>
      <w:r w:rsidRPr="00661068">
        <w:rPr>
          <w:b/>
        </w:rPr>
        <w:t>nfm</w:t>
      </w:r>
      <w:proofErr w:type="spellEnd"/>
      <w:r w:rsidRPr="00661068">
        <w:rPr>
          <w:b/>
        </w:rPr>
        <w:t>’ ores relative to the price of corresponding metal</w:t>
      </w:r>
      <w:r>
        <w:t>, we use the share of ore inputs to the metals aggregate production structure as reported in the IOTs. The corresponding share varies between around 14% in Japan, 34% in Korea and 52% in Canada. We use an average of these three shares, which is 33%.</w:t>
      </w:r>
    </w:p>
    <w:p w14:paraId="48A8C4BE" w14:textId="77777777" w:rsidR="00A61326" w:rsidRDefault="006D6C35" w:rsidP="006D6C35">
      <w:pPr>
        <w:tabs>
          <w:tab w:val="left" w:pos="0"/>
        </w:tabs>
      </w:pPr>
      <w:r w:rsidRPr="006D6C35">
        <w:rPr>
          <w:b/>
        </w:rPr>
        <w:t>Bilateral trade volumes, values and prices</w:t>
      </w:r>
      <w:r>
        <w:t xml:space="preserve"> are derived from the BACI database </w:t>
      </w:r>
      <w:hyperlink r:id="rId102" w:history="1">
        <w:r w:rsidRPr="001E7C01">
          <w:rPr>
            <w:rStyle w:val="Hyperlink"/>
          </w:rPr>
          <w:t>http://www.cepii.fr/CEPII/en/bdd_modele/presentation.asp?id=37</w:t>
        </w:r>
      </w:hyperlink>
    </w:p>
    <w:p w14:paraId="0D9098B3" w14:textId="77777777" w:rsidR="006D6C35" w:rsidRDefault="006D6C35" w:rsidP="00924BD5">
      <w:pPr>
        <w:tabs>
          <w:tab w:val="left" w:pos="0"/>
        </w:tabs>
      </w:pPr>
      <w:r w:rsidRPr="00924BD5">
        <w:rPr>
          <w:b/>
        </w:rPr>
        <w:t>Cost and supply structures</w:t>
      </w:r>
      <w:r>
        <w:t xml:space="preserve"> for the </w:t>
      </w:r>
      <w:r w:rsidRPr="00924BD5">
        <w:rPr>
          <w:b/>
        </w:rPr>
        <w:t>disaggregated sectors</w:t>
      </w:r>
      <w:r>
        <w:t xml:space="preserve"> are based on EXIOBASE MRIO (</w:t>
      </w:r>
      <w:r w:rsidR="00924BD5">
        <w:t>Stadler et al., 2019), as well as</w:t>
      </w:r>
      <w:r>
        <w:t xml:space="preserve"> selected </w:t>
      </w:r>
      <w:r w:rsidR="00924BD5">
        <w:t xml:space="preserve">individual </w:t>
      </w:r>
      <w:r>
        <w:t>country input-output table</w:t>
      </w:r>
      <w:r w:rsidR="00924BD5">
        <w:t>s for the United States (US BEA, 2018), Canada (Statistics Canada, 2019), Japan (MIC, 2019) and Korea (Bank of Korea, 2019).</w:t>
      </w:r>
    </w:p>
    <w:p w14:paraId="7F3EBF2D" w14:textId="77777777" w:rsidR="00924BD5" w:rsidRDefault="00924BD5" w:rsidP="00A61326">
      <w:pPr>
        <w:tabs>
          <w:tab w:val="left" w:pos="0"/>
        </w:tabs>
      </w:pPr>
      <w:r>
        <w:t xml:space="preserve">Further refinements for the </w:t>
      </w:r>
      <w:r w:rsidRPr="00924BD5">
        <w:rPr>
          <w:b/>
        </w:rPr>
        <w:t>representation of energy inputs</w:t>
      </w:r>
      <w:r>
        <w:t xml:space="preserve"> to the </w:t>
      </w:r>
      <w:r w:rsidRPr="003C671F">
        <w:rPr>
          <w:b/>
        </w:rPr>
        <w:t>production process of primary and secondary activities</w:t>
      </w:r>
      <w:r w:rsidR="003C671F">
        <w:t xml:space="preserve"> are implemented based on the multiple data sources: steel</w:t>
      </w:r>
      <w:r w:rsidR="008B293F">
        <w:t xml:space="preserve"> production</w:t>
      </w:r>
      <w:r w:rsidR="003C671F">
        <w:t xml:space="preserve"> and casting (</w:t>
      </w:r>
      <w:proofErr w:type="spellStart"/>
      <w:r w:rsidR="003C671F">
        <w:t>Burchat-Korol</w:t>
      </w:r>
      <w:proofErr w:type="spellEnd"/>
      <w:r w:rsidR="003C671F">
        <w:t xml:space="preserve">, 2013; </w:t>
      </w:r>
      <w:proofErr w:type="spellStart"/>
      <w:r w:rsidR="003C671F">
        <w:t>Kirschen</w:t>
      </w:r>
      <w:proofErr w:type="spellEnd"/>
      <w:r w:rsidR="003C671F">
        <w:t xml:space="preserve"> et al., </w:t>
      </w:r>
      <w:r w:rsidR="003C671F" w:rsidRPr="003C671F">
        <w:t>2011</w:t>
      </w:r>
      <w:r w:rsidR="003C671F">
        <w:t xml:space="preserve">; </w:t>
      </w:r>
      <w:proofErr w:type="spellStart"/>
      <w:r w:rsidR="003C671F">
        <w:t>Sosinsky</w:t>
      </w:r>
      <w:proofErr w:type="spellEnd"/>
      <w:r w:rsidR="003C671F">
        <w:t xml:space="preserve"> et al., 2008</w:t>
      </w:r>
      <w:r w:rsidR="003C671F" w:rsidRPr="003C671F">
        <w:t>)</w:t>
      </w:r>
      <w:r w:rsidR="003C671F">
        <w:t xml:space="preserve">, aluminum (Liu et al., </w:t>
      </w:r>
      <w:r w:rsidR="003C671F" w:rsidRPr="003C671F">
        <w:t>2016)</w:t>
      </w:r>
      <w:r w:rsidR="003C671F">
        <w:t xml:space="preserve">, copper (Dong et al., 2020), other non-ferrous metals (BIR, 2008) and plastics (APR, 2020; Hopewell et al., </w:t>
      </w:r>
      <w:r w:rsidR="003C671F" w:rsidRPr="003C671F">
        <w:t>2009)</w:t>
      </w:r>
      <w:r w:rsidR="003C671F">
        <w:t>.</w:t>
      </w:r>
    </w:p>
    <w:p w14:paraId="25390B60" w14:textId="77777777" w:rsidR="0055375A" w:rsidRDefault="0055375A">
      <w:r>
        <w:br w:type="page"/>
      </w:r>
    </w:p>
    <w:p w14:paraId="18761641" w14:textId="77777777" w:rsidR="0055375A" w:rsidRDefault="0055375A" w:rsidP="0055375A">
      <w:pPr>
        <w:pStyle w:val="Heading1"/>
      </w:pPr>
      <w:r>
        <w:lastRenderedPageBreak/>
        <w:t>Appendix B. Regional and sectoral coverage of the ENVISAGE model used in this study</w:t>
      </w:r>
    </w:p>
    <w:p w14:paraId="05406DD2" w14:textId="77777777" w:rsidR="00171AF0" w:rsidRPr="00E713FB" w:rsidRDefault="00171AF0" w:rsidP="00171AF0">
      <w:pPr>
        <w:pStyle w:val="Heading2"/>
        <w:rPr>
          <w:lang w:val="fr-FR"/>
        </w:rPr>
      </w:pPr>
      <w:r w:rsidRPr="00E713FB">
        <w:rPr>
          <w:lang w:val="fr-FR"/>
        </w:rPr>
        <w:t xml:space="preserve">Table </w:t>
      </w:r>
      <w:r>
        <w:rPr>
          <w:lang w:val="fr-FR"/>
        </w:rPr>
        <w:t>B</w:t>
      </w:r>
      <w:r w:rsidRPr="00E713FB">
        <w:rPr>
          <w:lang w:val="fr-FR"/>
        </w:rPr>
        <w:t>.1</w:t>
      </w:r>
      <w:r>
        <w:rPr>
          <w:lang w:val="fr-FR"/>
        </w:rPr>
        <w:t>.</w:t>
      </w:r>
      <w:r w:rsidRPr="00E713FB">
        <w:rPr>
          <w:lang w:val="fr-FR"/>
        </w:rPr>
        <w:t xml:space="preserve"> </w:t>
      </w:r>
      <w:proofErr w:type="spellStart"/>
      <w:r>
        <w:rPr>
          <w:lang w:val="fr-FR"/>
        </w:rPr>
        <w:t>Regional</w:t>
      </w:r>
      <w:proofErr w:type="spellEnd"/>
      <w:r w:rsidRPr="00E713FB">
        <w:rPr>
          <w:lang w:val="fr-FR"/>
        </w:rPr>
        <w:t xml:space="preserve"> concordance</w:t>
      </w:r>
    </w:p>
    <w:tbl>
      <w:tblPr>
        <w:tblStyle w:val="ListTable2-Accent1"/>
        <w:tblW w:w="9720" w:type="dxa"/>
        <w:jc w:val="center"/>
        <w:tblLook w:val="0420" w:firstRow="1" w:lastRow="0" w:firstColumn="0" w:lastColumn="0" w:noHBand="0" w:noVBand="1"/>
      </w:tblPr>
      <w:tblGrid>
        <w:gridCol w:w="520"/>
        <w:gridCol w:w="2780"/>
        <w:gridCol w:w="6480"/>
      </w:tblGrid>
      <w:tr w:rsidR="00171AF0" w:rsidRPr="00E71D79" w14:paraId="7C52F433" w14:textId="77777777" w:rsidTr="00171AF0">
        <w:trPr>
          <w:cnfStyle w:val="100000000000" w:firstRow="1" w:lastRow="0" w:firstColumn="0" w:lastColumn="0" w:oddVBand="0" w:evenVBand="0" w:oddHBand="0" w:evenHBand="0" w:firstRowFirstColumn="0" w:firstRowLastColumn="0" w:lastRowFirstColumn="0" w:lastRowLastColumn="0"/>
          <w:trHeight w:val="300"/>
          <w:tblHeader/>
          <w:jc w:val="center"/>
        </w:trPr>
        <w:tc>
          <w:tcPr>
            <w:tcW w:w="460" w:type="dxa"/>
            <w:noWrap/>
          </w:tcPr>
          <w:p w14:paraId="13C1B93B" w14:textId="77777777" w:rsidR="00171AF0" w:rsidRPr="00171AF0" w:rsidRDefault="00171AF0" w:rsidP="009A783A">
            <w:pPr>
              <w:ind w:hanging="18"/>
              <w:rPr>
                <w:sz w:val="22"/>
                <w:szCs w:val="22"/>
                <w:lang w:val="fr-FR"/>
              </w:rPr>
            </w:pPr>
            <w:r>
              <w:rPr>
                <w:sz w:val="22"/>
                <w:szCs w:val="22"/>
                <w:lang w:val="fr-FR"/>
              </w:rPr>
              <w:t>No.</w:t>
            </w:r>
          </w:p>
        </w:tc>
        <w:tc>
          <w:tcPr>
            <w:tcW w:w="2780" w:type="dxa"/>
            <w:noWrap/>
          </w:tcPr>
          <w:p w14:paraId="09EBB8CB" w14:textId="77777777" w:rsidR="00171AF0" w:rsidRPr="00171AF0" w:rsidRDefault="00171AF0" w:rsidP="009A783A">
            <w:pPr>
              <w:ind w:firstLine="0"/>
              <w:rPr>
                <w:sz w:val="22"/>
                <w:szCs w:val="22"/>
                <w:lang w:val="en-US"/>
              </w:rPr>
            </w:pPr>
            <w:r w:rsidRPr="00171AF0">
              <w:rPr>
                <w:sz w:val="22"/>
                <w:szCs w:val="22"/>
                <w:lang w:val="en-US"/>
              </w:rPr>
              <w:t>Countries/regions represented in this study</w:t>
            </w:r>
          </w:p>
        </w:tc>
        <w:tc>
          <w:tcPr>
            <w:tcW w:w="6480" w:type="dxa"/>
            <w:noWrap/>
          </w:tcPr>
          <w:p w14:paraId="331D0B9A" w14:textId="77777777" w:rsidR="00171AF0" w:rsidRPr="00171AF0" w:rsidRDefault="00171AF0" w:rsidP="009A783A">
            <w:pPr>
              <w:ind w:firstLine="0"/>
              <w:rPr>
                <w:sz w:val="22"/>
                <w:szCs w:val="22"/>
                <w:lang w:val="en-US"/>
              </w:rPr>
            </w:pPr>
            <w:r w:rsidRPr="00171AF0">
              <w:rPr>
                <w:sz w:val="22"/>
                <w:szCs w:val="22"/>
                <w:lang w:val="en-US"/>
              </w:rPr>
              <w:t>Disaggregated GTAP countries/regions</w:t>
            </w:r>
          </w:p>
        </w:tc>
      </w:tr>
      <w:tr w:rsidR="00171AF0" w:rsidRPr="00E71D79" w14:paraId="51663137" w14:textId="77777777" w:rsidTr="00171AF0">
        <w:trPr>
          <w:cnfStyle w:val="000000100000" w:firstRow="0" w:lastRow="0" w:firstColumn="0" w:lastColumn="0" w:oddVBand="0" w:evenVBand="0" w:oddHBand="1" w:evenHBand="0" w:firstRowFirstColumn="0" w:firstRowLastColumn="0" w:lastRowFirstColumn="0" w:lastRowLastColumn="0"/>
          <w:trHeight w:val="300"/>
          <w:jc w:val="center"/>
        </w:trPr>
        <w:tc>
          <w:tcPr>
            <w:tcW w:w="460" w:type="dxa"/>
            <w:noWrap/>
            <w:hideMark/>
          </w:tcPr>
          <w:p w14:paraId="156F3FE4" w14:textId="77777777" w:rsidR="00171AF0" w:rsidRPr="00171AF0" w:rsidRDefault="00171AF0" w:rsidP="009A783A">
            <w:pPr>
              <w:ind w:hanging="18"/>
              <w:rPr>
                <w:sz w:val="22"/>
                <w:szCs w:val="22"/>
                <w:lang w:val="en-US"/>
              </w:rPr>
            </w:pPr>
            <w:r w:rsidRPr="00171AF0">
              <w:rPr>
                <w:sz w:val="22"/>
                <w:szCs w:val="22"/>
                <w:lang w:val="en-US"/>
              </w:rPr>
              <w:t>1</w:t>
            </w:r>
          </w:p>
        </w:tc>
        <w:tc>
          <w:tcPr>
            <w:tcW w:w="2780" w:type="dxa"/>
            <w:noWrap/>
            <w:hideMark/>
          </w:tcPr>
          <w:p w14:paraId="67F2CEF0" w14:textId="77777777" w:rsidR="00171AF0" w:rsidRPr="00171AF0" w:rsidRDefault="00171AF0" w:rsidP="009A783A">
            <w:pPr>
              <w:ind w:firstLine="0"/>
              <w:rPr>
                <w:sz w:val="22"/>
                <w:szCs w:val="22"/>
                <w:lang w:val="en-US"/>
              </w:rPr>
            </w:pPr>
            <w:r w:rsidRPr="00171AF0">
              <w:rPr>
                <w:sz w:val="22"/>
                <w:szCs w:val="22"/>
                <w:lang w:val="en-US"/>
              </w:rPr>
              <w:t>United States (USA)</w:t>
            </w:r>
          </w:p>
        </w:tc>
        <w:tc>
          <w:tcPr>
            <w:tcW w:w="6480" w:type="dxa"/>
            <w:noWrap/>
            <w:hideMark/>
          </w:tcPr>
          <w:p w14:paraId="68F9C778" w14:textId="77777777" w:rsidR="00171AF0" w:rsidRPr="00171AF0" w:rsidRDefault="00171AF0" w:rsidP="009A783A">
            <w:pPr>
              <w:ind w:firstLine="0"/>
              <w:rPr>
                <w:sz w:val="22"/>
                <w:szCs w:val="22"/>
                <w:lang w:val="en-US"/>
              </w:rPr>
            </w:pPr>
            <w:r w:rsidRPr="00171AF0">
              <w:rPr>
                <w:sz w:val="22"/>
                <w:szCs w:val="22"/>
                <w:lang w:val="en-US"/>
              </w:rPr>
              <w:t>United States of America (USA)</w:t>
            </w:r>
          </w:p>
        </w:tc>
      </w:tr>
      <w:tr w:rsidR="00171AF0" w:rsidRPr="00E71D79" w14:paraId="25DDE4FA" w14:textId="77777777" w:rsidTr="00171AF0">
        <w:trPr>
          <w:trHeight w:val="300"/>
          <w:jc w:val="center"/>
        </w:trPr>
        <w:tc>
          <w:tcPr>
            <w:tcW w:w="460" w:type="dxa"/>
            <w:noWrap/>
            <w:hideMark/>
          </w:tcPr>
          <w:p w14:paraId="587AF707" w14:textId="77777777" w:rsidR="00171AF0" w:rsidRPr="00171AF0" w:rsidRDefault="00171AF0" w:rsidP="009A783A">
            <w:pPr>
              <w:ind w:hanging="18"/>
              <w:rPr>
                <w:sz w:val="22"/>
                <w:szCs w:val="22"/>
                <w:lang w:val="en-US"/>
              </w:rPr>
            </w:pPr>
            <w:r w:rsidRPr="00171AF0">
              <w:rPr>
                <w:sz w:val="22"/>
                <w:szCs w:val="22"/>
                <w:lang w:val="en-US"/>
              </w:rPr>
              <w:t>2</w:t>
            </w:r>
          </w:p>
        </w:tc>
        <w:tc>
          <w:tcPr>
            <w:tcW w:w="2780" w:type="dxa"/>
            <w:noWrap/>
            <w:hideMark/>
          </w:tcPr>
          <w:p w14:paraId="00639E8A" w14:textId="77777777" w:rsidR="00171AF0" w:rsidRPr="00171AF0" w:rsidRDefault="00171AF0" w:rsidP="009A783A">
            <w:pPr>
              <w:ind w:firstLine="0"/>
              <w:rPr>
                <w:sz w:val="22"/>
                <w:szCs w:val="22"/>
                <w:lang w:val="en-US"/>
              </w:rPr>
            </w:pPr>
            <w:r w:rsidRPr="00171AF0">
              <w:rPr>
                <w:sz w:val="22"/>
                <w:szCs w:val="22"/>
                <w:lang w:val="en-US"/>
              </w:rPr>
              <w:t>China (CHN)</w:t>
            </w:r>
          </w:p>
        </w:tc>
        <w:tc>
          <w:tcPr>
            <w:tcW w:w="6480" w:type="dxa"/>
            <w:noWrap/>
            <w:hideMark/>
          </w:tcPr>
          <w:p w14:paraId="08C5C331" w14:textId="77777777" w:rsidR="00171AF0" w:rsidRPr="00171AF0" w:rsidRDefault="00171AF0" w:rsidP="009A783A">
            <w:pPr>
              <w:ind w:firstLine="0"/>
              <w:rPr>
                <w:sz w:val="22"/>
                <w:szCs w:val="22"/>
                <w:lang w:val="en-US"/>
              </w:rPr>
            </w:pPr>
            <w:r w:rsidRPr="00171AF0">
              <w:rPr>
                <w:sz w:val="22"/>
                <w:szCs w:val="22"/>
                <w:lang w:val="en-US"/>
              </w:rPr>
              <w:t>China (CHN)</w:t>
            </w:r>
          </w:p>
        </w:tc>
      </w:tr>
      <w:tr w:rsidR="00171AF0" w:rsidRPr="00E71D79" w14:paraId="0A1CDF28" w14:textId="77777777" w:rsidTr="00171AF0">
        <w:trPr>
          <w:cnfStyle w:val="000000100000" w:firstRow="0" w:lastRow="0" w:firstColumn="0" w:lastColumn="0" w:oddVBand="0" w:evenVBand="0" w:oddHBand="1" w:evenHBand="0" w:firstRowFirstColumn="0" w:firstRowLastColumn="0" w:lastRowFirstColumn="0" w:lastRowLastColumn="0"/>
          <w:trHeight w:val="300"/>
          <w:jc w:val="center"/>
        </w:trPr>
        <w:tc>
          <w:tcPr>
            <w:tcW w:w="460" w:type="dxa"/>
            <w:noWrap/>
            <w:hideMark/>
          </w:tcPr>
          <w:p w14:paraId="4CA6192F" w14:textId="77777777" w:rsidR="00171AF0" w:rsidRPr="00171AF0" w:rsidRDefault="00171AF0" w:rsidP="009A783A">
            <w:pPr>
              <w:ind w:hanging="18"/>
              <w:rPr>
                <w:sz w:val="22"/>
                <w:szCs w:val="22"/>
                <w:lang w:val="en-US"/>
              </w:rPr>
            </w:pPr>
            <w:r w:rsidRPr="00171AF0">
              <w:rPr>
                <w:sz w:val="22"/>
                <w:szCs w:val="22"/>
                <w:lang w:val="en-US"/>
              </w:rPr>
              <w:t>3</w:t>
            </w:r>
          </w:p>
        </w:tc>
        <w:tc>
          <w:tcPr>
            <w:tcW w:w="2780" w:type="dxa"/>
            <w:noWrap/>
            <w:hideMark/>
          </w:tcPr>
          <w:p w14:paraId="1B2110E2" w14:textId="77777777" w:rsidR="00171AF0" w:rsidRPr="00171AF0" w:rsidRDefault="00171AF0" w:rsidP="009A783A">
            <w:pPr>
              <w:ind w:firstLine="0"/>
              <w:rPr>
                <w:sz w:val="22"/>
                <w:szCs w:val="22"/>
                <w:lang w:val="en-US"/>
              </w:rPr>
            </w:pPr>
            <w:r w:rsidRPr="00171AF0">
              <w:rPr>
                <w:sz w:val="22"/>
                <w:szCs w:val="22"/>
                <w:lang w:val="en-US"/>
              </w:rPr>
              <w:t>Russian Federation (RUS)</w:t>
            </w:r>
          </w:p>
        </w:tc>
        <w:tc>
          <w:tcPr>
            <w:tcW w:w="6480" w:type="dxa"/>
            <w:noWrap/>
            <w:hideMark/>
          </w:tcPr>
          <w:p w14:paraId="5E916001" w14:textId="77777777" w:rsidR="00171AF0" w:rsidRPr="00171AF0" w:rsidRDefault="00171AF0" w:rsidP="009A783A">
            <w:pPr>
              <w:ind w:firstLine="0"/>
              <w:rPr>
                <w:sz w:val="22"/>
                <w:szCs w:val="22"/>
                <w:lang w:val="en-US"/>
              </w:rPr>
            </w:pPr>
            <w:r w:rsidRPr="00171AF0">
              <w:rPr>
                <w:sz w:val="22"/>
                <w:szCs w:val="22"/>
                <w:lang w:val="en-US"/>
              </w:rPr>
              <w:t>Russian Federation (RUS)</w:t>
            </w:r>
          </w:p>
        </w:tc>
      </w:tr>
      <w:tr w:rsidR="00171AF0" w:rsidRPr="00E71D79" w14:paraId="23D07DFD" w14:textId="77777777" w:rsidTr="00171AF0">
        <w:trPr>
          <w:trHeight w:val="300"/>
          <w:jc w:val="center"/>
        </w:trPr>
        <w:tc>
          <w:tcPr>
            <w:tcW w:w="460" w:type="dxa"/>
            <w:noWrap/>
            <w:hideMark/>
          </w:tcPr>
          <w:p w14:paraId="10A9BE60" w14:textId="77777777" w:rsidR="00171AF0" w:rsidRPr="00171AF0" w:rsidRDefault="00171AF0" w:rsidP="009A783A">
            <w:pPr>
              <w:ind w:hanging="18"/>
              <w:rPr>
                <w:sz w:val="22"/>
                <w:szCs w:val="22"/>
                <w:lang w:val="en-US"/>
              </w:rPr>
            </w:pPr>
            <w:r w:rsidRPr="00171AF0">
              <w:rPr>
                <w:sz w:val="22"/>
                <w:szCs w:val="22"/>
                <w:lang w:val="en-US"/>
              </w:rPr>
              <w:t>4</w:t>
            </w:r>
          </w:p>
        </w:tc>
        <w:tc>
          <w:tcPr>
            <w:tcW w:w="2780" w:type="dxa"/>
            <w:noWrap/>
          </w:tcPr>
          <w:p w14:paraId="5AF92F3B" w14:textId="77777777" w:rsidR="00171AF0" w:rsidRPr="00171AF0" w:rsidRDefault="00171AF0" w:rsidP="009A783A">
            <w:pPr>
              <w:ind w:firstLine="0"/>
              <w:rPr>
                <w:sz w:val="22"/>
                <w:szCs w:val="22"/>
                <w:lang w:val="en-US"/>
              </w:rPr>
            </w:pPr>
            <w:r w:rsidRPr="00171AF0">
              <w:rPr>
                <w:sz w:val="22"/>
                <w:szCs w:val="22"/>
                <w:lang w:val="en-US"/>
              </w:rPr>
              <w:t>Poland (POL)</w:t>
            </w:r>
          </w:p>
        </w:tc>
        <w:tc>
          <w:tcPr>
            <w:tcW w:w="6480" w:type="dxa"/>
            <w:noWrap/>
          </w:tcPr>
          <w:p w14:paraId="2495D9C7" w14:textId="77777777" w:rsidR="00171AF0" w:rsidRPr="00171AF0" w:rsidRDefault="00171AF0" w:rsidP="009A783A">
            <w:pPr>
              <w:ind w:firstLine="0"/>
              <w:rPr>
                <w:sz w:val="22"/>
                <w:szCs w:val="22"/>
                <w:lang w:val="en-US"/>
              </w:rPr>
            </w:pPr>
            <w:r w:rsidRPr="00171AF0">
              <w:rPr>
                <w:sz w:val="22"/>
                <w:szCs w:val="22"/>
                <w:lang w:val="en-US"/>
              </w:rPr>
              <w:t>Poland (POL)</w:t>
            </w:r>
          </w:p>
        </w:tc>
      </w:tr>
      <w:tr w:rsidR="00171AF0" w:rsidRPr="00E71D79" w14:paraId="105F13F6" w14:textId="77777777" w:rsidTr="00171AF0">
        <w:trPr>
          <w:cnfStyle w:val="000000100000" w:firstRow="0" w:lastRow="0" w:firstColumn="0" w:lastColumn="0" w:oddVBand="0" w:evenVBand="0" w:oddHBand="1" w:evenHBand="0" w:firstRowFirstColumn="0" w:firstRowLastColumn="0" w:lastRowFirstColumn="0" w:lastRowLastColumn="0"/>
          <w:trHeight w:val="300"/>
          <w:jc w:val="center"/>
        </w:trPr>
        <w:tc>
          <w:tcPr>
            <w:tcW w:w="460" w:type="dxa"/>
            <w:noWrap/>
            <w:hideMark/>
          </w:tcPr>
          <w:p w14:paraId="107E0C75" w14:textId="77777777" w:rsidR="00171AF0" w:rsidRPr="00171AF0" w:rsidRDefault="00171AF0" w:rsidP="009A783A">
            <w:pPr>
              <w:ind w:hanging="18"/>
              <w:rPr>
                <w:sz w:val="22"/>
                <w:szCs w:val="22"/>
                <w:lang w:val="en-US"/>
              </w:rPr>
            </w:pPr>
            <w:r w:rsidRPr="00171AF0">
              <w:rPr>
                <w:sz w:val="22"/>
                <w:szCs w:val="22"/>
                <w:lang w:val="en-US"/>
              </w:rPr>
              <w:t>5</w:t>
            </w:r>
          </w:p>
        </w:tc>
        <w:tc>
          <w:tcPr>
            <w:tcW w:w="2780" w:type="dxa"/>
            <w:noWrap/>
          </w:tcPr>
          <w:p w14:paraId="4EB0AB29" w14:textId="77777777" w:rsidR="00171AF0" w:rsidRPr="00171AF0" w:rsidRDefault="00171AF0" w:rsidP="009A783A">
            <w:pPr>
              <w:ind w:firstLine="0"/>
              <w:rPr>
                <w:sz w:val="22"/>
                <w:szCs w:val="22"/>
                <w:lang w:val="en-US"/>
              </w:rPr>
            </w:pPr>
            <w:r w:rsidRPr="00171AF0">
              <w:rPr>
                <w:sz w:val="22"/>
                <w:szCs w:val="22"/>
                <w:lang w:val="en-US"/>
              </w:rPr>
              <w:t>Romania (ROU)</w:t>
            </w:r>
          </w:p>
        </w:tc>
        <w:tc>
          <w:tcPr>
            <w:tcW w:w="6480" w:type="dxa"/>
            <w:noWrap/>
          </w:tcPr>
          <w:p w14:paraId="6AA328BF" w14:textId="77777777" w:rsidR="00171AF0" w:rsidRPr="00171AF0" w:rsidRDefault="00171AF0" w:rsidP="009A783A">
            <w:pPr>
              <w:ind w:firstLine="0"/>
              <w:rPr>
                <w:sz w:val="22"/>
                <w:szCs w:val="22"/>
                <w:lang w:val="en-US"/>
              </w:rPr>
            </w:pPr>
            <w:r w:rsidRPr="00171AF0">
              <w:rPr>
                <w:sz w:val="22"/>
                <w:szCs w:val="22"/>
                <w:lang w:val="en-US"/>
              </w:rPr>
              <w:t>Romania (ROU)</w:t>
            </w:r>
          </w:p>
        </w:tc>
      </w:tr>
      <w:tr w:rsidR="00171AF0" w:rsidRPr="00E71D79" w14:paraId="64B4F74C" w14:textId="77777777" w:rsidTr="00171AF0">
        <w:trPr>
          <w:trHeight w:val="300"/>
          <w:jc w:val="center"/>
        </w:trPr>
        <w:tc>
          <w:tcPr>
            <w:tcW w:w="460" w:type="dxa"/>
            <w:noWrap/>
            <w:hideMark/>
          </w:tcPr>
          <w:p w14:paraId="2A8D7F6A" w14:textId="77777777" w:rsidR="00171AF0" w:rsidRPr="00171AF0" w:rsidRDefault="00171AF0" w:rsidP="009A783A">
            <w:pPr>
              <w:ind w:hanging="18"/>
              <w:rPr>
                <w:sz w:val="22"/>
                <w:szCs w:val="22"/>
                <w:lang w:val="en-US"/>
              </w:rPr>
            </w:pPr>
            <w:r w:rsidRPr="00171AF0">
              <w:rPr>
                <w:sz w:val="22"/>
                <w:szCs w:val="22"/>
                <w:lang w:val="en-US"/>
              </w:rPr>
              <w:t>6</w:t>
            </w:r>
          </w:p>
        </w:tc>
        <w:tc>
          <w:tcPr>
            <w:tcW w:w="2780" w:type="dxa"/>
            <w:noWrap/>
          </w:tcPr>
          <w:p w14:paraId="115DBE15" w14:textId="77777777" w:rsidR="00171AF0" w:rsidRPr="00171AF0" w:rsidRDefault="00171AF0" w:rsidP="009A783A">
            <w:pPr>
              <w:ind w:firstLine="0"/>
              <w:rPr>
                <w:sz w:val="22"/>
                <w:szCs w:val="22"/>
                <w:lang w:val="en-US"/>
              </w:rPr>
            </w:pPr>
            <w:r w:rsidRPr="00171AF0">
              <w:rPr>
                <w:sz w:val="22"/>
                <w:szCs w:val="22"/>
                <w:lang w:val="en-US"/>
              </w:rPr>
              <w:t>Bulgaria (BGR)</w:t>
            </w:r>
          </w:p>
        </w:tc>
        <w:tc>
          <w:tcPr>
            <w:tcW w:w="6480" w:type="dxa"/>
            <w:noWrap/>
          </w:tcPr>
          <w:p w14:paraId="5451E46C" w14:textId="77777777" w:rsidR="00171AF0" w:rsidRPr="00171AF0" w:rsidRDefault="00171AF0" w:rsidP="009A783A">
            <w:pPr>
              <w:ind w:firstLine="0"/>
              <w:rPr>
                <w:sz w:val="22"/>
                <w:szCs w:val="22"/>
                <w:lang w:val="en-US"/>
              </w:rPr>
            </w:pPr>
            <w:r w:rsidRPr="00171AF0">
              <w:rPr>
                <w:sz w:val="22"/>
                <w:szCs w:val="22"/>
                <w:lang w:val="en-US"/>
              </w:rPr>
              <w:t>Bulgaria (BGR)</w:t>
            </w:r>
          </w:p>
        </w:tc>
      </w:tr>
      <w:tr w:rsidR="00171AF0" w:rsidRPr="00E713FB" w14:paraId="20B5E35C" w14:textId="77777777" w:rsidTr="00171AF0">
        <w:trPr>
          <w:cnfStyle w:val="000000100000" w:firstRow="0" w:lastRow="0" w:firstColumn="0" w:lastColumn="0" w:oddVBand="0" w:evenVBand="0" w:oddHBand="1" w:evenHBand="0" w:firstRowFirstColumn="0" w:firstRowLastColumn="0" w:lastRowFirstColumn="0" w:lastRowLastColumn="0"/>
          <w:trHeight w:val="300"/>
          <w:jc w:val="center"/>
        </w:trPr>
        <w:tc>
          <w:tcPr>
            <w:tcW w:w="460" w:type="dxa"/>
            <w:noWrap/>
            <w:hideMark/>
          </w:tcPr>
          <w:p w14:paraId="0D800650" w14:textId="77777777" w:rsidR="00171AF0" w:rsidRPr="00171AF0" w:rsidRDefault="00171AF0" w:rsidP="009A783A">
            <w:pPr>
              <w:ind w:hanging="18"/>
              <w:rPr>
                <w:sz w:val="22"/>
                <w:szCs w:val="22"/>
                <w:lang w:val="en-US"/>
              </w:rPr>
            </w:pPr>
            <w:r w:rsidRPr="00171AF0">
              <w:rPr>
                <w:sz w:val="22"/>
                <w:szCs w:val="22"/>
                <w:lang w:val="en-US"/>
              </w:rPr>
              <w:t>7</w:t>
            </w:r>
          </w:p>
        </w:tc>
        <w:tc>
          <w:tcPr>
            <w:tcW w:w="2780" w:type="dxa"/>
            <w:noWrap/>
          </w:tcPr>
          <w:p w14:paraId="037EED87" w14:textId="77777777" w:rsidR="00171AF0" w:rsidRPr="00171AF0" w:rsidRDefault="00171AF0" w:rsidP="009A783A">
            <w:pPr>
              <w:ind w:firstLine="0"/>
              <w:rPr>
                <w:sz w:val="22"/>
                <w:szCs w:val="22"/>
                <w:lang w:val="en-US"/>
              </w:rPr>
            </w:pPr>
            <w:r w:rsidRPr="00171AF0">
              <w:rPr>
                <w:sz w:val="22"/>
                <w:szCs w:val="22"/>
                <w:lang w:val="en-US"/>
              </w:rPr>
              <w:t>Croatia (HRV)</w:t>
            </w:r>
          </w:p>
        </w:tc>
        <w:tc>
          <w:tcPr>
            <w:tcW w:w="6480" w:type="dxa"/>
            <w:noWrap/>
          </w:tcPr>
          <w:p w14:paraId="376B0BF1" w14:textId="77777777" w:rsidR="00171AF0" w:rsidRPr="00171AF0" w:rsidRDefault="00171AF0" w:rsidP="009A783A">
            <w:pPr>
              <w:ind w:firstLine="0"/>
              <w:rPr>
                <w:sz w:val="22"/>
                <w:szCs w:val="22"/>
                <w:lang w:val="en-US"/>
              </w:rPr>
            </w:pPr>
            <w:r w:rsidRPr="00171AF0">
              <w:rPr>
                <w:sz w:val="22"/>
                <w:szCs w:val="22"/>
                <w:lang w:val="en-US"/>
              </w:rPr>
              <w:t>Croatia (HRV)</w:t>
            </w:r>
          </w:p>
        </w:tc>
      </w:tr>
      <w:tr w:rsidR="00171AF0" w:rsidRPr="00E71D79" w14:paraId="55F1E27C" w14:textId="77777777" w:rsidTr="00171AF0">
        <w:trPr>
          <w:trHeight w:val="300"/>
          <w:jc w:val="center"/>
        </w:trPr>
        <w:tc>
          <w:tcPr>
            <w:tcW w:w="460" w:type="dxa"/>
            <w:noWrap/>
            <w:hideMark/>
          </w:tcPr>
          <w:p w14:paraId="7CE00CD8" w14:textId="77777777" w:rsidR="00171AF0" w:rsidRPr="00171AF0" w:rsidRDefault="00171AF0" w:rsidP="009A783A">
            <w:pPr>
              <w:ind w:hanging="18"/>
              <w:rPr>
                <w:sz w:val="22"/>
                <w:szCs w:val="22"/>
                <w:lang w:val="en-US"/>
              </w:rPr>
            </w:pPr>
            <w:r w:rsidRPr="00171AF0">
              <w:rPr>
                <w:sz w:val="22"/>
                <w:szCs w:val="22"/>
                <w:lang w:val="en-US"/>
              </w:rPr>
              <w:t>8</w:t>
            </w:r>
          </w:p>
        </w:tc>
        <w:tc>
          <w:tcPr>
            <w:tcW w:w="2780" w:type="dxa"/>
            <w:noWrap/>
          </w:tcPr>
          <w:p w14:paraId="3A59C529" w14:textId="77777777" w:rsidR="00171AF0" w:rsidRPr="00171AF0" w:rsidRDefault="00171AF0" w:rsidP="009A783A">
            <w:pPr>
              <w:ind w:firstLine="0"/>
              <w:rPr>
                <w:sz w:val="22"/>
                <w:szCs w:val="22"/>
                <w:lang w:val="en-US"/>
              </w:rPr>
            </w:pPr>
            <w:r w:rsidRPr="00171AF0">
              <w:rPr>
                <w:sz w:val="22"/>
                <w:szCs w:val="22"/>
                <w:lang w:val="en-US"/>
              </w:rPr>
              <w:t>Turkey (TUR)</w:t>
            </w:r>
          </w:p>
        </w:tc>
        <w:tc>
          <w:tcPr>
            <w:tcW w:w="6480" w:type="dxa"/>
            <w:noWrap/>
          </w:tcPr>
          <w:p w14:paraId="20ED9821" w14:textId="77777777" w:rsidR="00171AF0" w:rsidRPr="00171AF0" w:rsidRDefault="00171AF0" w:rsidP="009A783A">
            <w:pPr>
              <w:ind w:firstLine="0"/>
              <w:rPr>
                <w:sz w:val="22"/>
                <w:szCs w:val="22"/>
                <w:lang w:val="en-US"/>
              </w:rPr>
            </w:pPr>
            <w:r w:rsidRPr="00171AF0">
              <w:rPr>
                <w:sz w:val="22"/>
                <w:szCs w:val="22"/>
                <w:lang w:val="en-US"/>
              </w:rPr>
              <w:t>Turkey (TUR)</w:t>
            </w:r>
          </w:p>
        </w:tc>
      </w:tr>
      <w:tr w:rsidR="00171AF0" w:rsidRPr="00E713FB" w14:paraId="695D5B92" w14:textId="77777777" w:rsidTr="00171AF0">
        <w:trPr>
          <w:cnfStyle w:val="000000100000" w:firstRow="0" w:lastRow="0" w:firstColumn="0" w:lastColumn="0" w:oddVBand="0" w:evenVBand="0" w:oddHBand="1" w:evenHBand="0" w:firstRowFirstColumn="0" w:firstRowLastColumn="0" w:lastRowFirstColumn="0" w:lastRowLastColumn="0"/>
          <w:trHeight w:val="300"/>
          <w:jc w:val="center"/>
        </w:trPr>
        <w:tc>
          <w:tcPr>
            <w:tcW w:w="460" w:type="dxa"/>
            <w:noWrap/>
            <w:hideMark/>
          </w:tcPr>
          <w:p w14:paraId="3B8A873D" w14:textId="77777777" w:rsidR="00171AF0" w:rsidRPr="00171AF0" w:rsidRDefault="00171AF0" w:rsidP="009A783A">
            <w:pPr>
              <w:ind w:hanging="18"/>
              <w:rPr>
                <w:sz w:val="22"/>
                <w:szCs w:val="22"/>
                <w:lang w:val="en-US"/>
              </w:rPr>
            </w:pPr>
            <w:r w:rsidRPr="00171AF0">
              <w:rPr>
                <w:sz w:val="22"/>
                <w:szCs w:val="22"/>
                <w:lang w:val="en-US"/>
              </w:rPr>
              <w:t>9</w:t>
            </w:r>
          </w:p>
        </w:tc>
        <w:tc>
          <w:tcPr>
            <w:tcW w:w="2780" w:type="dxa"/>
            <w:noWrap/>
          </w:tcPr>
          <w:p w14:paraId="4C7300FB" w14:textId="77777777" w:rsidR="00171AF0" w:rsidRPr="00171AF0" w:rsidRDefault="00171AF0" w:rsidP="009A783A">
            <w:pPr>
              <w:ind w:firstLine="0"/>
              <w:rPr>
                <w:sz w:val="22"/>
                <w:szCs w:val="22"/>
                <w:lang w:val="en-US"/>
              </w:rPr>
            </w:pPr>
            <w:r w:rsidRPr="00171AF0">
              <w:rPr>
                <w:sz w:val="22"/>
                <w:szCs w:val="22"/>
                <w:lang w:val="en-US"/>
              </w:rPr>
              <w:t>EU-16+EFTA+Great Britain (X16)</w:t>
            </w:r>
          </w:p>
        </w:tc>
        <w:tc>
          <w:tcPr>
            <w:tcW w:w="6480" w:type="dxa"/>
            <w:noWrap/>
          </w:tcPr>
          <w:p w14:paraId="72F98482" w14:textId="77777777" w:rsidR="00171AF0" w:rsidRPr="00171AF0" w:rsidRDefault="00171AF0" w:rsidP="009A783A">
            <w:pPr>
              <w:ind w:firstLine="0"/>
              <w:rPr>
                <w:sz w:val="22"/>
                <w:szCs w:val="22"/>
                <w:lang w:val="en-US"/>
              </w:rPr>
            </w:pPr>
            <w:r w:rsidRPr="00171AF0">
              <w:rPr>
                <w:sz w:val="22"/>
                <w:szCs w:val="22"/>
                <w:lang w:val="en-US"/>
              </w:rPr>
              <w:t>Austria (AUT), Belgium (BEL), Cyprus (CYP), Denmark (DNK), Finland (FIN), France (FRA), Germany (DEU), Greece (GRC), Ireland (IRL), Italy (ITA), Luxembourg (LUX), Malta (MLT), Netherlands (NLD), Portugal (PRT), Spain (ESP), Sweden (SWE), United Kingdom (GBR), Switzerland (CHE), Norway (NOR), Rest of EFTA (XEF)</w:t>
            </w:r>
          </w:p>
        </w:tc>
      </w:tr>
      <w:tr w:rsidR="00171AF0" w:rsidRPr="00050AB1" w14:paraId="5C4B391F" w14:textId="77777777" w:rsidTr="00171AF0">
        <w:trPr>
          <w:trHeight w:val="300"/>
          <w:jc w:val="center"/>
        </w:trPr>
        <w:tc>
          <w:tcPr>
            <w:tcW w:w="460" w:type="dxa"/>
            <w:noWrap/>
            <w:hideMark/>
          </w:tcPr>
          <w:p w14:paraId="3D8EE30E" w14:textId="77777777" w:rsidR="00171AF0" w:rsidRPr="00171AF0" w:rsidRDefault="00171AF0" w:rsidP="009A783A">
            <w:pPr>
              <w:ind w:hanging="18"/>
              <w:rPr>
                <w:sz w:val="22"/>
                <w:szCs w:val="22"/>
                <w:lang w:val="en-US"/>
              </w:rPr>
            </w:pPr>
            <w:r w:rsidRPr="00171AF0">
              <w:rPr>
                <w:sz w:val="22"/>
                <w:szCs w:val="22"/>
                <w:lang w:val="en-US"/>
              </w:rPr>
              <w:t>10</w:t>
            </w:r>
          </w:p>
        </w:tc>
        <w:tc>
          <w:tcPr>
            <w:tcW w:w="2780" w:type="dxa"/>
            <w:noWrap/>
          </w:tcPr>
          <w:p w14:paraId="2DA962F5" w14:textId="77777777" w:rsidR="00171AF0" w:rsidRPr="00171AF0" w:rsidRDefault="00171AF0" w:rsidP="009A783A">
            <w:pPr>
              <w:ind w:firstLine="0"/>
              <w:rPr>
                <w:sz w:val="22"/>
                <w:szCs w:val="22"/>
                <w:lang w:val="es-ES_tradnl"/>
              </w:rPr>
            </w:pPr>
            <w:proofErr w:type="spellStart"/>
            <w:r w:rsidRPr="00171AF0">
              <w:rPr>
                <w:sz w:val="22"/>
                <w:szCs w:val="22"/>
                <w:lang w:val="es-ES_tradnl"/>
              </w:rPr>
              <w:t>Rest</w:t>
            </w:r>
            <w:proofErr w:type="spellEnd"/>
            <w:r w:rsidRPr="00171AF0">
              <w:rPr>
                <w:sz w:val="22"/>
                <w:szCs w:val="22"/>
                <w:lang w:val="es-ES_tradnl"/>
              </w:rPr>
              <w:t xml:space="preserve"> </w:t>
            </w:r>
            <w:proofErr w:type="spellStart"/>
            <w:r w:rsidRPr="00171AF0">
              <w:rPr>
                <w:sz w:val="22"/>
                <w:szCs w:val="22"/>
                <w:lang w:val="es-ES_tradnl"/>
              </w:rPr>
              <w:t>of</w:t>
            </w:r>
            <w:proofErr w:type="spellEnd"/>
            <w:r w:rsidRPr="00171AF0">
              <w:rPr>
                <w:sz w:val="22"/>
                <w:szCs w:val="22"/>
                <w:lang w:val="es-ES_tradnl"/>
              </w:rPr>
              <w:t xml:space="preserve"> EU </w:t>
            </w:r>
            <w:proofErr w:type="spellStart"/>
            <w:r w:rsidRPr="00171AF0">
              <w:rPr>
                <w:sz w:val="22"/>
                <w:szCs w:val="22"/>
                <w:lang w:val="es-ES_tradnl"/>
              </w:rPr>
              <w:t>transition</w:t>
            </w:r>
            <w:proofErr w:type="spellEnd"/>
            <w:r w:rsidRPr="00171AF0">
              <w:rPr>
                <w:sz w:val="22"/>
                <w:szCs w:val="22"/>
                <w:lang w:val="es-ES_tradnl"/>
              </w:rPr>
              <w:t xml:space="preserve"> </w:t>
            </w:r>
            <w:proofErr w:type="spellStart"/>
            <w:r w:rsidRPr="00171AF0">
              <w:rPr>
                <w:sz w:val="22"/>
                <w:szCs w:val="22"/>
                <w:lang w:val="es-ES_tradnl"/>
              </w:rPr>
              <w:t>economies</w:t>
            </w:r>
            <w:proofErr w:type="spellEnd"/>
            <w:r w:rsidRPr="00171AF0">
              <w:rPr>
                <w:sz w:val="22"/>
                <w:szCs w:val="22"/>
                <w:lang w:val="es-ES_tradnl"/>
              </w:rPr>
              <w:t xml:space="preserve"> (EU7)</w:t>
            </w:r>
          </w:p>
        </w:tc>
        <w:tc>
          <w:tcPr>
            <w:tcW w:w="6480" w:type="dxa"/>
            <w:noWrap/>
          </w:tcPr>
          <w:p w14:paraId="564626CC" w14:textId="77777777" w:rsidR="00171AF0" w:rsidRPr="00171AF0" w:rsidRDefault="00171AF0" w:rsidP="009A783A">
            <w:pPr>
              <w:ind w:firstLine="0"/>
              <w:rPr>
                <w:sz w:val="22"/>
                <w:szCs w:val="22"/>
                <w:lang w:val="es-ES_tradnl"/>
              </w:rPr>
            </w:pPr>
            <w:proofErr w:type="spellStart"/>
            <w:r w:rsidRPr="00171AF0">
              <w:rPr>
                <w:sz w:val="22"/>
                <w:szCs w:val="22"/>
                <w:lang w:val="es-ES_tradnl"/>
              </w:rPr>
              <w:t>Czech</w:t>
            </w:r>
            <w:proofErr w:type="spellEnd"/>
            <w:r w:rsidRPr="00171AF0">
              <w:rPr>
                <w:sz w:val="22"/>
                <w:szCs w:val="22"/>
                <w:lang w:val="es-ES_tradnl"/>
              </w:rPr>
              <w:t xml:space="preserve"> </w:t>
            </w:r>
            <w:proofErr w:type="spellStart"/>
            <w:r w:rsidRPr="00171AF0">
              <w:rPr>
                <w:sz w:val="22"/>
                <w:szCs w:val="22"/>
                <w:lang w:val="es-ES_tradnl"/>
              </w:rPr>
              <w:t>Republic</w:t>
            </w:r>
            <w:proofErr w:type="spellEnd"/>
            <w:r w:rsidRPr="00171AF0">
              <w:rPr>
                <w:sz w:val="22"/>
                <w:szCs w:val="22"/>
                <w:lang w:val="es-ES_tradnl"/>
              </w:rPr>
              <w:t xml:space="preserve"> (CZE), Estonia (EST), </w:t>
            </w:r>
            <w:proofErr w:type="spellStart"/>
            <w:r w:rsidRPr="00171AF0">
              <w:rPr>
                <w:sz w:val="22"/>
                <w:szCs w:val="22"/>
                <w:lang w:val="es-ES_tradnl"/>
              </w:rPr>
              <w:t>Hungary</w:t>
            </w:r>
            <w:proofErr w:type="spellEnd"/>
            <w:r w:rsidRPr="00171AF0">
              <w:rPr>
                <w:sz w:val="22"/>
                <w:szCs w:val="22"/>
                <w:lang w:val="es-ES_tradnl"/>
              </w:rPr>
              <w:t xml:space="preserve"> (HUN), </w:t>
            </w:r>
            <w:proofErr w:type="spellStart"/>
            <w:r w:rsidRPr="00171AF0">
              <w:rPr>
                <w:sz w:val="22"/>
                <w:szCs w:val="22"/>
                <w:lang w:val="es-ES_tradnl"/>
              </w:rPr>
              <w:t>Latvia</w:t>
            </w:r>
            <w:proofErr w:type="spellEnd"/>
            <w:r w:rsidRPr="00171AF0">
              <w:rPr>
                <w:sz w:val="22"/>
                <w:szCs w:val="22"/>
                <w:lang w:val="es-ES_tradnl"/>
              </w:rPr>
              <w:t xml:space="preserve"> (LVA), </w:t>
            </w:r>
            <w:proofErr w:type="spellStart"/>
            <w:r w:rsidRPr="00171AF0">
              <w:rPr>
                <w:sz w:val="22"/>
                <w:szCs w:val="22"/>
                <w:lang w:val="es-ES_tradnl"/>
              </w:rPr>
              <w:t>Lithuania</w:t>
            </w:r>
            <w:proofErr w:type="spellEnd"/>
            <w:r w:rsidRPr="00171AF0">
              <w:rPr>
                <w:sz w:val="22"/>
                <w:szCs w:val="22"/>
                <w:lang w:val="es-ES_tradnl"/>
              </w:rPr>
              <w:t xml:space="preserve"> (LTU), </w:t>
            </w:r>
            <w:proofErr w:type="spellStart"/>
            <w:r w:rsidRPr="00171AF0">
              <w:rPr>
                <w:sz w:val="22"/>
                <w:szCs w:val="22"/>
                <w:lang w:val="es-ES_tradnl"/>
              </w:rPr>
              <w:t>Slovakia</w:t>
            </w:r>
            <w:proofErr w:type="spellEnd"/>
            <w:r w:rsidRPr="00171AF0">
              <w:rPr>
                <w:sz w:val="22"/>
                <w:szCs w:val="22"/>
                <w:lang w:val="es-ES_tradnl"/>
              </w:rPr>
              <w:t xml:space="preserve"> (SVK), </w:t>
            </w:r>
            <w:proofErr w:type="spellStart"/>
            <w:r w:rsidRPr="00171AF0">
              <w:rPr>
                <w:sz w:val="22"/>
                <w:szCs w:val="22"/>
                <w:lang w:val="es-ES_tradnl"/>
              </w:rPr>
              <w:t>Slovenia</w:t>
            </w:r>
            <w:proofErr w:type="spellEnd"/>
            <w:r w:rsidRPr="00171AF0">
              <w:rPr>
                <w:sz w:val="22"/>
                <w:szCs w:val="22"/>
                <w:lang w:val="es-ES_tradnl"/>
              </w:rPr>
              <w:t xml:space="preserve"> (SVN) </w:t>
            </w:r>
          </w:p>
        </w:tc>
      </w:tr>
      <w:tr w:rsidR="00171AF0" w:rsidRPr="00E71D79" w14:paraId="75062206" w14:textId="77777777" w:rsidTr="00171AF0">
        <w:trPr>
          <w:cnfStyle w:val="000000100000" w:firstRow="0" w:lastRow="0" w:firstColumn="0" w:lastColumn="0" w:oddVBand="0" w:evenVBand="0" w:oddHBand="1" w:evenHBand="0" w:firstRowFirstColumn="0" w:firstRowLastColumn="0" w:lastRowFirstColumn="0" w:lastRowLastColumn="0"/>
          <w:trHeight w:val="300"/>
          <w:jc w:val="center"/>
        </w:trPr>
        <w:tc>
          <w:tcPr>
            <w:tcW w:w="460" w:type="dxa"/>
            <w:noWrap/>
            <w:hideMark/>
          </w:tcPr>
          <w:p w14:paraId="4CDB525F" w14:textId="77777777" w:rsidR="00171AF0" w:rsidRPr="00171AF0" w:rsidRDefault="00171AF0" w:rsidP="009A783A">
            <w:pPr>
              <w:ind w:hanging="18"/>
              <w:rPr>
                <w:sz w:val="22"/>
                <w:szCs w:val="22"/>
                <w:lang w:val="en-US"/>
              </w:rPr>
            </w:pPr>
            <w:r w:rsidRPr="00171AF0">
              <w:rPr>
                <w:sz w:val="22"/>
                <w:szCs w:val="22"/>
                <w:lang w:val="en-US"/>
              </w:rPr>
              <w:t>11</w:t>
            </w:r>
          </w:p>
        </w:tc>
        <w:tc>
          <w:tcPr>
            <w:tcW w:w="2780" w:type="dxa"/>
            <w:noWrap/>
          </w:tcPr>
          <w:p w14:paraId="14F3E6DF" w14:textId="77777777" w:rsidR="00171AF0" w:rsidRPr="00171AF0" w:rsidRDefault="00171AF0" w:rsidP="009A783A">
            <w:pPr>
              <w:ind w:firstLine="0"/>
              <w:rPr>
                <w:sz w:val="22"/>
                <w:szCs w:val="22"/>
                <w:lang w:val="en-US"/>
              </w:rPr>
            </w:pPr>
            <w:r w:rsidRPr="00171AF0">
              <w:rPr>
                <w:sz w:val="22"/>
                <w:szCs w:val="22"/>
                <w:lang w:val="en-US"/>
              </w:rPr>
              <w:t>Other HIY OECD (XOE)</w:t>
            </w:r>
          </w:p>
        </w:tc>
        <w:tc>
          <w:tcPr>
            <w:tcW w:w="6480" w:type="dxa"/>
            <w:noWrap/>
          </w:tcPr>
          <w:p w14:paraId="6BECC31D" w14:textId="77777777" w:rsidR="00171AF0" w:rsidRPr="00171AF0" w:rsidRDefault="00171AF0" w:rsidP="009A783A">
            <w:pPr>
              <w:ind w:firstLine="0"/>
              <w:rPr>
                <w:sz w:val="22"/>
                <w:szCs w:val="22"/>
                <w:lang w:val="en-US"/>
              </w:rPr>
            </w:pPr>
            <w:r w:rsidRPr="00171AF0">
              <w:rPr>
                <w:sz w:val="22"/>
                <w:szCs w:val="22"/>
                <w:lang w:val="en-US"/>
              </w:rPr>
              <w:t>Australia (AUS), New Zealand (NZL), Canada (CAN), Israel (ISR), Rest of the World (XTW)</w:t>
            </w:r>
          </w:p>
        </w:tc>
      </w:tr>
      <w:tr w:rsidR="00171AF0" w:rsidRPr="00A448E4" w14:paraId="6702C85C" w14:textId="77777777" w:rsidTr="00171AF0">
        <w:trPr>
          <w:trHeight w:val="300"/>
          <w:jc w:val="center"/>
        </w:trPr>
        <w:tc>
          <w:tcPr>
            <w:tcW w:w="460" w:type="dxa"/>
            <w:noWrap/>
            <w:hideMark/>
          </w:tcPr>
          <w:p w14:paraId="07542F01" w14:textId="77777777" w:rsidR="00171AF0" w:rsidRPr="00171AF0" w:rsidRDefault="00171AF0" w:rsidP="009A783A">
            <w:pPr>
              <w:ind w:hanging="18"/>
              <w:rPr>
                <w:sz w:val="22"/>
                <w:szCs w:val="22"/>
                <w:lang w:val="en-US"/>
              </w:rPr>
            </w:pPr>
            <w:r w:rsidRPr="00171AF0">
              <w:rPr>
                <w:sz w:val="22"/>
                <w:szCs w:val="22"/>
                <w:lang w:val="en-US"/>
              </w:rPr>
              <w:t>12</w:t>
            </w:r>
          </w:p>
        </w:tc>
        <w:tc>
          <w:tcPr>
            <w:tcW w:w="2780" w:type="dxa"/>
            <w:noWrap/>
          </w:tcPr>
          <w:p w14:paraId="439BDF5A" w14:textId="77777777" w:rsidR="00171AF0" w:rsidRPr="00171AF0" w:rsidRDefault="00171AF0" w:rsidP="009A783A">
            <w:pPr>
              <w:ind w:firstLine="0"/>
              <w:rPr>
                <w:sz w:val="22"/>
                <w:szCs w:val="22"/>
                <w:lang w:val="it-IT"/>
              </w:rPr>
            </w:pPr>
            <w:r w:rsidRPr="00171AF0">
              <w:rPr>
                <w:sz w:val="22"/>
                <w:szCs w:val="22"/>
                <w:lang w:val="it-IT"/>
              </w:rPr>
              <w:t>ECA w/o Russia (ECA)</w:t>
            </w:r>
          </w:p>
        </w:tc>
        <w:tc>
          <w:tcPr>
            <w:tcW w:w="6480" w:type="dxa"/>
            <w:noWrap/>
          </w:tcPr>
          <w:p w14:paraId="4DD45D0E" w14:textId="77777777" w:rsidR="00171AF0" w:rsidRPr="00171AF0" w:rsidRDefault="00171AF0" w:rsidP="009A783A">
            <w:pPr>
              <w:ind w:firstLine="0"/>
              <w:rPr>
                <w:sz w:val="22"/>
                <w:szCs w:val="22"/>
                <w:lang w:val="it-IT"/>
              </w:rPr>
            </w:pPr>
            <w:r w:rsidRPr="00171AF0">
              <w:rPr>
                <w:sz w:val="22"/>
                <w:szCs w:val="22"/>
                <w:lang w:val="it-IT"/>
              </w:rPr>
              <w:t>Albania (ALB), Belarus (BLR), Ukraine (UKR), Rest of Eastern Europe (XEE), Rest of Europe (XER), Kazakhstan (KAZ), Kyrgyzstan (KGZ), Tajikistan (TJK), Rest of Former Soviet Union (XSU), Armenia (ARM), Azerbaijan (AZE), Georgia (GEO)</w:t>
            </w:r>
          </w:p>
        </w:tc>
      </w:tr>
      <w:tr w:rsidR="00171AF0" w:rsidRPr="00E713FB" w14:paraId="4B9A9D4F" w14:textId="77777777" w:rsidTr="00171AF0">
        <w:trPr>
          <w:cnfStyle w:val="000000100000" w:firstRow="0" w:lastRow="0" w:firstColumn="0" w:lastColumn="0" w:oddVBand="0" w:evenVBand="0" w:oddHBand="1" w:evenHBand="0" w:firstRowFirstColumn="0" w:firstRowLastColumn="0" w:lastRowFirstColumn="0" w:lastRowLastColumn="0"/>
          <w:trHeight w:val="300"/>
          <w:jc w:val="center"/>
        </w:trPr>
        <w:tc>
          <w:tcPr>
            <w:tcW w:w="460" w:type="dxa"/>
            <w:noWrap/>
            <w:hideMark/>
          </w:tcPr>
          <w:p w14:paraId="70CD6F4C" w14:textId="77777777" w:rsidR="00171AF0" w:rsidRPr="00171AF0" w:rsidRDefault="00171AF0" w:rsidP="009A783A">
            <w:pPr>
              <w:ind w:hanging="18"/>
              <w:rPr>
                <w:sz w:val="22"/>
                <w:szCs w:val="22"/>
                <w:lang w:val="en-US"/>
              </w:rPr>
            </w:pPr>
            <w:r w:rsidRPr="00171AF0">
              <w:rPr>
                <w:sz w:val="22"/>
                <w:szCs w:val="22"/>
                <w:lang w:val="en-US"/>
              </w:rPr>
              <w:t>13</w:t>
            </w:r>
          </w:p>
        </w:tc>
        <w:tc>
          <w:tcPr>
            <w:tcW w:w="2780" w:type="dxa"/>
            <w:noWrap/>
          </w:tcPr>
          <w:p w14:paraId="1433BCCF" w14:textId="77777777" w:rsidR="00171AF0" w:rsidRPr="00171AF0" w:rsidRDefault="00171AF0" w:rsidP="009A783A">
            <w:pPr>
              <w:ind w:firstLine="0"/>
              <w:rPr>
                <w:sz w:val="22"/>
                <w:szCs w:val="22"/>
                <w:lang w:val="en-US"/>
              </w:rPr>
            </w:pPr>
            <w:r w:rsidRPr="00171AF0">
              <w:rPr>
                <w:sz w:val="22"/>
                <w:szCs w:val="22"/>
                <w:lang w:val="en-US"/>
              </w:rPr>
              <w:t>High income Asia (HYA)</w:t>
            </w:r>
          </w:p>
        </w:tc>
        <w:tc>
          <w:tcPr>
            <w:tcW w:w="6480" w:type="dxa"/>
            <w:noWrap/>
          </w:tcPr>
          <w:p w14:paraId="1FDF10F7" w14:textId="77777777" w:rsidR="00171AF0" w:rsidRPr="00171AF0" w:rsidRDefault="00171AF0" w:rsidP="009A783A">
            <w:pPr>
              <w:ind w:firstLine="0"/>
              <w:rPr>
                <w:sz w:val="22"/>
                <w:szCs w:val="22"/>
                <w:lang w:val="en-US"/>
              </w:rPr>
            </w:pPr>
            <w:r w:rsidRPr="00171AF0">
              <w:rPr>
                <w:sz w:val="22"/>
                <w:szCs w:val="22"/>
                <w:lang w:val="en-US"/>
              </w:rPr>
              <w:t>Hong Kong (HKG), Japan (JPN), Korea (KOR), Taiwan (TWN), Singapore (SGP)</w:t>
            </w:r>
          </w:p>
        </w:tc>
      </w:tr>
      <w:tr w:rsidR="00171AF0" w:rsidRPr="00E71D79" w14:paraId="225B31D3" w14:textId="77777777" w:rsidTr="00171AF0">
        <w:trPr>
          <w:trHeight w:val="300"/>
          <w:jc w:val="center"/>
        </w:trPr>
        <w:tc>
          <w:tcPr>
            <w:tcW w:w="460" w:type="dxa"/>
            <w:noWrap/>
            <w:hideMark/>
          </w:tcPr>
          <w:p w14:paraId="0591C7C7" w14:textId="77777777" w:rsidR="00171AF0" w:rsidRPr="00171AF0" w:rsidRDefault="00171AF0" w:rsidP="009A783A">
            <w:pPr>
              <w:ind w:hanging="18"/>
              <w:rPr>
                <w:sz w:val="22"/>
                <w:szCs w:val="22"/>
                <w:lang w:val="en-US"/>
              </w:rPr>
            </w:pPr>
            <w:r w:rsidRPr="00171AF0">
              <w:rPr>
                <w:sz w:val="22"/>
                <w:szCs w:val="22"/>
                <w:lang w:val="en-US"/>
              </w:rPr>
              <w:t>14</w:t>
            </w:r>
          </w:p>
        </w:tc>
        <w:tc>
          <w:tcPr>
            <w:tcW w:w="2780" w:type="dxa"/>
            <w:noWrap/>
          </w:tcPr>
          <w:p w14:paraId="44A9DC3C" w14:textId="77777777" w:rsidR="00171AF0" w:rsidRPr="00171AF0" w:rsidRDefault="00171AF0" w:rsidP="009A783A">
            <w:pPr>
              <w:ind w:firstLine="0"/>
              <w:rPr>
                <w:sz w:val="22"/>
                <w:szCs w:val="22"/>
                <w:lang w:val="en-US"/>
              </w:rPr>
            </w:pPr>
            <w:r w:rsidRPr="00171AF0">
              <w:rPr>
                <w:sz w:val="22"/>
                <w:szCs w:val="22"/>
                <w:lang w:val="en-US"/>
              </w:rPr>
              <w:t>Low-income Asia and the Americas (LAP)</w:t>
            </w:r>
          </w:p>
        </w:tc>
        <w:tc>
          <w:tcPr>
            <w:tcW w:w="6480" w:type="dxa"/>
            <w:noWrap/>
          </w:tcPr>
          <w:p w14:paraId="4372B374" w14:textId="77777777" w:rsidR="00171AF0" w:rsidRPr="00171AF0" w:rsidRDefault="00171AF0" w:rsidP="009A783A">
            <w:pPr>
              <w:ind w:firstLine="0"/>
              <w:rPr>
                <w:sz w:val="22"/>
                <w:szCs w:val="22"/>
                <w:lang w:val="en-US"/>
              </w:rPr>
            </w:pPr>
            <w:r w:rsidRPr="00171AF0">
              <w:rPr>
                <w:sz w:val="22"/>
                <w:szCs w:val="22"/>
                <w:lang w:val="en-US"/>
              </w:rPr>
              <w:t>Rest of Oceania (XOC), Cambodia (KHM), Laos (LAO), Rest of Southeast Asia (XSE), Bangladesh (BGD), Nepal (NPL), Rest of South Asia (XSA), Rest of South America (XSM), Dominican Republic (DOM), Jamaica (JAM), Puerto Rico (PRI), Trinidad and Tobago (TTO), Rest of Caribbean (XCB)</w:t>
            </w:r>
          </w:p>
        </w:tc>
      </w:tr>
      <w:tr w:rsidR="00171AF0" w:rsidRPr="00E71D79" w14:paraId="5BC85330" w14:textId="77777777" w:rsidTr="00171AF0">
        <w:trPr>
          <w:cnfStyle w:val="000000100000" w:firstRow="0" w:lastRow="0" w:firstColumn="0" w:lastColumn="0" w:oddVBand="0" w:evenVBand="0" w:oddHBand="1" w:evenHBand="0" w:firstRowFirstColumn="0" w:firstRowLastColumn="0" w:lastRowFirstColumn="0" w:lastRowLastColumn="0"/>
          <w:trHeight w:val="300"/>
          <w:jc w:val="center"/>
        </w:trPr>
        <w:tc>
          <w:tcPr>
            <w:tcW w:w="460" w:type="dxa"/>
            <w:noWrap/>
            <w:hideMark/>
          </w:tcPr>
          <w:p w14:paraId="1F932679" w14:textId="77777777" w:rsidR="00171AF0" w:rsidRPr="00171AF0" w:rsidRDefault="00171AF0" w:rsidP="009A783A">
            <w:pPr>
              <w:ind w:hanging="18"/>
              <w:rPr>
                <w:sz w:val="22"/>
                <w:szCs w:val="22"/>
                <w:lang w:val="en-US"/>
              </w:rPr>
            </w:pPr>
            <w:r w:rsidRPr="00171AF0">
              <w:rPr>
                <w:sz w:val="22"/>
                <w:szCs w:val="22"/>
                <w:lang w:val="en-US"/>
              </w:rPr>
              <w:t>15</w:t>
            </w:r>
          </w:p>
        </w:tc>
        <w:tc>
          <w:tcPr>
            <w:tcW w:w="2780" w:type="dxa"/>
            <w:noWrap/>
          </w:tcPr>
          <w:p w14:paraId="6B37B9FC" w14:textId="77777777" w:rsidR="00171AF0" w:rsidRPr="00171AF0" w:rsidRDefault="00171AF0" w:rsidP="009A783A">
            <w:pPr>
              <w:ind w:firstLine="0"/>
              <w:rPr>
                <w:sz w:val="22"/>
                <w:szCs w:val="22"/>
                <w:lang w:val="en-US"/>
              </w:rPr>
            </w:pPr>
            <w:r w:rsidRPr="00171AF0">
              <w:rPr>
                <w:sz w:val="22"/>
                <w:szCs w:val="22"/>
                <w:lang w:val="en-US"/>
              </w:rPr>
              <w:t>Rest of East Asia and Pacific (XEA)</w:t>
            </w:r>
          </w:p>
        </w:tc>
        <w:tc>
          <w:tcPr>
            <w:tcW w:w="6480" w:type="dxa"/>
            <w:noWrap/>
          </w:tcPr>
          <w:p w14:paraId="53E6E411" w14:textId="77777777" w:rsidR="00171AF0" w:rsidRPr="00171AF0" w:rsidRDefault="00171AF0" w:rsidP="009A783A">
            <w:pPr>
              <w:ind w:firstLine="0"/>
              <w:rPr>
                <w:sz w:val="22"/>
                <w:szCs w:val="22"/>
                <w:lang w:val="en-US"/>
              </w:rPr>
            </w:pPr>
            <w:r w:rsidRPr="00171AF0">
              <w:rPr>
                <w:sz w:val="22"/>
                <w:szCs w:val="22"/>
                <w:lang w:val="en-US"/>
              </w:rPr>
              <w:t>Mongolia (MNG), Rest of East Asia (XEA), Brunei Darussalam (BRN), Indonesia (IDN), Malaysia (MYS), Philippines (PHL), Thailand (THA), Viet Nam (VNM)</w:t>
            </w:r>
          </w:p>
        </w:tc>
      </w:tr>
      <w:tr w:rsidR="00171AF0" w:rsidRPr="00A448E4" w14:paraId="73BDF3F1" w14:textId="77777777" w:rsidTr="00171AF0">
        <w:trPr>
          <w:trHeight w:val="300"/>
          <w:jc w:val="center"/>
        </w:trPr>
        <w:tc>
          <w:tcPr>
            <w:tcW w:w="460" w:type="dxa"/>
            <w:noWrap/>
            <w:hideMark/>
          </w:tcPr>
          <w:p w14:paraId="2F2C51AC" w14:textId="77777777" w:rsidR="00171AF0" w:rsidRPr="00171AF0" w:rsidRDefault="00171AF0" w:rsidP="009A783A">
            <w:pPr>
              <w:ind w:hanging="18"/>
              <w:rPr>
                <w:sz w:val="22"/>
                <w:szCs w:val="22"/>
                <w:lang w:val="en-US"/>
              </w:rPr>
            </w:pPr>
            <w:r w:rsidRPr="00171AF0">
              <w:rPr>
                <w:sz w:val="22"/>
                <w:szCs w:val="22"/>
                <w:lang w:val="en-US"/>
              </w:rPr>
              <w:t>16</w:t>
            </w:r>
          </w:p>
        </w:tc>
        <w:tc>
          <w:tcPr>
            <w:tcW w:w="2780" w:type="dxa"/>
            <w:noWrap/>
          </w:tcPr>
          <w:p w14:paraId="52460947" w14:textId="77777777" w:rsidR="00171AF0" w:rsidRPr="00171AF0" w:rsidRDefault="00171AF0" w:rsidP="009A783A">
            <w:pPr>
              <w:ind w:firstLine="0"/>
              <w:rPr>
                <w:sz w:val="22"/>
                <w:szCs w:val="22"/>
                <w:lang w:val="en-US"/>
              </w:rPr>
            </w:pPr>
            <w:r w:rsidRPr="00171AF0">
              <w:rPr>
                <w:sz w:val="22"/>
                <w:szCs w:val="22"/>
                <w:lang w:val="en-US"/>
              </w:rPr>
              <w:t>Rest of South Asia (XSA)</w:t>
            </w:r>
          </w:p>
        </w:tc>
        <w:tc>
          <w:tcPr>
            <w:tcW w:w="6480" w:type="dxa"/>
            <w:noWrap/>
          </w:tcPr>
          <w:p w14:paraId="63DEC1CE" w14:textId="77777777" w:rsidR="00171AF0" w:rsidRPr="00171AF0" w:rsidRDefault="00171AF0" w:rsidP="009A783A">
            <w:pPr>
              <w:ind w:firstLine="0"/>
              <w:rPr>
                <w:sz w:val="22"/>
                <w:szCs w:val="22"/>
                <w:lang w:val="de-DE"/>
              </w:rPr>
            </w:pPr>
            <w:r w:rsidRPr="00171AF0">
              <w:rPr>
                <w:sz w:val="22"/>
                <w:szCs w:val="22"/>
                <w:lang w:val="de-DE"/>
              </w:rPr>
              <w:t>India (IND), Pakistan (PAK), Sri Lanka (LKA)</w:t>
            </w:r>
          </w:p>
        </w:tc>
      </w:tr>
      <w:tr w:rsidR="00171AF0" w:rsidRPr="00E71D79" w14:paraId="15C910CB" w14:textId="77777777" w:rsidTr="00171AF0">
        <w:trPr>
          <w:cnfStyle w:val="000000100000" w:firstRow="0" w:lastRow="0" w:firstColumn="0" w:lastColumn="0" w:oddVBand="0" w:evenVBand="0" w:oddHBand="1" w:evenHBand="0" w:firstRowFirstColumn="0" w:firstRowLastColumn="0" w:lastRowFirstColumn="0" w:lastRowLastColumn="0"/>
          <w:trHeight w:val="300"/>
          <w:jc w:val="center"/>
        </w:trPr>
        <w:tc>
          <w:tcPr>
            <w:tcW w:w="460" w:type="dxa"/>
            <w:noWrap/>
          </w:tcPr>
          <w:p w14:paraId="59446B45" w14:textId="77777777" w:rsidR="00171AF0" w:rsidRPr="00171AF0" w:rsidRDefault="00171AF0" w:rsidP="009A783A">
            <w:pPr>
              <w:ind w:hanging="18"/>
              <w:rPr>
                <w:sz w:val="22"/>
                <w:szCs w:val="22"/>
                <w:lang w:val="en-US"/>
              </w:rPr>
            </w:pPr>
            <w:r w:rsidRPr="00171AF0">
              <w:rPr>
                <w:sz w:val="22"/>
                <w:szCs w:val="22"/>
                <w:lang w:val="en-US"/>
              </w:rPr>
              <w:t>17</w:t>
            </w:r>
          </w:p>
        </w:tc>
        <w:tc>
          <w:tcPr>
            <w:tcW w:w="2780" w:type="dxa"/>
            <w:noWrap/>
          </w:tcPr>
          <w:p w14:paraId="30D426AF" w14:textId="77777777" w:rsidR="00171AF0" w:rsidRPr="00171AF0" w:rsidRDefault="00171AF0" w:rsidP="009A783A">
            <w:pPr>
              <w:ind w:firstLine="0"/>
              <w:rPr>
                <w:sz w:val="22"/>
                <w:szCs w:val="22"/>
                <w:lang w:val="en-US"/>
              </w:rPr>
            </w:pPr>
            <w:r w:rsidRPr="00171AF0">
              <w:rPr>
                <w:sz w:val="22"/>
                <w:szCs w:val="22"/>
                <w:lang w:val="en-US"/>
              </w:rPr>
              <w:t>Middle East and North Africa (MNA)</w:t>
            </w:r>
          </w:p>
        </w:tc>
        <w:tc>
          <w:tcPr>
            <w:tcW w:w="6480" w:type="dxa"/>
            <w:noWrap/>
          </w:tcPr>
          <w:p w14:paraId="55DCE1A3" w14:textId="77777777" w:rsidR="00171AF0" w:rsidRPr="00171AF0" w:rsidRDefault="00171AF0" w:rsidP="009A783A">
            <w:pPr>
              <w:ind w:firstLine="0"/>
              <w:rPr>
                <w:sz w:val="22"/>
                <w:szCs w:val="22"/>
                <w:lang w:val="en-US"/>
              </w:rPr>
            </w:pPr>
            <w:r w:rsidRPr="00171AF0">
              <w:rPr>
                <w:sz w:val="22"/>
                <w:szCs w:val="22"/>
                <w:lang w:val="en-US"/>
              </w:rPr>
              <w:t>Bahrain (BHR), Iran (IRN), Jordan (JOR), Kuwait (KWT), Oman (OMN), Qatar (QAT), Saudi Arabia (SAU), United Arab Emirates (ARE), Rest of Western Asia (XWS), Egypt (EGY), Morocco (MAR), Tunisia (TUN), Rest of North Africa (XNF)</w:t>
            </w:r>
          </w:p>
        </w:tc>
      </w:tr>
      <w:tr w:rsidR="00171AF0" w:rsidRPr="00050AB1" w14:paraId="09A144DC" w14:textId="77777777" w:rsidTr="00171AF0">
        <w:trPr>
          <w:trHeight w:val="300"/>
          <w:jc w:val="center"/>
        </w:trPr>
        <w:tc>
          <w:tcPr>
            <w:tcW w:w="460" w:type="dxa"/>
            <w:noWrap/>
          </w:tcPr>
          <w:p w14:paraId="5D9608C5" w14:textId="77777777" w:rsidR="00171AF0" w:rsidRPr="00171AF0" w:rsidRDefault="00171AF0" w:rsidP="009A783A">
            <w:pPr>
              <w:ind w:hanging="18"/>
              <w:rPr>
                <w:sz w:val="22"/>
                <w:szCs w:val="22"/>
              </w:rPr>
            </w:pPr>
            <w:r w:rsidRPr="00171AF0">
              <w:rPr>
                <w:sz w:val="22"/>
                <w:szCs w:val="22"/>
              </w:rPr>
              <w:t>18</w:t>
            </w:r>
          </w:p>
        </w:tc>
        <w:tc>
          <w:tcPr>
            <w:tcW w:w="2780" w:type="dxa"/>
            <w:noWrap/>
          </w:tcPr>
          <w:p w14:paraId="5FDB6347" w14:textId="77777777" w:rsidR="00171AF0" w:rsidRPr="00171AF0" w:rsidRDefault="00171AF0" w:rsidP="009A783A">
            <w:pPr>
              <w:ind w:firstLine="0"/>
              <w:rPr>
                <w:sz w:val="22"/>
                <w:szCs w:val="22"/>
                <w:lang w:val="en-US"/>
              </w:rPr>
            </w:pPr>
            <w:r w:rsidRPr="00171AF0">
              <w:rPr>
                <w:sz w:val="22"/>
                <w:szCs w:val="22"/>
                <w:lang w:val="en-US"/>
              </w:rPr>
              <w:t>Rest of Latin America &amp; Caribbean (XLC)</w:t>
            </w:r>
          </w:p>
        </w:tc>
        <w:tc>
          <w:tcPr>
            <w:tcW w:w="6480" w:type="dxa"/>
            <w:noWrap/>
          </w:tcPr>
          <w:p w14:paraId="7E7C8257" w14:textId="77777777" w:rsidR="00171AF0" w:rsidRPr="00050AB1" w:rsidRDefault="00171AF0" w:rsidP="009A783A">
            <w:pPr>
              <w:ind w:firstLine="0"/>
              <w:rPr>
                <w:sz w:val="22"/>
                <w:szCs w:val="22"/>
                <w:lang w:val="es-EC"/>
              </w:rPr>
            </w:pPr>
            <w:proofErr w:type="spellStart"/>
            <w:r w:rsidRPr="00050AB1">
              <w:rPr>
                <w:sz w:val="22"/>
                <w:szCs w:val="22"/>
                <w:lang w:val="es-EC"/>
              </w:rPr>
              <w:t>Mexico</w:t>
            </w:r>
            <w:proofErr w:type="spellEnd"/>
            <w:r w:rsidRPr="00050AB1">
              <w:rPr>
                <w:sz w:val="22"/>
                <w:szCs w:val="22"/>
                <w:lang w:val="es-EC"/>
              </w:rPr>
              <w:t xml:space="preserve"> (MEX), </w:t>
            </w:r>
            <w:proofErr w:type="spellStart"/>
            <w:r w:rsidRPr="00050AB1">
              <w:rPr>
                <w:sz w:val="22"/>
                <w:szCs w:val="22"/>
                <w:lang w:val="es-EC"/>
              </w:rPr>
              <w:t>Rest</w:t>
            </w:r>
            <w:proofErr w:type="spellEnd"/>
            <w:r w:rsidRPr="00050AB1">
              <w:rPr>
                <w:sz w:val="22"/>
                <w:szCs w:val="22"/>
                <w:lang w:val="es-EC"/>
              </w:rPr>
              <w:t xml:space="preserve"> </w:t>
            </w:r>
            <w:proofErr w:type="spellStart"/>
            <w:r w:rsidRPr="00050AB1">
              <w:rPr>
                <w:sz w:val="22"/>
                <w:szCs w:val="22"/>
                <w:lang w:val="es-EC"/>
              </w:rPr>
              <w:t>of</w:t>
            </w:r>
            <w:proofErr w:type="spellEnd"/>
            <w:r w:rsidRPr="00050AB1">
              <w:rPr>
                <w:sz w:val="22"/>
                <w:szCs w:val="22"/>
                <w:lang w:val="es-EC"/>
              </w:rPr>
              <w:t xml:space="preserve"> North </w:t>
            </w:r>
            <w:proofErr w:type="spellStart"/>
            <w:r w:rsidRPr="00050AB1">
              <w:rPr>
                <w:sz w:val="22"/>
                <w:szCs w:val="22"/>
                <w:lang w:val="es-EC"/>
              </w:rPr>
              <w:t>America</w:t>
            </w:r>
            <w:proofErr w:type="spellEnd"/>
            <w:r w:rsidRPr="00050AB1">
              <w:rPr>
                <w:sz w:val="22"/>
                <w:szCs w:val="22"/>
                <w:lang w:val="es-EC"/>
              </w:rPr>
              <w:t xml:space="preserve"> (XNA), Argentina (ARG), Bolivia (BOL), </w:t>
            </w:r>
            <w:proofErr w:type="spellStart"/>
            <w:r w:rsidRPr="00050AB1">
              <w:rPr>
                <w:sz w:val="22"/>
                <w:szCs w:val="22"/>
                <w:lang w:val="es-EC"/>
              </w:rPr>
              <w:t>Brazil</w:t>
            </w:r>
            <w:proofErr w:type="spellEnd"/>
            <w:r w:rsidRPr="00050AB1">
              <w:rPr>
                <w:sz w:val="22"/>
                <w:szCs w:val="22"/>
                <w:lang w:val="es-EC"/>
              </w:rPr>
              <w:t xml:space="preserve"> (BRA), Chile (CHL), Colombia (COL), Ecuador (ECU), Paraguay (PRY), </w:t>
            </w:r>
            <w:proofErr w:type="spellStart"/>
            <w:r w:rsidRPr="00050AB1">
              <w:rPr>
                <w:sz w:val="22"/>
                <w:szCs w:val="22"/>
                <w:lang w:val="es-EC"/>
              </w:rPr>
              <w:t>Peru</w:t>
            </w:r>
            <w:proofErr w:type="spellEnd"/>
            <w:r w:rsidRPr="00050AB1">
              <w:rPr>
                <w:sz w:val="22"/>
                <w:szCs w:val="22"/>
                <w:lang w:val="es-EC"/>
              </w:rPr>
              <w:t xml:space="preserve"> (PER), Uruguay (URY), Venezuela (VEN), Costa Rica (CRI), Guatemala (GTM), Honduras (HND), Nicaragua (NIC), </w:t>
            </w:r>
            <w:proofErr w:type="spellStart"/>
            <w:r w:rsidRPr="00050AB1">
              <w:rPr>
                <w:sz w:val="22"/>
                <w:szCs w:val="22"/>
                <w:lang w:val="es-EC"/>
              </w:rPr>
              <w:t>Panama</w:t>
            </w:r>
            <w:proofErr w:type="spellEnd"/>
            <w:r w:rsidRPr="00050AB1">
              <w:rPr>
                <w:sz w:val="22"/>
                <w:szCs w:val="22"/>
                <w:lang w:val="es-EC"/>
              </w:rPr>
              <w:t xml:space="preserve"> (PAN), El Salvador (SLV), </w:t>
            </w:r>
            <w:proofErr w:type="spellStart"/>
            <w:r w:rsidRPr="00050AB1">
              <w:rPr>
                <w:sz w:val="22"/>
                <w:szCs w:val="22"/>
                <w:lang w:val="es-EC"/>
              </w:rPr>
              <w:t>Rest</w:t>
            </w:r>
            <w:proofErr w:type="spellEnd"/>
            <w:r w:rsidRPr="00050AB1">
              <w:rPr>
                <w:sz w:val="22"/>
                <w:szCs w:val="22"/>
                <w:lang w:val="es-EC"/>
              </w:rPr>
              <w:t xml:space="preserve"> </w:t>
            </w:r>
            <w:proofErr w:type="spellStart"/>
            <w:r w:rsidRPr="00050AB1">
              <w:rPr>
                <w:sz w:val="22"/>
                <w:szCs w:val="22"/>
                <w:lang w:val="es-EC"/>
              </w:rPr>
              <w:t>of</w:t>
            </w:r>
            <w:proofErr w:type="spellEnd"/>
            <w:r w:rsidRPr="00050AB1">
              <w:rPr>
                <w:sz w:val="22"/>
                <w:szCs w:val="22"/>
                <w:lang w:val="es-EC"/>
              </w:rPr>
              <w:t xml:space="preserve"> Central </w:t>
            </w:r>
            <w:proofErr w:type="spellStart"/>
            <w:r w:rsidRPr="00050AB1">
              <w:rPr>
                <w:sz w:val="22"/>
                <w:szCs w:val="22"/>
                <w:lang w:val="es-EC"/>
              </w:rPr>
              <w:t>America</w:t>
            </w:r>
            <w:proofErr w:type="spellEnd"/>
            <w:r w:rsidRPr="00050AB1">
              <w:rPr>
                <w:sz w:val="22"/>
                <w:szCs w:val="22"/>
                <w:lang w:val="es-EC"/>
              </w:rPr>
              <w:t xml:space="preserve"> (XCA)</w:t>
            </w:r>
          </w:p>
        </w:tc>
      </w:tr>
      <w:tr w:rsidR="00171AF0" w:rsidRPr="00E71D79" w14:paraId="08BD0B11" w14:textId="77777777" w:rsidTr="00171AF0">
        <w:trPr>
          <w:cnfStyle w:val="000000100000" w:firstRow="0" w:lastRow="0" w:firstColumn="0" w:lastColumn="0" w:oddVBand="0" w:evenVBand="0" w:oddHBand="1" w:evenHBand="0" w:firstRowFirstColumn="0" w:firstRowLastColumn="0" w:lastRowFirstColumn="0" w:lastRowLastColumn="0"/>
          <w:trHeight w:val="300"/>
          <w:jc w:val="center"/>
        </w:trPr>
        <w:tc>
          <w:tcPr>
            <w:tcW w:w="460" w:type="dxa"/>
            <w:noWrap/>
          </w:tcPr>
          <w:p w14:paraId="0ADB6C24" w14:textId="77777777" w:rsidR="00171AF0" w:rsidRPr="00171AF0" w:rsidRDefault="00171AF0" w:rsidP="009A783A">
            <w:pPr>
              <w:ind w:hanging="18"/>
              <w:rPr>
                <w:sz w:val="22"/>
                <w:szCs w:val="22"/>
              </w:rPr>
            </w:pPr>
            <w:r w:rsidRPr="00171AF0">
              <w:rPr>
                <w:sz w:val="22"/>
                <w:szCs w:val="22"/>
              </w:rPr>
              <w:lastRenderedPageBreak/>
              <w:t>19</w:t>
            </w:r>
          </w:p>
        </w:tc>
        <w:tc>
          <w:tcPr>
            <w:tcW w:w="2780" w:type="dxa"/>
            <w:noWrap/>
          </w:tcPr>
          <w:p w14:paraId="1ED047BE" w14:textId="77777777" w:rsidR="00171AF0" w:rsidRPr="00171AF0" w:rsidRDefault="00171AF0" w:rsidP="009A783A">
            <w:pPr>
              <w:ind w:firstLine="0"/>
              <w:rPr>
                <w:sz w:val="22"/>
                <w:szCs w:val="22"/>
                <w:lang w:val="en-US"/>
              </w:rPr>
            </w:pPr>
            <w:r w:rsidRPr="00171AF0">
              <w:rPr>
                <w:sz w:val="22"/>
                <w:szCs w:val="22"/>
                <w:lang w:val="en-US"/>
              </w:rPr>
              <w:t>Low-income Sub-Saharan Africa (LAF)</w:t>
            </w:r>
          </w:p>
        </w:tc>
        <w:tc>
          <w:tcPr>
            <w:tcW w:w="6480" w:type="dxa"/>
            <w:noWrap/>
          </w:tcPr>
          <w:p w14:paraId="375D1360" w14:textId="77777777" w:rsidR="00171AF0" w:rsidRPr="00171AF0" w:rsidRDefault="00171AF0" w:rsidP="009A783A">
            <w:pPr>
              <w:ind w:firstLine="0"/>
              <w:rPr>
                <w:sz w:val="22"/>
                <w:szCs w:val="22"/>
                <w:lang w:val="en-US"/>
              </w:rPr>
            </w:pPr>
            <w:r w:rsidRPr="00171AF0">
              <w:rPr>
                <w:sz w:val="22"/>
                <w:szCs w:val="22"/>
                <w:lang w:val="en-US"/>
              </w:rPr>
              <w:t>Benin (BEN), Burkina Faso (BFA), Guinea (GIN), Senegal (SEN), Togo (TGO), Rest of Western Africa (XWF), Central Africa (XCF), South-Central Africa (XAC), Ethiopia (ETH), Madagascar (MDG), Malawi (MWI), Mauritius (MUS), Mozambique (MOZ), Rwanda (RWA), Tanzania (TZA), Uganda (UGA), Zambia (ZMB), Rest of Eastern Africa (XEC), Rest of South African Customs Union (XSC)</w:t>
            </w:r>
          </w:p>
        </w:tc>
      </w:tr>
      <w:tr w:rsidR="00171AF0" w:rsidRPr="00E71D79" w14:paraId="51C84FB3" w14:textId="77777777" w:rsidTr="00171AF0">
        <w:trPr>
          <w:trHeight w:val="300"/>
          <w:jc w:val="center"/>
        </w:trPr>
        <w:tc>
          <w:tcPr>
            <w:tcW w:w="460" w:type="dxa"/>
            <w:noWrap/>
          </w:tcPr>
          <w:p w14:paraId="575E3FB3" w14:textId="77777777" w:rsidR="00171AF0" w:rsidRPr="00171AF0" w:rsidRDefault="00171AF0" w:rsidP="009A783A">
            <w:pPr>
              <w:ind w:hanging="18"/>
              <w:rPr>
                <w:sz w:val="22"/>
                <w:szCs w:val="22"/>
              </w:rPr>
            </w:pPr>
            <w:r w:rsidRPr="00171AF0">
              <w:rPr>
                <w:sz w:val="22"/>
                <w:szCs w:val="22"/>
              </w:rPr>
              <w:t>20</w:t>
            </w:r>
          </w:p>
        </w:tc>
        <w:tc>
          <w:tcPr>
            <w:tcW w:w="2780" w:type="dxa"/>
            <w:noWrap/>
          </w:tcPr>
          <w:p w14:paraId="55BE9C87" w14:textId="77777777" w:rsidR="00171AF0" w:rsidRPr="00171AF0" w:rsidRDefault="00171AF0" w:rsidP="009A783A">
            <w:pPr>
              <w:ind w:firstLine="0"/>
              <w:rPr>
                <w:sz w:val="22"/>
                <w:szCs w:val="22"/>
                <w:lang w:val="en-US"/>
              </w:rPr>
            </w:pPr>
            <w:r w:rsidRPr="00171AF0">
              <w:rPr>
                <w:sz w:val="22"/>
                <w:szCs w:val="22"/>
                <w:lang w:val="en-US"/>
              </w:rPr>
              <w:t>Rest of Sub-Saharan Africa (XAF)</w:t>
            </w:r>
          </w:p>
        </w:tc>
        <w:tc>
          <w:tcPr>
            <w:tcW w:w="6480" w:type="dxa"/>
            <w:noWrap/>
          </w:tcPr>
          <w:p w14:paraId="0C87D378" w14:textId="77777777" w:rsidR="00171AF0" w:rsidRPr="00171AF0" w:rsidRDefault="00171AF0" w:rsidP="009A783A">
            <w:pPr>
              <w:ind w:firstLine="0"/>
              <w:rPr>
                <w:sz w:val="22"/>
                <w:szCs w:val="22"/>
                <w:lang w:val="en-US"/>
              </w:rPr>
            </w:pPr>
            <w:r w:rsidRPr="00171AF0">
              <w:rPr>
                <w:sz w:val="22"/>
                <w:szCs w:val="22"/>
                <w:lang w:val="en-US"/>
              </w:rPr>
              <w:t>Cameroon (CMR), Côte d'Ivoire (CIV), Ghana (GHA), Nigeria (NGA), Kenya (KEN), Zimbabwe (ZWE), Botswana (BWA), Namibia (NAM), South Africa (ZAF)</w:t>
            </w:r>
          </w:p>
        </w:tc>
      </w:tr>
    </w:tbl>
    <w:p w14:paraId="0CA66D35" w14:textId="77777777" w:rsidR="0055375A" w:rsidRDefault="0055375A" w:rsidP="00A61326">
      <w:pPr>
        <w:tabs>
          <w:tab w:val="left" w:pos="0"/>
        </w:tabs>
      </w:pPr>
    </w:p>
    <w:p w14:paraId="67B8424C" w14:textId="77777777" w:rsidR="00CE23E1" w:rsidRDefault="00CE23E1"/>
    <w:p w14:paraId="22D458B8" w14:textId="77777777" w:rsidR="00171AF0" w:rsidRPr="00171AF0" w:rsidRDefault="00171AF0" w:rsidP="00171AF0">
      <w:pPr>
        <w:pStyle w:val="Heading2"/>
        <w:rPr>
          <w:lang w:val="en-CA"/>
        </w:rPr>
      </w:pPr>
      <w:r w:rsidRPr="00171AF0">
        <w:rPr>
          <w:lang w:val="en-CA"/>
        </w:rPr>
        <w:t xml:space="preserve">Table </w:t>
      </w:r>
      <w:r>
        <w:rPr>
          <w:lang w:val="en-CA"/>
        </w:rPr>
        <w:t>B</w:t>
      </w:r>
      <w:r w:rsidRPr="00171AF0">
        <w:rPr>
          <w:lang w:val="en-CA"/>
        </w:rPr>
        <w:t>.2</w:t>
      </w:r>
      <w:r>
        <w:rPr>
          <w:lang w:val="en-CA"/>
        </w:rPr>
        <w:t>.</w:t>
      </w:r>
      <w:r w:rsidRPr="00171AF0">
        <w:rPr>
          <w:lang w:val="en-CA"/>
        </w:rPr>
        <w:t xml:space="preserve"> </w:t>
      </w:r>
      <w:r w:rsidR="00BF608A">
        <w:rPr>
          <w:lang w:val="en-CA"/>
        </w:rPr>
        <w:t>Activity</w:t>
      </w:r>
      <w:r w:rsidRPr="00171AF0">
        <w:rPr>
          <w:lang w:val="en-CA"/>
        </w:rPr>
        <w:t xml:space="preserve"> concordance</w:t>
      </w:r>
    </w:p>
    <w:tbl>
      <w:tblPr>
        <w:tblStyle w:val="ListTable2-Accent1"/>
        <w:tblW w:w="9362" w:type="dxa"/>
        <w:jc w:val="center"/>
        <w:tblLook w:val="0420" w:firstRow="1" w:lastRow="0" w:firstColumn="0" w:lastColumn="0" w:noHBand="0" w:noVBand="1"/>
      </w:tblPr>
      <w:tblGrid>
        <w:gridCol w:w="538"/>
        <w:gridCol w:w="3062"/>
        <w:gridCol w:w="5762"/>
      </w:tblGrid>
      <w:tr w:rsidR="00171AF0" w:rsidRPr="00171AF0" w14:paraId="60BA606B" w14:textId="77777777" w:rsidTr="00CE23E1">
        <w:trPr>
          <w:cnfStyle w:val="100000000000" w:firstRow="1" w:lastRow="0" w:firstColumn="0" w:lastColumn="0" w:oddVBand="0" w:evenVBand="0" w:oddHBand="0" w:evenHBand="0" w:firstRowFirstColumn="0" w:firstRowLastColumn="0" w:lastRowFirstColumn="0" w:lastRowLastColumn="0"/>
          <w:trHeight w:val="300"/>
          <w:tblHeader/>
          <w:jc w:val="center"/>
        </w:trPr>
        <w:tc>
          <w:tcPr>
            <w:tcW w:w="538" w:type="dxa"/>
            <w:noWrap/>
          </w:tcPr>
          <w:p w14:paraId="475C4F07" w14:textId="77777777" w:rsidR="00171AF0" w:rsidRPr="00171AF0" w:rsidRDefault="00171AF0" w:rsidP="009A783A">
            <w:pPr>
              <w:tabs>
                <w:tab w:val="left" w:pos="0"/>
              </w:tabs>
              <w:spacing w:line="259" w:lineRule="auto"/>
              <w:ind w:firstLine="0"/>
              <w:rPr>
                <w:sz w:val="22"/>
                <w:szCs w:val="22"/>
              </w:rPr>
            </w:pPr>
            <w:r w:rsidRPr="00171AF0">
              <w:rPr>
                <w:sz w:val="22"/>
                <w:szCs w:val="22"/>
              </w:rPr>
              <w:t>No.</w:t>
            </w:r>
          </w:p>
        </w:tc>
        <w:tc>
          <w:tcPr>
            <w:tcW w:w="3062" w:type="dxa"/>
            <w:noWrap/>
          </w:tcPr>
          <w:p w14:paraId="3B50A49F" w14:textId="77777777" w:rsidR="00171AF0" w:rsidRPr="00E6572B" w:rsidRDefault="00BF608A" w:rsidP="009A783A">
            <w:pPr>
              <w:tabs>
                <w:tab w:val="left" w:pos="0"/>
              </w:tabs>
              <w:spacing w:line="259" w:lineRule="auto"/>
              <w:ind w:firstLine="0"/>
              <w:rPr>
                <w:sz w:val="22"/>
                <w:szCs w:val="22"/>
                <w:lang w:val="en-US"/>
              </w:rPr>
            </w:pPr>
            <w:r w:rsidRPr="00E6572B">
              <w:rPr>
                <w:sz w:val="22"/>
                <w:szCs w:val="22"/>
                <w:lang w:val="en-US"/>
              </w:rPr>
              <w:t>Activities</w:t>
            </w:r>
            <w:r w:rsidR="00171AF0" w:rsidRPr="00E6572B">
              <w:rPr>
                <w:sz w:val="22"/>
                <w:szCs w:val="22"/>
                <w:lang w:val="en-US"/>
              </w:rPr>
              <w:t xml:space="preserve"> represented in this study</w:t>
            </w:r>
          </w:p>
        </w:tc>
        <w:tc>
          <w:tcPr>
            <w:tcW w:w="5762" w:type="dxa"/>
            <w:noWrap/>
          </w:tcPr>
          <w:p w14:paraId="1FC842E0" w14:textId="77777777" w:rsidR="00171AF0" w:rsidRPr="00171AF0" w:rsidRDefault="00171AF0" w:rsidP="009A783A">
            <w:pPr>
              <w:tabs>
                <w:tab w:val="left" w:pos="0"/>
              </w:tabs>
              <w:spacing w:line="259" w:lineRule="auto"/>
              <w:ind w:hanging="18"/>
              <w:rPr>
                <w:sz w:val="22"/>
                <w:szCs w:val="22"/>
              </w:rPr>
            </w:pPr>
            <w:r w:rsidRPr="00171AF0">
              <w:rPr>
                <w:sz w:val="22"/>
                <w:szCs w:val="22"/>
                <w:lang w:val="en-US"/>
              </w:rPr>
              <w:t xml:space="preserve">Disaggregated GTAP-CE </w:t>
            </w:r>
            <w:r w:rsidR="00BF608A">
              <w:rPr>
                <w:sz w:val="22"/>
                <w:szCs w:val="22"/>
                <w:lang w:val="en-US"/>
              </w:rPr>
              <w:t>activities</w:t>
            </w:r>
          </w:p>
        </w:tc>
      </w:tr>
      <w:tr w:rsidR="00171AF0" w:rsidRPr="00A448E4" w14:paraId="596439FC" w14:textId="77777777" w:rsidTr="00BF608A">
        <w:trPr>
          <w:cnfStyle w:val="000000100000" w:firstRow="0" w:lastRow="0" w:firstColumn="0" w:lastColumn="0" w:oddVBand="0" w:evenVBand="0" w:oddHBand="1" w:evenHBand="0" w:firstRowFirstColumn="0" w:firstRowLastColumn="0" w:lastRowFirstColumn="0" w:lastRowLastColumn="0"/>
          <w:trHeight w:val="300"/>
          <w:jc w:val="center"/>
        </w:trPr>
        <w:tc>
          <w:tcPr>
            <w:tcW w:w="538" w:type="dxa"/>
            <w:noWrap/>
            <w:hideMark/>
          </w:tcPr>
          <w:p w14:paraId="6911C8ED" w14:textId="77777777" w:rsidR="00171AF0" w:rsidRPr="00171AF0" w:rsidRDefault="00171AF0" w:rsidP="009A783A">
            <w:pPr>
              <w:tabs>
                <w:tab w:val="left" w:pos="0"/>
              </w:tabs>
              <w:spacing w:line="259" w:lineRule="auto"/>
              <w:ind w:firstLine="0"/>
              <w:rPr>
                <w:sz w:val="22"/>
                <w:szCs w:val="22"/>
              </w:rPr>
            </w:pPr>
            <w:r w:rsidRPr="00171AF0">
              <w:rPr>
                <w:sz w:val="22"/>
                <w:szCs w:val="22"/>
              </w:rPr>
              <w:t>1</w:t>
            </w:r>
          </w:p>
        </w:tc>
        <w:tc>
          <w:tcPr>
            <w:tcW w:w="3062" w:type="dxa"/>
            <w:noWrap/>
            <w:hideMark/>
          </w:tcPr>
          <w:p w14:paraId="6A56270D" w14:textId="77777777" w:rsidR="00171AF0" w:rsidRPr="00171AF0" w:rsidRDefault="00171AF0" w:rsidP="009A783A">
            <w:pPr>
              <w:tabs>
                <w:tab w:val="left" w:pos="0"/>
              </w:tabs>
              <w:spacing w:line="259" w:lineRule="auto"/>
              <w:ind w:firstLine="0"/>
              <w:rPr>
                <w:sz w:val="22"/>
                <w:szCs w:val="22"/>
              </w:rPr>
            </w:pPr>
            <w:r w:rsidRPr="00171AF0">
              <w:rPr>
                <w:sz w:val="22"/>
                <w:szCs w:val="22"/>
              </w:rPr>
              <w:t>Agriculture (AGR)</w:t>
            </w:r>
          </w:p>
        </w:tc>
        <w:tc>
          <w:tcPr>
            <w:tcW w:w="5762" w:type="dxa"/>
            <w:noWrap/>
            <w:hideMark/>
          </w:tcPr>
          <w:p w14:paraId="062520B3" w14:textId="77777777" w:rsidR="00171AF0" w:rsidRPr="00171AF0" w:rsidRDefault="00171AF0" w:rsidP="009A783A">
            <w:pPr>
              <w:tabs>
                <w:tab w:val="left" w:pos="0"/>
              </w:tabs>
              <w:spacing w:line="259" w:lineRule="auto"/>
              <w:ind w:hanging="18"/>
              <w:rPr>
                <w:sz w:val="22"/>
                <w:szCs w:val="22"/>
              </w:rPr>
            </w:pPr>
            <w:r w:rsidRPr="00171AF0">
              <w:rPr>
                <w:sz w:val="22"/>
                <w:szCs w:val="22"/>
              </w:rPr>
              <w:t xml:space="preserve">Paddy </w:t>
            </w:r>
            <w:proofErr w:type="spellStart"/>
            <w:r w:rsidRPr="00171AF0">
              <w:rPr>
                <w:sz w:val="22"/>
                <w:szCs w:val="22"/>
              </w:rPr>
              <w:t>rice</w:t>
            </w:r>
            <w:proofErr w:type="spellEnd"/>
            <w:r w:rsidRPr="00171AF0">
              <w:rPr>
                <w:sz w:val="22"/>
                <w:szCs w:val="22"/>
              </w:rPr>
              <w:t xml:space="preserve"> (PDR), </w:t>
            </w:r>
            <w:proofErr w:type="spellStart"/>
            <w:r w:rsidRPr="00171AF0">
              <w:rPr>
                <w:sz w:val="22"/>
                <w:szCs w:val="22"/>
              </w:rPr>
              <w:t>Wheat</w:t>
            </w:r>
            <w:proofErr w:type="spellEnd"/>
            <w:r w:rsidRPr="00171AF0">
              <w:rPr>
                <w:sz w:val="22"/>
                <w:szCs w:val="22"/>
              </w:rPr>
              <w:t xml:space="preserve"> (WHT), </w:t>
            </w:r>
            <w:proofErr w:type="spellStart"/>
            <w:r w:rsidRPr="00171AF0">
              <w:rPr>
                <w:sz w:val="22"/>
                <w:szCs w:val="22"/>
              </w:rPr>
              <w:t>Cereal</w:t>
            </w:r>
            <w:proofErr w:type="spellEnd"/>
            <w:r w:rsidRPr="00171AF0">
              <w:rPr>
                <w:sz w:val="22"/>
                <w:szCs w:val="22"/>
              </w:rPr>
              <w:t xml:space="preserve"> grains nec (GRO), </w:t>
            </w:r>
            <w:proofErr w:type="spellStart"/>
            <w:r w:rsidRPr="00171AF0">
              <w:rPr>
                <w:sz w:val="22"/>
                <w:szCs w:val="22"/>
              </w:rPr>
              <w:t>Vegetables</w:t>
            </w:r>
            <w:proofErr w:type="spellEnd"/>
            <w:r w:rsidRPr="00171AF0">
              <w:rPr>
                <w:sz w:val="22"/>
                <w:szCs w:val="22"/>
              </w:rPr>
              <w:t xml:space="preserve">, fruit, </w:t>
            </w:r>
            <w:proofErr w:type="spellStart"/>
            <w:r w:rsidRPr="00171AF0">
              <w:rPr>
                <w:sz w:val="22"/>
                <w:szCs w:val="22"/>
              </w:rPr>
              <w:t>nuts</w:t>
            </w:r>
            <w:proofErr w:type="spellEnd"/>
            <w:r w:rsidRPr="00171AF0">
              <w:rPr>
                <w:sz w:val="22"/>
                <w:szCs w:val="22"/>
              </w:rPr>
              <w:t xml:space="preserve"> (V_F), </w:t>
            </w:r>
            <w:proofErr w:type="spellStart"/>
            <w:r w:rsidRPr="00171AF0">
              <w:rPr>
                <w:sz w:val="22"/>
                <w:szCs w:val="22"/>
              </w:rPr>
              <w:t>Oil</w:t>
            </w:r>
            <w:proofErr w:type="spellEnd"/>
            <w:r w:rsidRPr="00171AF0">
              <w:rPr>
                <w:sz w:val="22"/>
                <w:szCs w:val="22"/>
              </w:rPr>
              <w:t xml:space="preserve"> </w:t>
            </w:r>
            <w:proofErr w:type="spellStart"/>
            <w:r w:rsidRPr="00171AF0">
              <w:rPr>
                <w:sz w:val="22"/>
                <w:szCs w:val="22"/>
              </w:rPr>
              <w:t>seeds</w:t>
            </w:r>
            <w:proofErr w:type="spellEnd"/>
            <w:r w:rsidRPr="00171AF0">
              <w:rPr>
                <w:sz w:val="22"/>
                <w:szCs w:val="22"/>
              </w:rPr>
              <w:t xml:space="preserve"> (OSD), Sugar cane, </w:t>
            </w:r>
            <w:proofErr w:type="spellStart"/>
            <w:r w:rsidRPr="00171AF0">
              <w:rPr>
                <w:sz w:val="22"/>
                <w:szCs w:val="22"/>
              </w:rPr>
              <w:t>sugar</w:t>
            </w:r>
            <w:proofErr w:type="spellEnd"/>
            <w:r w:rsidRPr="00171AF0">
              <w:rPr>
                <w:sz w:val="22"/>
                <w:szCs w:val="22"/>
              </w:rPr>
              <w:t xml:space="preserve"> </w:t>
            </w:r>
            <w:proofErr w:type="spellStart"/>
            <w:r w:rsidRPr="00171AF0">
              <w:rPr>
                <w:sz w:val="22"/>
                <w:szCs w:val="22"/>
              </w:rPr>
              <w:t>beet</w:t>
            </w:r>
            <w:proofErr w:type="spellEnd"/>
            <w:r w:rsidRPr="00171AF0">
              <w:rPr>
                <w:sz w:val="22"/>
                <w:szCs w:val="22"/>
              </w:rPr>
              <w:t xml:space="preserve"> (C_B), Plant-</w:t>
            </w:r>
            <w:proofErr w:type="spellStart"/>
            <w:r w:rsidRPr="00171AF0">
              <w:rPr>
                <w:sz w:val="22"/>
                <w:szCs w:val="22"/>
              </w:rPr>
              <w:t>based</w:t>
            </w:r>
            <w:proofErr w:type="spellEnd"/>
            <w:r w:rsidRPr="00171AF0">
              <w:rPr>
                <w:sz w:val="22"/>
                <w:szCs w:val="22"/>
              </w:rPr>
              <w:t xml:space="preserve"> </w:t>
            </w:r>
            <w:proofErr w:type="spellStart"/>
            <w:r w:rsidRPr="00171AF0">
              <w:rPr>
                <w:sz w:val="22"/>
                <w:szCs w:val="22"/>
              </w:rPr>
              <w:t>fibers</w:t>
            </w:r>
            <w:proofErr w:type="spellEnd"/>
            <w:r w:rsidRPr="00171AF0">
              <w:rPr>
                <w:sz w:val="22"/>
                <w:szCs w:val="22"/>
              </w:rPr>
              <w:t xml:space="preserve"> (PFB), </w:t>
            </w:r>
            <w:proofErr w:type="spellStart"/>
            <w:r w:rsidRPr="00171AF0">
              <w:rPr>
                <w:sz w:val="22"/>
                <w:szCs w:val="22"/>
              </w:rPr>
              <w:t>Crops</w:t>
            </w:r>
            <w:proofErr w:type="spellEnd"/>
            <w:r w:rsidRPr="00171AF0">
              <w:rPr>
                <w:sz w:val="22"/>
                <w:szCs w:val="22"/>
              </w:rPr>
              <w:t xml:space="preserve"> nec (OCR), Bovine </w:t>
            </w:r>
            <w:proofErr w:type="spellStart"/>
            <w:r w:rsidRPr="00171AF0">
              <w:rPr>
                <w:sz w:val="22"/>
                <w:szCs w:val="22"/>
              </w:rPr>
              <w:t>cattle</w:t>
            </w:r>
            <w:proofErr w:type="spellEnd"/>
            <w:r w:rsidRPr="00171AF0">
              <w:rPr>
                <w:sz w:val="22"/>
                <w:szCs w:val="22"/>
              </w:rPr>
              <w:t xml:space="preserve">, </w:t>
            </w:r>
            <w:proofErr w:type="spellStart"/>
            <w:r w:rsidRPr="00171AF0">
              <w:rPr>
                <w:sz w:val="22"/>
                <w:szCs w:val="22"/>
              </w:rPr>
              <w:t>sheep</w:t>
            </w:r>
            <w:proofErr w:type="spellEnd"/>
            <w:r w:rsidRPr="00171AF0">
              <w:rPr>
                <w:sz w:val="22"/>
                <w:szCs w:val="22"/>
              </w:rPr>
              <w:t xml:space="preserve"> and </w:t>
            </w:r>
            <w:proofErr w:type="spellStart"/>
            <w:r w:rsidRPr="00171AF0">
              <w:rPr>
                <w:sz w:val="22"/>
                <w:szCs w:val="22"/>
              </w:rPr>
              <w:t>goats</w:t>
            </w:r>
            <w:proofErr w:type="spellEnd"/>
            <w:r w:rsidRPr="00171AF0">
              <w:rPr>
                <w:sz w:val="22"/>
                <w:szCs w:val="22"/>
              </w:rPr>
              <w:t xml:space="preserve">, </w:t>
            </w:r>
            <w:proofErr w:type="spellStart"/>
            <w:r w:rsidRPr="00171AF0">
              <w:rPr>
                <w:sz w:val="22"/>
                <w:szCs w:val="22"/>
              </w:rPr>
              <w:t>horses</w:t>
            </w:r>
            <w:proofErr w:type="spellEnd"/>
            <w:r w:rsidRPr="00171AF0">
              <w:rPr>
                <w:sz w:val="22"/>
                <w:szCs w:val="22"/>
              </w:rPr>
              <w:t xml:space="preserve"> (CTL), Animal </w:t>
            </w:r>
            <w:proofErr w:type="spellStart"/>
            <w:r w:rsidRPr="00171AF0">
              <w:rPr>
                <w:sz w:val="22"/>
                <w:szCs w:val="22"/>
              </w:rPr>
              <w:t>products</w:t>
            </w:r>
            <w:proofErr w:type="spellEnd"/>
            <w:r w:rsidRPr="00171AF0">
              <w:rPr>
                <w:sz w:val="22"/>
                <w:szCs w:val="22"/>
              </w:rPr>
              <w:t xml:space="preserve"> nec (OAP), Raw </w:t>
            </w:r>
            <w:proofErr w:type="spellStart"/>
            <w:r w:rsidRPr="00171AF0">
              <w:rPr>
                <w:sz w:val="22"/>
                <w:szCs w:val="22"/>
              </w:rPr>
              <w:t>milk</w:t>
            </w:r>
            <w:proofErr w:type="spellEnd"/>
            <w:r w:rsidRPr="00171AF0">
              <w:rPr>
                <w:sz w:val="22"/>
                <w:szCs w:val="22"/>
              </w:rPr>
              <w:t xml:space="preserve"> (RMK), </w:t>
            </w:r>
            <w:proofErr w:type="spellStart"/>
            <w:r w:rsidRPr="00171AF0">
              <w:rPr>
                <w:sz w:val="22"/>
                <w:szCs w:val="22"/>
              </w:rPr>
              <w:t>Wool</w:t>
            </w:r>
            <w:proofErr w:type="spellEnd"/>
            <w:r w:rsidRPr="00171AF0">
              <w:rPr>
                <w:sz w:val="22"/>
                <w:szCs w:val="22"/>
              </w:rPr>
              <w:t xml:space="preserve">, </w:t>
            </w:r>
            <w:proofErr w:type="spellStart"/>
            <w:r w:rsidRPr="00171AF0">
              <w:rPr>
                <w:sz w:val="22"/>
                <w:szCs w:val="22"/>
              </w:rPr>
              <w:t>silk-worm</w:t>
            </w:r>
            <w:proofErr w:type="spellEnd"/>
            <w:r w:rsidRPr="00171AF0">
              <w:rPr>
                <w:sz w:val="22"/>
                <w:szCs w:val="22"/>
              </w:rPr>
              <w:t xml:space="preserve"> </w:t>
            </w:r>
            <w:proofErr w:type="spellStart"/>
            <w:r w:rsidRPr="00171AF0">
              <w:rPr>
                <w:sz w:val="22"/>
                <w:szCs w:val="22"/>
              </w:rPr>
              <w:t>cocoons</w:t>
            </w:r>
            <w:proofErr w:type="spellEnd"/>
            <w:r w:rsidRPr="00171AF0">
              <w:rPr>
                <w:sz w:val="22"/>
                <w:szCs w:val="22"/>
              </w:rPr>
              <w:t xml:space="preserve"> (WOL), </w:t>
            </w:r>
            <w:proofErr w:type="spellStart"/>
            <w:r w:rsidRPr="00171AF0">
              <w:rPr>
                <w:sz w:val="22"/>
                <w:szCs w:val="22"/>
              </w:rPr>
              <w:t>Forestry</w:t>
            </w:r>
            <w:proofErr w:type="spellEnd"/>
            <w:r w:rsidRPr="00171AF0">
              <w:rPr>
                <w:sz w:val="22"/>
                <w:szCs w:val="22"/>
              </w:rPr>
              <w:t xml:space="preserve"> (FRS), </w:t>
            </w:r>
            <w:proofErr w:type="spellStart"/>
            <w:r w:rsidRPr="00171AF0">
              <w:rPr>
                <w:sz w:val="22"/>
                <w:szCs w:val="22"/>
              </w:rPr>
              <w:t>Fishing</w:t>
            </w:r>
            <w:proofErr w:type="spellEnd"/>
            <w:r w:rsidRPr="00171AF0">
              <w:rPr>
                <w:sz w:val="22"/>
                <w:szCs w:val="22"/>
              </w:rPr>
              <w:t xml:space="preserve"> (FSH), </w:t>
            </w:r>
            <w:proofErr w:type="spellStart"/>
            <w:r w:rsidRPr="00171AF0">
              <w:rPr>
                <w:sz w:val="22"/>
                <w:szCs w:val="22"/>
              </w:rPr>
              <w:t>Processed</w:t>
            </w:r>
            <w:proofErr w:type="spellEnd"/>
            <w:r w:rsidRPr="00171AF0">
              <w:rPr>
                <w:sz w:val="22"/>
                <w:szCs w:val="22"/>
              </w:rPr>
              <w:t xml:space="preserve"> </w:t>
            </w:r>
            <w:proofErr w:type="spellStart"/>
            <w:r w:rsidRPr="00171AF0">
              <w:rPr>
                <w:sz w:val="22"/>
                <w:szCs w:val="22"/>
              </w:rPr>
              <w:t>rice</w:t>
            </w:r>
            <w:proofErr w:type="spellEnd"/>
            <w:r w:rsidRPr="00171AF0">
              <w:rPr>
                <w:sz w:val="22"/>
                <w:szCs w:val="22"/>
              </w:rPr>
              <w:t xml:space="preserve"> (PCR), Sugar (SGR)</w:t>
            </w:r>
          </w:p>
        </w:tc>
      </w:tr>
      <w:tr w:rsidR="00171AF0" w:rsidRPr="00171AF0" w14:paraId="4A9340D3" w14:textId="77777777" w:rsidTr="00BF608A">
        <w:trPr>
          <w:trHeight w:val="300"/>
          <w:jc w:val="center"/>
        </w:trPr>
        <w:tc>
          <w:tcPr>
            <w:tcW w:w="538" w:type="dxa"/>
            <w:noWrap/>
            <w:hideMark/>
          </w:tcPr>
          <w:p w14:paraId="751152E8" w14:textId="77777777" w:rsidR="00171AF0" w:rsidRPr="00171AF0" w:rsidRDefault="00171AF0" w:rsidP="009A783A">
            <w:pPr>
              <w:tabs>
                <w:tab w:val="left" w:pos="0"/>
              </w:tabs>
              <w:spacing w:line="259" w:lineRule="auto"/>
              <w:ind w:firstLine="0"/>
              <w:rPr>
                <w:sz w:val="22"/>
                <w:szCs w:val="22"/>
              </w:rPr>
            </w:pPr>
            <w:r w:rsidRPr="00171AF0">
              <w:rPr>
                <w:sz w:val="22"/>
                <w:szCs w:val="22"/>
              </w:rPr>
              <w:t>2</w:t>
            </w:r>
          </w:p>
        </w:tc>
        <w:tc>
          <w:tcPr>
            <w:tcW w:w="3062" w:type="dxa"/>
            <w:noWrap/>
            <w:hideMark/>
          </w:tcPr>
          <w:p w14:paraId="34A690BC" w14:textId="77777777" w:rsidR="00171AF0" w:rsidRPr="00171AF0" w:rsidRDefault="00171AF0" w:rsidP="009A783A">
            <w:pPr>
              <w:tabs>
                <w:tab w:val="left" w:pos="0"/>
              </w:tabs>
              <w:spacing w:line="259" w:lineRule="auto"/>
              <w:ind w:firstLine="0"/>
              <w:rPr>
                <w:sz w:val="22"/>
                <w:szCs w:val="22"/>
              </w:rPr>
            </w:pPr>
            <w:r w:rsidRPr="00171AF0">
              <w:rPr>
                <w:sz w:val="22"/>
                <w:szCs w:val="22"/>
              </w:rPr>
              <w:t>Non-</w:t>
            </w:r>
            <w:proofErr w:type="spellStart"/>
            <w:r w:rsidRPr="00171AF0">
              <w:rPr>
                <w:sz w:val="22"/>
                <w:szCs w:val="22"/>
              </w:rPr>
              <w:t>metallic</w:t>
            </w:r>
            <w:proofErr w:type="spellEnd"/>
            <w:r w:rsidRPr="00171AF0">
              <w:rPr>
                <w:sz w:val="22"/>
                <w:szCs w:val="22"/>
              </w:rPr>
              <w:t xml:space="preserve"> </w:t>
            </w:r>
            <w:proofErr w:type="spellStart"/>
            <w:r w:rsidRPr="00171AF0">
              <w:rPr>
                <w:sz w:val="22"/>
                <w:szCs w:val="22"/>
              </w:rPr>
              <w:t>minerals</w:t>
            </w:r>
            <w:proofErr w:type="spellEnd"/>
            <w:r w:rsidRPr="00171AF0">
              <w:rPr>
                <w:sz w:val="22"/>
                <w:szCs w:val="22"/>
              </w:rPr>
              <w:t xml:space="preserve"> (NMN)</w:t>
            </w:r>
          </w:p>
        </w:tc>
        <w:tc>
          <w:tcPr>
            <w:tcW w:w="5762" w:type="dxa"/>
            <w:noWrap/>
            <w:hideMark/>
          </w:tcPr>
          <w:p w14:paraId="750B38E9" w14:textId="77777777" w:rsidR="00171AF0" w:rsidRPr="00E6572B" w:rsidRDefault="00171AF0" w:rsidP="009A783A">
            <w:pPr>
              <w:tabs>
                <w:tab w:val="left" w:pos="0"/>
              </w:tabs>
              <w:spacing w:line="259" w:lineRule="auto"/>
              <w:ind w:hanging="18"/>
              <w:rPr>
                <w:sz w:val="22"/>
                <w:szCs w:val="22"/>
                <w:lang w:val="en-US"/>
              </w:rPr>
            </w:pPr>
            <w:r w:rsidRPr="00E6572B">
              <w:rPr>
                <w:sz w:val="22"/>
                <w:szCs w:val="22"/>
                <w:lang w:val="en-US"/>
              </w:rPr>
              <w:t>Extraction of non-metallic minerals (NMN)</w:t>
            </w:r>
          </w:p>
        </w:tc>
      </w:tr>
      <w:tr w:rsidR="00171AF0" w:rsidRPr="00171AF0" w14:paraId="2F1C79E5" w14:textId="77777777" w:rsidTr="00BF608A">
        <w:trPr>
          <w:cnfStyle w:val="000000100000" w:firstRow="0" w:lastRow="0" w:firstColumn="0" w:lastColumn="0" w:oddVBand="0" w:evenVBand="0" w:oddHBand="1" w:evenHBand="0" w:firstRowFirstColumn="0" w:firstRowLastColumn="0" w:lastRowFirstColumn="0" w:lastRowLastColumn="0"/>
          <w:trHeight w:val="300"/>
          <w:jc w:val="center"/>
        </w:trPr>
        <w:tc>
          <w:tcPr>
            <w:tcW w:w="538" w:type="dxa"/>
            <w:noWrap/>
            <w:hideMark/>
          </w:tcPr>
          <w:p w14:paraId="0E2AB400" w14:textId="77777777" w:rsidR="00171AF0" w:rsidRPr="00171AF0" w:rsidRDefault="00171AF0" w:rsidP="009A783A">
            <w:pPr>
              <w:tabs>
                <w:tab w:val="left" w:pos="0"/>
              </w:tabs>
              <w:spacing w:line="259" w:lineRule="auto"/>
              <w:ind w:firstLine="0"/>
              <w:rPr>
                <w:sz w:val="22"/>
                <w:szCs w:val="22"/>
              </w:rPr>
            </w:pPr>
            <w:r w:rsidRPr="00171AF0">
              <w:rPr>
                <w:sz w:val="22"/>
                <w:szCs w:val="22"/>
              </w:rPr>
              <w:t>3</w:t>
            </w:r>
          </w:p>
        </w:tc>
        <w:tc>
          <w:tcPr>
            <w:tcW w:w="3062" w:type="dxa"/>
            <w:noWrap/>
          </w:tcPr>
          <w:p w14:paraId="17481335" w14:textId="77777777" w:rsidR="00171AF0" w:rsidRPr="00171AF0" w:rsidRDefault="00171AF0" w:rsidP="009A783A">
            <w:pPr>
              <w:tabs>
                <w:tab w:val="left" w:pos="0"/>
              </w:tabs>
              <w:spacing w:line="259" w:lineRule="auto"/>
              <w:ind w:firstLine="0"/>
              <w:rPr>
                <w:sz w:val="22"/>
                <w:szCs w:val="22"/>
              </w:rPr>
            </w:pPr>
            <w:r w:rsidRPr="00171AF0">
              <w:rPr>
                <w:sz w:val="22"/>
                <w:szCs w:val="22"/>
              </w:rPr>
              <w:t xml:space="preserve">Mining of </w:t>
            </w:r>
            <w:proofErr w:type="spellStart"/>
            <w:r w:rsidRPr="00171AF0">
              <w:rPr>
                <w:sz w:val="22"/>
                <w:szCs w:val="22"/>
              </w:rPr>
              <w:t>metal</w:t>
            </w:r>
            <w:proofErr w:type="spellEnd"/>
            <w:r w:rsidRPr="00171AF0">
              <w:rPr>
                <w:sz w:val="22"/>
                <w:szCs w:val="22"/>
              </w:rPr>
              <w:t xml:space="preserve"> ores</w:t>
            </w:r>
          </w:p>
        </w:tc>
        <w:tc>
          <w:tcPr>
            <w:tcW w:w="5762" w:type="dxa"/>
            <w:noWrap/>
          </w:tcPr>
          <w:p w14:paraId="43159C5D" w14:textId="77777777" w:rsidR="00171AF0" w:rsidRPr="00E6572B" w:rsidRDefault="00171AF0" w:rsidP="009A783A">
            <w:pPr>
              <w:tabs>
                <w:tab w:val="left" w:pos="0"/>
              </w:tabs>
              <w:spacing w:line="259" w:lineRule="auto"/>
              <w:ind w:hanging="18"/>
              <w:rPr>
                <w:sz w:val="22"/>
                <w:szCs w:val="22"/>
                <w:lang w:val="en-US"/>
              </w:rPr>
            </w:pPr>
            <w:r w:rsidRPr="00E6572B">
              <w:rPr>
                <w:sz w:val="22"/>
                <w:szCs w:val="22"/>
                <w:lang w:val="en-US"/>
              </w:rPr>
              <w:t>Mining of iron ores (MOI), mining of aluminum (bauxite) ores (MAO), mining of copper ores (MCO), mining of other metal ores (MOO)</w:t>
            </w:r>
          </w:p>
        </w:tc>
      </w:tr>
      <w:tr w:rsidR="00171AF0" w:rsidRPr="00171AF0" w14:paraId="07B96A1A" w14:textId="77777777" w:rsidTr="00BF608A">
        <w:trPr>
          <w:trHeight w:val="300"/>
          <w:jc w:val="center"/>
        </w:trPr>
        <w:tc>
          <w:tcPr>
            <w:tcW w:w="538" w:type="dxa"/>
            <w:noWrap/>
            <w:hideMark/>
          </w:tcPr>
          <w:p w14:paraId="727D256C" w14:textId="77777777" w:rsidR="00171AF0" w:rsidRPr="00171AF0" w:rsidRDefault="00171AF0" w:rsidP="009A783A">
            <w:pPr>
              <w:tabs>
                <w:tab w:val="left" w:pos="0"/>
              </w:tabs>
              <w:spacing w:line="259" w:lineRule="auto"/>
              <w:ind w:firstLine="0"/>
              <w:rPr>
                <w:sz w:val="22"/>
                <w:szCs w:val="22"/>
              </w:rPr>
            </w:pPr>
            <w:r w:rsidRPr="00171AF0">
              <w:rPr>
                <w:sz w:val="22"/>
                <w:szCs w:val="22"/>
              </w:rPr>
              <w:t>4</w:t>
            </w:r>
          </w:p>
        </w:tc>
        <w:tc>
          <w:tcPr>
            <w:tcW w:w="3062" w:type="dxa"/>
            <w:noWrap/>
          </w:tcPr>
          <w:p w14:paraId="46119B44" w14:textId="77777777" w:rsidR="00171AF0" w:rsidRPr="00171AF0" w:rsidRDefault="00171AF0" w:rsidP="009A783A">
            <w:pPr>
              <w:tabs>
                <w:tab w:val="left" w:pos="0"/>
              </w:tabs>
              <w:spacing w:line="259" w:lineRule="auto"/>
              <w:ind w:firstLine="0"/>
              <w:rPr>
                <w:sz w:val="22"/>
                <w:szCs w:val="22"/>
              </w:rPr>
            </w:pPr>
            <w:r w:rsidRPr="00171AF0">
              <w:rPr>
                <w:sz w:val="22"/>
                <w:szCs w:val="22"/>
              </w:rPr>
              <w:t>Coal (COA)</w:t>
            </w:r>
          </w:p>
        </w:tc>
        <w:tc>
          <w:tcPr>
            <w:tcW w:w="5762" w:type="dxa"/>
            <w:noWrap/>
          </w:tcPr>
          <w:p w14:paraId="2C7E636F" w14:textId="77777777" w:rsidR="00171AF0" w:rsidRPr="00171AF0" w:rsidRDefault="00171AF0" w:rsidP="009A783A">
            <w:pPr>
              <w:tabs>
                <w:tab w:val="left" w:pos="0"/>
              </w:tabs>
              <w:spacing w:line="259" w:lineRule="auto"/>
              <w:ind w:hanging="18"/>
              <w:rPr>
                <w:sz w:val="22"/>
                <w:szCs w:val="22"/>
              </w:rPr>
            </w:pPr>
            <w:r w:rsidRPr="00171AF0">
              <w:rPr>
                <w:sz w:val="22"/>
                <w:szCs w:val="22"/>
              </w:rPr>
              <w:t>Coal (COA)</w:t>
            </w:r>
          </w:p>
        </w:tc>
      </w:tr>
      <w:tr w:rsidR="00171AF0" w:rsidRPr="00171AF0" w14:paraId="544B6E6A" w14:textId="77777777" w:rsidTr="00BF608A">
        <w:trPr>
          <w:cnfStyle w:val="000000100000" w:firstRow="0" w:lastRow="0" w:firstColumn="0" w:lastColumn="0" w:oddVBand="0" w:evenVBand="0" w:oddHBand="1" w:evenHBand="0" w:firstRowFirstColumn="0" w:firstRowLastColumn="0" w:lastRowFirstColumn="0" w:lastRowLastColumn="0"/>
          <w:trHeight w:val="300"/>
          <w:jc w:val="center"/>
        </w:trPr>
        <w:tc>
          <w:tcPr>
            <w:tcW w:w="538" w:type="dxa"/>
            <w:noWrap/>
            <w:hideMark/>
          </w:tcPr>
          <w:p w14:paraId="6F281393" w14:textId="77777777" w:rsidR="00171AF0" w:rsidRPr="00171AF0" w:rsidRDefault="00171AF0" w:rsidP="009A783A">
            <w:pPr>
              <w:tabs>
                <w:tab w:val="left" w:pos="0"/>
              </w:tabs>
              <w:spacing w:line="259" w:lineRule="auto"/>
              <w:ind w:firstLine="0"/>
              <w:rPr>
                <w:sz w:val="22"/>
                <w:szCs w:val="22"/>
              </w:rPr>
            </w:pPr>
            <w:r w:rsidRPr="00171AF0">
              <w:rPr>
                <w:sz w:val="22"/>
                <w:szCs w:val="22"/>
              </w:rPr>
              <w:t>5</w:t>
            </w:r>
          </w:p>
        </w:tc>
        <w:tc>
          <w:tcPr>
            <w:tcW w:w="3062" w:type="dxa"/>
            <w:noWrap/>
          </w:tcPr>
          <w:p w14:paraId="6F83EE14" w14:textId="77777777" w:rsidR="00171AF0" w:rsidRPr="00171AF0" w:rsidRDefault="00171AF0" w:rsidP="009A783A">
            <w:pPr>
              <w:tabs>
                <w:tab w:val="left" w:pos="0"/>
              </w:tabs>
              <w:spacing w:line="259" w:lineRule="auto"/>
              <w:ind w:firstLine="0"/>
              <w:rPr>
                <w:sz w:val="22"/>
                <w:szCs w:val="22"/>
              </w:rPr>
            </w:pPr>
            <w:proofErr w:type="spellStart"/>
            <w:r w:rsidRPr="00171AF0">
              <w:rPr>
                <w:sz w:val="22"/>
                <w:szCs w:val="22"/>
              </w:rPr>
              <w:t>Oil</w:t>
            </w:r>
            <w:proofErr w:type="spellEnd"/>
            <w:r w:rsidRPr="00171AF0">
              <w:rPr>
                <w:sz w:val="22"/>
                <w:szCs w:val="22"/>
              </w:rPr>
              <w:t xml:space="preserve"> (OIL)</w:t>
            </w:r>
          </w:p>
        </w:tc>
        <w:tc>
          <w:tcPr>
            <w:tcW w:w="5762" w:type="dxa"/>
            <w:noWrap/>
          </w:tcPr>
          <w:p w14:paraId="335162E3" w14:textId="77777777" w:rsidR="00171AF0" w:rsidRPr="00171AF0" w:rsidRDefault="00171AF0" w:rsidP="009A783A">
            <w:pPr>
              <w:tabs>
                <w:tab w:val="left" w:pos="0"/>
              </w:tabs>
              <w:spacing w:line="259" w:lineRule="auto"/>
              <w:ind w:hanging="18"/>
              <w:rPr>
                <w:sz w:val="22"/>
                <w:szCs w:val="22"/>
              </w:rPr>
            </w:pPr>
            <w:proofErr w:type="spellStart"/>
            <w:r w:rsidRPr="00171AF0">
              <w:rPr>
                <w:sz w:val="22"/>
                <w:szCs w:val="22"/>
              </w:rPr>
              <w:t>Oil</w:t>
            </w:r>
            <w:proofErr w:type="spellEnd"/>
            <w:r w:rsidRPr="00171AF0">
              <w:rPr>
                <w:sz w:val="22"/>
                <w:szCs w:val="22"/>
              </w:rPr>
              <w:t xml:space="preserve"> (OIL)</w:t>
            </w:r>
          </w:p>
        </w:tc>
      </w:tr>
      <w:tr w:rsidR="00171AF0" w:rsidRPr="00171AF0" w14:paraId="652CBB8A" w14:textId="77777777" w:rsidTr="00BF608A">
        <w:trPr>
          <w:trHeight w:val="300"/>
          <w:jc w:val="center"/>
        </w:trPr>
        <w:tc>
          <w:tcPr>
            <w:tcW w:w="538" w:type="dxa"/>
            <w:noWrap/>
            <w:hideMark/>
          </w:tcPr>
          <w:p w14:paraId="6CD7AB14" w14:textId="77777777" w:rsidR="00171AF0" w:rsidRPr="00171AF0" w:rsidRDefault="00171AF0" w:rsidP="009A783A">
            <w:pPr>
              <w:tabs>
                <w:tab w:val="left" w:pos="0"/>
              </w:tabs>
              <w:spacing w:line="259" w:lineRule="auto"/>
              <w:ind w:firstLine="0"/>
              <w:rPr>
                <w:sz w:val="22"/>
                <w:szCs w:val="22"/>
              </w:rPr>
            </w:pPr>
            <w:r w:rsidRPr="00171AF0">
              <w:rPr>
                <w:sz w:val="22"/>
                <w:szCs w:val="22"/>
              </w:rPr>
              <w:t>6</w:t>
            </w:r>
          </w:p>
        </w:tc>
        <w:tc>
          <w:tcPr>
            <w:tcW w:w="3062" w:type="dxa"/>
            <w:noWrap/>
          </w:tcPr>
          <w:p w14:paraId="28CAFE8D" w14:textId="77777777" w:rsidR="00171AF0" w:rsidRPr="00171AF0" w:rsidRDefault="00171AF0" w:rsidP="009A783A">
            <w:pPr>
              <w:tabs>
                <w:tab w:val="left" w:pos="0"/>
              </w:tabs>
              <w:spacing w:line="259" w:lineRule="auto"/>
              <w:ind w:firstLine="0"/>
              <w:rPr>
                <w:sz w:val="22"/>
                <w:szCs w:val="22"/>
              </w:rPr>
            </w:pPr>
            <w:r w:rsidRPr="00171AF0">
              <w:rPr>
                <w:sz w:val="22"/>
                <w:szCs w:val="22"/>
              </w:rPr>
              <w:t>Gas (GAS)</w:t>
            </w:r>
          </w:p>
        </w:tc>
        <w:tc>
          <w:tcPr>
            <w:tcW w:w="5762" w:type="dxa"/>
            <w:noWrap/>
          </w:tcPr>
          <w:p w14:paraId="0E942A70" w14:textId="77777777" w:rsidR="00171AF0" w:rsidRPr="00E6572B" w:rsidRDefault="00171AF0" w:rsidP="009A783A">
            <w:pPr>
              <w:tabs>
                <w:tab w:val="left" w:pos="0"/>
              </w:tabs>
              <w:spacing w:line="259" w:lineRule="auto"/>
              <w:ind w:hanging="18"/>
              <w:rPr>
                <w:sz w:val="22"/>
                <w:szCs w:val="22"/>
                <w:lang w:val="en-US"/>
              </w:rPr>
            </w:pPr>
            <w:r w:rsidRPr="00E6572B">
              <w:rPr>
                <w:sz w:val="22"/>
                <w:szCs w:val="22"/>
                <w:lang w:val="en-US"/>
              </w:rPr>
              <w:t>Gas (GAS), Gas manufacture, distribution (GDT)</w:t>
            </w:r>
          </w:p>
        </w:tc>
      </w:tr>
      <w:tr w:rsidR="00171AF0" w:rsidRPr="00171AF0" w14:paraId="1CA11189" w14:textId="77777777" w:rsidTr="00BF608A">
        <w:trPr>
          <w:cnfStyle w:val="000000100000" w:firstRow="0" w:lastRow="0" w:firstColumn="0" w:lastColumn="0" w:oddVBand="0" w:evenVBand="0" w:oddHBand="1" w:evenHBand="0" w:firstRowFirstColumn="0" w:firstRowLastColumn="0" w:lastRowFirstColumn="0" w:lastRowLastColumn="0"/>
          <w:trHeight w:val="300"/>
          <w:jc w:val="center"/>
        </w:trPr>
        <w:tc>
          <w:tcPr>
            <w:tcW w:w="538" w:type="dxa"/>
            <w:noWrap/>
            <w:hideMark/>
          </w:tcPr>
          <w:p w14:paraId="00238776" w14:textId="77777777" w:rsidR="00171AF0" w:rsidRPr="00171AF0" w:rsidRDefault="00171AF0" w:rsidP="009A783A">
            <w:pPr>
              <w:tabs>
                <w:tab w:val="left" w:pos="0"/>
              </w:tabs>
              <w:spacing w:line="259" w:lineRule="auto"/>
              <w:ind w:firstLine="0"/>
              <w:rPr>
                <w:sz w:val="22"/>
                <w:szCs w:val="22"/>
              </w:rPr>
            </w:pPr>
            <w:r w:rsidRPr="00171AF0">
              <w:rPr>
                <w:sz w:val="22"/>
                <w:szCs w:val="22"/>
              </w:rPr>
              <w:t>7</w:t>
            </w:r>
          </w:p>
        </w:tc>
        <w:tc>
          <w:tcPr>
            <w:tcW w:w="3062" w:type="dxa"/>
            <w:noWrap/>
          </w:tcPr>
          <w:p w14:paraId="6E1063AD" w14:textId="77777777" w:rsidR="00171AF0" w:rsidRPr="00171AF0" w:rsidRDefault="00171AF0" w:rsidP="009A783A">
            <w:pPr>
              <w:tabs>
                <w:tab w:val="left" w:pos="0"/>
              </w:tabs>
              <w:spacing w:line="259" w:lineRule="auto"/>
              <w:ind w:firstLine="0"/>
              <w:rPr>
                <w:sz w:val="22"/>
                <w:szCs w:val="22"/>
              </w:rPr>
            </w:pPr>
            <w:proofErr w:type="spellStart"/>
            <w:r w:rsidRPr="00171AF0">
              <w:rPr>
                <w:sz w:val="22"/>
                <w:szCs w:val="22"/>
              </w:rPr>
              <w:t>Processed</w:t>
            </w:r>
            <w:proofErr w:type="spellEnd"/>
            <w:r w:rsidRPr="00171AF0">
              <w:rPr>
                <w:sz w:val="22"/>
                <w:szCs w:val="22"/>
              </w:rPr>
              <w:t xml:space="preserve"> </w:t>
            </w:r>
            <w:proofErr w:type="spellStart"/>
            <w:r w:rsidRPr="00171AF0">
              <w:rPr>
                <w:sz w:val="22"/>
                <w:szCs w:val="22"/>
              </w:rPr>
              <w:t>food</w:t>
            </w:r>
            <w:proofErr w:type="spellEnd"/>
            <w:r w:rsidRPr="00171AF0">
              <w:rPr>
                <w:sz w:val="22"/>
                <w:szCs w:val="22"/>
              </w:rPr>
              <w:t xml:space="preserve"> (PFD)</w:t>
            </w:r>
          </w:p>
        </w:tc>
        <w:tc>
          <w:tcPr>
            <w:tcW w:w="5762" w:type="dxa"/>
            <w:noWrap/>
          </w:tcPr>
          <w:p w14:paraId="05CCCB54" w14:textId="77777777" w:rsidR="00171AF0" w:rsidRPr="00E6572B" w:rsidRDefault="00171AF0" w:rsidP="009A783A">
            <w:pPr>
              <w:tabs>
                <w:tab w:val="left" w:pos="0"/>
              </w:tabs>
              <w:spacing w:line="259" w:lineRule="auto"/>
              <w:ind w:hanging="18"/>
              <w:rPr>
                <w:sz w:val="22"/>
                <w:szCs w:val="22"/>
                <w:lang w:val="en-US"/>
              </w:rPr>
            </w:pPr>
            <w:r w:rsidRPr="00E6572B">
              <w:rPr>
                <w:sz w:val="22"/>
                <w:szCs w:val="22"/>
                <w:lang w:val="en-US"/>
              </w:rPr>
              <w:t xml:space="preserve">Bovine meat products (CMT), Meat products </w:t>
            </w:r>
            <w:proofErr w:type="spellStart"/>
            <w:r w:rsidRPr="00E6572B">
              <w:rPr>
                <w:sz w:val="22"/>
                <w:szCs w:val="22"/>
                <w:lang w:val="en-US"/>
              </w:rPr>
              <w:t>nec</w:t>
            </w:r>
            <w:proofErr w:type="spellEnd"/>
            <w:r w:rsidRPr="00E6572B">
              <w:rPr>
                <w:sz w:val="22"/>
                <w:szCs w:val="22"/>
                <w:lang w:val="en-US"/>
              </w:rPr>
              <w:t xml:space="preserve"> (OMT), Vegetable oils and fats (VOL), Dairy products (MIL), Food products </w:t>
            </w:r>
            <w:proofErr w:type="spellStart"/>
            <w:r w:rsidRPr="00E6572B">
              <w:rPr>
                <w:sz w:val="22"/>
                <w:szCs w:val="22"/>
                <w:lang w:val="en-US"/>
              </w:rPr>
              <w:t>nec</w:t>
            </w:r>
            <w:proofErr w:type="spellEnd"/>
            <w:r w:rsidRPr="00E6572B">
              <w:rPr>
                <w:sz w:val="22"/>
                <w:szCs w:val="22"/>
                <w:lang w:val="en-US"/>
              </w:rPr>
              <w:t xml:space="preserve"> (OFD), Beverages and tobacco products (B_T)</w:t>
            </w:r>
          </w:p>
        </w:tc>
      </w:tr>
      <w:tr w:rsidR="00171AF0" w:rsidRPr="00171AF0" w14:paraId="2CCAC048" w14:textId="77777777" w:rsidTr="00BF608A">
        <w:trPr>
          <w:trHeight w:val="300"/>
          <w:jc w:val="center"/>
        </w:trPr>
        <w:tc>
          <w:tcPr>
            <w:tcW w:w="538" w:type="dxa"/>
            <w:noWrap/>
            <w:hideMark/>
          </w:tcPr>
          <w:p w14:paraId="6A2A7B33" w14:textId="77777777" w:rsidR="00171AF0" w:rsidRPr="00171AF0" w:rsidRDefault="00171AF0" w:rsidP="009A783A">
            <w:pPr>
              <w:tabs>
                <w:tab w:val="left" w:pos="0"/>
              </w:tabs>
              <w:spacing w:line="259" w:lineRule="auto"/>
              <w:ind w:firstLine="0"/>
              <w:rPr>
                <w:sz w:val="22"/>
                <w:szCs w:val="22"/>
              </w:rPr>
            </w:pPr>
            <w:r w:rsidRPr="00171AF0">
              <w:rPr>
                <w:sz w:val="22"/>
                <w:szCs w:val="22"/>
              </w:rPr>
              <w:t>8</w:t>
            </w:r>
          </w:p>
        </w:tc>
        <w:tc>
          <w:tcPr>
            <w:tcW w:w="3062" w:type="dxa"/>
            <w:noWrap/>
          </w:tcPr>
          <w:p w14:paraId="7AC549D6" w14:textId="77777777" w:rsidR="00171AF0" w:rsidRPr="00E6572B" w:rsidRDefault="00171AF0" w:rsidP="009A783A">
            <w:pPr>
              <w:tabs>
                <w:tab w:val="left" w:pos="0"/>
              </w:tabs>
              <w:spacing w:line="259" w:lineRule="auto"/>
              <w:ind w:firstLine="0"/>
              <w:rPr>
                <w:sz w:val="22"/>
                <w:szCs w:val="22"/>
                <w:lang w:val="en-US"/>
              </w:rPr>
            </w:pPr>
            <w:r w:rsidRPr="00E6572B">
              <w:rPr>
                <w:sz w:val="22"/>
                <w:szCs w:val="22"/>
                <w:lang w:val="en-US"/>
              </w:rPr>
              <w:t>Wood and paper products (WDP)</w:t>
            </w:r>
          </w:p>
        </w:tc>
        <w:tc>
          <w:tcPr>
            <w:tcW w:w="5762" w:type="dxa"/>
            <w:noWrap/>
          </w:tcPr>
          <w:p w14:paraId="7DAE8FAC" w14:textId="77777777" w:rsidR="00171AF0" w:rsidRPr="00171AF0" w:rsidRDefault="00171AF0" w:rsidP="009A783A">
            <w:pPr>
              <w:tabs>
                <w:tab w:val="left" w:pos="0"/>
              </w:tabs>
              <w:spacing w:line="259" w:lineRule="auto"/>
              <w:ind w:hanging="18"/>
              <w:rPr>
                <w:sz w:val="22"/>
                <w:szCs w:val="22"/>
              </w:rPr>
            </w:pPr>
            <w:r w:rsidRPr="00171AF0">
              <w:rPr>
                <w:sz w:val="22"/>
                <w:szCs w:val="22"/>
              </w:rPr>
              <w:t xml:space="preserve">Paper </w:t>
            </w:r>
            <w:proofErr w:type="spellStart"/>
            <w:r w:rsidRPr="00171AF0">
              <w:rPr>
                <w:sz w:val="22"/>
                <w:szCs w:val="22"/>
              </w:rPr>
              <w:t>products</w:t>
            </w:r>
            <w:proofErr w:type="spellEnd"/>
            <w:r w:rsidRPr="00171AF0">
              <w:rPr>
                <w:sz w:val="22"/>
                <w:szCs w:val="22"/>
              </w:rPr>
              <w:t xml:space="preserve">, </w:t>
            </w:r>
            <w:proofErr w:type="spellStart"/>
            <w:r w:rsidRPr="00171AF0">
              <w:rPr>
                <w:sz w:val="22"/>
                <w:szCs w:val="22"/>
              </w:rPr>
              <w:t>publishing</w:t>
            </w:r>
            <w:proofErr w:type="spellEnd"/>
            <w:r w:rsidRPr="00171AF0">
              <w:rPr>
                <w:sz w:val="22"/>
                <w:szCs w:val="22"/>
              </w:rPr>
              <w:t xml:space="preserve"> (PPP)</w:t>
            </w:r>
          </w:p>
        </w:tc>
      </w:tr>
      <w:tr w:rsidR="00171AF0" w:rsidRPr="00171AF0" w14:paraId="1B27CFCE" w14:textId="77777777" w:rsidTr="00BF608A">
        <w:trPr>
          <w:cnfStyle w:val="000000100000" w:firstRow="0" w:lastRow="0" w:firstColumn="0" w:lastColumn="0" w:oddVBand="0" w:evenVBand="0" w:oddHBand="1" w:evenHBand="0" w:firstRowFirstColumn="0" w:firstRowLastColumn="0" w:lastRowFirstColumn="0" w:lastRowLastColumn="0"/>
          <w:trHeight w:val="300"/>
          <w:jc w:val="center"/>
        </w:trPr>
        <w:tc>
          <w:tcPr>
            <w:tcW w:w="538" w:type="dxa"/>
            <w:noWrap/>
            <w:hideMark/>
          </w:tcPr>
          <w:p w14:paraId="793F5B4D" w14:textId="77777777" w:rsidR="00171AF0" w:rsidRPr="00171AF0" w:rsidRDefault="00171AF0" w:rsidP="009A783A">
            <w:pPr>
              <w:tabs>
                <w:tab w:val="left" w:pos="0"/>
              </w:tabs>
              <w:spacing w:line="259" w:lineRule="auto"/>
              <w:ind w:firstLine="0"/>
              <w:rPr>
                <w:sz w:val="22"/>
                <w:szCs w:val="22"/>
              </w:rPr>
            </w:pPr>
            <w:r w:rsidRPr="00171AF0">
              <w:rPr>
                <w:sz w:val="22"/>
                <w:szCs w:val="22"/>
              </w:rPr>
              <w:t>9</w:t>
            </w:r>
          </w:p>
        </w:tc>
        <w:tc>
          <w:tcPr>
            <w:tcW w:w="3062" w:type="dxa"/>
            <w:noWrap/>
          </w:tcPr>
          <w:p w14:paraId="0E9E8E50" w14:textId="77777777" w:rsidR="00171AF0" w:rsidRPr="00171AF0" w:rsidRDefault="00171AF0" w:rsidP="009A783A">
            <w:pPr>
              <w:tabs>
                <w:tab w:val="left" w:pos="0"/>
              </w:tabs>
              <w:spacing w:line="259" w:lineRule="auto"/>
              <w:ind w:firstLine="0"/>
              <w:rPr>
                <w:sz w:val="22"/>
                <w:szCs w:val="22"/>
              </w:rPr>
            </w:pPr>
            <w:proofErr w:type="spellStart"/>
            <w:r w:rsidRPr="00171AF0">
              <w:rPr>
                <w:sz w:val="22"/>
                <w:szCs w:val="22"/>
              </w:rPr>
              <w:t>Refined</w:t>
            </w:r>
            <w:proofErr w:type="spellEnd"/>
            <w:r w:rsidRPr="00171AF0">
              <w:rPr>
                <w:sz w:val="22"/>
                <w:szCs w:val="22"/>
              </w:rPr>
              <w:t xml:space="preserve"> </w:t>
            </w:r>
            <w:proofErr w:type="spellStart"/>
            <w:r w:rsidRPr="00171AF0">
              <w:rPr>
                <w:sz w:val="22"/>
                <w:szCs w:val="22"/>
              </w:rPr>
              <w:t>oil</w:t>
            </w:r>
            <w:proofErr w:type="spellEnd"/>
            <w:r w:rsidRPr="00171AF0">
              <w:rPr>
                <w:sz w:val="22"/>
                <w:szCs w:val="22"/>
              </w:rPr>
              <w:t xml:space="preserve"> (P_C)</w:t>
            </w:r>
          </w:p>
        </w:tc>
        <w:tc>
          <w:tcPr>
            <w:tcW w:w="5762" w:type="dxa"/>
            <w:noWrap/>
          </w:tcPr>
          <w:p w14:paraId="73C657EB" w14:textId="77777777" w:rsidR="00171AF0" w:rsidRPr="00E6572B" w:rsidRDefault="00171AF0" w:rsidP="009A783A">
            <w:pPr>
              <w:tabs>
                <w:tab w:val="left" w:pos="0"/>
              </w:tabs>
              <w:spacing w:line="259" w:lineRule="auto"/>
              <w:ind w:hanging="18"/>
              <w:rPr>
                <w:sz w:val="22"/>
                <w:szCs w:val="22"/>
                <w:lang w:val="en-US"/>
              </w:rPr>
            </w:pPr>
            <w:r w:rsidRPr="00E6572B">
              <w:rPr>
                <w:sz w:val="22"/>
                <w:szCs w:val="22"/>
                <w:lang w:val="en-US"/>
              </w:rPr>
              <w:t>Petroleum, coal products (P_C)</w:t>
            </w:r>
          </w:p>
        </w:tc>
      </w:tr>
      <w:tr w:rsidR="00171AF0" w:rsidRPr="00171AF0" w14:paraId="46C9DD76" w14:textId="77777777" w:rsidTr="00BF608A">
        <w:trPr>
          <w:trHeight w:val="300"/>
          <w:jc w:val="center"/>
        </w:trPr>
        <w:tc>
          <w:tcPr>
            <w:tcW w:w="538" w:type="dxa"/>
            <w:noWrap/>
            <w:hideMark/>
          </w:tcPr>
          <w:p w14:paraId="615BC802" w14:textId="77777777" w:rsidR="00171AF0" w:rsidRPr="00171AF0" w:rsidRDefault="00171AF0" w:rsidP="009A783A">
            <w:pPr>
              <w:tabs>
                <w:tab w:val="left" w:pos="0"/>
              </w:tabs>
              <w:spacing w:line="259" w:lineRule="auto"/>
              <w:ind w:firstLine="0"/>
              <w:rPr>
                <w:sz w:val="22"/>
                <w:szCs w:val="22"/>
              </w:rPr>
            </w:pPr>
            <w:r w:rsidRPr="00171AF0">
              <w:rPr>
                <w:sz w:val="22"/>
                <w:szCs w:val="22"/>
              </w:rPr>
              <w:t>10</w:t>
            </w:r>
          </w:p>
        </w:tc>
        <w:tc>
          <w:tcPr>
            <w:tcW w:w="3062" w:type="dxa"/>
            <w:noWrap/>
          </w:tcPr>
          <w:p w14:paraId="1914DB15" w14:textId="77777777" w:rsidR="00171AF0" w:rsidRPr="00171AF0" w:rsidRDefault="00171AF0" w:rsidP="009A783A">
            <w:pPr>
              <w:tabs>
                <w:tab w:val="left" w:pos="0"/>
              </w:tabs>
              <w:spacing w:line="259" w:lineRule="auto"/>
              <w:ind w:firstLine="0"/>
              <w:rPr>
                <w:sz w:val="22"/>
                <w:szCs w:val="22"/>
              </w:rPr>
            </w:pPr>
            <w:r w:rsidRPr="00171AF0">
              <w:rPr>
                <w:sz w:val="22"/>
                <w:szCs w:val="22"/>
              </w:rPr>
              <w:t xml:space="preserve">Chemical </w:t>
            </w:r>
            <w:proofErr w:type="spellStart"/>
            <w:r w:rsidRPr="00171AF0">
              <w:rPr>
                <w:sz w:val="22"/>
                <w:szCs w:val="22"/>
              </w:rPr>
              <w:t>products</w:t>
            </w:r>
            <w:proofErr w:type="spellEnd"/>
            <w:r w:rsidRPr="00171AF0">
              <w:rPr>
                <w:sz w:val="22"/>
                <w:szCs w:val="22"/>
              </w:rPr>
              <w:t xml:space="preserve">  (CHM)</w:t>
            </w:r>
          </w:p>
        </w:tc>
        <w:tc>
          <w:tcPr>
            <w:tcW w:w="5762" w:type="dxa"/>
            <w:noWrap/>
          </w:tcPr>
          <w:p w14:paraId="50256CC0" w14:textId="77777777" w:rsidR="00171AF0" w:rsidRPr="00E6572B" w:rsidRDefault="00171AF0" w:rsidP="009A783A">
            <w:pPr>
              <w:tabs>
                <w:tab w:val="left" w:pos="0"/>
              </w:tabs>
              <w:spacing w:line="259" w:lineRule="auto"/>
              <w:ind w:hanging="18"/>
              <w:rPr>
                <w:sz w:val="22"/>
                <w:szCs w:val="22"/>
                <w:lang w:val="en-US"/>
              </w:rPr>
            </w:pPr>
            <w:r w:rsidRPr="00E6572B">
              <w:rPr>
                <w:sz w:val="22"/>
                <w:szCs w:val="22"/>
                <w:lang w:val="en-US"/>
              </w:rPr>
              <w:t>Chemical products (CHM), Basic pharmaceutical products (BPH)</w:t>
            </w:r>
            <w:r w:rsidR="00BF608A" w:rsidRPr="00E6572B">
              <w:rPr>
                <w:sz w:val="22"/>
                <w:szCs w:val="22"/>
                <w:lang w:val="en-US"/>
              </w:rPr>
              <w:t>, Rubber products (RBR)</w:t>
            </w:r>
          </w:p>
        </w:tc>
      </w:tr>
      <w:tr w:rsidR="00BF608A" w:rsidRPr="00171AF0" w14:paraId="2E8F5E47" w14:textId="77777777" w:rsidTr="00BF608A">
        <w:trPr>
          <w:cnfStyle w:val="000000100000" w:firstRow="0" w:lastRow="0" w:firstColumn="0" w:lastColumn="0" w:oddVBand="0" w:evenVBand="0" w:oddHBand="1" w:evenHBand="0" w:firstRowFirstColumn="0" w:firstRowLastColumn="0" w:lastRowFirstColumn="0" w:lastRowLastColumn="0"/>
          <w:trHeight w:val="300"/>
          <w:jc w:val="center"/>
        </w:trPr>
        <w:tc>
          <w:tcPr>
            <w:tcW w:w="538" w:type="dxa"/>
            <w:noWrap/>
            <w:hideMark/>
          </w:tcPr>
          <w:p w14:paraId="4941DE4B" w14:textId="77777777" w:rsidR="00BF608A" w:rsidRPr="00171AF0" w:rsidRDefault="00BF608A" w:rsidP="009A783A">
            <w:pPr>
              <w:tabs>
                <w:tab w:val="left" w:pos="0"/>
              </w:tabs>
              <w:spacing w:line="259" w:lineRule="auto"/>
              <w:ind w:firstLine="0"/>
              <w:rPr>
                <w:sz w:val="22"/>
                <w:szCs w:val="22"/>
              </w:rPr>
            </w:pPr>
            <w:r w:rsidRPr="00171AF0">
              <w:rPr>
                <w:sz w:val="22"/>
                <w:szCs w:val="22"/>
              </w:rPr>
              <w:t>11</w:t>
            </w:r>
          </w:p>
        </w:tc>
        <w:tc>
          <w:tcPr>
            <w:tcW w:w="3062" w:type="dxa"/>
            <w:noWrap/>
          </w:tcPr>
          <w:p w14:paraId="7EF9C8B2" w14:textId="77777777" w:rsidR="00BF608A" w:rsidRPr="00171AF0" w:rsidRDefault="00BF608A" w:rsidP="009A783A">
            <w:pPr>
              <w:tabs>
                <w:tab w:val="left" w:pos="0"/>
              </w:tabs>
              <w:spacing w:line="259" w:lineRule="auto"/>
              <w:ind w:firstLine="0"/>
              <w:rPr>
                <w:sz w:val="22"/>
                <w:szCs w:val="22"/>
              </w:rPr>
            </w:pPr>
            <w:r>
              <w:rPr>
                <w:sz w:val="22"/>
                <w:szCs w:val="22"/>
              </w:rPr>
              <w:t xml:space="preserve">Plastic </w:t>
            </w:r>
            <w:proofErr w:type="spellStart"/>
            <w:r>
              <w:rPr>
                <w:sz w:val="22"/>
                <w:szCs w:val="22"/>
              </w:rPr>
              <w:t>primary</w:t>
            </w:r>
            <w:proofErr w:type="spellEnd"/>
            <w:r>
              <w:rPr>
                <w:sz w:val="22"/>
                <w:szCs w:val="22"/>
              </w:rPr>
              <w:t xml:space="preserve"> (PLP)</w:t>
            </w:r>
          </w:p>
        </w:tc>
        <w:tc>
          <w:tcPr>
            <w:tcW w:w="5762" w:type="dxa"/>
            <w:noWrap/>
          </w:tcPr>
          <w:p w14:paraId="4F95529E" w14:textId="77777777" w:rsidR="00BF608A" w:rsidRPr="00171AF0" w:rsidRDefault="00BF608A" w:rsidP="009A783A">
            <w:pPr>
              <w:tabs>
                <w:tab w:val="left" w:pos="0"/>
              </w:tabs>
              <w:spacing w:line="259" w:lineRule="auto"/>
              <w:ind w:hanging="18"/>
              <w:rPr>
                <w:sz w:val="22"/>
                <w:szCs w:val="22"/>
              </w:rPr>
            </w:pPr>
            <w:r>
              <w:rPr>
                <w:sz w:val="22"/>
                <w:szCs w:val="22"/>
              </w:rPr>
              <w:t xml:space="preserve">Plastic </w:t>
            </w:r>
            <w:proofErr w:type="spellStart"/>
            <w:r>
              <w:rPr>
                <w:sz w:val="22"/>
                <w:szCs w:val="22"/>
              </w:rPr>
              <w:t>primary</w:t>
            </w:r>
            <w:proofErr w:type="spellEnd"/>
            <w:r>
              <w:rPr>
                <w:sz w:val="22"/>
                <w:szCs w:val="22"/>
              </w:rPr>
              <w:t xml:space="preserve"> (PLP)</w:t>
            </w:r>
          </w:p>
        </w:tc>
      </w:tr>
      <w:tr w:rsidR="00BF608A" w:rsidRPr="00171AF0" w14:paraId="4C778EDA" w14:textId="77777777" w:rsidTr="00BF608A">
        <w:trPr>
          <w:trHeight w:val="300"/>
          <w:jc w:val="center"/>
        </w:trPr>
        <w:tc>
          <w:tcPr>
            <w:tcW w:w="538" w:type="dxa"/>
            <w:noWrap/>
            <w:hideMark/>
          </w:tcPr>
          <w:p w14:paraId="4D208C54" w14:textId="77777777" w:rsidR="00BF608A" w:rsidRPr="00171AF0" w:rsidRDefault="00BF608A" w:rsidP="009A783A">
            <w:pPr>
              <w:tabs>
                <w:tab w:val="left" w:pos="0"/>
              </w:tabs>
              <w:spacing w:line="259" w:lineRule="auto"/>
              <w:ind w:firstLine="0"/>
              <w:rPr>
                <w:sz w:val="22"/>
                <w:szCs w:val="22"/>
              </w:rPr>
            </w:pPr>
            <w:r w:rsidRPr="00171AF0">
              <w:rPr>
                <w:sz w:val="22"/>
                <w:szCs w:val="22"/>
              </w:rPr>
              <w:t>12</w:t>
            </w:r>
          </w:p>
        </w:tc>
        <w:tc>
          <w:tcPr>
            <w:tcW w:w="3062" w:type="dxa"/>
            <w:noWrap/>
          </w:tcPr>
          <w:p w14:paraId="74B457BE" w14:textId="77777777" w:rsidR="00BF608A" w:rsidRPr="00171AF0" w:rsidRDefault="00BF608A" w:rsidP="009A783A">
            <w:pPr>
              <w:tabs>
                <w:tab w:val="left" w:pos="0"/>
              </w:tabs>
              <w:spacing w:line="259" w:lineRule="auto"/>
              <w:ind w:firstLine="0"/>
              <w:rPr>
                <w:sz w:val="22"/>
                <w:szCs w:val="22"/>
              </w:rPr>
            </w:pPr>
            <w:r>
              <w:rPr>
                <w:sz w:val="22"/>
                <w:szCs w:val="22"/>
              </w:rPr>
              <w:t xml:space="preserve">Plastic </w:t>
            </w:r>
            <w:proofErr w:type="spellStart"/>
            <w:r>
              <w:rPr>
                <w:sz w:val="22"/>
                <w:szCs w:val="22"/>
              </w:rPr>
              <w:t>secondary</w:t>
            </w:r>
            <w:proofErr w:type="spellEnd"/>
            <w:r>
              <w:rPr>
                <w:sz w:val="22"/>
                <w:szCs w:val="22"/>
              </w:rPr>
              <w:t xml:space="preserve"> (PLS)</w:t>
            </w:r>
          </w:p>
        </w:tc>
        <w:tc>
          <w:tcPr>
            <w:tcW w:w="5762" w:type="dxa"/>
            <w:noWrap/>
          </w:tcPr>
          <w:p w14:paraId="4596FD13" w14:textId="77777777" w:rsidR="00BF608A" w:rsidRPr="00171AF0" w:rsidRDefault="00BF608A" w:rsidP="009A783A">
            <w:pPr>
              <w:tabs>
                <w:tab w:val="left" w:pos="0"/>
              </w:tabs>
              <w:spacing w:line="259" w:lineRule="auto"/>
              <w:ind w:hanging="18"/>
              <w:rPr>
                <w:sz w:val="22"/>
                <w:szCs w:val="22"/>
              </w:rPr>
            </w:pPr>
            <w:r>
              <w:rPr>
                <w:sz w:val="22"/>
                <w:szCs w:val="22"/>
              </w:rPr>
              <w:t xml:space="preserve">Plastic </w:t>
            </w:r>
            <w:proofErr w:type="spellStart"/>
            <w:r>
              <w:rPr>
                <w:sz w:val="22"/>
                <w:szCs w:val="22"/>
              </w:rPr>
              <w:t>secondary</w:t>
            </w:r>
            <w:proofErr w:type="spellEnd"/>
            <w:r>
              <w:rPr>
                <w:sz w:val="22"/>
                <w:szCs w:val="22"/>
              </w:rPr>
              <w:t xml:space="preserve"> (PLS)</w:t>
            </w:r>
          </w:p>
        </w:tc>
      </w:tr>
      <w:tr w:rsidR="00BF608A" w:rsidRPr="00171AF0" w14:paraId="60533359" w14:textId="77777777" w:rsidTr="00BF608A">
        <w:trPr>
          <w:cnfStyle w:val="000000100000" w:firstRow="0" w:lastRow="0" w:firstColumn="0" w:lastColumn="0" w:oddVBand="0" w:evenVBand="0" w:oddHBand="1" w:evenHBand="0" w:firstRowFirstColumn="0" w:firstRowLastColumn="0" w:lastRowFirstColumn="0" w:lastRowLastColumn="0"/>
          <w:trHeight w:val="300"/>
          <w:jc w:val="center"/>
        </w:trPr>
        <w:tc>
          <w:tcPr>
            <w:tcW w:w="538" w:type="dxa"/>
            <w:noWrap/>
            <w:hideMark/>
          </w:tcPr>
          <w:p w14:paraId="21B02FF1" w14:textId="77777777" w:rsidR="00BF608A" w:rsidRPr="00171AF0" w:rsidRDefault="00BF608A" w:rsidP="009A783A">
            <w:pPr>
              <w:tabs>
                <w:tab w:val="left" w:pos="0"/>
              </w:tabs>
              <w:spacing w:line="259" w:lineRule="auto"/>
              <w:ind w:firstLine="0"/>
              <w:rPr>
                <w:sz w:val="22"/>
                <w:szCs w:val="22"/>
              </w:rPr>
            </w:pPr>
            <w:r w:rsidRPr="00171AF0">
              <w:rPr>
                <w:sz w:val="22"/>
                <w:szCs w:val="22"/>
              </w:rPr>
              <w:t>13</w:t>
            </w:r>
          </w:p>
        </w:tc>
        <w:tc>
          <w:tcPr>
            <w:tcW w:w="3062" w:type="dxa"/>
            <w:noWrap/>
          </w:tcPr>
          <w:p w14:paraId="7F2BF5DB" w14:textId="77777777" w:rsidR="00BF608A" w:rsidRPr="00171AF0" w:rsidRDefault="00BF608A" w:rsidP="009A783A">
            <w:pPr>
              <w:tabs>
                <w:tab w:val="left" w:pos="0"/>
              </w:tabs>
              <w:spacing w:line="259" w:lineRule="auto"/>
              <w:ind w:firstLine="0"/>
              <w:rPr>
                <w:sz w:val="22"/>
                <w:szCs w:val="22"/>
              </w:rPr>
            </w:pPr>
            <w:r>
              <w:rPr>
                <w:sz w:val="22"/>
                <w:szCs w:val="22"/>
              </w:rPr>
              <w:t xml:space="preserve">Plastic </w:t>
            </w:r>
            <w:proofErr w:type="spellStart"/>
            <w:r>
              <w:rPr>
                <w:sz w:val="22"/>
                <w:szCs w:val="22"/>
              </w:rPr>
              <w:t>recycling</w:t>
            </w:r>
            <w:proofErr w:type="spellEnd"/>
            <w:r>
              <w:rPr>
                <w:sz w:val="22"/>
                <w:szCs w:val="22"/>
              </w:rPr>
              <w:t xml:space="preserve"> (PLR)</w:t>
            </w:r>
          </w:p>
        </w:tc>
        <w:tc>
          <w:tcPr>
            <w:tcW w:w="5762" w:type="dxa"/>
            <w:noWrap/>
          </w:tcPr>
          <w:p w14:paraId="5483D36F" w14:textId="77777777" w:rsidR="00BF608A" w:rsidRPr="00171AF0" w:rsidRDefault="00BF608A" w:rsidP="009A783A">
            <w:pPr>
              <w:tabs>
                <w:tab w:val="left" w:pos="0"/>
              </w:tabs>
              <w:spacing w:line="259" w:lineRule="auto"/>
              <w:ind w:hanging="18"/>
              <w:rPr>
                <w:sz w:val="22"/>
                <w:szCs w:val="22"/>
              </w:rPr>
            </w:pPr>
            <w:r>
              <w:rPr>
                <w:sz w:val="22"/>
                <w:szCs w:val="22"/>
              </w:rPr>
              <w:t xml:space="preserve">Plastic </w:t>
            </w:r>
            <w:proofErr w:type="spellStart"/>
            <w:r>
              <w:rPr>
                <w:sz w:val="22"/>
                <w:szCs w:val="22"/>
              </w:rPr>
              <w:t>recycling</w:t>
            </w:r>
            <w:proofErr w:type="spellEnd"/>
            <w:r>
              <w:rPr>
                <w:sz w:val="22"/>
                <w:szCs w:val="22"/>
              </w:rPr>
              <w:t xml:space="preserve"> (PLR)</w:t>
            </w:r>
          </w:p>
        </w:tc>
      </w:tr>
      <w:tr w:rsidR="00BF608A" w:rsidRPr="00171AF0" w14:paraId="395281A3" w14:textId="77777777" w:rsidTr="00BF608A">
        <w:trPr>
          <w:trHeight w:val="300"/>
          <w:jc w:val="center"/>
        </w:trPr>
        <w:tc>
          <w:tcPr>
            <w:tcW w:w="538" w:type="dxa"/>
            <w:noWrap/>
            <w:hideMark/>
          </w:tcPr>
          <w:p w14:paraId="72E5B7FE" w14:textId="77777777" w:rsidR="00BF608A" w:rsidRPr="00171AF0" w:rsidRDefault="00BF608A" w:rsidP="009A783A">
            <w:pPr>
              <w:tabs>
                <w:tab w:val="left" w:pos="0"/>
              </w:tabs>
              <w:spacing w:line="259" w:lineRule="auto"/>
              <w:ind w:firstLine="0"/>
              <w:rPr>
                <w:sz w:val="22"/>
                <w:szCs w:val="22"/>
              </w:rPr>
            </w:pPr>
            <w:r w:rsidRPr="00171AF0">
              <w:rPr>
                <w:sz w:val="22"/>
                <w:szCs w:val="22"/>
              </w:rPr>
              <w:t>14</w:t>
            </w:r>
          </w:p>
        </w:tc>
        <w:tc>
          <w:tcPr>
            <w:tcW w:w="3062" w:type="dxa"/>
            <w:noWrap/>
          </w:tcPr>
          <w:p w14:paraId="71D0833B" w14:textId="77777777" w:rsidR="00BF608A" w:rsidRPr="00171AF0" w:rsidRDefault="00BF608A" w:rsidP="009A783A">
            <w:pPr>
              <w:tabs>
                <w:tab w:val="left" w:pos="0"/>
              </w:tabs>
              <w:spacing w:line="259" w:lineRule="auto"/>
              <w:ind w:firstLine="0"/>
              <w:rPr>
                <w:sz w:val="22"/>
                <w:szCs w:val="22"/>
              </w:rPr>
            </w:pPr>
            <w:r>
              <w:rPr>
                <w:sz w:val="22"/>
                <w:szCs w:val="22"/>
              </w:rPr>
              <w:t>Non-</w:t>
            </w:r>
            <w:proofErr w:type="spellStart"/>
            <w:r>
              <w:rPr>
                <w:sz w:val="22"/>
                <w:szCs w:val="22"/>
              </w:rPr>
              <w:t>metallic</w:t>
            </w:r>
            <w:proofErr w:type="spellEnd"/>
            <w:r>
              <w:rPr>
                <w:sz w:val="22"/>
                <w:szCs w:val="22"/>
              </w:rPr>
              <w:t xml:space="preserve"> </w:t>
            </w:r>
            <w:proofErr w:type="spellStart"/>
            <w:r>
              <w:rPr>
                <w:sz w:val="22"/>
                <w:szCs w:val="22"/>
              </w:rPr>
              <w:t>minerals</w:t>
            </w:r>
            <w:proofErr w:type="spellEnd"/>
            <w:r>
              <w:rPr>
                <w:sz w:val="22"/>
                <w:szCs w:val="22"/>
              </w:rPr>
              <w:t xml:space="preserve"> (NMM)</w:t>
            </w:r>
          </w:p>
        </w:tc>
        <w:tc>
          <w:tcPr>
            <w:tcW w:w="5762" w:type="dxa"/>
            <w:noWrap/>
          </w:tcPr>
          <w:p w14:paraId="6747674A" w14:textId="77777777" w:rsidR="00BF608A" w:rsidRPr="00171AF0" w:rsidRDefault="00BF608A" w:rsidP="009A783A">
            <w:pPr>
              <w:tabs>
                <w:tab w:val="left" w:pos="0"/>
              </w:tabs>
              <w:spacing w:line="259" w:lineRule="auto"/>
              <w:ind w:hanging="18"/>
              <w:rPr>
                <w:sz w:val="22"/>
                <w:szCs w:val="22"/>
              </w:rPr>
            </w:pPr>
            <w:r>
              <w:rPr>
                <w:sz w:val="22"/>
                <w:szCs w:val="22"/>
              </w:rPr>
              <w:t>Non-</w:t>
            </w:r>
            <w:proofErr w:type="spellStart"/>
            <w:r>
              <w:rPr>
                <w:sz w:val="22"/>
                <w:szCs w:val="22"/>
              </w:rPr>
              <w:t>metallic</w:t>
            </w:r>
            <w:proofErr w:type="spellEnd"/>
            <w:r>
              <w:rPr>
                <w:sz w:val="22"/>
                <w:szCs w:val="22"/>
              </w:rPr>
              <w:t xml:space="preserve"> </w:t>
            </w:r>
            <w:proofErr w:type="spellStart"/>
            <w:r>
              <w:rPr>
                <w:sz w:val="22"/>
                <w:szCs w:val="22"/>
              </w:rPr>
              <w:t>minerals</w:t>
            </w:r>
            <w:proofErr w:type="spellEnd"/>
            <w:r>
              <w:rPr>
                <w:sz w:val="22"/>
                <w:szCs w:val="22"/>
              </w:rPr>
              <w:t xml:space="preserve"> (NMM)</w:t>
            </w:r>
          </w:p>
        </w:tc>
      </w:tr>
      <w:tr w:rsidR="00BF608A" w:rsidRPr="00171AF0" w14:paraId="55025072" w14:textId="77777777" w:rsidTr="00BF608A">
        <w:trPr>
          <w:cnfStyle w:val="000000100000" w:firstRow="0" w:lastRow="0" w:firstColumn="0" w:lastColumn="0" w:oddVBand="0" w:evenVBand="0" w:oddHBand="1" w:evenHBand="0" w:firstRowFirstColumn="0" w:firstRowLastColumn="0" w:lastRowFirstColumn="0" w:lastRowLastColumn="0"/>
          <w:trHeight w:val="300"/>
          <w:jc w:val="center"/>
        </w:trPr>
        <w:tc>
          <w:tcPr>
            <w:tcW w:w="538" w:type="dxa"/>
            <w:noWrap/>
            <w:hideMark/>
          </w:tcPr>
          <w:p w14:paraId="2D441871" w14:textId="77777777" w:rsidR="00BF608A" w:rsidRPr="00171AF0" w:rsidRDefault="00BF608A" w:rsidP="009A783A">
            <w:pPr>
              <w:tabs>
                <w:tab w:val="left" w:pos="0"/>
              </w:tabs>
              <w:spacing w:line="259" w:lineRule="auto"/>
              <w:ind w:firstLine="0"/>
              <w:rPr>
                <w:sz w:val="22"/>
                <w:szCs w:val="22"/>
              </w:rPr>
            </w:pPr>
            <w:r w:rsidRPr="00171AF0">
              <w:rPr>
                <w:sz w:val="22"/>
                <w:szCs w:val="22"/>
              </w:rPr>
              <w:t>15</w:t>
            </w:r>
          </w:p>
        </w:tc>
        <w:tc>
          <w:tcPr>
            <w:tcW w:w="3062" w:type="dxa"/>
            <w:noWrap/>
          </w:tcPr>
          <w:p w14:paraId="286A72CE" w14:textId="77777777" w:rsidR="00BF608A" w:rsidRPr="00E6572B" w:rsidRDefault="00BF608A" w:rsidP="009A783A">
            <w:pPr>
              <w:tabs>
                <w:tab w:val="left" w:pos="0"/>
              </w:tabs>
              <w:spacing w:line="259" w:lineRule="auto"/>
              <w:ind w:firstLine="0"/>
              <w:rPr>
                <w:sz w:val="22"/>
                <w:szCs w:val="22"/>
                <w:lang w:val="en-US"/>
              </w:rPr>
            </w:pPr>
            <w:r w:rsidRPr="00E6572B">
              <w:rPr>
                <w:sz w:val="22"/>
                <w:szCs w:val="22"/>
                <w:lang w:val="en-US"/>
              </w:rPr>
              <w:t>Iron and steel – primary (ISP)</w:t>
            </w:r>
          </w:p>
        </w:tc>
        <w:tc>
          <w:tcPr>
            <w:tcW w:w="5762" w:type="dxa"/>
            <w:noWrap/>
          </w:tcPr>
          <w:p w14:paraId="16C314D1" w14:textId="77777777" w:rsidR="00BF608A" w:rsidRPr="00E6572B" w:rsidRDefault="00BF608A" w:rsidP="009A783A">
            <w:pPr>
              <w:tabs>
                <w:tab w:val="left" w:pos="0"/>
              </w:tabs>
              <w:spacing w:line="259" w:lineRule="auto"/>
              <w:ind w:hanging="18"/>
              <w:rPr>
                <w:sz w:val="22"/>
                <w:szCs w:val="22"/>
                <w:lang w:val="en-US"/>
              </w:rPr>
            </w:pPr>
            <w:r w:rsidRPr="00E6572B">
              <w:rPr>
                <w:sz w:val="22"/>
                <w:szCs w:val="22"/>
                <w:lang w:val="en-US"/>
              </w:rPr>
              <w:t>Iron and steel – primary (ISP)</w:t>
            </w:r>
          </w:p>
        </w:tc>
      </w:tr>
      <w:tr w:rsidR="00BF608A" w:rsidRPr="00171AF0" w14:paraId="6A29C179" w14:textId="77777777" w:rsidTr="00BF608A">
        <w:trPr>
          <w:trHeight w:val="300"/>
          <w:jc w:val="center"/>
        </w:trPr>
        <w:tc>
          <w:tcPr>
            <w:tcW w:w="538" w:type="dxa"/>
            <w:noWrap/>
            <w:hideMark/>
          </w:tcPr>
          <w:p w14:paraId="54D4F9EF" w14:textId="77777777" w:rsidR="00BF608A" w:rsidRPr="00171AF0" w:rsidRDefault="00BF608A" w:rsidP="009A783A">
            <w:pPr>
              <w:tabs>
                <w:tab w:val="left" w:pos="0"/>
              </w:tabs>
              <w:spacing w:line="259" w:lineRule="auto"/>
              <w:ind w:firstLine="0"/>
              <w:rPr>
                <w:sz w:val="22"/>
                <w:szCs w:val="22"/>
              </w:rPr>
            </w:pPr>
            <w:r w:rsidRPr="00171AF0">
              <w:rPr>
                <w:sz w:val="22"/>
                <w:szCs w:val="22"/>
              </w:rPr>
              <w:t>16</w:t>
            </w:r>
          </w:p>
        </w:tc>
        <w:tc>
          <w:tcPr>
            <w:tcW w:w="3062" w:type="dxa"/>
            <w:noWrap/>
          </w:tcPr>
          <w:p w14:paraId="09851B79" w14:textId="77777777" w:rsidR="00BF608A" w:rsidRPr="00E6572B" w:rsidRDefault="00BF608A" w:rsidP="009A783A">
            <w:pPr>
              <w:tabs>
                <w:tab w:val="left" w:pos="0"/>
              </w:tabs>
              <w:spacing w:line="259" w:lineRule="auto"/>
              <w:ind w:firstLine="0"/>
              <w:rPr>
                <w:sz w:val="22"/>
                <w:szCs w:val="22"/>
                <w:lang w:val="en-US"/>
              </w:rPr>
            </w:pPr>
            <w:r w:rsidRPr="00E6572B">
              <w:rPr>
                <w:sz w:val="22"/>
                <w:szCs w:val="22"/>
                <w:lang w:val="en-US"/>
              </w:rPr>
              <w:t>Iron and steel – secondary (ISS)</w:t>
            </w:r>
          </w:p>
        </w:tc>
        <w:tc>
          <w:tcPr>
            <w:tcW w:w="5762" w:type="dxa"/>
            <w:noWrap/>
          </w:tcPr>
          <w:p w14:paraId="527B95AC" w14:textId="77777777" w:rsidR="00BF608A" w:rsidRPr="00E6572B" w:rsidRDefault="00BF608A" w:rsidP="009A783A">
            <w:pPr>
              <w:tabs>
                <w:tab w:val="left" w:pos="0"/>
              </w:tabs>
              <w:spacing w:line="259" w:lineRule="auto"/>
              <w:ind w:hanging="18"/>
              <w:rPr>
                <w:sz w:val="22"/>
                <w:szCs w:val="22"/>
                <w:lang w:val="en-US"/>
              </w:rPr>
            </w:pPr>
            <w:r w:rsidRPr="00E6572B">
              <w:rPr>
                <w:sz w:val="22"/>
                <w:szCs w:val="22"/>
                <w:lang w:val="en-US"/>
              </w:rPr>
              <w:t>Iron and steel – secondary (ISS)</w:t>
            </w:r>
          </w:p>
        </w:tc>
      </w:tr>
      <w:tr w:rsidR="00BF608A" w:rsidRPr="00171AF0" w14:paraId="42553733" w14:textId="77777777" w:rsidTr="00BF608A">
        <w:trPr>
          <w:cnfStyle w:val="000000100000" w:firstRow="0" w:lastRow="0" w:firstColumn="0" w:lastColumn="0" w:oddVBand="0" w:evenVBand="0" w:oddHBand="1" w:evenHBand="0" w:firstRowFirstColumn="0" w:firstRowLastColumn="0" w:lastRowFirstColumn="0" w:lastRowLastColumn="0"/>
          <w:trHeight w:val="300"/>
          <w:jc w:val="center"/>
        </w:trPr>
        <w:tc>
          <w:tcPr>
            <w:tcW w:w="538" w:type="dxa"/>
            <w:noWrap/>
            <w:hideMark/>
          </w:tcPr>
          <w:p w14:paraId="5EF01E90" w14:textId="77777777" w:rsidR="00BF608A" w:rsidRPr="00171AF0" w:rsidRDefault="00BF608A" w:rsidP="009A783A">
            <w:pPr>
              <w:tabs>
                <w:tab w:val="left" w:pos="0"/>
              </w:tabs>
              <w:spacing w:line="259" w:lineRule="auto"/>
              <w:ind w:firstLine="0"/>
              <w:rPr>
                <w:sz w:val="22"/>
                <w:szCs w:val="22"/>
              </w:rPr>
            </w:pPr>
            <w:r w:rsidRPr="00171AF0">
              <w:rPr>
                <w:sz w:val="22"/>
                <w:szCs w:val="22"/>
              </w:rPr>
              <w:t>17</w:t>
            </w:r>
          </w:p>
        </w:tc>
        <w:tc>
          <w:tcPr>
            <w:tcW w:w="3062" w:type="dxa"/>
            <w:noWrap/>
          </w:tcPr>
          <w:p w14:paraId="3CD171D3" w14:textId="77777777" w:rsidR="00BF608A" w:rsidRPr="00E6572B" w:rsidRDefault="00BF608A" w:rsidP="009A783A">
            <w:pPr>
              <w:tabs>
                <w:tab w:val="left" w:pos="0"/>
              </w:tabs>
              <w:spacing w:line="259" w:lineRule="auto"/>
              <w:ind w:firstLine="0"/>
              <w:rPr>
                <w:sz w:val="22"/>
                <w:szCs w:val="22"/>
                <w:lang w:val="en-US"/>
              </w:rPr>
            </w:pPr>
            <w:r w:rsidRPr="00E6572B">
              <w:rPr>
                <w:sz w:val="22"/>
                <w:szCs w:val="22"/>
                <w:lang w:val="en-US"/>
              </w:rPr>
              <w:t>Recycling - iron and steel (RIS)</w:t>
            </w:r>
          </w:p>
        </w:tc>
        <w:tc>
          <w:tcPr>
            <w:tcW w:w="5762" w:type="dxa"/>
            <w:noWrap/>
          </w:tcPr>
          <w:p w14:paraId="4A087AA0" w14:textId="77777777" w:rsidR="00BF608A" w:rsidRPr="00E6572B" w:rsidRDefault="00BF608A" w:rsidP="009A783A">
            <w:pPr>
              <w:tabs>
                <w:tab w:val="left" w:pos="0"/>
              </w:tabs>
              <w:spacing w:line="259" w:lineRule="auto"/>
              <w:ind w:hanging="18"/>
              <w:rPr>
                <w:sz w:val="22"/>
                <w:szCs w:val="22"/>
                <w:lang w:val="en-US"/>
              </w:rPr>
            </w:pPr>
            <w:r w:rsidRPr="00E6572B">
              <w:rPr>
                <w:sz w:val="22"/>
                <w:szCs w:val="22"/>
                <w:lang w:val="en-US"/>
              </w:rPr>
              <w:t>Recycling - iron and steel (RIS)</w:t>
            </w:r>
          </w:p>
        </w:tc>
      </w:tr>
      <w:tr w:rsidR="00BF608A" w:rsidRPr="00171AF0" w14:paraId="61002D38" w14:textId="77777777" w:rsidTr="00BF608A">
        <w:trPr>
          <w:trHeight w:val="300"/>
          <w:jc w:val="center"/>
        </w:trPr>
        <w:tc>
          <w:tcPr>
            <w:tcW w:w="538" w:type="dxa"/>
            <w:noWrap/>
            <w:hideMark/>
          </w:tcPr>
          <w:p w14:paraId="5A3368A8" w14:textId="77777777" w:rsidR="00BF608A" w:rsidRPr="00171AF0" w:rsidRDefault="00BF608A" w:rsidP="009A783A">
            <w:pPr>
              <w:tabs>
                <w:tab w:val="left" w:pos="0"/>
              </w:tabs>
              <w:spacing w:line="259" w:lineRule="auto"/>
              <w:ind w:firstLine="0"/>
              <w:rPr>
                <w:sz w:val="22"/>
                <w:szCs w:val="22"/>
              </w:rPr>
            </w:pPr>
            <w:r w:rsidRPr="00171AF0">
              <w:rPr>
                <w:sz w:val="22"/>
                <w:szCs w:val="22"/>
              </w:rPr>
              <w:t>18</w:t>
            </w:r>
          </w:p>
        </w:tc>
        <w:tc>
          <w:tcPr>
            <w:tcW w:w="3062" w:type="dxa"/>
            <w:noWrap/>
          </w:tcPr>
          <w:p w14:paraId="0142D9AA" w14:textId="77777777" w:rsidR="00BF608A" w:rsidRPr="00BF608A" w:rsidRDefault="00BF608A" w:rsidP="009A783A">
            <w:pPr>
              <w:tabs>
                <w:tab w:val="left" w:pos="0"/>
              </w:tabs>
              <w:spacing w:line="259" w:lineRule="auto"/>
              <w:ind w:firstLine="0"/>
              <w:rPr>
                <w:sz w:val="22"/>
                <w:szCs w:val="22"/>
              </w:rPr>
            </w:pPr>
            <w:proofErr w:type="spellStart"/>
            <w:r w:rsidRPr="00BF608A">
              <w:rPr>
                <w:sz w:val="22"/>
                <w:szCs w:val="22"/>
              </w:rPr>
              <w:t>Aluminum</w:t>
            </w:r>
            <w:proofErr w:type="spellEnd"/>
            <w:r w:rsidRPr="00BF608A">
              <w:rPr>
                <w:sz w:val="22"/>
                <w:szCs w:val="22"/>
              </w:rPr>
              <w:t xml:space="preserve"> – </w:t>
            </w:r>
            <w:proofErr w:type="spellStart"/>
            <w:r w:rsidRPr="00BF608A">
              <w:rPr>
                <w:sz w:val="22"/>
                <w:szCs w:val="22"/>
              </w:rPr>
              <w:t>primary</w:t>
            </w:r>
            <w:proofErr w:type="spellEnd"/>
            <w:r>
              <w:rPr>
                <w:sz w:val="22"/>
                <w:szCs w:val="22"/>
              </w:rPr>
              <w:t xml:space="preserve"> (APP)</w:t>
            </w:r>
          </w:p>
        </w:tc>
        <w:tc>
          <w:tcPr>
            <w:tcW w:w="5762" w:type="dxa"/>
            <w:noWrap/>
          </w:tcPr>
          <w:p w14:paraId="7CA5000F" w14:textId="77777777" w:rsidR="00BF608A" w:rsidRPr="00BF608A" w:rsidRDefault="00BF608A" w:rsidP="009A783A">
            <w:pPr>
              <w:tabs>
                <w:tab w:val="left" w:pos="0"/>
              </w:tabs>
              <w:spacing w:line="259" w:lineRule="auto"/>
              <w:ind w:hanging="18"/>
              <w:rPr>
                <w:sz w:val="22"/>
                <w:szCs w:val="22"/>
              </w:rPr>
            </w:pPr>
            <w:proofErr w:type="spellStart"/>
            <w:r w:rsidRPr="00BF608A">
              <w:rPr>
                <w:sz w:val="22"/>
                <w:szCs w:val="22"/>
              </w:rPr>
              <w:t>Aluminum</w:t>
            </w:r>
            <w:proofErr w:type="spellEnd"/>
            <w:r w:rsidRPr="00BF608A">
              <w:rPr>
                <w:sz w:val="22"/>
                <w:szCs w:val="22"/>
              </w:rPr>
              <w:t xml:space="preserve"> – </w:t>
            </w:r>
            <w:proofErr w:type="spellStart"/>
            <w:r w:rsidRPr="00BF608A">
              <w:rPr>
                <w:sz w:val="22"/>
                <w:szCs w:val="22"/>
              </w:rPr>
              <w:t>primary</w:t>
            </w:r>
            <w:proofErr w:type="spellEnd"/>
            <w:r>
              <w:rPr>
                <w:sz w:val="22"/>
                <w:szCs w:val="22"/>
              </w:rPr>
              <w:t xml:space="preserve"> (APP)</w:t>
            </w:r>
          </w:p>
        </w:tc>
      </w:tr>
      <w:tr w:rsidR="00BF608A" w:rsidRPr="00171AF0" w14:paraId="7C2A11C4" w14:textId="77777777" w:rsidTr="00BF608A">
        <w:trPr>
          <w:cnfStyle w:val="000000100000" w:firstRow="0" w:lastRow="0" w:firstColumn="0" w:lastColumn="0" w:oddVBand="0" w:evenVBand="0" w:oddHBand="1" w:evenHBand="0" w:firstRowFirstColumn="0" w:firstRowLastColumn="0" w:lastRowFirstColumn="0" w:lastRowLastColumn="0"/>
          <w:trHeight w:val="300"/>
          <w:jc w:val="center"/>
        </w:trPr>
        <w:tc>
          <w:tcPr>
            <w:tcW w:w="538" w:type="dxa"/>
            <w:noWrap/>
            <w:hideMark/>
          </w:tcPr>
          <w:p w14:paraId="5ED3A6C4" w14:textId="77777777" w:rsidR="00BF608A" w:rsidRPr="00171AF0" w:rsidRDefault="00BF608A" w:rsidP="009A783A">
            <w:pPr>
              <w:tabs>
                <w:tab w:val="left" w:pos="0"/>
              </w:tabs>
              <w:spacing w:line="259" w:lineRule="auto"/>
              <w:ind w:firstLine="0"/>
              <w:rPr>
                <w:sz w:val="22"/>
                <w:szCs w:val="22"/>
              </w:rPr>
            </w:pPr>
            <w:r w:rsidRPr="00171AF0">
              <w:rPr>
                <w:sz w:val="22"/>
                <w:szCs w:val="22"/>
              </w:rPr>
              <w:lastRenderedPageBreak/>
              <w:t>19</w:t>
            </w:r>
          </w:p>
        </w:tc>
        <w:tc>
          <w:tcPr>
            <w:tcW w:w="3062" w:type="dxa"/>
            <w:noWrap/>
          </w:tcPr>
          <w:p w14:paraId="78B19CD8" w14:textId="77777777" w:rsidR="00BF608A" w:rsidRPr="00BF608A" w:rsidRDefault="00BF608A" w:rsidP="009A783A">
            <w:pPr>
              <w:tabs>
                <w:tab w:val="left" w:pos="0"/>
              </w:tabs>
              <w:spacing w:line="259" w:lineRule="auto"/>
              <w:ind w:firstLine="0"/>
              <w:rPr>
                <w:sz w:val="22"/>
                <w:szCs w:val="22"/>
              </w:rPr>
            </w:pPr>
            <w:proofErr w:type="spellStart"/>
            <w:r w:rsidRPr="00BF608A">
              <w:rPr>
                <w:sz w:val="22"/>
                <w:szCs w:val="22"/>
              </w:rPr>
              <w:t>Aluminum</w:t>
            </w:r>
            <w:proofErr w:type="spellEnd"/>
            <w:r w:rsidRPr="00BF608A">
              <w:rPr>
                <w:sz w:val="22"/>
                <w:szCs w:val="22"/>
              </w:rPr>
              <w:t xml:space="preserve"> – </w:t>
            </w:r>
            <w:proofErr w:type="spellStart"/>
            <w:r w:rsidRPr="00BF608A">
              <w:rPr>
                <w:sz w:val="22"/>
                <w:szCs w:val="22"/>
              </w:rPr>
              <w:t>secondary</w:t>
            </w:r>
            <w:proofErr w:type="spellEnd"/>
            <w:r>
              <w:rPr>
                <w:sz w:val="22"/>
                <w:szCs w:val="22"/>
              </w:rPr>
              <w:t xml:space="preserve"> (APS)</w:t>
            </w:r>
          </w:p>
        </w:tc>
        <w:tc>
          <w:tcPr>
            <w:tcW w:w="5762" w:type="dxa"/>
            <w:noWrap/>
          </w:tcPr>
          <w:p w14:paraId="50DAFD09" w14:textId="77777777" w:rsidR="00BF608A" w:rsidRPr="00BF608A" w:rsidRDefault="00BF608A" w:rsidP="009A783A">
            <w:pPr>
              <w:tabs>
                <w:tab w:val="left" w:pos="0"/>
              </w:tabs>
              <w:spacing w:line="259" w:lineRule="auto"/>
              <w:ind w:hanging="18"/>
              <w:rPr>
                <w:sz w:val="22"/>
                <w:szCs w:val="22"/>
              </w:rPr>
            </w:pPr>
            <w:proofErr w:type="spellStart"/>
            <w:r w:rsidRPr="00BF608A">
              <w:rPr>
                <w:sz w:val="22"/>
                <w:szCs w:val="22"/>
              </w:rPr>
              <w:t>Aluminum</w:t>
            </w:r>
            <w:proofErr w:type="spellEnd"/>
            <w:r w:rsidRPr="00BF608A">
              <w:rPr>
                <w:sz w:val="22"/>
                <w:szCs w:val="22"/>
              </w:rPr>
              <w:t xml:space="preserve"> – </w:t>
            </w:r>
            <w:proofErr w:type="spellStart"/>
            <w:r w:rsidRPr="00BF608A">
              <w:rPr>
                <w:sz w:val="22"/>
                <w:szCs w:val="22"/>
              </w:rPr>
              <w:t>secondary</w:t>
            </w:r>
            <w:proofErr w:type="spellEnd"/>
            <w:r>
              <w:rPr>
                <w:sz w:val="22"/>
                <w:szCs w:val="22"/>
              </w:rPr>
              <w:t xml:space="preserve"> (APS)</w:t>
            </w:r>
          </w:p>
        </w:tc>
      </w:tr>
      <w:tr w:rsidR="00BF608A" w:rsidRPr="00171AF0" w14:paraId="0ED34C96" w14:textId="77777777" w:rsidTr="00BF608A">
        <w:trPr>
          <w:trHeight w:val="300"/>
          <w:jc w:val="center"/>
        </w:trPr>
        <w:tc>
          <w:tcPr>
            <w:tcW w:w="538" w:type="dxa"/>
            <w:noWrap/>
            <w:hideMark/>
          </w:tcPr>
          <w:p w14:paraId="74F881B0" w14:textId="77777777" w:rsidR="00BF608A" w:rsidRPr="00171AF0" w:rsidRDefault="00BF608A" w:rsidP="009A783A">
            <w:pPr>
              <w:tabs>
                <w:tab w:val="left" w:pos="0"/>
              </w:tabs>
              <w:spacing w:line="259" w:lineRule="auto"/>
              <w:ind w:firstLine="0"/>
              <w:rPr>
                <w:sz w:val="22"/>
                <w:szCs w:val="22"/>
              </w:rPr>
            </w:pPr>
            <w:r w:rsidRPr="00171AF0">
              <w:rPr>
                <w:sz w:val="22"/>
                <w:szCs w:val="22"/>
              </w:rPr>
              <w:t>20</w:t>
            </w:r>
          </w:p>
        </w:tc>
        <w:tc>
          <w:tcPr>
            <w:tcW w:w="3062" w:type="dxa"/>
            <w:noWrap/>
          </w:tcPr>
          <w:p w14:paraId="7C9435F1" w14:textId="77777777" w:rsidR="00BF608A" w:rsidRPr="00BF608A" w:rsidRDefault="00BF608A" w:rsidP="009A783A">
            <w:pPr>
              <w:tabs>
                <w:tab w:val="left" w:pos="0"/>
              </w:tabs>
              <w:spacing w:line="259" w:lineRule="auto"/>
              <w:ind w:firstLine="0"/>
              <w:rPr>
                <w:sz w:val="22"/>
                <w:szCs w:val="22"/>
              </w:rPr>
            </w:pPr>
            <w:proofErr w:type="spellStart"/>
            <w:r w:rsidRPr="00BF608A">
              <w:rPr>
                <w:sz w:val="22"/>
                <w:szCs w:val="22"/>
              </w:rPr>
              <w:t>Recycling</w:t>
            </w:r>
            <w:proofErr w:type="spellEnd"/>
            <w:r w:rsidRPr="00BF608A">
              <w:rPr>
                <w:sz w:val="22"/>
                <w:szCs w:val="22"/>
              </w:rPr>
              <w:t xml:space="preserve"> </w:t>
            </w:r>
            <w:r>
              <w:rPr>
                <w:sz w:val="22"/>
                <w:szCs w:val="22"/>
              </w:rPr>
              <w:t>–</w:t>
            </w:r>
            <w:r w:rsidRPr="00BF608A">
              <w:rPr>
                <w:sz w:val="22"/>
                <w:szCs w:val="22"/>
              </w:rPr>
              <w:t xml:space="preserve"> </w:t>
            </w:r>
            <w:proofErr w:type="spellStart"/>
            <w:r w:rsidRPr="00BF608A">
              <w:rPr>
                <w:sz w:val="22"/>
                <w:szCs w:val="22"/>
              </w:rPr>
              <w:t>aluminum</w:t>
            </w:r>
            <w:proofErr w:type="spellEnd"/>
            <w:r>
              <w:rPr>
                <w:sz w:val="22"/>
                <w:szCs w:val="22"/>
              </w:rPr>
              <w:t xml:space="preserve"> (RAL)</w:t>
            </w:r>
          </w:p>
        </w:tc>
        <w:tc>
          <w:tcPr>
            <w:tcW w:w="5762" w:type="dxa"/>
            <w:noWrap/>
          </w:tcPr>
          <w:p w14:paraId="5CE66C3D" w14:textId="77777777" w:rsidR="00BF608A" w:rsidRPr="00BF608A" w:rsidRDefault="00BF608A" w:rsidP="009A783A">
            <w:pPr>
              <w:tabs>
                <w:tab w:val="left" w:pos="0"/>
              </w:tabs>
              <w:spacing w:line="259" w:lineRule="auto"/>
              <w:ind w:hanging="18"/>
              <w:rPr>
                <w:sz w:val="22"/>
                <w:szCs w:val="22"/>
              </w:rPr>
            </w:pPr>
            <w:proofErr w:type="spellStart"/>
            <w:r w:rsidRPr="00BF608A">
              <w:rPr>
                <w:sz w:val="22"/>
                <w:szCs w:val="22"/>
              </w:rPr>
              <w:t>Recycling</w:t>
            </w:r>
            <w:proofErr w:type="spellEnd"/>
            <w:r w:rsidRPr="00BF608A">
              <w:rPr>
                <w:sz w:val="22"/>
                <w:szCs w:val="22"/>
              </w:rPr>
              <w:t xml:space="preserve"> </w:t>
            </w:r>
            <w:r>
              <w:rPr>
                <w:sz w:val="22"/>
                <w:szCs w:val="22"/>
              </w:rPr>
              <w:t>–</w:t>
            </w:r>
            <w:r w:rsidRPr="00BF608A">
              <w:rPr>
                <w:sz w:val="22"/>
                <w:szCs w:val="22"/>
              </w:rPr>
              <w:t xml:space="preserve"> </w:t>
            </w:r>
            <w:proofErr w:type="spellStart"/>
            <w:r w:rsidRPr="00BF608A">
              <w:rPr>
                <w:sz w:val="22"/>
                <w:szCs w:val="22"/>
              </w:rPr>
              <w:t>aluminum</w:t>
            </w:r>
            <w:proofErr w:type="spellEnd"/>
            <w:r>
              <w:rPr>
                <w:sz w:val="22"/>
                <w:szCs w:val="22"/>
              </w:rPr>
              <w:t xml:space="preserve"> (RAL)</w:t>
            </w:r>
          </w:p>
        </w:tc>
      </w:tr>
      <w:tr w:rsidR="00BF608A" w:rsidRPr="00171AF0" w14:paraId="62ED4C35" w14:textId="77777777" w:rsidTr="00BF608A">
        <w:trPr>
          <w:cnfStyle w:val="000000100000" w:firstRow="0" w:lastRow="0" w:firstColumn="0" w:lastColumn="0" w:oddVBand="0" w:evenVBand="0" w:oddHBand="1" w:evenHBand="0" w:firstRowFirstColumn="0" w:firstRowLastColumn="0" w:lastRowFirstColumn="0" w:lastRowLastColumn="0"/>
          <w:trHeight w:val="300"/>
          <w:jc w:val="center"/>
        </w:trPr>
        <w:tc>
          <w:tcPr>
            <w:tcW w:w="538" w:type="dxa"/>
            <w:noWrap/>
          </w:tcPr>
          <w:p w14:paraId="5B2DC399" w14:textId="77777777" w:rsidR="00BF608A" w:rsidRPr="00171AF0" w:rsidRDefault="00BF608A" w:rsidP="009A783A">
            <w:pPr>
              <w:tabs>
                <w:tab w:val="left" w:pos="0"/>
              </w:tabs>
              <w:spacing w:line="259" w:lineRule="auto"/>
              <w:ind w:firstLine="0"/>
              <w:rPr>
                <w:sz w:val="22"/>
                <w:szCs w:val="22"/>
              </w:rPr>
            </w:pPr>
            <w:r w:rsidRPr="00171AF0">
              <w:rPr>
                <w:sz w:val="22"/>
                <w:szCs w:val="22"/>
              </w:rPr>
              <w:t>21</w:t>
            </w:r>
          </w:p>
        </w:tc>
        <w:tc>
          <w:tcPr>
            <w:tcW w:w="3062" w:type="dxa"/>
            <w:noWrap/>
          </w:tcPr>
          <w:p w14:paraId="05B5ABC3" w14:textId="77777777" w:rsidR="00BF608A" w:rsidRPr="00BF608A" w:rsidRDefault="00BF608A" w:rsidP="009A783A">
            <w:pPr>
              <w:tabs>
                <w:tab w:val="left" w:pos="0"/>
              </w:tabs>
              <w:ind w:firstLine="0"/>
              <w:rPr>
                <w:sz w:val="22"/>
                <w:szCs w:val="22"/>
              </w:rPr>
            </w:pPr>
            <w:r w:rsidRPr="00BF608A">
              <w:rPr>
                <w:sz w:val="22"/>
                <w:szCs w:val="22"/>
              </w:rPr>
              <w:t xml:space="preserve">Copper </w:t>
            </w:r>
            <w:r>
              <w:rPr>
                <w:sz w:val="22"/>
                <w:szCs w:val="22"/>
              </w:rPr>
              <w:t>–</w:t>
            </w:r>
            <w:r w:rsidRPr="00BF608A">
              <w:rPr>
                <w:sz w:val="22"/>
                <w:szCs w:val="22"/>
              </w:rPr>
              <w:t xml:space="preserve"> </w:t>
            </w:r>
            <w:proofErr w:type="spellStart"/>
            <w:r w:rsidRPr="00BF608A">
              <w:rPr>
                <w:sz w:val="22"/>
                <w:szCs w:val="22"/>
              </w:rPr>
              <w:t>primary</w:t>
            </w:r>
            <w:proofErr w:type="spellEnd"/>
            <w:r>
              <w:rPr>
                <w:sz w:val="22"/>
                <w:szCs w:val="22"/>
              </w:rPr>
              <w:t xml:space="preserve"> (CPP)</w:t>
            </w:r>
          </w:p>
        </w:tc>
        <w:tc>
          <w:tcPr>
            <w:tcW w:w="5762" w:type="dxa"/>
            <w:noWrap/>
          </w:tcPr>
          <w:p w14:paraId="258B0FE3" w14:textId="77777777" w:rsidR="00BF608A" w:rsidRPr="00BF608A" w:rsidRDefault="00BF608A" w:rsidP="009A783A">
            <w:pPr>
              <w:tabs>
                <w:tab w:val="left" w:pos="0"/>
              </w:tabs>
              <w:ind w:hanging="18"/>
              <w:rPr>
                <w:sz w:val="22"/>
                <w:szCs w:val="22"/>
              </w:rPr>
            </w:pPr>
            <w:r w:rsidRPr="00BF608A">
              <w:rPr>
                <w:sz w:val="22"/>
                <w:szCs w:val="22"/>
              </w:rPr>
              <w:t xml:space="preserve">Copper </w:t>
            </w:r>
            <w:r>
              <w:rPr>
                <w:sz w:val="22"/>
                <w:szCs w:val="22"/>
              </w:rPr>
              <w:t>–</w:t>
            </w:r>
            <w:r w:rsidRPr="00BF608A">
              <w:rPr>
                <w:sz w:val="22"/>
                <w:szCs w:val="22"/>
              </w:rPr>
              <w:t xml:space="preserve"> </w:t>
            </w:r>
            <w:proofErr w:type="spellStart"/>
            <w:r w:rsidRPr="00BF608A">
              <w:rPr>
                <w:sz w:val="22"/>
                <w:szCs w:val="22"/>
              </w:rPr>
              <w:t>primary</w:t>
            </w:r>
            <w:proofErr w:type="spellEnd"/>
            <w:r>
              <w:rPr>
                <w:sz w:val="22"/>
                <w:szCs w:val="22"/>
              </w:rPr>
              <w:t xml:space="preserve"> (CPP)</w:t>
            </w:r>
          </w:p>
        </w:tc>
      </w:tr>
      <w:tr w:rsidR="00BF608A" w:rsidRPr="00171AF0" w14:paraId="3DD0DC49" w14:textId="77777777" w:rsidTr="00BF608A">
        <w:trPr>
          <w:trHeight w:val="300"/>
          <w:jc w:val="center"/>
        </w:trPr>
        <w:tc>
          <w:tcPr>
            <w:tcW w:w="538" w:type="dxa"/>
            <w:noWrap/>
          </w:tcPr>
          <w:p w14:paraId="449177CD" w14:textId="77777777" w:rsidR="00BF608A" w:rsidRPr="00171AF0" w:rsidRDefault="00BF608A" w:rsidP="009A783A">
            <w:pPr>
              <w:tabs>
                <w:tab w:val="left" w:pos="0"/>
              </w:tabs>
              <w:spacing w:line="259" w:lineRule="auto"/>
              <w:ind w:firstLine="0"/>
              <w:rPr>
                <w:sz w:val="22"/>
                <w:szCs w:val="22"/>
              </w:rPr>
            </w:pPr>
            <w:r w:rsidRPr="00171AF0">
              <w:rPr>
                <w:sz w:val="22"/>
                <w:szCs w:val="22"/>
              </w:rPr>
              <w:t>22</w:t>
            </w:r>
          </w:p>
        </w:tc>
        <w:tc>
          <w:tcPr>
            <w:tcW w:w="3062" w:type="dxa"/>
            <w:noWrap/>
          </w:tcPr>
          <w:p w14:paraId="1BADD88E" w14:textId="77777777" w:rsidR="00BF608A" w:rsidRPr="00BF608A" w:rsidRDefault="00BF608A" w:rsidP="009A783A">
            <w:pPr>
              <w:tabs>
                <w:tab w:val="left" w:pos="0"/>
              </w:tabs>
              <w:ind w:firstLine="0"/>
              <w:rPr>
                <w:sz w:val="22"/>
                <w:szCs w:val="22"/>
              </w:rPr>
            </w:pPr>
            <w:r w:rsidRPr="00BF608A">
              <w:rPr>
                <w:sz w:val="22"/>
                <w:szCs w:val="22"/>
              </w:rPr>
              <w:t xml:space="preserve">Copper </w:t>
            </w:r>
            <w:r>
              <w:rPr>
                <w:sz w:val="22"/>
                <w:szCs w:val="22"/>
              </w:rPr>
              <w:t>–</w:t>
            </w:r>
            <w:r w:rsidRPr="00BF608A">
              <w:rPr>
                <w:sz w:val="22"/>
                <w:szCs w:val="22"/>
              </w:rPr>
              <w:t xml:space="preserve"> </w:t>
            </w:r>
            <w:proofErr w:type="spellStart"/>
            <w:r w:rsidRPr="00BF608A">
              <w:rPr>
                <w:sz w:val="22"/>
                <w:szCs w:val="22"/>
              </w:rPr>
              <w:t>secondary</w:t>
            </w:r>
            <w:proofErr w:type="spellEnd"/>
            <w:r>
              <w:rPr>
                <w:sz w:val="22"/>
                <w:szCs w:val="22"/>
              </w:rPr>
              <w:t xml:space="preserve"> (CPS)</w:t>
            </w:r>
          </w:p>
        </w:tc>
        <w:tc>
          <w:tcPr>
            <w:tcW w:w="5762" w:type="dxa"/>
            <w:noWrap/>
          </w:tcPr>
          <w:p w14:paraId="77597455" w14:textId="77777777" w:rsidR="00BF608A" w:rsidRPr="00BF608A" w:rsidRDefault="00BF608A" w:rsidP="009A783A">
            <w:pPr>
              <w:tabs>
                <w:tab w:val="left" w:pos="0"/>
              </w:tabs>
              <w:ind w:hanging="18"/>
              <w:rPr>
                <w:sz w:val="22"/>
                <w:szCs w:val="22"/>
              </w:rPr>
            </w:pPr>
            <w:r w:rsidRPr="00BF608A">
              <w:rPr>
                <w:sz w:val="22"/>
                <w:szCs w:val="22"/>
              </w:rPr>
              <w:t xml:space="preserve">Copper </w:t>
            </w:r>
            <w:r>
              <w:rPr>
                <w:sz w:val="22"/>
                <w:szCs w:val="22"/>
              </w:rPr>
              <w:t>–</w:t>
            </w:r>
            <w:r w:rsidRPr="00BF608A">
              <w:rPr>
                <w:sz w:val="22"/>
                <w:szCs w:val="22"/>
              </w:rPr>
              <w:t xml:space="preserve"> </w:t>
            </w:r>
            <w:proofErr w:type="spellStart"/>
            <w:r w:rsidRPr="00BF608A">
              <w:rPr>
                <w:sz w:val="22"/>
                <w:szCs w:val="22"/>
              </w:rPr>
              <w:t>secondary</w:t>
            </w:r>
            <w:proofErr w:type="spellEnd"/>
            <w:r>
              <w:rPr>
                <w:sz w:val="22"/>
                <w:szCs w:val="22"/>
              </w:rPr>
              <w:t xml:space="preserve"> (CPS)</w:t>
            </w:r>
          </w:p>
        </w:tc>
      </w:tr>
      <w:tr w:rsidR="00BF608A" w:rsidRPr="00171AF0" w14:paraId="22A1FC6E" w14:textId="77777777" w:rsidTr="00BF608A">
        <w:trPr>
          <w:cnfStyle w:val="000000100000" w:firstRow="0" w:lastRow="0" w:firstColumn="0" w:lastColumn="0" w:oddVBand="0" w:evenVBand="0" w:oddHBand="1" w:evenHBand="0" w:firstRowFirstColumn="0" w:firstRowLastColumn="0" w:lastRowFirstColumn="0" w:lastRowLastColumn="0"/>
          <w:trHeight w:val="300"/>
          <w:jc w:val="center"/>
        </w:trPr>
        <w:tc>
          <w:tcPr>
            <w:tcW w:w="538" w:type="dxa"/>
            <w:noWrap/>
          </w:tcPr>
          <w:p w14:paraId="109FBCA8" w14:textId="77777777" w:rsidR="00BF608A" w:rsidRPr="00171AF0" w:rsidRDefault="00BF608A" w:rsidP="009A783A">
            <w:pPr>
              <w:tabs>
                <w:tab w:val="left" w:pos="0"/>
              </w:tabs>
              <w:spacing w:line="259" w:lineRule="auto"/>
              <w:ind w:firstLine="0"/>
              <w:rPr>
                <w:sz w:val="22"/>
                <w:szCs w:val="22"/>
              </w:rPr>
            </w:pPr>
            <w:r w:rsidRPr="00171AF0">
              <w:rPr>
                <w:sz w:val="22"/>
                <w:szCs w:val="22"/>
              </w:rPr>
              <w:t>23</w:t>
            </w:r>
          </w:p>
        </w:tc>
        <w:tc>
          <w:tcPr>
            <w:tcW w:w="3062" w:type="dxa"/>
            <w:noWrap/>
          </w:tcPr>
          <w:p w14:paraId="5B152E3B" w14:textId="77777777" w:rsidR="00BF608A" w:rsidRPr="00BF608A" w:rsidRDefault="00BF608A" w:rsidP="009A783A">
            <w:pPr>
              <w:tabs>
                <w:tab w:val="left" w:pos="0"/>
              </w:tabs>
              <w:ind w:firstLine="0"/>
              <w:rPr>
                <w:sz w:val="22"/>
                <w:szCs w:val="22"/>
              </w:rPr>
            </w:pPr>
            <w:proofErr w:type="spellStart"/>
            <w:r w:rsidRPr="00BF608A">
              <w:rPr>
                <w:sz w:val="22"/>
                <w:szCs w:val="22"/>
              </w:rPr>
              <w:t>Recycling</w:t>
            </w:r>
            <w:proofErr w:type="spellEnd"/>
            <w:r w:rsidRPr="00BF608A">
              <w:rPr>
                <w:sz w:val="22"/>
                <w:szCs w:val="22"/>
              </w:rPr>
              <w:t xml:space="preserve"> </w:t>
            </w:r>
            <w:r>
              <w:rPr>
                <w:sz w:val="22"/>
                <w:szCs w:val="22"/>
              </w:rPr>
              <w:t>–</w:t>
            </w:r>
            <w:r w:rsidRPr="00BF608A">
              <w:rPr>
                <w:sz w:val="22"/>
                <w:szCs w:val="22"/>
              </w:rPr>
              <w:t xml:space="preserve"> </w:t>
            </w:r>
            <w:proofErr w:type="spellStart"/>
            <w:r w:rsidRPr="00BF608A">
              <w:rPr>
                <w:sz w:val="22"/>
                <w:szCs w:val="22"/>
              </w:rPr>
              <w:t>copper</w:t>
            </w:r>
            <w:proofErr w:type="spellEnd"/>
            <w:r>
              <w:rPr>
                <w:sz w:val="22"/>
                <w:szCs w:val="22"/>
              </w:rPr>
              <w:t xml:space="preserve"> (RCP)</w:t>
            </w:r>
          </w:p>
        </w:tc>
        <w:tc>
          <w:tcPr>
            <w:tcW w:w="5762" w:type="dxa"/>
            <w:noWrap/>
          </w:tcPr>
          <w:p w14:paraId="569B65EC" w14:textId="77777777" w:rsidR="00BF608A" w:rsidRPr="00BF608A" w:rsidRDefault="00BF608A" w:rsidP="009A783A">
            <w:pPr>
              <w:tabs>
                <w:tab w:val="left" w:pos="0"/>
              </w:tabs>
              <w:ind w:hanging="18"/>
              <w:rPr>
                <w:sz w:val="22"/>
                <w:szCs w:val="22"/>
              </w:rPr>
            </w:pPr>
            <w:proofErr w:type="spellStart"/>
            <w:r w:rsidRPr="00BF608A">
              <w:rPr>
                <w:sz w:val="22"/>
                <w:szCs w:val="22"/>
              </w:rPr>
              <w:t>Recycling</w:t>
            </w:r>
            <w:proofErr w:type="spellEnd"/>
            <w:r w:rsidRPr="00BF608A">
              <w:rPr>
                <w:sz w:val="22"/>
                <w:szCs w:val="22"/>
              </w:rPr>
              <w:t xml:space="preserve"> </w:t>
            </w:r>
            <w:r>
              <w:rPr>
                <w:sz w:val="22"/>
                <w:szCs w:val="22"/>
              </w:rPr>
              <w:t>–</w:t>
            </w:r>
            <w:r w:rsidRPr="00BF608A">
              <w:rPr>
                <w:sz w:val="22"/>
                <w:szCs w:val="22"/>
              </w:rPr>
              <w:t xml:space="preserve"> </w:t>
            </w:r>
            <w:proofErr w:type="spellStart"/>
            <w:r w:rsidRPr="00BF608A">
              <w:rPr>
                <w:sz w:val="22"/>
                <w:szCs w:val="22"/>
              </w:rPr>
              <w:t>copper</w:t>
            </w:r>
            <w:proofErr w:type="spellEnd"/>
            <w:r>
              <w:rPr>
                <w:sz w:val="22"/>
                <w:szCs w:val="22"/>
              </w:rPr>
              <w:t xml:space="preserve"> (RCP)</w:t>
            </w:r>
          </w:p>
        </w:tc>
      </w:tr>
      <w:tr w:rsidR="00BF608A" w:rsidRPr="00171AF0" w14:paraId="0B75447F" w14:textId="77777777" w:rsidTr="00BF608A">
        <w:trPr>
          <w:trHeight w:val="300"/>
          <w:jc w:val="center"/>
        </w:trPr>
        <w:tc>
          <w:tcPr>
            <w:tcW w:w="538" w:type="dxa"/>
            <w:noWrap/>
          </w:tcPr>
          <w:p w14:paraId="3B5DDECE" w14:textId="77777777" w:rsidR="00BF608A" w:rsidRPr="00171AF0" w:rsidRDefault="00BF608A" w:rsidP="009A783A">
            <w:pPr>
              <w:tabs>
                <w:tab w:val="left" w:pos="0"/>
              </w:tabs>
              <w:spacing w:line="259" w:lineRule="auto"/>
              <w:ind w:firstLine="0"/>
              <w:rPr>
                <w:sz w:val="22"/>
                <w:szCs w:val="22"/>
              </w:rPr>
            </w:pPr>
            <w:r w:rsidRPr="00171AF0">
              <w:rPr>
                <w:sz w:val="22"/>
                <w:szCs w:val="22"/>
              </w:rPr>
              <w:t>24</w:t>
            </w:r>
          </w:p>
        </w:tc>
        <w:tc>
          <w:tcPr>
            <w:tcW w:w="3062" w:type="dxa"/>
            <w:noWrap/>
          </w:tcPr>
          <w:p w14:paraId="1B394C52" w14:textId="77777777" w:rsidR="00BF608A" w:rsidRPr="00BF608A" w:rsidRDefault="00BF608A" w:rsidP="009A783A">
            <w:pPr>
              <w:tabs>
                <w:tab w:val="left" w:pos="0"/>
              </w:tabs>
              <w:ind w:firstLine="0"/>
              <w:rPr>
                <w:sz w:val="22"/>
                <w:szCs w:val="22"/>
              </w:rPr>
            </w:pPr>
            <w:proofErr w:type="spellStart"/>
            <w:r w:rsidRPr="00BF608A">
              <w:rPr>
                <w:sz w:val="22"/>
                <w:szCs w:val="22"/>
              </w:rPr>
              <w:t>Other</w:t>
            </w:r>
            <w:proofErr w:type="spellEnd"/>
            <w:r w:rsidRPr="00BF608A">
              <w:rPr>
                <w:sz w:val="22"/>
                <w:szCs w:val="22"/>
              </w:rPr>
              <w:t xml:space="preserve"> </w:t>
            </w:r>
            <w:proofErr w:type="spellStart"/>
            <w:r w:rsidRPr="00BF608A">
              <w:rPr>
                <w:sz w:val="22"/>
                <w:szCs w:val="22"/>
              </w:rPr>
              <w:t>metals</w:t>
            </w:r>
            <w:proofErr w:type="spellEnd"/>
            <w:r w:rsidRPr="00BF608A">
              <w:rPr>
                <w:sz w:val="22"/>
                <w:szCs w:val="22"/>
              </w:rPr>
              <w:t xml:space="preserve"> </w:t>
            </w:r>
            <w:r>
              <w:rPr>
                <w:sz w:val="22"/>
                <w:szCs w:val="22"/>
              </w:rPr>
              <w:t>–</w:t>
            </w:r>
            <w:r w:rsidRPr="00BF608A">
              <w:rPr>
                <w:sz w:val="22"/>
                <w:szCs w:val="22"/>
              </w:rPr>
              <w:t xml:space="preserve"> </w:t>
            </w:r>
            <w:proofErr w:type="spellStart"/>
            <w:r w:rsidRPr="00BF608A">
              <w:rPr>
                <w:sz w:val="22"/>
                <w:szCs w:val="22"/>
              </w:rPr>
              <w:t>primary</w:t>
            </w:r>
            <w:proofErr w:type="spellEnd"/>
            <w:r>
              <w:rPr>
                <w:sz w:val="22"/>
                <w:szCs w:val="22"/>
              </w:rPr>
              <w:t xml:space="preserve"> (MPP)</w:t>
            </w:r>
          </w:p>
        </w:tc>
        <w:tc>
          <w:tcPr>
            <w:tcW w:w="5762" w:type="dxa"/>
            <w:noWrap/>
          </w:tcPr>
          <w:p w14:paraId="0031A435" w14:textId="77777777" w:rsidR="00BF608A" w:rsidRPr="00BF608A" w:rsidRDefault="00BF608A" w:rsidP="009A783A">
            <w:pPr>
              <w:tabs>
                <w:tab w:val="left" w:pos="0"/>
              </w:tabs>
              <w:ind w:hanging="18"/>
              <w:rPr>
                <w:sz w:val="22"/>
                <w:szCs w:val="22"/>
              </w:rPr>
            </w:pPr>
            <w:proofErr w:type="spellStart"/>
            <w:r w:rsidRPr="00BF608A">
              <w:rPr>
                <w:sz w:val="22"/>
                <w:szCs w:val="22"/>
              </w:rPr>
              <w:t>Other</w:t>
            </w:r>
            <w:proofErr w:type="spellEnd"/>
            <w:r w:rsidRPr="00BF608A">
              <w:rPr>
                <w:sz w:val="22"/>
                <w:szCs w:val="22"/>
              </w:rPr>
              <w:t xml:space="preserve"> </w:t>
            </w:r>
            <w:proofErr w:type="spellStart"/>
            <w:r w:rsidRPr="00BF608A">
              <w:rPr>
                <w:sz w:val="22"/>
                <w:szCs w:val="22"/>
              </w:rPr>
              <w:t>metals</w:t>
            </w:r>
            <w:proofErr w:type="spellEnd"/>
            <w:r w:rsidRPr="00BF608A">
              <w:rPr>
                <w:sz w:val="22"/>
                <w:szCs w:val="22"/>
              </w:rPr>
              <w:t xml:space="preserve"> </w:t>
            </w:r>
            <w:r>
              <w:rPr>
                <w:sz w:val="22"/>
                <w:szCs w:val="22"/>
              </w:rPr>
              <w:t>–</w:t>
            </w:r>
            <w:r w:rsidRPr="00BF608A">
              <w:rPr>
                <w:sz w:val="22"/>
                <w:szCs w:val="22"/>
              </w:rPr>
              <w:t xml:space="preserve"> </w:t>
            </w:r>
            <w:proofErr w:type="spellStart"/>
            <w:r w:rsidRPr="00BF608A">
              <w:rPr>
                <w:sz w:val="22"/>
                <w:szCs w:val="22"/>
              </w:rPr>
              <w:t>primary</w:t>
            </w:r>
            <w:proofErr w:type="spellEnd"/>
            <w:r>
              <w:rPr>
                <w:sz w:val="22"/>
                <w:szCs w:val="22"/>
              </w:rPr>
              <w:t xml:space="preserve"> (MPP)</w:t>
            </w:r>
          </w:p>
        </w:tc>
      </w:tr>
      <w:tr w:rsidR="00BF608A" w:rsidRPr="00171AF0" w14:paraId="5965EB17" w14:textId="77777777" w:rsidTr="00BF608A">
        <w:trPr>
          <w:cnfStyle w:val="000000100000" w:firstRow="0" w:lastRow="0" w:firstColumn="0" w:lastColumn="0" w:oddVBand="0" w:evenVBand="0" w:oddHBand="1" w:evenHBand="0" w:firstRowFirstColumn="0" w:firstRowLastColumn="0" w:lastRowFirstColumn="0" w:lastRowLastColumn="0"/>
          <w:trHeight w:val="300"/>
          <w:jc w:val="center"/>
        </w:trPr>
        <w:tc>
          <w:tcPr>
            <w:tcW w:w="538" w:type="dxa"/>
            <w:noWrap/>
          </w:tcPr>
          <w:p w14:paraId="2CD17B4E" w14:textId="77777777" w:rsidR="00BF608A" w:rsidRPr="00171AF0" w:rsidRDefault="00BF608A" w:rsidP="009A783A">
            <w:pPr>
              <w:tabs>
                <w:tab w:val="left" w:pos="0"/>
              </w:tabs>
              <w:spacing w:line="259" w:lineRule="auto"/>
              <w:ind w:firstLine="0"/>
              <w:rPr>
                <w:sz w:val="22"/>
                <w:szCs w:val="22"/>
              </w:rPr>
            </w:pPr>
            <w:r w:rsidRPr="00171AF0">
              <w:rPr>
                <w:sz w:val="22"/>
                <w:szCs w:val="22"/>
              </w:rPr>
              <w:t>25</w:t>
            </w:r>
          </w:p>
        </w:tc>
        <w:tc>
          <w:tcPr>
            <w:tcW w:w="3062" w:type="dxa"/>
            <w:noWrap/>
          </w:tcPr>
          <w:p w14:paraId="7B7425E8" w14:textId="77777777" w:rsidR="00BF608A" w:rsidRPr="00BF608A" w:rsidRDefault="00BF608A" w:rsidP="009A783A">
            <w:pPr>
              <w:tabs>
                <w:tab w:val="left" w:pos="0"/>
              </w:tabs>
              <w:ind w:firstLine="0"/>
              <w:rPr>
                <w:sz w:val="22"/>
                <w:szCs w:val="22"/>
              </w:rPr>
            </w:pPr>
            <w:proofErr w:type="spellStart"/>
            <w:r w:rsidRPr="00BF608A">
              <w:rPr>
                <w:sz w:val="22"/>
                <w:szCs w:val="22"/>
              </w:rPr>
              <w:t>Other</w:t>
            </w:r>
            <w:proofErr w:type="spellEnd"/>
            <w:r w:rsidRPr="00BF608A">
              <w:rPr>
                <w:sz w:val="22"/>
                <w:szCs w:val="22"/>
              </w:rPr>
              <w:t xml:space="preserve"> </w:t>
            </w:r>
            <w:proofErr w:type="spellStart"/>
            <w:r w:rsidRPr="00BF608A">
              <w:rPr>
                <w:sz w:val="22"/>
                <w:szCs w:val="22"/>
              </w:rPr>
              <w:t>metals</w:t>
            </w:r>
            <w:proofErr w:type="spellEnd"/>
            <w:r w:rsidRPr="00BF608A">
              <w:rPr>
                <w:sz w:val="22"/>
                <w:szCs w:val="22"/>
              </w:rPr>
              <w:t xml:space="preserve"> </w:t>
            </w:r>
            <w:r>
              <w:rPr>
                <w:sz w:val="22"/>
                <w:szCs w:val="22"/>
              </w:rPr>
              <w:t>–</w:t>
            </w:r>
            <w:r w:rsidRPr="00BF608A">
              <w:rPr>
                <w:sz w:val="22"/>
                <w:szCs w:val="22"/>
              </w:rPr>
              <w:t xml:space="preserve"> </w:t>
            </w:r>
            <w:proofErr w:type="spellStart"/>
            <w:r w:rsidRPr="00BF608A">
              <w:rPr>
                <w:sz w:val="22"/>
                <w:szCs w:val="22"/>
              </w:rPr>
              <w:t>secondary</w:t>
            </w:r>
            <w:proofErr w:type="spellEnd"/>
            <w:r>
              <w:rPr>
                <w:sz w:val="22"/>
                <w:szCs w:val="22"/>
              </w:rPr>
              <w:t xml:space="preserve"> (MPS)</w:t>
            </w:r>
          </w:p>
        </w:tc>
        <w:tc>
          <w:tcPr>
            <w:tcW w:w="5762" w:type="dxa"/>
            <w:noWrap/>
          </w:tcPr>
          <w:p w14:paraId="31DF2A48" w14:textId="77777777" w:rsidR="00BF608A" w:rsidRPr="00BF608A" w:rsidRDefault="00BF608A" w:rsidP="009A783A">
            <w:pPr>
              <w:tabs>
                <w:tab w:val="left" w:pos="0"/>
              </w:tabs>
              <w:ind w:hanging="18"/>
              <w:rPr>
                <w:sz w:val="22"/>
                <w:szCs w:val="22"/>
              </w:rPr>
            </w:pPr>
            <w:proofErr w:type="spellStart"/>
            <w:r w:rsidRPr="00BF608A">
              <w:rPr>
                <w:sz w:val="22"/>
                <w:szCs w:val="22"/>
              </w:rPr>
              <w:t>Other</w:t>
            </w:r>
            <w:proofErr w:type="spellEnd"/>
            <w:r w:rsidRPr="00BF608A">
              <w:rPr>
                <w:sz w:val="22"/>
                <w:szCs w:val="22"/>
              </w:rPr>
              <w:t xml:space="preserve"> </w:t>
            </w:r>
            <w:proofErr w:type="spellStart"/>
            <w:r w:rsidRPr="00BF608A">
              <w:rPr>
                <w:sz w:val="22"/>
                <w:szCs w:val="22"/>
              </w:rPr>
              <w:t>metals</w:t>
            </w:r>
            <w:proofErr w:type="spellEnd"/>
            <w:r w:rsidRPr="00BF608A">
              <w:rPr>
                <w:sz w:val="22"/>
                <w:szCs w:val="22"/>
              </w:rPr>
              <w:t xml:space="preserve"> </w:t>
            </w:r>
            <w:r>
              <w:rPr>
                <w:sz w:val="22"/>
                <w:szCs w:val="22"/>
              </w:rPr>
              <w:t>–</w:t>
            </w:r>
            <w:r w:rsidRPr="00BF608A">
              <w:rPr>
                <w:sz w:val="22"/>
                <w:szCs w:val="22"/>
              </w:rPr>
              <w:t xml:space="preserve"> </w:t>
            </w:r>
            <w:proofErr w:type="spellStart"/>
            <w:r w:rsidRPr="00BF608A">
              <w:rPr>
                <w:sz w:val="22"/>
                <w:szCs w:val="22"/>
              </w:rPr>
              <w:t>secondary</w:t>
            </w:r>
            <w:proofErr w:type="spellEnd"/>
            <w:r>
              <w:rPr>
                <w:sz w:val="22"/>
                <w:szCs w:val="22"/>
              </w:rPr>
              <w:t xml:space="preserve"> (MPS)</w:t>
            </w:r>
          </w:p>
        </w:tc>
      </w:tr>
      <w:tr w:rsidR="00BF608A" w:rsidRPr="00171AF0" w14:paraId="0627E1FA" w14:textId="77777777" w:rsidTr="00BF608A">
        <w:trPr>
          <w:trHeight w:val="300"/>
          <w:jc w:val="center"/>
        </w:trPr>
        <w:tc>
          <w:tcPr>
            <w:tcW w:w="538" w:type="dxa"/>
            <w:noWrap/>
          </w:tcPr>
          <w:p w14:paraId="35F8B084" w14:textId="77777777" w:rsidR="00BF608A" w:rsidRPr="00171AF0" w:rsidRDefault="00BF608A" w:rsidP="009A783A">
            <w:pPr>
              <w:tabs>
                <w:tab w:val="left" w:pos="0"/>
              </w:tabs>
              <w:spacing w:line="259" w:lineRule="auto"/>
              <w:ind w:firstLine="0"/>
              <w:rPr>
                <w:sz w:val="22"/>
                <w:szCs w:val="22"/>
              </w:rPr>
            </w:pPr>
            <w:r w:rsidRPr="00171AF0">
              <w:rPr>
                <w:sz w:val="22"/>
                <w:szCs w:val="22"/>
              </w:rPr>
              <w:t>26</w:t>
            </w:r>
          </w:p>
        </w:tc>
        <w:tc>
          <w:tcPr>
            <w:tcW w:w="3062" w:type="dxa"/>
            <w:noWrap/>
          </w:tcPr>
          <w:p w14:paraId="209885A8" w14:textId="77777777" w:rsidR="00BF608A" w:rsidRPr="00BF608A" w:rsidRDefault="00BF608A" w:rsidP="009A783A">
            <w:pPr>
              <w:tabs>
                <w:tab w:val="left" w:pos="0"/>
              </w:tabs>
              <w:ind w:firstLine="0"/>
              <w:rPr>
                <w:sz w:val="22"/>
                <w:szCs w:val="22"/>
              </w:rPr>
            </w:pPr>
            <w:proofErr w:type="spellStart"/>
            <w:r w:rsidRPr="00BF608A">
              <w:rPr>
                <w:sz w:val="22"/>
                <w:szCs w:val="22"/>
              </w:rPr>
              <w:t>Recycling</w:t>
            </w:r>
            <w:proofErr w:type="spellEnd"/>
            <w:r w:rsidRPr="00BF608A">
              <w:rPr>
                <w:sz w:val="22"/>
                <w:szCs w:val="22"/>
              </w:rPr>
              <w:t xml:space="preserve"> </w:t>
            </w:r>
            <w:proofErr w:type="spellStart"/>
            <w:r w:rsidRPr="00BF608A">
              <w:rPr>
                <w:sz w:val="22"/>
                <w:szCs w:val="22"/>
              </w:rPr>
              <w:t>other</w:t>
            </w:r>
            <w:proofErr w:type="spellEnd"/>
            <w:r w:rsidRPr="00BF608A">
              <w:rPr>
                <w:sz w:val="22"/>
                <w:szCs w:val="22"/>
              </w:rPr>
              <w:t xml:space="preserve"> </w:t>
            </w:r>
            <w:proofErr w:type="spellStart"/>
            <w:r w:rsidRPr="00BF608A">
              <w:rPr>
                <w:sz w:val="22"/>
                <w:szCs w:val="22"/>
              </w:rPr>
              <w:t>metals</w:t>
            </w:r>
            <w:proofErr w:type="spellEnd"/>
            <w:r>
              <w:rPr>
                <w:sz w:val="22"/>
                <w:szCs w:val="22"/>
              </w:rPr>
              <w:t xml:space="preserve"> (ROM)</w:t>
            </w:r>
          </w:p>
        </w:tc>
        <w:tc>
          <w:tcPr>
            <w:tcW w:w="5762" w:type="dxa"/>
            <w:noWrap/>
          </w:tcPr>
          <w:p w14:paraId="164C3F5F" w14:textId="77777777" w:rsidR="00BF608A" w:rsidRPr="00BF608A" w:rsidRDefault="00BF608A" w:rsidP="009A783A">
            <w:pPr>
              <w:tabs>
                <w:tab w:val="left" w:pos="0"/>
              </w:tabs>
              <w:ind w:hanging="18"/>
              <w:rPr>
                <w:sz w:val="22"/>
                <w:szCs w:val="22"/>
              </w:rPr>
            </w:pPr>
            <w:proofErr w:type="spellStart"/>
            <w:r w:rsidRPr="00BF608A">
              <w:rPr>
                <w:sz w:val="22"/>
                <w:szCs w:val="22"/>
              </w:rPr>
              <w:t>Recycling</w:t>
            </w:r>
            <w:proofErr w:type="spellEnd"/>
            <w:r w:rsidRPr="00BF608A">
              <w:rPr>
                <w:sz w:val="22"/>
                <w:szCs w:val="22"/>
              </w:rPr>
              <w:t xml:space="preserve"> </w:t>
            </w:r>
            <w:proofErr w:type="spellStart"/>
            <w:r w:rsidRPr="00BF608A">
              <w:rPr>
                <w:sz w:val="22"/>
                <w:szCs w:val="22"/>
              </w:rPr>
              <w:t>other</w:t>
            </w:r>
            <w:proofErr w:type="spellEnd"/>
            <w:r w:rsidRPr="00BF608A">
              <w:rPr>
                <w:sz w:val="22"/>
                <w:szCs w:val="22"/>
              </w:rPr>
              <w:t xml:space="preserve"> </w:t>
            </w:r>
            <w:proofErr w:type="spellStart"/>
            <w:r w:rsidRPr="00BF608A">
              <w:rPr>
                <w:sz w:val="22"/>
                <w:szCs w:val="22"/>
              </w:rPr>
              <w:t>metals</w:t>
            </w:r>
            <w:proofErr w:type="spellEnd"/>
            <w:r>
              <w:rPr>
                <w:sz w:val="22"/>
                <w:szCs w:val="22"/>
              </w:rPr>
              <w:t xml:space="preserve"> (ROM)</w:t>
            </w:r>
          </w:p>
        </w:tc>
      </w:tr>
      <w:tr w:rsidR="00BF608A" w:rsidRPr="00171AF0" w14:paraId="70839C0C" w14:textId="77777777" w:rsidTr="00BF608A">
        <w:trPr>
          <w:cnfStyle w:val="000000100000" w:firstRow="0" w:lastRow="0" w:firstColumn="0" w:lastColumn="0" w:oddVBand="0" w:evenVBand="0" w:oddHBand="1" w:evenHBand="0" w:firstRowFirstColumn="0" w:firstRowLastColumn="0" w:lastRowFirstColumn="0" w:lastRowLastColumn="0"/>
          <w:trHeight w:val="300"/>
          <w:jc w:val="center"/>
        </w:trPr>
        <w:tc>
          <w:tcPr>
            <w:tcW w:w="538" w:type="dxa"/>
            <w:noWrap/>
          </w:tcPr>
          <w:p w14:paraId="4314EBB8" w14:textId="77777777" w:rsidR="00BF608A" w:rsidRPr="00171AF0" w:rsidRDefault="00BF608A" w:rsidP="009A783A">
            <w:pPr>
              <w:tabs>
                <w:tab w:val="left" w:pos="0"/>
              </w:tabs>
              <w:ind w:firstLine="0"/>
              <w:rPr>
                <w:sz w:val="22"/>
                <w:szCs w:val="22"/>
              </w:rPr>
            </w:pPr>
            <w:r w:rsidRPr="00171AF0">
              <w:rPr>
                <w:sz w:val="22"/>
                <w:szCs w:val="22"/>
              </w:rPr>
              <w:t>27</w:t>
            </w:r>
          </w:p>
        </w:tc>
        <w:tc>
          <w:tcPr>
            <w:tcW w:w="3062" w:type="dxa"/>
            <w:noWrap/>
          </w:tcPr>
          <w:p w14:paraId="14A3B8A7" w14:textId="77777777" w:rsidR="00BF608A" w:rsidRPr="00BF608A" w:rsidRDefault="00BF608A" w:rsidP="009A783A">
            <w:pPr>
              <w:tabs>
                <w:tab w:val="left" w:pos="0"/>
              </w:tabs>
              <w:ind w:firstLine="0"/>
              <w:rPr>
                <w:sz w:val="22"/>
                <w:szCs w:val="22"/>
              </w:rPr>
            </w:pPr>
            <w:proofErr w:type="spellStart"/>
            <w:r w:rsidRPr="00BF608A">
              <w:rPr>
                <w:sz w:val="22"/>
                <w:szCs w:val="22"/>
              </w:rPr>
              <w:t>Metals</w:t>
            </w:r>
            <w:proofErr w:type="spellEnd"/>
            <w:r w:rsidRPr="00BF608A">
              <w:rPr>
                <w:sz w:val="22"/>
                <w:szCs w:val="22"/>
              </w:rPr>
              <w:t xml:space="preserve"> casting</w:t>
            </w:r>
            <w:r>
              <w:rPr>
                <w:sz w:val="22"/>
                <w:szCs w:val="22"/>
              </w:rPr>
              <w:t xml:space="preserve"> (MEC)</w:t>
            </w:r>
          </w:p>
        </w:tc>
        <w:tc>
          <w:tcPr>
            <w:tcW w:w="5762" w:type="dxa"/>
            <w:noWrap/>
          </w:tcPr>
          <w:p w14:paraId="67EFAB18" w14:textId="77777777" w:rsidR="00BF608A" w:rsidRPr="00BF608A" w:rsidRDefault="00BF608A" w:rsidP="009A783A">
            <w:pPr>
              <w:tabs>
                <w:tab w:val="left" w:pos="0"/>
              </w:tabs>
              <w:ind w:hanging="18"/>
              <w:rPr>
                <w:sz w:val="22"/>
                <w:szCs w:val="22"/>
              </w:rPr>
            </w:pPr>
            <w:proofErr w:type="spellStart"/>
            <w:r w:rsidRPr="00BF608A">
              <w:rPr>
                <w:sz w:val="22"/>
                <w:szCs w:val="22"/>
              </w:rPr>
              <w:t>Metals</w:t>
            </w:r>
            <w:proofErr w:type="spellEnd"/>
            <w:r w:rsidRPr="00BF608A">
              <w:rPr>
                <w:sz w:val="22"/>
                <w:szCs w:val="22"/>
              </w:rPr>
              <w:t xml:space="preserve"> casting</w:t>
            </w:r>
            <w:r>
              <w:rPr>
                <w:sz w:val="22"/>
                <w:szCs w:val="22"/>
              </w:rPr>
              <w:t xml:space="preserve"> (MEC)</w:t>
            </w:r>
          </w:p>
        </w:tc>
      </w:tr>
      <w:tr w:rsidR="00CE23E1" w:rsidRPr="00171AF0" w14:paraId="493148E3" w14:textId="77777777" w:rsidTr="00BF608A">
        <w:trPr>
          <w:trHeight w:val="300"/>
          <w:jc w:val="center"/>
        </w:trPr>
        <w:tc>
          <w:tcPr>
            <w:tcW w:w="538" w:type="dxa"/>
            <w:noWrap/>
          </w:tcPr>
          <w:p w14:paraId="04065A85" w14:textId="77777777" w:rsidR="00CE23E1" w:rsidRPr="00171AF0" w:rsidRDefault="00CE23E1" w:rsidP="009A783A">
            <w:pPr>
              <w:tabs>
                <w:tab w:val="left" w:pos="0"/>
              </w:tabs>
              <w:spacing w:line="259" w:lineRule="auto"/>
              <w:ind w:firstLine="0"/>
              <w:rPr>
                <w:sz w:val="22"/>
                <w:szCs w:val="22"/>
              </w:rPr>
            </w:pPr>
            <w:r>
              <w:rPr>
                <w:sz w:val="22"/>
                <w:szCs w:val="22"/>
              </w:rPr>
              <w:t>28</w:t>
            </w:r>
          </w:p>
        </w:tc>
        <w:tc>
          <w:tcPr>
            <w:tcW w:w="3062" w:type="dxa"/>
            <w:noWrap/>
          </w:tcPr>
          <w:p w14:paraId="02CB51FF" w14:textId="77777777" w:rsidR="00CE23E1" w:rsidRPr="00171AF0" w:rsidRDefault="00CE23E1" w:rsidP="009A783A">
            <w:pPr>
              <w:tabs>
                <w:tab w:val="left" w:pos="0"/>
              </w:tabs>
              <w:spacing w:line="259" w:lineRule="auto"/>
              <w:ind w:firstLine="0"/>
              <w:rPr>
                <w:sz w:val="22"/>
                <w:szCs w:val="22"/>
              </w:rPr>
            </w:pPr>
            <w:proofErr w:type="spellStart"/>
            <w:r w:rsidRPr="00171AF0">
              <w:rPr>
                <w:sz w:val="22"/>
                <w:szCs w:val="22"/>
              </w:rPr>
              <w:t>Oth</w:t>
            </w:r>
            <w:proofErr w:type="spellEnd"/>
            <w:r w:rsidRPr="00171AF0">
              <w:rPr>
                <w:sz w:val="22"/>
                <w:szCs w:val="22"/>
              </w:rPr>
              <w:t xml:space="preserve"> manu (XMF)</w:t>
            </w:r>
          </w:p>
        </w:tc>
        <w:tc>
          <w:tcPr>
            <w:tcW w:w="5762" w:type="dxa"/>
            <w:noWrap/>
          </w:tcPr>
          <w:p w14:paraId="4D156785" w14:textId="77777777" w:rsidR="00CE23E1" w:rsidRPr="00E6572B" w:rsidRDefault="00CE23E1" w:rsidP="009A783A">
            <w:pPr>
              <w:tabs>
                <w:tab w:val="left" w:pos="0"/>
              </w:tabs>
              <w:spacing w:line="259" w:lineRule="auto"/>
              <w:ind w:hanging="18"/>
              <w:rPr>
                <w:sz w:val="22"/>
                <w:szCs w:val="22"/>
                <w:lang w:val="en-US"/>
              </w:rPr>
            </w:pPr>
            <w:r w:rsidRPr="00E6572B">
              <w:rPr>
                <w:sz w:val="22"/>
                <w:szCs w:val="22"/>
                <w:lang w:val="en-US"/>
              </w:rPr>
              <w:t xml:space="preserve">Textiles (TEX), Wearing apparel (WAP), Leather products (LEA), Wood products (LUM), Metal products (FMP), Computer, electronic and optical products (ELE), Electrical equipment (EEQ), Machinery and equipment </w:t>
            </w:r>
            <w:proofErr w:type="spellStart"/>
            <w:r w:rsidRPr="00E6572B">
              <w:rPr>
                <w:sz w:val="22"/>
                <w:szCs w:val="22"/>
                <w:lang w:val="en-US"/>
              </w:rPr>
              <w:t>nec</w:t>
            </w:r>
            <w:proofErr w:type="spellEnd"/>
            <w:r w:rsidRPr="00E6572B">
              <w:rPr>
                <w:sz w:val="22"/>
                <w:szCs w:val="22"/>
                <w:lang w:val="en-US"/>
              </w:rPr>
              <w:t xml:space="preserve"> (OME), Motor vehicles and parts (MVH), Transport equipment </w:t>
            </w:r>
            <w:proofErr w:type="spellStart"/>
            <w:r w:rsidRPr="00E6572B">
              <w:rPr>
                <w:sz w:val="22"/>
                <w:szCs w:val="22"/>
                <w:lang w:val="en-US"/>
              </w:rPr>
              <w:t>nec</w:t>
            </w:r>
            <w:proofErr w:type="spellEnd"/>
            <w:r w:rsidRPr="00E6572B">
              <w:rPr>
                <w:sz w:val="22"/>
                <w:szCs w:val="22"/>
                <w:lang w:val="en-US"/>
              </w:rPr>
              <w:t xml:space="preserve"> (OTN), Manufactures </w:t>
            </w:r>
            <w:proofErr w:type="spellStart"/>
            <w:r w:rsidRPr="00E6572B">
              <w:rPr>
                <w:sz w:val="22"/>
                <w:szCs w:val="22"/>
                <w:lang w:val="en-US"/>
              </w:rPr>
              <w:t>nec</w:t>
            </w:r>
            <w:proofErr w:type="spellEnd"/>
            <w:r w:rsidRPr="00E6572B">
              <w:rPr>
                <w:sz w:val="22"/>
                <w:szCs w:val="22"/>
                <w:lang w:val="en-US"/>
              </w:rPr>
              <w:t xml:space="preserve"> (OMF)</w:t>
            </w:r>
          </w:p>
        </w:tc>
      </w:tr>
      <w:tr w:rsidR="00CE23E1" w:rsidRPr="00171AF0" w14:paraId="5CCC689C" w14:textId="77777777" w:rsidTr="00BF608A">
        <w:trPr>
          <w:cnfStyle w:val="000000100000" w:firstRow="0" w:lastRow="0" w:firstColumn="0" w:lastColumn="0" w:oddVBand="0" w:evenVBand="0" w:oddHBand="1" w:evenHBand="0" w:firstRowFirstColumn="0" w:firstRowLastColumn="0" w:lastRowFirstColumn="0" w:lastRowLastColumn="0"/>
          <w:trHeight w:val="300"/>
          <w:jc w:val="center"/>
        </w:trPr>
        <w:tc>
          <w:tcPr>
            <w:tcW w:w="538" w:type="dxa"/>
            <w:noWrap/>
          </w:tcPr>
          <w:p w14:paraId="02C608B5" w14:textId="77777777" w:rsidR="00CE23E1" w:rsidRPr="00171AF0" w:rsidRDefault="00CE23E1" w:rsidP="009A783A">
            <w:pPr>
              <w:tabs>
                <w:tab w:val="left" w:pos="0"/>
              </w:tabs>
              <w:spacing w:line="259" w:lineRule="auto"/>
              <w:ind w:firstLine="0"/>
              <w:rPr>
                <w:sz w:val="22"/>
                <w:szCs w:val="22"/>
              </w:rPr>
            </w:pPr>
            <w:r>
              <w:rPr>
                <w:sz w:val="22"/>
                <w:szCs w:val="22"/>
              </w:rPr>
              <w:t>29</w:t>
            </w:r>
          </w:p>
        </w:tc>
        <w:tc>
          <w:tcPr>
            <w:tcW w:w="3062" w:type="dxa"/>
            <w:noWrap/>
          </w:tcPr>
          <w:p w14:paraId="0248ABE0" w14:textId="77777777" w:rsidR="00CE23E1" w:rsidRPr="00E6572B" w:rsidRDefault="00CE23E1" w:rsidP="009A783A">
            <w:pPr>
              <w:tabs>
                <w:tab w:val="left" w:pos="0"/>
              </w:tabs>
              <w:spacing w:line="259" w:lineRule="auto"/>
              <w:ind w:firstLine="0"/>
              <w:rPr>
                <w:sz w:val="22"/>
                <w:szCs w:val="22"/>
                <w:lang w:val="en-US"/>
              </w:rPr>
            </w:pPr>
            <w:r w:rsidRPr="00E6572B">
              <w:rPr>
                <w:sz w:val="22"/>
                <w:szCs w:val="22"/>
                <w:lang w:val="en-US"/>
              </w:rPr>
              <w:t xml:space="preserve">Electricity </w:t>
            </w:r>
            <w:proofErr w:type="spellStart"/>
            <w:r w:rsidRPr="00E6572B">
              <w:rPr>
                <w:sz w:val="22"/>
                <w:szCs w:val="22"/>
                <w:lang w:val="en-US"/>
              </w:rPr>
              <w:t>transmisison</w:t>
            </w:r>
            <w:proofErr w:type="spellEnd"/>
            <w:r w:rsidRPr="00E6572B">
              <w:rPr>
                <w:sz w:val="22"/>
                <w:szCs w:val="22"/>
                <w:lang w:val="en-US"/>
              </w:rPr>
              <w:t xml:space="preserve"> and </w:t>
            </w:r>
            <w:proofErr w:type="spellStart"/>
            <w:r w:rsidRPr="00E6572B">
              <w:rPr>
                <w:sz w:val="22"/>
                <w:szCs w:val="22"/>
                <w:lang w:val="en-US"/>
              </w:rPr>
              <w:t>distri</w:t>
            </w:r>
            <w:proofErr w:type="spellEnd"/>
            <w:r w:rsidRPr="00E6572B">
              <w:rPr>
                <w:sz w:val="22"/>
                <w:szCs w:val="22"/>
                <w:lang w:val="en-US"/>
              </w:rPr>
              <w:t xml:space="preserve"> (ETD)</w:t>
            </w:r>
          </w:p>
        </w:tc>
        <w:tc>
          <w:tcPr>
            <w:tcW w:w="5762" w:type="dxa"/>
            <w:noWrap/>
          </w:tcPr>
          <w:p w14:paraId="38F6529F" w14:textId="77777777" w:rsidR="00CE23E1" w:rsidRPr="00E6572B" w:rsidRDefault="00CE23E1" w:rsidP="009A783A">
            <w:pPr>
              <w:tabs>
                <w:tab w:val="left" w:pos="0"/>
              </w:tabs>
              <w:spacing w:line="259" w:lineRule="auto"/>
              <w:ind w:hanging="18"/>
              <w:rPr>
                <w:sz w:val="22"/>
                <w:szCs w:val="22"/>
                <w:lang w:val="en-US"/>
              </w:rPr>
            </w:pPr>
            <w:r w:rsidRPr="00E6572B">
              <w:rPr>
                <w:sz w:val="22"/>
                <w:szCs w:val="22"/>
                <w:lang w:val="en-US"/>
              </w:rPr>
              <w:t>Electricity transmission and distribution (</w:t>
            </w:r>
            <w:proofErr w:type="spellStart"/>
            <w:r w:rsidRPr="00E6572B">
              <w:rPr>
                <w:sz w:val="22"/>
                <w:szCs w:val="22"/>
                <w:lang w:val="en-US"/>
              </w:rPr>
              <w:t>TnD</w:t>
            </w:r>
            <w:proofErr w:type="spellEnd"/>
            <w:r w:rsidRPr="00E6572B">
              <w:rPr>
                <w:sz w:val="22"/>
                <w:szCs w:val="22"/>
                <w:lang w:val="en-US"/>
              </w:rPr>
              <w:t>)</w:t>
            </w:r>
          </w:p>
        </w:tc>
      </w:tr>
      <w:tr w:rsidR="00CE23E1" w:rsidRPr="00171AF0" w14:paraId="40F04B20" w14:textId="77777777" w:rsidTr="00BF608A">
        <w:trPr>
          <w:trHeight w:val="300"/>
          <w:jc w:val="center"/>
        </w:trPr>
        <w:tc>
          <w:tcPr>
            <w:tcW w:w="538" w:type="dxa"/>
            <w:noWrap/>
          </w:tcPr>
          <w:p w14:paraId="28D60C7A" w14:textId="77777777" w:rsidR="00CE23E1" w:rsidRPr="00171AF0" w:rsidRDefault="00CE23E1" w:rsidP="009A783A">
            <w:pPr>
              <w:tabs>
                <w:tab w:val="left" w:pos="0"/>
              </w:tabs>
              <w:spacing w:line="259" w:lineRule="auto"/>
              <w:ind w:firstLine="0"/>
              <w:rPr>
                <w:sz w:val="22"/>
                <w:szCs w:val="22"/>
              </w:rPr>
            </w:pPr>
            <w:r>
              <w:rPr>
                <w:sz w:val="22"/>
                <w:szCs w:val="22"/>
              </w:rPr>
              <w:t>30</w:t>
            </w:r>
          </w:p>
        </w:tc>
        <w:tc>
          <w:tcPr>
            <w:tcW w:w="3062" w:type="dxa"/>
            <w:noWrap/>
          </w:tcPr>
          <w:p w14:paraId="36A97C10" w14:textId="77777777" w:rsidR="00CE23E1" w:rsidRPr="00171AF0" w:rsidRDefault="00CE23E1" w:rsidP="009A783A">
            <w:pPr>
              <w:tabs>
                <w:tab w:val="left" w:pos="0"/>
              </w:tabs>
              <w:spacing w:line="259" w:lineRule="auto"/>
              <w:ind w:firstLine="0"/>
              <w:rPr>
                <w:sz w:val="22"/>
                <w:szCs w:val="22"/>
              </w:rPr>
            </w:pPr>
            <w:proofErr w:type="spellStart"/>
            <w:r w:rsidRPr="00171AF0">
              <w:rPr>
                <w:sz w:val="22"/>
                <w:szCs w:val="22"/>
              </w:rPr>
              <w:t>Nuclear</w:t>
            </w:r>
            <w:proofErr w:type="spellEnd"/>
            <w:r>
              <w:rPr>
                <w:sz w:val="22"/>
                <w:szCs w:val="22"/>
              </w:rPr>
              <w:t xml:space="preserve"> power</w:t>
            </w:r>
            <w:r w:rsidRPr="00171AF0">
              <w:rPr>
                <w:sz w:val="22"/>
                <w:szCs w:val="22"/>
              </w:rPr>
              <w:t xml:space="preserve"> (NUC)</w:t>
            </w:r>
          </w:p>
        </w:tc>
        <w:tc>
          <w:tcPr>
            <w:tcW w:w="5762" w:type="dxa"/>
            <w:noWrap/>
          </w:tcPr>
          <w:p w14:paraId="1F094031" w14:textId="77777777" w:rsidR="00CE23E1" w:rsidRPr="00171AF0" w:rsidRDefault="00CE23E1" w:rsidP="009A783A">
            <w:pPr>
              <w:tabs>
                <w:tab w:val="left" w:pos="0"/>
              </w:tabs>
              <w:spacing w:line="259" w:lineRule="auto"/>
              <w:ind w:hanging="18"/>
              <w:rPr>
                <w:sz w:val="22"/>
                <w:szCs w:val="22"/>
              </w:rPr>
            </w:pPr>
            <w:proofErr w:type="spellStart"/>
            <w:r w:rsidRPr="00171AF0">
              <w:rPr>
                <w:sz w:val="22"/>
                <w:szCs w:val="22"/>
              </w:rPr>
              <w:t>Nuclear</w:t>
            </w:r>
            <w:proofErr w:type="spellEnd"/>
            <w:r w:rsidRPr="00171AF0">
              <w:rPr>
                <w:sz w:val="22"/>
                <w:szCs w:val="22"/>
              </w:rPr>
              <w:t xml:space="preserve"> power (</w:t>
            </w:r>
            <w:proofErr w:type="spellStart"/>
            <w:r w:rsidRPr="00171AF0">
              <w:rPr>
                <w:sz w:val="22"/>
                <w:szCs w:val="22"/>
              </w:rPr>
              <w:t>NuclearBL</w:t>
            </w:r>
            <w:proofErr w:type="spellEnd"/>
            <w:r w:rsidRPr="00171AF0">
              <w:rPr>
                <w:sz w:val="22"/>
                <w:szCs w:val="22"/>
              </w:rPr>
              <w:t>)</w:t>
            </w:r>
          </w:p>
        </w:tc>
      </w:tr>
      <w:tr w:rsidR="00CE23E1" w:rsidRPr="00171AF0" w14:paraId="79E9A5EC" w14:textId="77777777" w:rsidTr="00BF608A">
        <w:trPr>
          <w:cnfStyle w:val="000000100000" w:firstRow="0" w:lastRow="0" w:firstColumn="0" w:lastColumn="0" w:oddVBand="0" w:evenVBand="0" w:oddHBand="1" w:evenHBand="0" w:firstRowFirstColumn="0" w:firstRowLastColumn="0" w:lastRowFirstColumn="0" w:lastRowLastColumn="0"/>
          <w:trHeight w:val="300"/>
          <w:jc w:val="center"/>
        </w:trPr>
        <w:tc>
          <w:tcPr>
            <w:tcW w:w="538" w:type="dxa"/>
            <w:noWrap/>
          </w:tcPr>
          <w:p w14:paraId="5D7EF4B9" w14:textId="77777777" w:rsidR="00CE23E1" w:rsidRPr="00171AF0" w:rsidRDefault="00CE23E1" w:rsidP="009A783A">
            <w:pPr>
              <w:tabs>
                <w:tab w:val="left" w:pos="0"/>
              </w:tabs>
              <w:spacing w:line="259" w:lineRule="auto"/>
              <w:ind w:firstLine="0"/>
              <w:rPr>
                <w:sz w:val="22"/>
                <w:szCs w:val="22"/>
              </w:rPr>
            </w:pPr>
            <w:r>
              <w:rPr>
                <w:sz w:val="22"/>
                <w:szCs w:val="22"/>
              </w:rPr>
              <w:t>31</w:t>
            </w:r>
          </w:p>
        </w:tc>
        <w:tc>
          <w:tcPr>
            <w:tcW w:w="3062" w:type="dxa"/>
            <w:noWrap/>
          </w:tcPr>
          <w:p w14:paraId="6A7F3ED6" w14:textId="77777777" w:rsidR="00CE23E1" w:rsidRPr="00171AF0" w:rsidRDefault="00CE23E1" w:rsidP="009A783A">
            <w:pPr>
              <w:tabs>
                <w:tab w:val="left" w:pos="0"/>
              </w:tabs>
              <w:spacing w:line="259" w:lineRule="auto"/>
              <w:ind w:firstLine="0"/>
              <w:rPr>
                <w:sz w:val="22"/>
                <w:szCs w:val="22"/>
              </w:rPr>
            </w:pPr>
            <w:r w:rsidRPr="00171AF0">
              <w:rPr>
                <w:sz w:val="22"/>
                <w:szCs w:val="22"/>
              </w:rPr>
              <w:t>Coal power (CLP)</w:t>
            </w:r>
          </w:p>
        </w:tc>
        <w:tc>
          <w:tcPr>
            <w:tcW w:w="5762" w:type="dxa"/>
            <w:noWrap/>
          </w:tcPr>
          <w:p w14:paraId="2E9A8B95" w14:textId="77777777" w:rsidR="00CE23E1" w:rsidRPr="00171AF0" w:rsidRDefault="00CE23E1" w:rsidP="009A783A">
            <w:pPr>
              <w:tabs>
                <w:tab w:val="left" w:pos="0"/>
              </w:tabs>
              <w:spacing w:line="259" w:lineRule="auto"/>
              <w:ind w:hanging="18"/>
              <w:rPr>
                <w:sz w:val="22"/>
                <w:szCs w:val="22"/>
              </w:rPr>
            </w:pPr>
            <w:r w:rsidRPr="00171AF0">
              <w:rPr>
                <w:sz w:val="22"/>
                <w:szCs w:val="22"/>
              </w:rPr>
              <w:t xml:space="preserve">Coal power </w:t>
            </w:r>
            <w:proofErr w:type="spellStart"/>
            <w:r w:rsidRPr="00171AF0">
              <w:rPr>
                <w:sz w:val="22"/>
                <w:szCs w:val="22"/>
              </w:rPr>
              <w:t>baseload</w:t>
            </w:r>
            <w:proofErr w:type="spellEnd"/>
            <w:r w:rsidRPr="00171AF0">
              <w:rPr>
                <w:sz w:val="22"/>
                <w:szCs w:val="22"/>
              </w:rPr>
              <w:t xml:space="preserve"> (</w:t>
            </w:r>
            <w:proofErr w:type="spellStart"/>
            <w:r w:rsidRPr="00171AF0">
              <w:rPr>
                <w:sz w:val="22"/>
                <w:szCs w:val="22"/>
              </w:rPr>
              <w:t>CoalBL</w:t>
            </w:r>
            <w:proofErr w:type="spellEnd"/>
            <w:r w:rsidRPr="00171AF0">
              <w:rPr>
                <w:sz w:val="22"/>
                <w:szCs w:val="22"/>
              </w:rPr>
              <w:t>)</w:t>
            </w:r>
          </w:p>
        </w:tc>
      </w:tr>
      <w:tr w:rsidR="00CE23E1" w:rsidRPr="00171AF0" w14:paraId="18A338A2" w14:textId="77777777" w:rsidTr="00BF608A">
        <w:trPr>
          <w:trHeight w:val="300"/>
          <w:jc w:val="center"/>
        </w:trPr>
        <w:tc>
          <w:tcPr>
            <w:tcW w:w="538" w:type="dxa"/>
            <w:noWrap/>
          </w:tcPr>
          <w:p w14:paraId="138F43ED" w14:textId="77777777" w:rsidR="00CE23E1" w:rsidRPr="00171AF0" w:rsidRDefault="00CE23E1" w:rsidP="009A783A">
            <w:pPr>
              <w:tabs>
                <w:tab w:val="left" w:pos="0"/>
              </w:tabs>
              <w:ind w:firstLine="0"/>
            </w:pPr>
            <w:r>
              <w:t>32</w:t>
            </w:r>
          </w:p>
        </w:tc>
        <w:tc>
          <w:tcPr>
            <w:tcW w:w="3062" w:type="dxa"/>
            <w:noWrap/>
          </w:tcPr>
          <w:p w14:paraId="7A2D91DE" w14:textId="77777777" w:rsidR="00CE23E1" w:rsidRPr="00E6572B" w:rsidRDefault="00CE23E1" w:rsidP="009A783A">
            <w:pPr>
              <w:tabs>
                <w:tab w:val="left" w:pos="0"/>
              </w:tabs>
              <w:spacing w:line="259" w:lineRule="auto"/>
              <w:ind w:firstLine="0"/>
              <w:rPr>
                <w:sz w:val="22"/>
                <w:szCs w:val="22"/>
                <w:lang w:val="en-US"/>
              </w:rPr>
            </w:pPr>
            <w:r w:rsidRPr="00E6572B">
              <w:rPr>
                <w:sz w:val="22"/>
                <w:szCs w:val="22"/>
                <w:lang w:val="en-US"/>
              </w:rPr>
              <w:t>Gas and oil power (GOP)</w:t>
            </w:r>
          </w:p>
        </w:tc>
        <w:tc>
          <w:tcPr>
            <w:tcW w:w="5762" w:type="dxa"/>
            <w:noWrap/>
          </w:tcPr>
          <w:p w14:paraId="4141E962" w14:textId="77777777" w:rsidR="00CE23E1" w:rsidRPr="00E6572B" w:rsidRDefault="00CE23E1" w:rsidP="009A783A">
            <w:pPr>
              <w:tabs>
                <w:tab w:val="left" w:pos="0"/>
              </w:tabs>
              <w:spacing w:line="259" w:lineRule="auto"/>
              <w:ind w:hanging="18"/>
              <w:rPr>
                <w:sz w:val="22"/>
                <w:szCs w:val="22"/>
                <w:lang w:val="en-US"/>
              </w:rPr>
            </w:pPr>
            <w:r w:rsidRPr="00E6572B">
              <w:rPr>
                <w:sz w:val="22"/>
                <w:szCs w:val="22"/>
                <w:lang w:val="en-US"/>
              </w:rPr>
              <w:t>Gas power baseload (</w:t>
            </w:r>
            <w:proofErr w:type="spellStart"/>
            <w:r w:rsidRPr="00E6572B">
              <w:rPr>
                <w:sz w:val="22"/>
                <w:szCs w:val="22"/>
                <w:lang w:val="en-US"/>
              </w:rPr>
              <w:t>GasBL</w:t>
            </w:r>
            <w:proofErr w:type="spellEnd"/>
            <w:r w:rsidRPr="00E6572B">
              <w:rPr>
                <w:sz w:val="22"/>
                <w:szCs w:val="22"/>
                <w:lang w:val="en-US"/>
              </w:rPr>
              <w:t xml:space="preserve">), Gas power </w:t>
            </w:r>
            <w:proofErr w:type="spellStart"/>
            <w:r w:rsidRPr="00E6572B">
              <w:rPr>
                <w:sz w:val="22"/>
                <w:szCs w:val="22"/>
                <w:lang w:val="en-US"/>
              </w:rPr>
              <w:t>peakload</w:t>
            </w:r>
            <w:proofErr w:type="spellEnd"/>
            <w:r w:rsidRPr="00E6572B">
              <w:rPr>
                <w:sz w:val="22"/>
                <w:szCs w:val="22"/>
                <w:lang w:val="en-US"/>
              </w:rPr>
              <w:t xml:space="preserve"> (</w:t>
            </w:r>
            <w:proofErr w:type="spellStart"/>
            <w:r w:rsidRPr="00E6572B">
              <w:rPr>
                <w:sz w:val="22"/>
                <w:szCs w:val="22"/>
                <w:lang w:val="en-US"/>
              </w:rPr>
              <w:t>GasP</w:t>
            </w:r>
            <w:proofErr w:type="spellEnd"/>
            <w:r w:rsidRPr="00E6572B">
              <w:rPr>
                <w:sz w:val="22"/>
                <w:szCs w:val="22"/>
                <w:lang w:val="en-US"/>
              </w:rPr>
              <w:t>), Oil power baseload (</w:t>
            </w:r>
            <w:proofErr w:type="spellStart"/>
            <w:r w:rsidRPr="00E6572B">
              <w:rPr>
                <w:sz w:val="22"/>
                <w:szCs w:val="22"/>
                <w:lang w:val="en-US"/>
              </w:rPr>
              <w:t>OilBL</w:t>
            </w:r>
            <w:proofErr w:type="spellEnd"/>
            <w:r w:rsidRPr="00E6572B">
              <w:rPr>
                <w:sz w:val="22"/>
                <w:szCs w:val="22"/>
                <w:lang w:val="en-US"/>
              </w:rPr>
              <w:t xml:space="preserve">), Oil power </w:t>
            </w:r>
            <w:proofErr w:type="spellStart"/>
            <w:r w:rsidRPr="00E6572B">
              <w:rPr>
                <w:sz w:val="22"/>
                <w:szCs w:val="22"/>
                <w:lang w:val="en-US"/>
              </w:rPr>
              <w:t>peakload</w:t>
            </w:r>
            <w:proofErr w:type="spellEnd"/>
            <w:r w:rsidRPr="00E6572B">
              <w:rPr>
                <w:sz w:val="22"/>
                <w:szCs w:val="22"/>
                <w:lang w:val="en-US"/>
              </w:rPr>
              <w:t xml:space="preserve"> (</w:t>
            </w:r>
            <w:proofErr w:type="spellStart"/>
            <w:r w:rsidRPr="00E6572B">
              <w:rPr>
                <w:sz w:val="22"/>
                <w:szCs w:val="22"/>
                <w:lang w:val="en-US"/>
              </w:rPr>
              <w:t>OilP</w:t>
            </w:r>
            <w:proofErr w:type="spellEnd"/>
            <w:r w:rsidRPr="00E6572B">
              <w:rPr>
                <w:sz w:val="22"/>
                <w:szCs w:val="22"/>
                <w:lang w:val="en-US"/>
              </w:rPr>
              <w:t>)</w:t>
            </w:r>
          </w:p>
        </w:tc>
      </w:tr>
      <w:tr w:rsidR="00CE23E1" w:rsidRPr="00171AF0" w14:paraId="094F1A24" w14:textId="77777777" w:rsidTr="00BF608A">
        <w:trPr>
          <w:cnfStyle w:val="000000100000" w:firstRow="0" w:lastRow="0" w:firstColumn="0" w:lastColumn="0" w:oddVBand="0" w:evenVBand="0" w:oddHBand="1" w:evenHBand="0" w:firstRowFirstColumn="0" w:firstRowLastColumn="0" w:lastRowFirstColumn="0" w:lastRowLastColumn="0"/>
          <w:trHeight w:val="300"/>
          <w:jc w:val="center"/>
        </w:trPr>
        <w:tc>
          <w:tcPr>
            <w:tcW w:w="538" w:type="dxa"/>
            <w:noWrap/>
          </w:tcPr>
          <w:p w14:paraId="48C06522" w14:textId="77777777" w:rsidR="00CE23E1" w:rsidRPr="00CE23E1" w:rsidRDefault="00CE23E1" w:rsidP="009A783A">
            <w:pPr>
              <w:tabs>
                <w:tab w:val="left" w:pos="0"/>
              </w:tabs>
              <w:ind w:firstLine="0"/>
              <w:rPr>
                <w:sz w:val="22"/>
                <w:szCs w:val="22"/>
              </w:rPr>
            </w:pPr>
            <w:r w:rsidRPr="00CE23E1">
              <w:rPr>
                <w:sz w:val="22"/>
                <w:szCs w:val="22"/>
              </w:rPr>
              <w:t>33</w:t>
            </w:r>
          </w:p>
        </w:tc>
        <w:tc>
          <w:tcPr>
            <w:tcW w:w="3062" w:type="dxa"/>
            <w:noWrap/>
          </w:tcPr>
          <w:p w14:paraId="17F4B1BB" w14:textId="77777777" w:rsidR="00CE23E1" w:rsidRPr="00171AF0" w:rsidRDefault="00CE23E1" w:rsidP="009A783A">
            <w:pPr>
              <w:tabs>
                <w:tab w:val="left" w:pos="0"/>
              </w:tabs>
              <w:spacing w:line="259" w:lineRule="auto"/>
              <w:ind w:firstLine="0"/>
              <w:rPr>
                <w:sz w:val="22"/>
                <w:szCs w:val="22"/>
              </w:rPr>
            </w:pPr>
            <w:r w:rsidRPr="00171AF0">
              <w:rPr>
                <w:sz w:val="22"/>
                <w:szCs w:val="22"/>
              </w:rPr>
              <w:t>Wind power (WND)</w:t>
            </w:r>
          </w:p>
        </w:tc>
        <w:tc>
          <w:tcPr>
            <w:tcW w:w="5762" w:type="dxa"/>
            <w:noWrap/>
          </w:tcPr>
          <w:p w14:paraId="21530763" w14:textId="77777777" w:rsidR="00CE23E1" w:rsidRPr="00171AF0" w:rsidRDefault="00CE23E1" w:rsidP="009A783A">
            <w:pPr>
              <w:tabs>
                <w:tab w:val="left" w:pos="0"/>
              </w:tabs>
              <w:spacing w:line="259" w:lineRule="auto"/>
              <w:ind w:hanging="18"/>
              <w:rPr>
                <w:sz w:val="22"/>
                <w:szCs w:val="22"/>
              </w:rPr>
            </w:pPr>
            <w:r w:rsidRPr="00171AF0">
              <w:rPr>
                <w:sz w:val="22"/>
                <w:szCs w:val="22"/>
              </w:rPr>
              <w:t>Wind power (</w:t>
            </w:r>
            <w:proofErr w:type="spellStart"/>
            <w:r w:rsidRPr="00171AF0">
              <w:rPr>
                <w:sz w:val="22"/>
                <w:szCs w:val="22"/>
              </w:rPr>
              <w:t>WindBL</w:t>
            </w:r>
            <w:proofErr w:type="spellEnd"/>
            <w:r w:rsidRPr="00171AF0">
              <w:rPr>
                <w:sz w:val="22"/>
                <w:szCs w:val="22"/>
              </w:rPr>
              <w:t>)</w:t>
            </w:r>
          </w:p>
        </w:tc>
      </w:tr>
      <w:tr w:rsidR="00CE23E1" w:rsidRPr="00171AF0" w14:paraId="617D65FE" w14:textId="77777777" w:rsidTr="00BF608A">
        <w:trPr>
          <w:trHeight w:val="300"/>
          <w:jc w:val="center"/>
        </w:trPr>
        <w:tc>
          <w:tcPr>
            <w:tcW w:w="538" w:type="dxa"/>
            <w:noWrap/>
          </w:tcPr>
          <w:p w14:paraId="3AAA7AE5" w14:textId="77777777" w:rsidR="00CE23E1" w:rsidRPr="00CE23E1" w:rsidRDefault="00CE23E1" w:rsidP="009A783A">
            <w:pPr>
              <w:tabs>
                <w:tab w:val="left" w:pos="0"/>
              </w:tabs>
              <w:ind w:firstLine="0"/>
              <w:rPr>
                <w:sz w:val="22"/>
                <w:szCs w:val="22"/>
              </w:rPr>
            </w:pPr>
            <w:r w:rsidRPr="00CE23E1">
              <w:rPr>
                <w:sz w:val="22"/>
                <w:szCs w:val="22"/>
              </w:rPr>
              <w:t>34</w:t>
            </w:r>
          </w:p>
        </w:tc>
        <w:tc>
          <w:tcPr>
            <w:tcW w:w="3062" w:type="dxa"/>
            <w:noWrap/>
          </w:tcPr>
          <w:p w14:paraId="3939764A" w14:textId="77777777" w:rsidR="00CE23E1" w:rsidRPr="00171AF0" w:rsidRDefault="00CE23E1" w:rsidP="009A783A">
            <w:pPr>
              <w:tabs>
                <w:tab w:val="left" w:pos="0"/>
              </w:tabs>
              <w:spacing w:line="259" w:lineRule="auto"/>
              <w:ind w:firstLine="0"/>
              <w:rPr>
                <w:sz w:val="22"/>
                <w:szCs w:val="22"/>
              </w:rPr>
            </w:pPr>
            <w:r w:rsidRPr="00171AF0">
              <w:rPr>
                <w:sz w:val="22"/>
                <w:szCs w:val="22"/>
              </w:rPr>
              <w:t>Hydro</w:t>
            </w:r>
            <w:r>
              <w:rPr>
                <w:sz w:val="22"/>
                <w:szCs w:val="22"/>
              </w:rPr>
              <w:t xml:space="preserve"> power</w:t>
            </w:r>
            <w:r w:rsidRPr="00171AF0">
              <w:rPr>
                <w:sz w:val="22"/>
                <w:szCs w:val="22"/>
              </w:rPr>
              <w:t xml:space="preserve"> (HYD)</w:t>
            </w:r>
          </w:p>
        </w:tc>
        <w:tc>
          <w:tcPr>
            <w:tcW w:w="5762" w:type="dxa"/>
            <w:noWrap/>
          </w:tcPr>
          <w:p w14:paraId="6C7BB937" w14:textId="77777777" w:rsidR="00CE23E1" w:rsidRPr="00E6572B" w:rsidRDefault="00CE23E1" w:rsidP="009A783A">
            <w:pPr>
              <w:tabs>
                <w:tab w:val="left" w:pos="0"/>
              </w:tabs>
              <w:spacing w:line="259" w:lineRule="auto"/>
              <w:ind w:hanging="18"/>
              <w:rPr>
                <w:sz w:val="22"/>
                <w:szCs w:val="22"/>
                <w:lang w:val="en-US"/>
              </w:rPr>
            </w:pPr>
            <w:r w:rsidRPr="00E6572B">
              <w:rPr>
                <w:sz w:val="22"/>
                <w:szCs w:val="22"/>
                <w:lang w:val="en-US"/>
              </w:rPr>
              <w:t>Hydro power baseload (</w:t>
            </w:r>
            <w:proofErr w:type="spellStart"/>
            <w:r w:rsidRPr="00E6572B">
              <w:rPr>
                <w:sz w:val="22"/>
                <w:szCs w:val="22"/>
                <w:lang w:val="en-US"/>
              </w:rPr>
              <w:t>HydroBL</w:t>
            </w:r>
            <w:proofErr w:type="spellEnd"/>
            <w:r w:rsidRPr="00E6572B">
              <w:rPr>
                <w:sz w:val="22"/>
                <w:szCs w:val="22"/>
                <w:lang w:val="en-US"/>
              </w:rPr>
              <w:t xml:space="preserve">), Hydro power </w:t>
            </w:r>
            <w:proofErr w:type="spellStart"/>
            <w:r w:rsidRPr="00E6572B">
              <w:rPr>
                <w:sz w:val="22"/>
                <w:szCs w:val="22"/>
                <w:lang w:val="en-US"/>
              </w:rPr>
              <w:t>peakload</w:t>
            </w:r>
            <w:proofErr w:type="spellEnd"/>
            <w:r w:rsidRPr="00E6572B">
              <w:rPr>
                <w:sz w:val="22"/>
                <w:szCs w:val="22"/>
                <w:lang w:val="en-US"/>
              </w:rPr>
              <w:t xml:space="preserve"> (</w:t>
            </w:r>
            <w:proofErr w:type="spellStart"/>
            <w:r w:rsidRPr="00E6572B">
              <w:rPr>
                <w:sz w:val="22"/>
                <w:szCs w:val="22"/>
                <w:lang w:val="en-US"/>
              </w:rPr>
              <w:t>HydroP</w:t>
            </w:r>
            <w:proofErr w:type="spellEnd"/>
            <w:r w:rsidRPr="00E6572B">
              <w:rPr>
                <w:sz w:val="22"/>
                <w:szCs w:val="22"/>
                <w:lang w:val="en-US"/>
              </w:rPr>
              <w:t>)</w:t>
            </w:r>
          </w:p>
        </w:tc>
      </w:tr>
      <w:tr w:rsidR="00CE23E1" w:rsidRPr="00171AF0" w14:paraId="0B2F8055" w14:textId="77777777" w:rsidTr="00BF608A">
        <w:trPr>
          <w:cnfStyle w:val="000000100000" w:firstRow="0" w:lastRow="0" w:firstColumn="0" w:lastColumn="0" w:oddVBand="0" w:evenVBand="0" w:oddHBand="1" w:evenHBand="0" w:firstRowFirstColumn="0" w:firstRowLastColumn="0" w:lastRowFirstColumn="0" w:lastRowLastColumn="0"/>
          <w:trHeight w:val="300"/>
          <w:jc w:val="center"/>
        </w:trPr>
        <w:tc>
          <w:tcPr>
            <w:tcW w:w="538" w:type="dxa"/>
            <w:noWrap/>
          </w:tcPr>
          <w:p w14:paraId="22BEBA96" w14:textId="77777777" w:rsidR="00CE23E1" w:rsidRPr="00CE23E1" w:rsidRDefault="00CE23E1" w:rsidP="009A783A">
            <w:pPr>
              <w:tabs>
                <w:tab w:val="left" w:pos="0"/>
              </w:tabs>
              <w:ind w:firstLine="0"/>
              <w:rPr>
                <w:sz w:val="22"/>
                <w:szCs w:val="22"/>
              </w:rPr>
            </w:pPr>
            <w:r w:rsidRPr="00CE23E1">
              <w:rPr>
                <w:sz w:val="22"/>
                <w:szCs w:val="22"/>
              </w:rPr>
              <w:t>35</w:t>
            </w:r>
          </w:p>
        </w:tc>
        <w:tc>
          <w:tcPr>
            <w:tcW w:w="3062" w:type="dxa"/>
            <w:noWrap/>
          </w:tcPr>
          <w:p w14:paraId="0A08C2E5" w14:textId="77777777" w:rsidR="00CE23E1" w:rsidRPr="00171AF0" w:rsidRDefault="00CE23E1" w:rsidP="009A783A">
            <w:pPr>
              <w:tabs>
                <w:tab w:val="left" w:pos="0"/>
              </w:tabs>
              <w:spacing w:line="259" w:lineRule="auto"/>
              <w:ind w:firstLine="0"/>
              <w:rPr>
                <w:sz w:val="22"/>
                <w:szCs w:val="22"/>
              </w:rPr>
            </w:pPr>
            <w:proofErr w:type="spellStart"/>
            <w:r w:rsidRPr="00171AF0">
              <w:rPr>
                <w:sz w:val="22"/>
                <w:szCs w:val="22"/>
              </w:rPr>
              <w:t>Other</w:t>
            </w:r>
            <w:proofErr w:type="spellEnd"/>
            <w:r w:rsidRPr="00171AF0">
              <w:rPr>
                <w:sz w:val="22"/>
                <w:szCs w:val="22"/>
              </w:rPr>
              <w:t xml:space="preserve"> power (XEL)</w:t>
            </w:r>
          </w:p>
        </w:tc>
        <w:tc>
          <w:tcPr>
            <w:tcW w:w="5762" w:type="dxa"/>
            <w:noWrap/>
          </w:tcPr>
          <w:p w14:paraId="0D2979BA" w14:textId="77777777" w:rsidR="00CE23E1" w:rsidRPr="00171AF0" w:rsidRDefault="00CE23E1" w:rsidP="009A783A">
            <w:pPr>
              <w:tabs>
                <w:tab w:val="left" w:pos="0"/>
              </w:tabs>
              <w:spacing w:line="259" w:lineRule="auto"/>
              <w:ind w:hanging="18"/>
              <w:rPr>
                <w:sz w:val="22"/>
                <w:szCs w:val="22"/>
              </w:rPr>
            </w:pPr>
            <w:proofErr w:type="spellStart"/>
            <w:r w:rsidRPr="00171AF0">
              <w:rPr>
                <w:sz w:val="22"/>
                <w:szCs w:val="22"/>
              </w:rPr>
              <w:t>Other</w:t>
            </w:r>
            <w:proofErr w:type="spellEnd"/>
            <w:r w:rsidRPr="00171AF0">
              <w:rPr>
                <w:sz w:val="22"/>
                <w:szCs w:val="22"/>
              </w:rPr>
              <w:t xml:space="preserve"> </w:t>
            </w:r>
            <w:proofErr w:type="spellStart"/>
            <w:r w:rsidRPr="00171AF0">
              <w:rPr>
                <w:sz w:val="22"/>
                <w:szCs w:val="22"/>
              </w:rPr>
              <w:t>baseload</w:t>
            </w:r>
            <w:proofErr w:type="spellEnd"/>
            <w:r w:rsidRPr="00171AF0">
              <w:rPr>
                <w:sz w:val="22"/>
                <w:szCs w:val="22"/>
              </w:rPr>
              <w:t xml:space="preserve"> (</w:t>
            </w:r>
            <w:proofErr w:type="spellStart"/>
            <w:r w:rsidRPr="00171AF0">
              <w:rPr>
                <w:sz w:val="22"/>
                <w:szCs w:val="22"/>
              </w:rPr>
              <w:t>OtherBL</w:t>
            </w:r>
            <w:proofErr w:type="spellEnd"/>
            <w:r w:rsidRPr="00171AF0">
              <w:rPr>
                <w:sz w:val="22"/>
                <w:szCs w:val="22"/>
              </w:rPr>
              <w:t>)</w:t>
            </w:r>
          </w:p>
        </w:tc>
      </w:tr>
      <w:tr w:rsidR="00CE23E1" w:rsidRPr="00171AF0" w14:paraId="5EA88D7D" w14:textId="77777777" w:rsidTr="00BF608A">
        <w:trPr>
          <w:trHeight w:val="300"/>
          <w:jc w:val="center"/>
        </w:trPr>
        <w:tc>
          <w:tcPr>
            <w:tcW w:w="538" w:type="dxa"/>
            <w:noWrap/>
          </w:tcPr>
          <w:p w14:paraId="385AF35A" w14:textId="77777777" w:rsidR="00CE23E1" w:rsidRPr="00CE23E1" w:rsidRDefault="00CE23E1" w:rsidP="009A783A">
            <w:pPr>
              <w:tabs>
                <w:tab w:val="left" w:pos="0"/>
              </w:tabs>
              <w:ind w:firstLine="0"/>
              <w:rPr>
                <w:sz w:val="22"/>
                <w:szCs w:val="22"/>
              </w:rPr>
            </w:pPr>
            <w:r w:rsidRPr="00CE23E1">
              <w:rPr>
                <w:sz w:val="22"/>
                <w:szCs w:val="22"/>
              </w:rPr>
              <w:t>36</w:t>
            </w:r>
          </w:p>
        </w:tc>
        <w:tc>
          <w:tcPr>
            <w:tcW w:w="3062" w:type="dxa"/>
            <w:noWrap/>
          </w:tcPr>
          <w:p w14:paraId="14369F8F" w14:textId="77777777" w:rsidR="00CE23E1" w:rsidRPr="00171AF0" w:rsidRDefault="00CE23E1" w:rsidP="009A783A">
            <w:pPr>
              <w:tabs>
                <w:tab w:val="left" w:pos="0"/>
              </w:tabs>
              <w:spacing w:line="259" w:lineRule="auto"/>
              <w:ind w:firstLine="0"/>
              <w:rPr>
                <w:sz w:val="22"/>
                <w:szCs w:val="22"/>
              </w:rPr>
            </w:pPr>
            <w:r w:rsidRPr="00171AF0">
              <w:rPr>
                <w:sz w:val="22"/>
                <w:szCs w:val="22"/>
              </w:rPr>
              <w:t>Solar</w:t>
            </w:r>
            <w:r>
              <w:rPr>
                <w:sz w:val="22"/>
                <w:szCs w:val="22"/>
              </w:rPr>
              <w:t xml:space="preserve"> power</w:t>
            </w:r>
            <w:r w:rsidRPr="00171AF0">
              <w:rPr>
                <w:sz w:val="22"/>
                <w:szCs w:val="22"/>
              </w:rPr>
              <w:t xml:space="preserve"> (SOL)</w:t>
            </w:r>
          </w:p>
        </w:tc>
        <w:tc>
          <w:tcPr>
            <w:tcW w:w="5762" w:type="dxa"/>
            <w:noWrap/>
          </w:tcPr>
          <w:p w14:paraId="0E93FEF4" w14:textId="77777777" w:rsidR="00CE23E1" w:rsidRPr="00171AF0" w:rsidRDefault="00CE23E1" w:rsidP="009A783A">
            <w:pPr>
              <w:tabs>
                <w:tab w:val="left" w:pos="0"/>
              </w:tabs>
              <w:spacing w:line="259" w:lineRule="auto"/>
              <w:ind w:hanging="18"/>
              <w:rPr>
                <w:sz w:val="22"/>
                <w:szCs w:val="22"/>
              </w:rPr>
            </w:pPr>
            <w:r w:rsidRPr="00171AF0">
              <w:rPr>
                <w:sz w:val="22"/>
                <w:szCs w:val="22"/>
              </w:rPr>
              <w:t>Solar power (</w:t>
            </w:r>
            <w:proofErr w:type="spellStart"/>
            <w:r w:rsidRPr="00171AF0">
              <w:rPr>
                <w:sz w:val="22"/>
                <w:szCs w:val="22"/>
              </w:rPr>
              <w:t>SolarP</w:t>
            </w:r>
            <w:proofErr w:type="spellEnd"/>
            <w:r w:rsidRPr="00171AF0">
              <w:rPr>
                <w:sz w:val="22"/>
                <w:szCs w:val="22"/>
              </w:rPr>
              <w:t>)</w:t>
            </w:r>
          </w:p>
        </w:tc>
      </w:tr>
      <w:tr w:rsidR="00CE23E1" w:rsidRPr="00171AF0" w14:paraId="048515CD" w14:textId="77777777" w:rsidTr="00BF608A">
        <w:trPr>
          <w:cnfStyle w:val="000000100000" w:firstRow="0" w:lastRow="0" w:firstColumn="0" w:lastColumn="0" w:oddVBand="0" w:evenVBand="0" w:oddHBand="1" w:evenHBand="0" w:firstRowFirstColumn="0" w:firstRowLastColumn="0" w:lastRowFirstColumn="0" w:lastRowLastColumn="0"/>
          <w:trHeight w:val="300"/>
          <w:jc w:val="center"/>
        </w:trPr>
        <w:tc>
          <w:tcPr>
            <w:tcW w:w="538" w:type="dxa"/>
            <w:noWrap/>
          </w:tcPr>
          <w:p w14:paraId="0348CCC1" w14:textId="77777777" w:rsidR="00CE23E1" w:rsidRPr="00CE23E1" w:rsidRDefault="00CE23E1" w:rsidP="009A783A">
            <w:pPr>
              <w:tabs>
                <w:tab w:val="left" w:pos="0"/>
              </w:tabs>
              <w:ind w:firstLine="0"/>
              <w:rPr>
                <w:sz w:val="22"/>
                <w:szCs w:val="22"/>
              </w:rPr>
            </w:pPr>
            <w:r w:rsidRPr="00CE23E1">
              <w:rPr>
                <w:sz w:val="22"/>
                <w:szCs w:val="22"/>
              </w:rPr>
              <w:t>37</w:t>
            </w:r>
          </w:p>
        </w:tc>
        <w:tc>
          <w:tcPr>
            <w:tcW w:w="3062" w:type="dxa"/>
            <w:noWrap/>
          </w:tcPr>
          <w:p w14:paraId="1AE3C183" w14:textId="77777777" w:rsidR="00CE23E1" w:rsidRPr="00171AF0" w:rsidRDefault="00CE23E1" w:rsidP="009A783A">
            <w:pPr>
              <w:tabs>
                <w:tab w:val="left" w:pos="0"/>
              </w:tabs>
              <w:spacing w:line="259" w:lineRule="auto"/>
              <w:ind w:firstLine="0"/>
              <w:rPr>
                <w:sz w:val="22"/>
                <w:szCs w:val="22"/>
              </w:rPr>
            </w:pPr>
            <w:r w:rsidRPr="00171AF0">
              <w:rPr>
                <w:sz w:val="22"/>
                <w:szCs w:val="22"/>
              </w:rPr>
              <w:t>Construction (CNS)</w:t>
            </w:r>
          </w:p>
        </w:tc>
        <w:tc>
          <w:tcPr>
            <w:tcW w:w="5762" w:type="dxa"/>
            <w:noWrap/>
          </w:tcPr>
          <w:p w14:paraId="2E837750" w14:textId="77777777" w:rsidR="00CE23E1" w:rsidRPr="00171AF0" w:rsidRDefault="00CE23E1" w:rsidP="009A783A">
            <w:pPr>
              <w:tabs>
                <w:tab w:val="left" w:pos="0"/>
              </w:tabs>
              <w:spacing w:line="259" w:lineRule="auto"/>
              <w:ind w:hanging="18"/>
              <w:rPr>
                <w:sz w:val="22"/>
                <w:szCs w:val="22"/>
              </w:rPr>
            </w:pPr>
            <w:r w:rsidRPr="00171AF0">
              <w:rPr>
                <w:sz w:val="22"/>
                <w:szCs w:val="22"/>
              </w:rPr>
              <w:t>Construction (CNS)</w:t>
            </w:r>
          </w:p>
        </w:tc>
      </w:tr>
      <w:tr w:rsidR="00CE23E1" w:rsidRPr="00171AF0" w14:paraId="0C37A7F1" w14:textId="77777777" w:rsidTr="00BF608A">
        <w:trPr>
          <w:trHeight w:val="300"/>
          <w:jc w:val="center"/>
        </w:trPr>
        <w:tc>
          <w:tcPr>
            <w:tcW w:w="538" w:type="dxa"/>
            <w:noWrap/>
          </w:tcPr>
          <w:p w14:paraId="00A215DE" w14:textId="77777777" w:rsidR="00CE23E1" w:rsidRPr="00CE23E1" w:rsidRDefault="00CE23E1" w:rsidP="009A783A">
            <w:pPr>
              <w:tabs>
                <w:tab w:val="left" w:pos="0"/>
              </w:tabs>
              <w:ind w:firstLine="0"/>
              <w:rPr>
                <w:sz w:val="22"/>
                <w:szCs w:val="22"/>
              </w:rPr>
            </w:pPr>
            <w:r w:rsidRPr="00CE23E1">
              <w:rPr>
                <w:sz w:val="22"/>
                <w:szCs w:val="22"/>
              </w:rPr>
              <w:t>38</w:t>
            </w:r>
          </w:p>
        </w:tc>
        <w:tc>
          <w:tcPr>
            <w:tcW w:w="3062" w:type="dxa"/>
            <w:noWrap/>
          </w:tcPr>
          <w:p w14:paraId="652DA88F" w14:textId="77777777" w:rsidR="00CE23E1" w:rsidRPr="00171AF0" w:rsidRDefault="00CE23E1" w:rsidP="009A783A">
            <w:pPr>
              <w:tabs>
                <w:tab w:val="left" w:pos="0"/>
              </w:tabs>
              <w:spacing w:line="259" w:lineRule="auto"/>
              <w:ind w:firstLine="0"/>
              <w:rPr>
                <w:sz w:val="22"/>
                <w:szCs w:val="22"/>
              </w:rPr>
            </w:pPr>
            <w:r w:rsidRPr="00171AF0">
              <w:rPr>
                <w:sz w:val="22"/>
                <w:szCs w:val="22"/>
              </w:rPr>
              <w:t xml:space="preserve">Trade incl. </w:t>
            </w:r>
            <w:proofErr w:type="spellStart"/>
            <w:r w:rsidRPr="00171AF0">
              <w:rPr>
                <w:sz w:val="22"/>
                <w:szCs w:val="22"/>
              </w:rPr>
              <w:t>warehousing</w:t>
            </w:r>
            <w:proofErr w:type="spellEnd"/>
            <w:r w:rsidRPr="00171AF0">
              <w:rPr>
                <w:sz w:val="22"/>
                <w:szCs w:val="22"/>
              </w:rPr>
              <w:t xml:space="preserve"> (TRD)</w:t>
            </w:r>
          </w:p>
        </w:tc>
        <w:tc>
          <w:tcPr>
            <w:tcW w:w="5762" w:type="dxa"/>
            <w:noWrap/>
          </w:tcPr>
          <w:p w14:paraId="23A857A9" w14:textId="77777777" w:rsidR="00CE23E1" w:rsidRPr="00E6572B" w:rsidRDefault="00CE23E1" w:rsidP="009A783A">
            <w:pPr>
              <w:tabs>
                <w:tab w:val="left" w:pos="0"/>
              </w:tabs>
              <w:spacing w:line="259" w:lineRule="auto"/>
              <w:ind w:hanging="18"/>
              <w:rPr>
                <w:sz w:val="22"/>
                <w:szCs w:val="22"/>
                <w:lang w:val="en-US"/>
              </w:rPr>
            </w:pPr>
            <w:r w:rsidRPr="00E6572B">
              <w:rPr>
                <w:sz w:val="22"/>
                <w:szCs w:val="22"/>
                <w:lang w:val="en-US"/>
              </w:rPr>
              <w:t>Trade (TRD), Accommodation, Food and service activities (AFS), Warehousing and support activities (WHS)</w:t>
            </w:r>
          </w:p>
        </w:tc>
      </w:tr>
      <w:tr w:rsidR="00CE23E1" w:rsidRPr="00171AF0" w14:paraId="282453A6" w14:textId="77777777" w:rsidTr="00BF608A">
        <w:trPr>
          <w:cnfStyle w:val="000000100000" w:firstRow="0" w:lastRow="0" w:firstColumn="0" w:lastColumn="0" w:oddVBand="0" w:evenVBand="0" w:oddHBand="1" w:evenHBand="0" w:firstRowFirstColumn="0" w:firstRowLastColumn="0" w:lastRowFirstColumn="0" w:lastRowLastColumn="0"/>
          <w:trHeight w:val="300"/>
          <w:jc w:val="center"/>
        </w:trPr>
        <w:tc>
          <w:tcPr>
            <w:tcW w:w="538" w:type="dxa"/>
            <w:noWrap/>
          </w:tcPr>
          <w:p w14:paraId="4E328F35" w14:textId="77777777" w:rsidR="00CE23E1" w:rsidRPr="00CE23E1" w:rsidRDefault="00CE23E1" w:rsidP="009A783A">
            <w:pPr>
              <w:tabs>
                <w:tab w:val="left" w:pos="0"/>
              </w:tabs>
              <w:ind w:firstLine="0"/>
              <w:rPr>
                <w:sz w:val="22"/>
                <w:szCs w:val="22"/>
              </w:rPr>
            </w:pPr>
            <w:r w:rsidRPr="00CE23E1">
              <w:rPr>
                <w:sz w:val="22"/>
                <w:szCs w:val="22"/>
              </w:rPr>
              <w:t>39</w:t>
            </w:r>
          </w:p>
        </w:tc>
        <w:tc>
          <w:tcPr>
            <w:tcW w:w="3062" w:type="dxa"/>
            <w:noWrap/>
          </w:tcPr>
          <w:p w14:paraId="04ACC91D" w14:textId="77777777" w:rsidR="00CE23E1" w:rsidRPr="00171AF0" w:rsidRDefault="00CE23E1" w:rsidP="009A783A">
            <w:pPr>
              <w:tabs>
                <w:tab w:val="left" w:pos="0"/>
              </w:tabs>
              <w:spacing w:line="259" w:lineRule="auto"/>
              <w:ind w:firstLine="0"/>
              <w:rPr>
                <w:sz w:val="22"/>
                <w:szCs w:val="22"/>
              </w:rPr>
            </w:pPr>
            <w:proofErr w:type="spellStart"/>
            <w:r w:rsidRPr="00171AF0">
              <w:rPr>
                <w:sz w:val="22"/>
                <w:szCs w:val="22"/>
              </w:rPr>
              <w:t>Other</w:t>
            </w:r>
            <w:proofErr w:type="spellEnd"/>
            <w:r w:rsidRPr="00171AF0">
              <w:rPr>
                <w:sz w:val="22"/>
                <w:szCs w:val="22"/>
              </w:rPr>
              <w:t xml:space="preserve"> transport (XTP)</w:t>
            </w:r>
          </w:p>
        </w:tc>
        <w:tc>
          <w:tcPr>
            <w:tcW w:w="5762" w:type="dxa"/>
            <w:noWrap/>
          </w:tcPr>
          <w:p w14:paraId="73ABFD60" w14:textId="77777777" w:rsidR="00CE23E1" w:rsidRPr="00171AF0" w:rsidRDefault="00CE23E1" w:rsidP="009A783A">
            <w:pPr>
              <w:tabs>
                <w:tab w:val="left" w:pos="0"/>
              </w:tabs>
              <w:spacing w:line="259" w:lineRule="auto"/>
              <w:ind w:hanging="18"/>
              <w:rPr>
                <w:sz w:val="22"/>
                <w:szCs w:val="22"/>
              </w:rPr>
            </w:pPr>
            <w:r w:rsidRPr="00171AF0">
              <w:rPr>
                <w:sz w:val="22"/>
                <w:szCs w:val="22"/>
              </w:rPr>
              <w:t>Transport nec (OTP)</w:t>
            </w:r>
          </w:p>
        </w:tc>
      </w:tr>
      <w:tr w:rsidR="00CE23E1" w:rsidRPr="00171AF0" w14:paraId="0A876F4C" w14:textId="77777777" w:rsidTr="00BF608A">
        <w:trPr>
          <w:trHeight w:val="300"/>
          <w:jc w:val="center"/>
        </w:trPr>
        <w:tc>
          <w:tcPr>
            <w:tcW w:w="538" w:type="dxa"/>
            <w:noWrap/>
          </w:tcPr>
          <w:p w14:paraId="14A9BFE1" w14:textId="77777777" w:rsidR="00CE23E1" w:rsidRPr="00CE23E1" w:rsidRDefault="00CE23E1" w:rsidP="009A783A">
            <w:pPr>
              <w:tabs>
                <w:tab w:val="left" w:pos="0"/>
              </w:tabs>
              <w:ind w:firstLine="0"/>
              <w:rPr>
                <w:sz w:val="22"/>
                <w:szCs w:val="22"/>
              </w:rPr>
            </w:pPr>
            <w:r w:rsidRPr="00CE23E1">
              <w:rPr>
                <w:sz w:val="22"/>
                <w:szCs w:val="22"/>
              </w:rPr>
              <w:t>40</w:t>
            </w:r>
          </w:p>
        </w:tc>
        <w:tc>
          <w:tcPr>
            <w:tcW w:w="3062" w:type="dxa"/>
            <w:noWrap/>
          </w:tcPr>
          <w:p w14:paraId="4F32D389" w14:textId="77777777" w:rsidR="00CE23E1" w:rsidRPr="00171AF0" w:rsidRDefault="00CE23E1" w:rsidP="009A783A">
            <w:pPr>
              <w:tabs>
                <w:tab w:val="left" w:pos="0"/>
              </w:tabs>
              <w:spacing w:line="259" w:lineRule="auto"/>
              <w:ind w:firstLine="0"/>
              <w:rPr>
                <w:sz w:val="22"/>
                <w:szCs w:val="22"/>
              </w:rPr>
            </w:pPr>
            <w:r w:rsidRPr="00171AF0">
              <w:rPr>
                <w:sz w:val="22"/>
                <w:szCs w:val="22"/>
              </w:rPr>
              <w:t>Water transport (WTP)</w:t>
            </w:r>
          </w:p>
        </w:tc>
        <w:tc>
          <w:tcPr>
            <w:tcW w:w="5762" w:type="dxa"/>
            <w:noWrap/>
          </w:tcPr>
          <w:p w14:paraId="6BE9FC78" w14:textId="77777777" w:rsidR="00CE23E1" w:rsidRPr="00171AF0" w:rsidRDefault="00CE23E1" w:rsidP="009A783A">
            <w:pPr>
              <w:tabs>
                <w:tab w:val="left" w:pos="0"/>
              </w:tabs>
              <w:spacing w:line="259" w:lineRule="auto"/>
              <w:ind w:hanging="18"/>
              <w:rPr>
                <w:sz w:val="22"/>
                <w:szCs w:val="22"/>
              </w:rPr>
            </w:pPr>
            <w:r w:rsidRPr="00171AF0">
              <w:rPr>
                <w:sz w:val="22"/>
                <w:szCs w:val="22"/>
              </w:rPr>
              <w:t>Water transport (WTP)</w:t>
            </w:r>
          </w:p>
        </w:tc>
      </w:tr>
      <w:tr w:rsidR="00CE23E1" w:rsidRPr="00171AF0" w14:paraId="48AA2695" w14:textId="77777777" w:rsidTr="00BF608A">
        <w:trPr>
          <w:cnfStyle w:val="000000100000" w:firstRow="0" w:lastRow="0" w:firstColumn="0" w:lastColumn="0" w:oddVBand="0" w:evenVBand="0" w:oddHBand="1" w:evenHBand="0" w:firstRowFirstColumn="0" w:firstRowLastColumn="0" w:lastRowFirstColumn="0" w:lastRowLastColumn="0"/>
          <w:trHeight w:val="300"/>
          <w:jc w:val="center"/>
        </w:trPr>
        <w:tc>
          <w:tcPr>
            <w:tcW w:w="538" w:type="dxa"/>
            <w:noWrap/>
          </w:tcPr>
          <w:p w14:paraId="08C57913" w14:textId="77777777" w:rsidR="00CE23E1" w:rsidRPr="00CE23E1" w:rsidRDefault="00CE23E1" w:rsidP="009A783A">
            <w:pPr>
              <w:tabs>
                <w:tab w:val="left" w:pos="0"/>
              </w:tabs>
              <w:ind w:firstLine="0"/>
              <w:rPr>
                <w:sz w:val="22"/>
                <w:szCs w:val="22"/>
              </w:rPr>
            </w:pPr>
            <w:r w:rsidRPr="00CE23E1">
              <w:rPr>
                <w:sz w:val="22"/>
                <w:szCs w:val="22"/>
              </w:rPr>
              <w:t>41</w:t>
            </w:r>
          </w:p>
        </w:tc>
        <w:tc>
          <w:tcPr>
            <w:tcW w:w="3062" w:type="dxa"/>
            <w:noWrap/>
          </w:tcPr>
          <w:p w14:paraId="1AC285CD" w14:textId="77777777" w:rsidR="00CE23E1" w:rsidRPr="00171AF0" w:rsidRDefault="00CE23E1" w:rsidP="009A783A">
            <w:pPr>
              <w:tabs>
                <w:tab w:val="left" w:pos="0"/>
              </w:tabs>
              <w:spacing w:line="259" w:lineRule="auto"/>
              <w:ind w:firstLine="0"/>
              <w:rPr>
                <w:sz w:val="22"/>
                <w:szCs w:val="22"/>
              </w:rPr>
            </w:pPr>
            <w:r w:rsidRPr="00171AF0">
              <w:rPr>
                <w:sz w:val="22"/>
                <w:szCs w:val="22"/>
              </w:rPr>
              <w:t>Air transport (ATP)</w:t>
            </w:r>
          </w:p>
        </w:tc>
        <w:tc>
          <w:tcPr>
            <w:tcW w:w="5762" w:type="dxa"/>
            <w:noWrap/>
          </w:tcPr>
          <w:p w14:paraId="3393D048" w14:textId="77777777" w:rsidR="00CE23E1" w:rsidRPr="00171AF0" w:rsidRDefault="00CE23E1" w:rsidP="009A783A">
            <w:pPr>
              <w:tabs>
                <w:tab w:val="left" w:pos="0"/>
              </w:tabs>
              <w:spacing w:line="259" w:lineRule="auto"/>
              <w:ind w:hanging="18"/>
              <w:rPr>
                <w:sz w:val="22"/>
                <w:szCs w:val="22"/>
              </w:rPr>
            </w:pPr>
            <w:r w:rsidRPr="00171AF0">
              <w:rPr>
                <w:sz w:val="22"/>
                <w:szCs w:val="22"/>
              </w:rPr>
              <w:t>Air transport (ATP)</w:t>
            </w:r>
          </w:p>
        </w:tc>
      </w:tr>
      <w:tr w:rsidR="00CE23E1" w:rsidRPr="00171AF0" w14:paraId="331DC3D5" w14:textId="77777777" w:rsidTr="00BF608A">
        <w:trPr>
          <w:trHeight w:val="300"/>
          <w:jc w:val="center"/>
        </w:trPr>
        <w:tc>
          <w:tcPr>
            <w:tcW w:w="538" w:type="dxa"/>
            <w:noWrap/>
          </w:tcPr>
          <w:p w14:paraId="42970675" w14:textId="77777777" w:rsidR="00CE23E1" w:rsidRPr="00CE23E1" w:rsidRDefault="00CE23E1" w:rsidP="009A783A">
            <w:pPr>
              <w:tabs>
                <w:tab w:val="left" w:pos="0"/>
              </w:tabs>
              <w:ind w:firstLine="0"/>
              <w:rPr>
                <w:sz w:val="22"/>
                <w:szCs w:val="22"/>
              </w:rPr>
            </w:pPr>
            <w:r w:rsidRPr="00CE23E1">
              <w:rPr>
                <w:sz w:val="22"/>
                <w:szCs w:val="22"/>
              </w:rPr>
              <w:t>42</w:t>
            </w:r>
          </w:p>
        </w:tc>
        <w:tc>
          <w:tcPr>
            <w:tcW w:w="3062" w:type="dxa"/>
            <w:noWrap/>
          </w:tcPr>
          <w:p w14:paraId="36DF98A9" w14:textId="77777777" w:rsidR="00CE23E1" w:rsidRPr="00171AF0" w:rsidRDefault="00CE23E1" w:rsidP="009A783A">
            <w:pPr>
              <w:tabs>
                <w:tab w:val="left" w:pos="0"/>
              </w:tabs>
              <w:spacing w:line="259" w:lineRule="auto"/>
              <w:ind w:firstLine="0"/>
              <w:rPr>
                <w:sz w:val="22"/>
                <w:szCs w:val="22"/>
              </w:rPr>
            </w:pPr>
            <w:proofErr w:type="spellStart"/>
            <w:r w:rsidRPr="00171AF0">
              <w:rPr>
                <w:sz w:val="22"/>
                <w:szCs w:val="22"/>
              </w:rPr>
              <w:t>Other</w:t>
            </w:r>
            <w:proofErr w:type="spellEnd"/>
            <w:r w:rsidRPr="00171AF0">
              <w:rPr>
                <w:sz w:val="22"/>
                <w:szCs w:val="22"/>
              </w:rPr>
              <w:t xml:space="preserve"> services (XSV)</w:t>
            </w:r>
          </w:p>
        </w:tc>
        <w:tc>
          <w:tcPr>
            <w:tcW w:w="5762" w:type="dxa"/>
            <w:noWrap/>
          </w:tcPr>
          <w:p w14:paraId="3AF06349" w14:textId="77777777" w:rsidR="00CE23E1" w:rsidRPr="00E6572B" w:rsidRDefault="00CE23E1" w:rsidP="009A783A">
            <w:pPr>
              <w:tabs>
                <w:tab w:val="left" w:pos="0"/>
              </w:tabs>
              <w:spacing w:line="259" w:lineRule="auto"/>
              <w:ind w:hanging="18"/>
              <w:rPr>
                <w:sz w:val="22"/>
                <w:szCs w:val="22"/>
                <w:lang w:val="en-US"/>
              </w:rPr>
            </w:pPr>
            <w:r w:rsidRPr="00E6572B">
              <w:rPr>
                <w:sz w:val="22"/>
                <w:szCs w:val="22"/>
                <w:lang w:val="en-US"/>
              </w:rPr>
              <w:t xml:space="preserve">Water (WTR), Communication (CMN), Financial services </w:t>
            </w:r>
            <w:proofErr w:type="spellStart"/>
            <w:r w:rsidRPr="00E6572B">
              <w:rPr>
                <w:sz w:val="22"/>
                <w:szCs w:val="22"/>
                <w:lang w:val="en-US"/>
              </w:rPr>
              <w:t>nec</w:t>
            </w:r>
            <w:proofErr w:type="spellEnd"/>
            <w:r w:rsidRPr="00E6572B">
              <w:rPr>
                <w:sz w:val="22"/>
                <w:szCs w:val="22"/>
                <w:lang w:val="en-US"/>
              </w:rPr>
              <w:t xml:space="preserve"> (OFI), Insurance (formerly </w:t>
            </w:r>
            <w:proofErr w:type="spellStart"/>
            <w:r w:rsidRPr="00E6572B">
              <w:rPr>
                <w:sz w:val="22"/>
                <w:szCs w:val="22"/>
                <w:lang w:val="en-US"/>
              </w:rPr>
              <w:t>isr</w:t>
            </w:r>
            <w:proofErr w:type="spellEnd"/>
            <w:r w:rsidRPr="00E6572B">
              <w:rPr>
                <w:sz w:val="22"/>
                <w:szCs w:val="22"/>
                <w:lang w:val="en-US"/>
              </w:rPr>
              <w:t xml:space="preserve">) (INS), Real estate activities (RSA), Business services </w:t>
            </w:r>
            <w:proofErr w:type="spellStart"/>
            <w:r w:rsidRPr="00E6572B">
              <w:rPr>
                <w:sz w:val="22"/>
                <w:szCs w:val="22"/>
                <w:lang w:val="en-US"/>
              </w:rPr>
              <w:t>nec</w:t>
            </w:r>
            <w:proofErr w:type="spellEnd"/>
            <w:r w:rsidRPr="00E6572B">
              <w:rPr>
                <w:sz w:val="22"/>
                <w:szCs w:val="22"/>
                <w:lang w:val="en-US"/>
              </w:rPr>
              <w:t xml:space="preserve"> (OBS), Recreational and other services (ROS), Public Administration and defense (OSG), Education (EDU), Human health and social work activities (HHT), Dwellings (DWE)</w:t>
            </w:r>
          </w:p>
        </w:tc>
      </w:tr>
    </w:tbl>
    <w:p w14:paraId="0E630444" w14:textId="1B32929D" w:rsidR="00987188" w:rsidRDefault="00987188">
      <w:pPr>
        <w:spacing w:after="160"/>
        <w:ind w:firstLine="0"/>
        <w:jc w:val="left"/>
      </w:pPr>
    </w:p>
    <w:sectPr w:rsidR="00987188" w:rsidSect="00B762EE">
      <w:headerReference w:type="even" r:id="rId103"/>
      <w:headerReference w:type="default" r:id="rId104"/>
      <w:footerReference w:type="default" r:id="rId105"/>
      <w:headerReference w:type="first" r:id="rId106"/>
      <w:pgSz w:w="12240" w:h="15840" w:code="1"/>
      <w:pgMar w:top="1080" w:right="1267" w:bottom="116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2C7BA" w14:textId="77777777" w:rsidR="0052135A" w:rsidRDefault="0052135A" w:rsidP="008C2892">
      <w:pPr>
        <w:spacing w:line="240" w:lineRule="auto"/>
      </w:pPr>
      <w:r>
        <w:separator/>
      </w:r>
    </w:p>
  </w:endnote>
  <w:endnote w:type="continuationSeparator" w:id="0">
    <w:p w14:paraId="2A2BDD9B" w14:textId="77777777" w:rsidR="0052135A" w:rsidRDefault="0052135A" w:rsidP="008C28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
    <w:altName w:val="Verdana"/>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8452640"/>
      <w:docPartObj>
        <w:docPartGallery w:val="Page Numbers (Bottom of Page)"/>
        <w:docPartUnique/>
      </w:docPartObj>
    </w:sdtPr>
    <w:sdtEndPr>
      <w:rPr>
        <w:noProof/>
      </w:rPr>
    </w:sdtEndPr>
    <w:sdtContent>
      <w:p w14:paraId="4514E725" w14:textId="24BE5CE0" w:rsidR="00497566" w:rsidRDefault="00497566">
        <w:pPr>
          <w:pStyle w:val="Footer"/>
          <w:jc w:val="right"/>
        </w:pPr>
        <w:r>
          <w:fldChar w:fldCharType="begin"/>
        </w:r>
        <w:r>
          <w:instrText xml:space="preserve"> PAGE   \* MERGEFORMAT </w:instrText>
        </w:r>
        <w:r>
          <w:fldChar w:fldCharType="separate"/>
        </w:r>
        <w:r w:rsidR="00AF0789">
          <w:rPr>
            <w:noProof/>
          </w:rPr>
          <w:t>2</w:t>
        </w:r>
        <w:r>
          <w:rPr>
            <w:noProof/>
          </w:rPr>
          <w:fldChar w:fldCharType="end"/>
        </w:r>
      </w:p>
    </w:sdtContent>
  </w:sdt>
  <w:p w14:paraId="176646B7" w14:textId="21B20274" w:rsidR="00497566" w:rsidRPr="00B762EE" w:rsidRDefault="00497566" w:rsidP="00B762EE">
    <w:pPr>
      <w:pStyle w:val="Footer"/>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0E495" w14:textId="77777777" w:rsidR="0052135A" w:rsidRDefault="0052135A" w:rsidP="008C2892">
      <w:pPr>
        <w:spacing w:line="240" w:lineRule="auto"/>
      </w:pPr>
      <w:r>
        <w:separator/>
      </w:r>
    </w:p>
  </w:footnote>
  <w:footnote w:type="continuationSeparator" w:id="0">
    <w:p w14:paraId="14F828F3" w14:textId="77777777" w:rsidR="0052135A" w:rsidRDefault="0052135A" w:rsidP="008C2892">
      <w:pPr>
        <w:spacing w:line="240" w:lineRule="auto"/>
      </w:pPr>
      <w:r>
        <w:continuationSeparator/>
      </w:r>
    </w:p>
  </w:footnote>
  <w:footnote w:id="1">
    <w:p w14:paraId="58FE1BCB" w14:textId="30D6FAF0" w:rsidR="00AF0789" w:rsidRDefault="00AF0789" w:rsidP="00AF0789">
      <w:pPr>
        <w:pStyle w:val="FootnoteText"/>
      </w:pPr>
      <w:r>
        <w:rPr>
          <w:rStyle w:val="FootnoteReference"/>
        </w:rPr>
        <w:footnoteRef/>
      </w:r>
      <w:r>
        <w:t xml:space="preserve"> The analysis presented in this paper is a preliminary version of the material submitted to the World Bank “</w:t>
      </w:r>
      <w:r w:rsidRPr="00AF0789">
        <w:t>Squaring the Circle:</w:t>
      </w:r>
      <w:r>
        <w:t xml:space="preserve"> </w:t>
      </w:r>
      <w:r w:rsidRPr="00AF0789">
        <w:t>Policies from Europe’s Circular Economy Transition</w:t>
      </w:r>
      <w:r>
        <w:t>” (WB, 2022, forthcoming).</w:t>
      </w:r>
    </w:p>
  </w:footnote>
  <w:footnote w:id="2">
    <w:p w14:paraId="22D41296" w14:textId="77777777" w:rsidR="00497566" w:rsidRDefault="00497566" w:rsidP="00A6611E">
      <w:pPr>
        <w:pStyle w:val="FootnoteText"/>
      </w:pPr>
      <w:r>
        <w:rPr>
          <w:rStyle w:val="FootnoteReference"/>
        </w:rPr>
        <w:footnoteRef/>
      </w:r>
      <w:r>
        <w:t xml:space="preserve"> </w:t>
      </w:r>
      <w:hyperlink r:id="rId1" w:history="1">
        <w:r w:rsidRPr="004E4813">
          <w:rPr>
            <w:rStyle w:val="Hyperlink"/>
          </w:rPr>
          <w:t>https://www.consilium.europa.eu/en/policies/green-deal/eu-plan-for-a-green-transition/</w:t>
        </w:r>
      </w:hyperlink>
      <w:r>
        <w:t xml:space="preserve"> </w:t>
      </w:r>
    </w:p>
  </w:footnote>
  <w:footnote w:id="3">
    <w:p w14:paraId="10FF1F23" w14:textId="77777777" w:rsidR="00497566" w:rsidRDefault="00497566" w:rsidP="001C2BD0">
      <w:pPr>
        <w:pStyle w:val="footnote"/>
      </w:pPr>
      <w:r>
        <w:rPr>
          <w:rStyle w:val="FootnoteReference"/>
        </w:rPr>
        <w:footnoteRef/>
      </w:r>
      <w:r>
        <w:t xml:space="preserve"> Based on countries’ first NDC submissions to UNFCC</w:t>
      </w:r>
    </w:p>
  </w:footnote>
  <w:footnote w:id="4">
    <w:p w14:paraId="265A332C" w14:textId="77777777" w:rsidR="00497566" w:rsidRDefault="00497566" w:rsidP="001C2BD0">
      <w:pPr>
        <w:pStyle w:val="footnote"/>
      </w:pPr>
      <w:r>
        <w:rPr>
          <w:rStyle w:val="FootnoteReference"/>
        </w:rPr>
        <w:footnoteRef/>
      </w:r>
      <w:r>
        <w:t xml:space="preserve"> Extend scenario was not included in the combined scenario due to some overlaps with the Design and </w:t>
      </w:r>
      <w:proofErr w:type="spellStart"/>
      <w:r>
        <w:t>Prefshift</w:t>
      </w:r>
      <w:proofErr w:type="spellEnd"/>
      <w:r>
        <w:t xml:space="preserve"> scenarios</w:t>
      </w:r>
    </w:p>
  </w:footnote>
  <w:footnote w:id="5">
    <w:p w14:paraId="7878780D" w14:textId="77372503" w:rsidR="00497566" w:rsidRDefault="00497566" w:rsidP="0011383F">
      <w:pPr>
        <w:spacing w:after="120"/>
        <w:ind w:firstLine="0"/>
      </w:pPr>
      <w:r>
        <w:rPr>
          <w:rStyle w:val="FootnoteReference"/>
        </w:rPr>
        <w:footnoteRef/>
      </w:r>
      <w:r>
        <w:t xml:space="preserve"> P</w:t>
      </w:r>
      <w:r w:rsidRPr="001C2BD0">
        <w:rPr>
          <w:iCs/>
          <w:sz w:val="21"/>
          <w:szCs w:val="21"/>
        </w:rPr>
        <w:t xml:space="preserve">roduction-based </w:t>
      </w:r>
      <w:r>
        <w:rPr>
          <w:iCs/>
          <w:sz w:val="21"/>
          <w:szCs w:val="21"/>
        </w:rPr>
        <w:t>accounting</w:t>
      </w:r>
      <w:r w:rsidRPr="00413D56">
        <w:rPr>
          <w:sz w:val="21"/>
          <w:szCs w:val="21"/>
        </w:rPr>
        <w:t xml:space="preserve"> can be also referred to as a territorial-based accounting</w:t>
      </w:r>
      <w:r>
        <w:rPr>
          <w:sz w:val="21"/>
          <w:szCs w:val="21"/>
        </w:rPr>
        <w:t xml:space="preserve"> that</w:t>
      </w:r>
      <w:r w:rsidRPr="00413D56">
        <w:rPr>
          <w:sz w:val="21"/>
          <w:szCs w:val="21"/>
        </w:rPr>
        <w:t xml:space="preserve"> tracks the raw materials (e.g. bauxite ore) at the point of their direct consumption (e.g. country where </w:t>
      </w:r>
      <w:r>
        <w:rPr>
          <w:sz w:val="21"/>
          <w:szCs w:val="21"/>
        </w:rPr>
        <w:t xml:space="preserve">bauxite is used to produce </w:t>
      </w:r>
      <w:r w:rsidRPr="00413D56">
        <w:rPr>
          <w:sz w:val="21"/>
          <w:szCs w:val="21"/>
        </w:rPr>
        <w:t>aluminum). Production-based accounting can be represented via the direct material consumption (DMC) indicator and is obtained by adding domestic extraction and imports of the corresponding raw commodity and subtracting exports (Eurostat, 2001)</w:t>
      </w:r>
      <w:r>
        <w:rPr>
          <w:sz w:val="21"/>
          <w:szCs w:val="21"/>
        </w:rPr>
        <w:t xml:space="preserve">. </w:t>
      </w:r>
    </w:p>
  </w:footnote>
  <w:footnote w:id="6">
    <w:p w14:paraId="269A0D58" w14:textId="77777777" w:rsidR="00497566" w:rsidRPr="008C4774" w:rsidRDefault="00497566" w:rsidP="009D6B19">
      <w:pPr>
        <w:spacing w:after="120"/>
      </w:pPr>
      <w:r>
        <w:rPr>
          <w:rStyle w:val="FootnoteReference"/>
        </w:rPr>
        <w:footnoteRef/>
      </w:r>
      <w:r>
        <w:t xml:space="preserve"> From a consumption-based accounting perspective, however, the use of primary metals and non-metallic minerals still rises (by 4 percent and 13 percent, respectively) over the period of study. </w:t>
      </w:r>
    </w:p>
    <w:p w14:paraId="5C33CAD1" w14:textId="63BEB7B2" w:rsidR="00497566" w:rsidRDefault="00497566">
      <w:pPr>
        <w:pStyle w:val="FootnoteText"/>
      </w:pPr>
    </w:p>
  </w:footnote>
  <w:footnote w:id="7">
    <w:p w14:paraId="01C232C5" w14:textId="77777777" w:rsidR="00497566" w:rsidRDefault="00497566" w:rsidP="00A32001">
      <w:pPr>
        <w:pStyle w:val="footnote"/>
      </w:pPr>
      <w:r>
        <w:rPr>
          <w:rStyle w:val="FootnoteReference"/>
        </w:rPr>
        <w:footnoteRef/>
      </w:r>
      <w:r>
        <w:t xml:space="preserve"> Production-based materials use</w:t>
      </w:r>
    </w:p>
  </w:footnote>
  <w:footnote w:id="8">
    <w:p w14:paraId="12227028" w14:textId="77777777" w:rsidR="00497566" w:rsidRDefault="00497566" w:rsidP="00A32001">
      <w:pPr>
        <w:pStyle w:val="footnote"/>
      </w:pPr>
      <w:r>
        <w:rPr>
          <w:rStyle w:val="FootnoteReference"/>
        </w:rPr>
        <w:footnoteRef/>
      </w:r>
      <w:r>
        <w:t xml:space="preserve"> Results shown here for metals are based on the </w:t>
      </w:r>
      <w:proofErr w:type="spellStart"/>
      <w:r w:rsidRPr="00DE7E45">
        <w:t>MetalFF</w:t>
      </w:r>
      <w:proofErr w:type="spellEnd"/>
      <w:r w:rsidRPr="00DE7E45">
        <w:t>-tax</w:t>
      </w:r>
      <w:r>
        <w:t xml:space="preserve"> scenario; results shown for NMN are based on the NMN-tax scenario</w:t>
      </w:r>
    </w:p>
  </w:footnote>
  <w:footnote w:id="9">
    <w:p w14:paraId="644B9A2D" w14:textId="77777777" w:rsidR="00497566" w:rsidRDefault="00497566" w:rsidP="00F077D8">
      <w:pPr>
        <w:pStyle w:val="FootnoteText"/>
      </w:pPr>
      <w:r>
        <w:rPr>
          <w:rStyle w:val="FootnoteReference"/>
        </w:rPr>
        <w:footnoteRef/>
      </w:r>
      <w:r>
        <w:t xml:space="preserve"> To model these impacts, </w:t>
      </w:r>
      <w:r w:rsidRPr="0096466E">
        <w:t xml:space="preserve">two </w:t>
      </w:r>
      <w:r>
        <w:t>sub-scenarios are introduced to</w:t>
      </w:r>
      <w:r w:rsidRPr="0096466E">
        <w:t xml:space="preserve"> incorporate border adjustment taxes into the fiscal instrument scenarios for primary metals and non-metallic minerals (</w:t>
      </w:r>
      <w:proofErr w:type="spellStart"/>
      <w:r w:rsidRPr="0096466E">
        <w:rPr>
          <w:i/>
          <w:iCs/>
        </w:rPr>
        <w:t>MetalFF</w:t>
      </w:r>
      <w:proofErr w:type="spellEnd"/>
      <w:r w:rsidRPr="0096466E">
        <w:rPr>
          <w:i/>
          <w:iCs/>
        </w:rPr>
        <w:t>-total*BAT</w:t>
      </w:r>
      <w:r w:rsidRPr="0096466E">
        <w:t xml:space="preserve"> and </w:t>
      </w:r>
      <w:r w:rsidRPr="0096466E">
        <w:rPr>
          <w:i/>
          <w:iCs/>
        </w:rPr>
        <w:t>NMN-tax*BAT</w:t>
      </w:r>
      <w:r w:rsidRPr="0096466E">
        <w:t>)</w:t>
      </w:r>
    </w:p>
  </w:footnote>
  <w:footnote w:id="10">
    <w:p w14:paraId="43669EA4" w14:textId="77777777" w:rsidR="00497566" w:rsidRDefault="00497566" w:rsidP="00F077D8">
      <w:pPr>
        <w:pStyle w:val="footnote"/>
      </w:pPr>
      <w:r>
        <w:rPr>
          <w:rStyle w:val="FootnoteReference"/>
        </w:rPr>
        <w:footnoteRef/>
      </w:r>
      <w:r>
        <w:t xml:space="preserve"> Note that the BAT scenarios impose a tax on imports and also subsidize exporters to offset the costs of domestic taxes on exporters competing with producers in export market who do not face such taxes.</w:t>
      </w:r>
    </w:p>
  </w:footnote>
  <w:footnote w:id="11">
    <w:p w14:paraId="52E0E1CD" w14:textId="77777777" w:rsidR="00497566" w:rsidRDefault="00497566" w:rsidP="00F077D8">
      <w:pPr>
        <w:pStyle w:val="footnote"/>
      </w:pPr>
      <w:r>
        <w:rPr>
          <w:rStyle w:val="FootnoteReference"/>
        </w:rPr>
        <w:footnoteRef/>
      </w:r>
      <w:r>
        <w:t xml:space="preserve"> The</w:t>
      </w:r>
      <w:r w:rsidRPr="003B314A">
        <w:t xml:space="preserve"> share of imported metal ores in the total consumption-based use is</w:t>
      </w:r>
      <w:r>
        <w:t xml:space="preserve"> around 63% for metal ores versus 44% for NMN in </w:t>
      </w:r>
      <w:r w:rsidRPr="003B314A">
        <w:rPr>
          <w:i/>
          <w:iCs/>
        </w:rPr>
        <w:t>BAU</w:t>
      </w:r>
      <w:r>
        <w:t xml:space="preserve"> in 2030. </w:t>
      </w:r>
      <w:r w:rsidRPr="003B314A">
        <w:t xml:space="preserve"> </w:t>
      </w:r>
    </w:p>
  </w:footnote>
  <w:footnote w:id="12">
    <w:p w14:paraId="184368B7" w14:textId="77777777" w:rsidR="00497566" w:rsidRDefault="00497566" w:rsidP="00F077D8">
      <w:pPr>
        <w:pStyle w:val="footnote"/>
      </w:pPr>
      <w:r>
        <w:rPr>
          <w:rStyle w:val="FootnoteReference"/>
        </w:rPr>
        <w:footnoteRef/>
      </w:r>
      <w:r>
        <w:t xml:space="preserve"> Most trade in non-metallic minerals comes through trade in downstream products (i.e. where NMMs embedded in the final product); unlike primary fossil fuels and metals, trade in raw NMM is limited.</w:t>
      </w:r>
    </w:p>
  </w:footnote>
  <w:footnote w:id="13">
    <w:p w14:paraId="3248B664" w14:textId="77777777" w:rsidR="00497566" w:rsidRDefault="00497566" w:rsidP="008934AA">
      <w:pPr>
        <w:pStyle w:val="footnote"/>
      </w:pPr>
      <w:r>
        <w:rPr>
          <w:rStyle w:val="FootnoteReference"/>
        </w:rPr>
        <w:footnoteRef/>
      </w:r>
      <w:r>
        <w:t xml:space="preserve"> Specifically, the tax on primary materials reduces primary production to the point where it actually becomes smaller relative to secondary production. When the subsidy to secondary production is introduced together with the tax, it is stimulating a part of the industrial sector that is now larger than the primary sector, so the net effect becomes positive for industry.</w:t>
      </w:r>
    </w:p>
  </w:footnote>
  <w:footnote w:id="14">
    <w:p w14:paraId="582A1B9F" w14:textId="77777777" w:rsidR="00497566" w:rsidRDefault="00497566" w:rsidP="00F077D8">
      <w:pPr>
        <w:pStyle w:val="footnote"/>
      </w:pPr>
      <w:r>
        <w:rPr>
          <w:rStyle w:val="FootnoteReference"/>
        </w:rPr>
        <w:footnoteRef/>
      </w:r>
      <w:r>
        <w:t xml:space="preserve"> One important methodological note: upstream and consumption scenarios (</w:t>
      </w:r>
      <w:r w:rsidRPr="00E3714A">
        <w:rPr>
          <w:i/>
          <w:iCs/>
        </w:rPr>
        <w:t xml:space="preserve">Design, Extend, </w:t>
      </w:r>
      <w:proofErr w:type="spellStart"/>
      <w:r w:rsidRPr="00E3714A">
        <w:rPr>
          <w:i/>
          <w:iCs/>
        </w:rPr>
        <w:t>PrefShift</w:t>
      </w:r>
      <w:proofErr w:type="spellEnd"/>
      <w:r>
        <w:t xml:space="preserve">) </w:t>
      </w:r>
      <w:r w:rsidRPr="006B43C2">
        <w:t>do not consider costs (investments) required to achieve them</w:t>
      </w:r>
      <w:r>
        <w:t xml:space="preserve"> – such </w:t>
      </w:r>
      <w:r w:rsidRPr="006B43C2">
        <w:t xml:space="preserve">investments </w:t>
      </w:r>
      <w:r>
        <w:t>would be expected to contribute positively to growth.</w:t>
      </w:r>
    </w:p>
  </w:footnote>
  <w:footnote w:id="15">
    <w:p w14:paraId="62727CE6" w14:textId="77777777" w:rsidR="00497566" w:rsidRDefault="00497566" w:rsidP="00F077D8">
      <w:pPr>
        <w:pStyle w:val="footnote"/>
      </w:pPr>
      <w:r>
        <w:rPr>
          <w:rStyle w:val="FootnoteReference"/>
        </w:rPr>
        <w:footnoteRef/>
      </w:r>
      <w:r>
        <w:t xml:space="preserve"> Consumption-side scenarios are not shown here as they are impacted by the construction of the scenarios – specifically consumer preference shifts are induced in the model by triggering exogenous price changes.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993EC" w14:textId="0A6C76A2" w:rsidR="00497566" w:rsidRDefault="0052135A">
    <w:pPr>
      <w:pStyle w:val="Header"/>
    </w:pPr>
    <w:r>
      <w:rPr>
        <w:noProof/>
      </w:rPr>
      <w:pict w14:anchorId="7343C8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803266" o:spid="_x0000_s2050" type="#_x0000_t136" style="position:absolute;left:0;text-align:left;margin-left:0;margin-top:0;width:594.4pt;height:77.5pt;rotation:315;z-index:-251655168;mso-position-horizontal:center;mso-position-horizontal-relative:margin;mso-position-vertical:center;mso-position-vertical-relative:margin" o:allowincell="f" fillcolor="silver" stroked="f">
          <v:fill opacity=".5"/>
          <v:textpath style="font-family:&quot;Calibri&quot;;font-size:1pt" string="DRAFT: NOT FOR PUBLIC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5F88D" w14:textId="2F3931E1" w:rsidR="00497566" w:rsidRDefault="0052135A">
    <w:pPr>
      <w:pStyle w:val="Header"/>
    </w:pPr>
    <w:r>
      <w:rPr>
        <w:noProof/>
      </w:rPr>
      <w:pict w14:anchorId="28931F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803267" o:spid="_x0000_s2051" type="#_x0000_t136" style="position:absolute;left:0;text-align:left;margin-left:0;margin-top:0;width:594.4pt;height:77.5pt;rotation:315;z-index:-251653120;mso-position-horizontal:center;mso-position-horizontal-relative:margin;mso-position-vertical:center;mso-position-vertical-relative:margin" o:allowincell="f" fillcolor="silver" stroked="f">
          <v:fill opacity=".5"/>
          <v:textpath style="font-family:&quot;Calibri&quot;;font-size:1pt" string="DRAFT: NOT FOR PUBLICATIO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73A87" w14:textId="0366E244" w:rsidR="00497566" w:rsidRDefault="0052135A">
    <w:pPr>
      <w:pStyle w:val="Header"/>
    </w:pPr>
    <w:r>
      <w:rPr>
        <w:noProof/>
      </w:rPr>
      <w:pict w14:anchorId="01004B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803265" o:spid="_x0000_s2049" type="#_x0000_t136" style="position:absolute;left:0;text-align:left;margin-left:0;margin-top:0;width:594.4pt;height:77.5pt;rotation:315;z-index:-251657216;mso-position-horizontal:center;mso-position-horizontal-relative:margin;mso-position-vertical:center;mso-position-vertical-relative:margin" o:allowincell="f" fillcolor="silver" stroked="f">
          <v:fill opacity=".5"/>
          <v:textpath style="font-family:&quot;Calibri&quot;;font-size:1pt" string="DRAFT: NOT FOR PUBLIC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8087F"/>
    <w:multiLevelType w:val="hybridMultilevel"/>
    <w:tmpl w:val="393C0B52"/>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0FE3333B"/>
    <w:multiLevelType w:val="hybridMultilevel"/>
    <w:tmpl w:val="3B6E35EE"/>
    <w:lvl w:ilvl="0" w:tplc="5456CA62">
      <w:start w:val="1"/>
      <w:numFmt w:val="bullet"/>
      <w:lvlText w:val="•"/>
      <w:lvlJc w:val="left"/>
      <w:pPr>
        <w:tabs>
          <w:tab w:val="num" w:pos="720"/>
        </w:tabs>
        <w:ind w:left="720" w:hanging="360"/>
      </w:pPr>
      <w:rPr>
        <w:rFonts w:ascii="Arial" w:hAnsi="Arial" w:hint="default"/>
      </w:rPr>
    </w:lvl>
    <w:lvl w:ilvl="1" w:tplc="A6243F84" w:tentative="1">
      <w:start w:val="1"/>
      <w:numFmt w:val="bullet"/>
      <w:lvlText w:val="•"/>
      <w:lvlJc w:val="left"/>
      <w:pPr>
        <w:tabs>
          <w:tab w:val="num" w:pos="1440"/>
        </w:tabs>
        <w:ind w:left="1440" w:hanging="360"/>
      </w:pPr>
      <w:rPr>
        <w:rFonts w:ascii="Arial" w:hAnsi="Arial" w:hint="default"/>
      </w:rPr>
    </w:lvl>
    <w:lvl w:ilvl="2" w:tplc="04AC9DA4" w:tentative="1">
      <w:start w:val="1"/>
      <w:numFmt w:val="bullet"/>
      <w:lvlText w:val="•"/>
      <w:lvlJc w:val="left"/>
      <w:pPr>
        <w:tabs>
          <w:tab w:val="num" w:pos="2160"/>
        </w:tabs>
        <w:ind w:left="2160" w:hanging="360"/>
      </w:pPr>
      <w:rPr>
        <w:rFonts w:ascii="Arial" w:hAnsi="Arial" w:hint="default"/>
      </w:rPr>
    </w:lvl>
    <w:lvl w:ilvl="3" w:tplc="2BCC7DB2" w:tentative="1">
      <w:start w:val="1"/>
      <w:numFmt w:val="bullet"/>
      <w:lvlText w:val="•"/>
      <w:lvlJc w:val="left"/>
      <w:pPr>
        <w:tabs>
          <w:tab w:val="num" w:pos="2880"/>
        </w:tabs>
        <w:ind w:left="2880" w:hanging="360"/>
      </w:pPr>
      <w:rPr>
        <w:rFonts w:ascii="Arial" w:hAnsi="Arial" w:hint="default"/>
      </w:rPr>
    </w:lvl>
    <w:lvl w:ilvl="4" w:tplc="904A1280" w:tentative="1">
      <w:start w:val="1"/>
      <w:numFmt w:val="bullet"/>
      <w:lvlText w:val="•"/>
      <w:lvlJc w:val="left"/>
      <w:pPr>
        <w:tabs>
          <w:tab w:val="num" w:pos="3600"/>
        </w:tabs>
        <w:ind w:left="3600" w:hanging="360"/>
      </w:pPr>
      <w:rPr>
        <w:rFonts w:ascii="Arial" w:hAnsi="Arial" w:hint="default"/>
      </w:rPr>
    </w:lvl>
    <w:lvl w:ilvl="5" w:tplc="02E2E9D2" w:tentative="1">
      <w:start w:val="1"/>
      <w:numFmt w:val="bullet"/>
      <w:lvlText w:val="•"/>
      <w:lvlJc w:val="left"/>
      <w:pPr>
        <w:tabs>
          <w:tab w:val="num" w:pos="4320"/>
        </w:tabs>
        <w:ind w:left="4320" w:hanging="360"/>
      </w:pPr>
      <w:rPr>
        <w:rFonts w:ascii="Arial" w:hAnsi="Arial" w:hint="default"/>
      </w:rPr>
    </w:lvl>
    <w:lvl w:ilvl="6" w:tplc="A4886682" w:tentative="1">
      <w:start w:val="1"/>
      <w:numFmt w:val="bullet"/>
      <w:lvlText w:val="•"/>
      <w:lvlJc w:val="left"/>
      <w:pPr>
        <w:tabs>
          <w:tab w:val="num" w:pos="5040"/>
        </w:tabs>
        <w:ind w:left="5040" w:hanging="360"/>
      </w:pPr>
      <w:rPr>
        <w:rFonts w:ascii="Arial" w:hAnsi="Arial" w:hint="default"/>
      </w:rPr>
    </w:lvl>
    <w:lvl w:ilvl="7" w:tplc="F0B28892" w:tentative="1">
      <w:start w:val="1"/>
      <w:numFmt w:val="bullet"/>
      <w:lvlText w:val="•"/>
      <w:lvlJc w:val="left"/>
      <w:pPr>
        <w:tabs>
          <w:tab w:val="num" w:pos="5760"/>
        </w:tabs>
        <w:ind w:left="5760" w:hanging="360"/>
      </w:pPr>
      <w:rPr>
        <w:rFonts w:ascii="Arial" w:hAnsi="Arial" w:hint="default"/>
      </w:rPr>
    </w:lvl>
    <w:lvl w:ilvl="8" w:tplc="BA76E9A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F2200A7"/>
    <w:multiLevelType w:val="hybridMultilevel"/>
    <w:tmpl w:val="548262C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6BC0D35"/>
    <w:multiLevelType w:val="hybridMultilevel"/>
    <w:tmpl w:val="00529FC4"/>
    <w:lvl w:ilvl="0" w:tplc="12E2BBB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5107CF1"/>
    <w:multiLevelType w:val="hybridMultilevel"/>
    <w:tmpl w:val="F4284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844A9C"/>
    <w:multiLevelType w:val="multilevel"/>
    <w:tmpl w:val="0EE01918"/>
    <w:lvl w:ilvl="0">
      <w:start w:val="2"/>
      <w:numFmt w:val="decimal"/>
      <w:lvlText w:val="4.%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5E8E38CD"/>
    <w:multiLevelType w:val="hybridMultilevel"/>
    <w:tmpl w:val="B9BE5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D05785"/>
    <w:multiLevelType w:val="hybridMultilevel"/>
    <w:tmpl w:val="B73E5EA0"/>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8" w15:restartNumberingAfterBreak="0">
    <w:nsid w:val="63AA4AD6"/>
    <w:multiLevelType w:val="hybridMultilevel"/>
    <w:tmpl w:val="9072F912"/>
    <w:lvl w:ilvl="0" w:tplc="0409000B">
      <w:start w:val="1"/>
      <w:numFmt w:val="bullet"/>
      <w:lvlText w:val=""/>
      <w:lvlJc w:val="left"/>
      <w:pPr>
        <w:tabs>
          <w:tab w:val="num" w:pos="720"/>
        </w:tabs>
        <w:ind w:left="720" w:hanging="360"/>
      </w:pPr>
      <w:rPr>
        <w:rFonts w:ascii="Wingdings" w:hAnsi="Wingdings" w:hint="default"/>
      </w:rPr>
    </w:lvl>
    <w:lvl w:ilvl="1" w:tplc="A6243F84" w:tentative="1">
      <w:start w:val="1"/>
      <w:numFmt w:val="bullet"/>
      <w:lvlText w:val="•"/>
      <w:lvlJc w:val="left"/>
      <w:pPr>
        <w:tabs>
          <w:tab w:val="num" w:pos="1440"/>
        </w:tabs>
        <w:ind w:left="1440" w:hanging="360"/>
      </w:pPr>
      <w:rPr>
        <w:rFonts w:ascii="Arial" w:hAnsi="Arial" w:hint="default"/>
      </w:rPr>
    </w:lvl>
    <w:lvl w:ilvl="2" w:tplc="04AC9DA4" w:tentative="1">
      <w:start w:val="1"/>
      <w:numFmt w:val="bullet"/>
      <w:lvlText w:val="•"/>
      <w:lvlJc w:val="left"/>
      <w:pPr>
        <w:tabs>
          <w:tab w:val="num" w:pos="2160"/>
        </w:tabs>
        <w:ind w:left="2160" w:hanging="360"/>
      </w:pPr>
      <w:rPr>
        <w:rFonts w:ascii="Arial" w:hAnsi="Arial" w:hint="default"/>
      </w:rPr>
    </w:lvl>
    <w:lvl w:ilvl="3" w:tplc="2BCC7DB2" w:tentative="1">
      <w:start w:val="1"/>
      <w:numFmt w:val="bullet"/>
      <w:lvlText w:val="•"/>
      <w:lvlJc w:val="left"/>
      <w:pPr>
        <w:tabs>
          <w:tab w:val="num" w:pos="2880"/>
        </w:tabs>
        <w:ind w:left="2880" w:hanging="360"/>
      </w:pPr>
      <w:rPr>
        <w:rFonts w:ascii="Arial" w:hAnsi="Arial" w:hint="default"/>
      </w:rPr>
    </w:lvl>
    <w:lvl w:ilvl="4" w:tplc="904A1280" w:tentative="1">
      <w:start w:val="1"/>
      <w:numFmt w:val="bullet"/>
      <w:lvlText w:val="•"/>
      <w:lvlJc w:val="left"/>
      <w:pPr>
        <w:tabs>
          <w:tab w:val="num" w:pos="3600"/>
        </w:tabs>
        <w:ind w:left="3600" w:hanging="360"/>
      </w:pPr>
      <w:rPr>
        <w:rFonts w:ascii="Arial" w:hAnsi="Arial" w:hint="default"/>
      </w:rPr>
    </w:lvl>
    <w:lvl w:ilvl="5" w:tplc="02E2E9D2" w:tentative="1">
      <w:start w:val="1"/>
      <w:numFmt w:val="bullet"/>
      <w:lvlText w:val="•"/>
      <w:lvlJc w:val="left"/>
      <w:pPr>
        <w:tabs>
          <w:tab w:val="num" w:pos="4320"/>
        </w:tabs>
        <w:ind w:left="4320" w:hanging="360"/>
      </w:pPr>
      <w:rPr>
        <w:rFonts w:ascii="Arial" w:hAnsi="Arial" w:hint="default"/>
      </w:rPr>
    </w:lvl>
    <w:lvl w:ilvl="6" w:tplc="A4886682" w:tentative="1">
      <w:start w:val="1"/>
      <w:numFmt w:val="bullet"/>
      <w:lvlText w:val="•"/>
      <w:lvlJc w:val="left"/>
      <w:pPr>
        <w:tabs>
          <w:tab w:val="num" w:pos="5040"/>
        </w:tabs>
        <w:ind w:left="5040" w:hanging="360"/>
      </w:pPr>
      <w:rPr>
        <w:rFonts w:ascii="Arial" w:hAnsi="Arial" w:hint="default"/>
      </w:rPr>
    </w:lvl>
    <w:lvl w:ilvl="7" w:tplc="F0B28892" w:tentative="1">
      <w:start w:val="1"/>
      <w:numFmt w:val="bullet"/>
      <w:lvlText w:val="•"/>
      <w:lvlJc w:val="left"/>
      <w:pPr>
        <w:tabs>
          <w:tab w:val="num" w:pos="5760"/>
        </w:tabs>
        <w:ind w:left="5760" w:hanging="360"/>
      </w:pPr>
      <w:rPr>
        <w:rFonts w:ascii="Arial" w:hAnsi="Arial" w:hint="default"/>
      </w:rPr>
    </w:lvl>
    <w:lvl w:ilvl="8" w:tplc="BA76E9A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85119AF"/>
    <w:multiLevelType w:val="hybridMultilevel"/>
    <w:tmpl w:val="0752100A"/>
    <w:lvl w:ilvl="0" w:tplc="04090005">
      <w:start w:val="1"/>
      <w:numFmt w:val="bullet"/>
      <w:lvlText w:val=""/>
      <w:lvlJc w:val="left"/>
      <w:pPr>
        <w:ind w:left="1267" w:hanging="360"/>
      </w:pPr>
      <w:rPr>
        <w:rFonts w:ascii="Wingdings" w:hAnsi="Wingdings" w:hint="default"/>
      </w:rPr>
    </w:lvl>
    <w:lvl w:ilvl="1" w:tplc="FFFFFFFF" w:tentative="1">
      <w:start w:val="1"/>
      <w:numFmt w:val="bullet"/>
      <w:lvlText w:val="o"/>
      <w:lvlJc w:val="left"/>
      <w:pPr>
        <w:ind w:left="1987" w:hanging="360"/>
      </w:pPr>
      <w:rPr>
        <w:rFonts w:ascii="Courier New" w:hAnsi="Courier New" w:cs="Courier New" w:hint="default"/>
      </w:rPr>
    </w:lvl>
    <w:lvl w:ilvl="2" w:tplc="FFFFFFFF" w:tentative="1">
      <w:start w:val="1"/>
      <w:numFmt w:val="bullet"/>
      <w:lvlText w:val=""/>
      <w:lvlJc w:val="left"/>
      <w:pPr>
        <w:ind w:left="2707" w:hanging="360"/>
      </w:pPr>
      <w:rPr>
        <w:rFonts w:ascii="Wingdings" w:hAnsi="Wingdings" w:hint="default"/>
      </w:rPr>
    </w:lvl>
    <w:lvl w:ilvl="3" w:tplc="FFFFFFFF" w:tentative="1">
      <w:start w:val="1"/>
      <w:numFmt w:val="bullet"/>
      <w:lvlText w:val=""/>
      <w:lvlJc w:val="left"/>
      <w:pPr>
        <w:ind w:left="3427" w:hanging="360"/>
      </w:pPr>
      <w:rPr>
        <w:rFonts w:ascii="Symbol" w:hAnsi="Symbol" w:hint="default"/>
      </w:rPr>
    </w:lvl>
    <w:lvl w:ilvl="4" w:tplc="FFFFFFFF" w:tentative="1">
      <w:start w:val="1"/>
      <w:numFmt w:val="bullet"/>
      <w:lvlText w:val="o"/>
      <w:lvlJc w:val="left"/>
      <w:pPr>
        <w:ind w:left="4147" w:hanging="360"/>
      </w:pPr>
      <w:rPr>
        <w:rFonts w:ascii="Courier New" w:hAnsi="Courier New" w:cs="Courier New" w:hint="default"/>
      </w:rPr>
    </w:lvl>
    <w:lvl w:ilvl="5" w:tplc="FFFFFFFF" w:tentative="1">
      <w:start w:val="1"/>
      <w:numFmt w:val="bullet"/>
      <w:lvlText w:val=""/>
      <w:lvlJc w:val="left"/>
      <w:pPr>
        <w:ind w:left="4867" w:hanging="360"/>
      </w:pPr>
      <w:rPr>
        <w:rFonts w:ascii="Wingdings" w:hAnsi="Wingdings" w:hint="default"/>
      </w:rPr>
    </w:lvl>
    <w:lvl w:ilvl="6" w:tplc="FFFFFFFF" w:tentative="1">
      <w:start w:val="1"/>
      <w:numFmt w:val="bullet"/>
      <w:lvlText w:val=""/>
      <w:lvlJc w:val="left"/>
      <w:pPr>
        <w:ind w:left="5587" w:hanging="360"/>
      </w:pPr>
      <w:rPr>
        <w:rFonts w:ascii="Symbol" w:hAnsi="Symbol" w:hint="default"/>
      </w:rPr>
    </w:lvl>
    <w:lvl w:ilvl="7" w:tplc="FFFFFFFF" w:tentative="1">
      <w:start w:val="1"/>
      <w:numFmt w:val="bullet"/>
      <w:lvlText w:val="o"/>
      <w:lvlJc w:val="left"/>
      <w:pPr>
        <w:ind w:left="6307" w:hanging="360"/>
      </w:pPr>
      <w:rPr>
        <w:rFonts w:ascii="Courier New" w:hAnsi="Courier New" w:cs="Courier New" w:hint="default"/>
      </w:rPr>
    </w:lvl>
    <w:lvl w:ilvl="8" w:tplc="FFFFFFFF" w:tentative="1">
      <w:start w:val="1"/>
      <w:numFmt w:val="bullet"/>
      <w:lvlText w:val=""/>
      <w:lvlJc w:val="left"/>
      <w:pPr>
        <w:ind w:left="7027" w:hanging="360"/>
      </w:pPr>
      <w:rPr>
        <w:rFonts w:ascii="Wingdings" w:hAnsi="Wingdings" w:hint="default"/>
      </w:rPr>
    </w:lvl>
  </w:abstractNum>
  <w:num w:numId="1">
    <w:abstractNumId w:val="4"/>
  </w:num>
  <w:num w:numId="2">
    <w:abstractNumId w:val="0"/>
  </w:num>
  <w:num w:numId="3">
    <w:abstractNumId w:val="7"/>
  </w:num>
  <w:num w:numId="4">
    <w:abstractNumId w:val="9"/>
  </w:num>
  <w:num w:numId="5">
    <w:abstractNumId w:val="1"/>
  </w:num>
  <w:num w:numId="6">
    <w:abstractNumId w:val="8"/>
  </w:num>
  <w:num w:numId="7">
    <w:abstractNumId w:val="2"/>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s-ES_tradnl" w:vendorID="64" w:dllVersion="6" w:nlCheck="1" w:checkStyle="0"/>
  <w:activeWritingStyle w:appName="MSWord" w:lang="fr-BE" w:vendorID="64" w:dllVersion="6" w:nlCheck="1" w:checkStyle="0"/>
  <w:activeWritingStyle w:appName="MSWord" w:lang="en-CA"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es-ES_tradnl" w:vendorID="64" w:dllVersion="4096" w:nlCheck="1" w:checkStyle="0"/>
  <w:activeWritingStyle w:appName="MSWord" w:lang="fr-BE" w:vendorID="64" w:dllVersion="4096" w:nlCheck="1" w:checkStyle="0"/>
  <w:activeWritingStyle w:appName="MSWord" w:lang="en-CA"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s-EC" w:vendorID="64" w:dllVersion="4096" w:nlCheck="1" w:checkStyle="0"/>
  <w:activeWritingStyle w:appName="MSWord" w:lang="es-EC" w:vendorID="64" w:dllVersion="6" w:nlCheck="1" w:checkStyle="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18C"/>
    <w:rsid w:val="00003387"/>
    <w:rsid w:val="00005021"/>
    <w:rsid w:val="00032C7A"/>
    <w:rsid w:val="000350A0"/>
    <w:rsid w:val="00045781"/>
    <w:rsid w:val="00050AB1"/>
    <w:rsid w:val="0006142E"/>
    <w:rsid w:val="0008165D"/>
    <w:rsid w:val="000B5257"/>
    <w:rsid w:val="000C3168"/>
    <w:rsid w:val="000C3425"/>
    <w:rsid w:val="000D0679"/>
    <w:rsid w:val="000F06E2"/>
    <w:rsid w:val="000F4421"/>
    <w:rsid w:val="0011383F"/>
    <w:rsid w:val="00120643"/>
    <w:rsid w:val="00144AA3"/>
    <w:rsid w:val="0014757D"/>
    <w:rsid w:val="001521B3"/>
    <w:rsid w:val="0015279B"/>
    <w:rsid w:val="00171AF0"/>
    <w:rsid w:val="0017638F"/>
    <w:rsid w:val="0018053C"/>
    <w:rsid w:val="00181FEE"/>
    <w:rsid w:val="0018720F"/>
    <w:rsid w:val="00196D83"/>
    <w:rsid w:val="001A0111"/>
    <w:rsid w:val="001A336A"/>
    <w:rsid w:val="001A459B"/>
    <w:rsid w:val="001B03AC"/>
    <w:rsid w:val="001C2372"/>
    <w:rsid w:val="001C2BD0"/>
    <w:rsid w:val="001C5816"/>
    <w:rsid w:val="001D5133"/>
    <w:rsid w:val="001D5CEA"/>
    <w:rsid w:val="001D6873"/>
    <w:rsid w:val="001E6ADD"/>
    <w:rsid w:val="001F1DDA"/>
    <w:rsid w:val="00224FB7"/>
    <w:rsid w:val="00283672"/>
    <w:rsid w:val="002A5C5B"/>
    <w:rsid w:val="002B6AC5"/>
    <w:rsid w:val="002C1027"/>
    <w:rsid w:val="002E1BA3"/>
    <w:rsid w:val="002E7E7B"/>
    <w:rsid w:val="00301D3A"/>
    <w:rsid w:val="00302C04"/>
    <w:rsid w:val="003057CC"/>
    <w:rsid w:val="00311FCB"/>
    <w:rsid w:val="003330DE"/>
    <w:rsid w:val="0034238C"/>
    <w:rsid w:val="00345670"/>
    <w:rsid w:val="003510DF"/>
    <w:rsid w:val="00353182"/>
    <w:rsid w:val="0037414A"/>
    <w:rsid w:val="00393EA0"/>
    <w:rsid w:val="00396CA1"/>
    <w:rsid w:val="003A1EAD"/>
    <w:rsid w:val="003B4505"/>
    <w:rsid w:val="003C4F30"/>
    <w:rsid w:val="003C5C8D"/>
    <w:rsid w:val="003C671F"/>
    <w:rsid w:val="003D420D"/>
    <w:rsid w:val="003D5B09"/>
    <w:rsid w:val="003F0108"/>
    <w:rsid w:val="00406235"/>
    <w:rsid w:val="004162C1"/>
    <w:rsid w:val="004266B9"/>
    <w:rsid w:val="00434534"/>
    <w:rsid w:val="00445BC5"/>
    <w:rsid w:val="00473C94"/>
    <w:rsid w:val="00475D26"/>
    <w:rsid w:val="00480797"/>
    <w:rsid w:val="00490C84"/>
    <w:rsid w:val="0049436E"/>
    <w:rsid w:val="00497566"/>
    <w:rsid w:val="004A2760"/>
    <w:rsid w:val="004B2946"/>
    <w:rsid w:val="004B539A"/>
    <w:rsid w:val="004C2BA6"/>
    <w:rsid w:val="004E3A35"/>
    <w:rsid w:val="004F4351"/>
    <w:rsid w:val="00501233"/>
    <w:rsid w:val="0050196A"/>
    <w:rsid w:val="0050743C"/>
    <w:rsid w:val="0052135A"/>
    <w:rsid w:val="005348A5"/>
    <w:rsid w:val="0053682C"/>
    <w:rsid w:val="00537B1D"/>
    <w:rsid w:val="00540BE1"/>
    <w:rsid w:val="0054303F"/>
    <w:rsid w:val="00545286"/>
    <w:rsid w:val="0055375A"/>
    <w:rsid w:val="005644F1"/>
    <w:rsid w:val="00574A6F"/>
    <w:rsid w:val="005950DE"/>
    <w:rsid w:val="005A1C11"/>
    <w:rsid w:val="005B6034"/>
    <w:rsid w:val="005C55DB"/>
    <w:rsid w:val="005F01BE"/>
    <w:rsid w:val="005F5B9F"/>
    <w:rsid w:val="006027EA"/>
    <w:rsid w:val="00605608"/>
    <w:rsid w:val="006211CC"/>
    <w:rsid w:val="00632B3A"/>
    <w:rsid w:val="00641C96"/>
    <w:rsid w:val="00646ABD"/>
    <w:rsid w:val="006527FC"/>
    <w:rsid w:val="0065338A"/>
    <w:rsid w:val="006674CD"/>
    <w:rsid w:val="00672105"/>
    <w:rsid w:val="006744EF"/>
    <w:rsid w:val="006A32F3"/>
    <w:rsid w:val="006B2358"/>
    <w:rsid w:val="006C3C95"/>
    <w:rsid w:val="006D14E6"/>
    <w:rsid w:val="006D6C35"/>
    <w:rsid w:val="00717632"/>
    <w:rsid w:val="0073016A"/>
    <w:rsid w:val="00734C43"/>
    <w:rsid w:val="007479F3"/>
    <w:rsid w:val="00751813"/>
    <w:rsid w:val="00752529"/>
    <w:rsid w:val="00765E08"/>
    <w:rsid w:val="007A0BE1"/>
    <w:rsid w:val="007E027A"/>
    <w:rsid w:val="007E0BA4"/>
    <w:rsid w:val="00802E3F"/>
    <w:rsid w:val="008131FA"/>
    <w:rsid w:val="00827C85"/>
    <w:rsid w:val="008446ED"/>
    <w:rsid w:val="00854131"/>
    <w:rsid w:val="00882A5F"/>
    <w:rsid w:val="0088662C"/>
    <w:rsid w:val="008934AA"/>
    <w:rsid w:val="008A2D3E"/>
    <w:rsid w:val="008A38B6"/>
    <w:rsid w:val="008B293F"/>
    <w:rsid w:val="008B29BE"/>
    <w:rsid w:val="008B4F60"/>
    <w:rsid w:val="008B7435"/>
    <w:rsid w:val="008C2892"/>
    <w:rsid w:val="008C4774"/>
    <w:rsid w:val="008D7C8C"/>
    <w:rsid w:val="008F0AA7"/>
    <w:rsid w:val="008F0E59"/>
    <w:rsid w:val="00902C18"/>
    <w:rsid w:val="00924A12"/>
    <w:rsid w:val="00924BD5"/>
    <w:rsid w:val="00935FF2"/>
    <w:rsid w:val="0096073F"/>
    <w:rsid w:val="00961908"/>
    <w:rsid w:val="00974E80"/>
    <w:rsid w:val="0097603B"/>
    <w:rsid w:val="00987188"/>
    <w:rsid w:val="009A783A"/>
    <w:rsid w:val="009B1350"/>
    <w:rsid w:val="009B142D"/>
    <w:rsid w:val="009C7D2A"/>
    <w:rsid w:val="009D6B19"/>
    <w:rsid w:val="009E6CEA"/>
    <w:rsid w:val="009F5441"/>
    <w:rsid w:val="00A01781"/>
    <w:rsid w:val="00A02899"/>
    <w:rsid w:val="00A067F0"/>
    <w:rsid w:val="00A319EA"/>
    <w:rsid w:val="00A32001"/>
    <w:rsid w:val="00A335BD"/>
    <w:rsid w:val="00A417C3"/>
    <w:rsid w:val="00A448E4"/>
    <w:rsid w:val="00A61326"/>
    <w:rsid w:val="00A61D53"/>
    <w:rsid w:val="00A6611E"/>
    <w:rsid w:val="00A82A28"/>
    <w:rsid w:val="00A840AB"/>
    <w:rsid w:val="00AA4EB6"/>
    <w:rsid w:val="00AB1C00"/>
    <w:rsid w:val="00AC0115"/>
    <w:rsid w:val="00AC1081"/>
    <w:rsid w:val="00AC2265"/>
    <w:rsid w:val="00AD218C"/>
    <w:rsid w:val="00AD4B79"/>
    <w:rsid w:val="00AE5977"/>
    <w:rsid w:val="00AF0789"/>
    <w:rsid w:val="00B03260"/>
    <w:rsid w:val="00B100BB"/>
    <w:rsid w:val="00B17F39"/>
    <w:rsid w:val="00B225D5"/>
    <w:rsid w:val="00B22BAD"/>
    <w:rsid w:val="00B22C08"/>
    <w:rsid w:val="00B33FFD"/>
    <w:rsid w:val="00B345AA"/>
    <w:rsid w:val="00B4253F"/>
    <w:rsid w:val="00B44548"/>
    <w:rsid w:val="00B44A9C"/>
    <w:rsid w:val="00B65008"/>
    <w:rsid w:val="00B70BA6"/>
    <w:rsid w:val="00B742BB"/>
    <w:rsid w:val="00B7609A"/>
    <w:rsid w:val="00B762EE"/>
    <w:rsid w:val="00B951E5"/>
    <w:rsid w:val="00BA4C72"/>
    <w:rsid w:val="00BC5AB5"/>
    <w:rsid w:val="00BC7451"/>
    <w:rsid w:val="00BD1FB5"/>
    <w:rsid w:val="00BF1A89"/>
    <w:rsid w:val="00BF608A"/>
    <w:rsid w:val="00BF6941"/>
    <w:rsid w:val="00C117CE"/>
    <w:rsid w:val="00C23ADA"/>
    <w:rsid w:val="00C2646A"/>
    <w:rsid w:val="00C2690A"/>
    <w:rsid w:val="00C34CE4"/>
    <w:rsid w:val="00C364F2"/>
    <w:rsid w:val="00C36612"/>
    <w:rsid w:val="00C460C0"/>
    <w:rsid w:val="00C541B6"/>
    <w:rsid w:val="00C92351"/>
    <w:rsid w:val="00CA3165"/>
    <w:rsid w:val="00CA6D5A"/>
    <w:rsid w:val="00CB0D0E"/>
    <w:rsid w:val="00CC46F6"/>
    <w:rsid w:val="00CC6D53"/>
    <w:rsid w:val="00CE23E1"/>
    <w:rsid w:val="00D14D66"/>
    <w:rsid w:val="00D2137A"/>
    <w:rsid w:val="00D2338D"/>
    <w:rsid w:val="00D31FE1"/>
    <w:rsid w:val="00D367A7"/>
    <w:rsid w:val="00D3798D"/>
    <w:rsid w:val="00D44554"/>
    <w:rsid w:val="00D4659E"/>
    <w:rsid w:val="00D517C4"/>
    <w:rsid w:val="00D706B2"/>
    <w:rsid w:val="00D86976"/>
    <w:rsid w:val="00D94680"/>
    <w:rsid w:val="00DE425B"/>
    <w:rsid w:val="00DE7AF8"/>
    <w:rsid w:val="00DF01C8"/>
    <w:rsid w:val="00E12DF1"/>
    <w:rsid w:val="00E20417"/>
    <w:rsid w:val="00E33E2D"/>
    <w:rsid w:val="00E40B5F"/>
    <w:rsid w:val="00E50815"/>
    <w:rsid w:val="00E54B43"/>
    <w:rsid w:val="00E56E65"/>
    <w:rsid w:val="00E576FC"/>
    <w:rsid w:val="00E62904"/>
    <w:rsid w:val="00E6572B"/>
    <w:rsid w:val="00E65BD9"/>
    <w:rsid w:val="00E745B9"/>
    <w:rsid w:val="00E84B40"/>
    <w:rsid w:val="00E86179"/>
    <w:rsid w:val="00EA48DC"/>
    <w:rsid w:val="00EA6875"/>
    <w:rsid w:val="00EA7EB7"/>
    <w:rsid w:val="00EB2B30"/>
    <w:rsid w:val="00EB2EB3"/>
    <w:rsid w:val="00ED111F"/>
    <w:rsid w:val="00ED60E7"/>
    <w:rsid w:val="00EF7B9F"/>
    <w:rsid w:val="00F077D8"/>
    <w:rsid w:val="00F115F5"/>
    <w:rsid w:val="00F1527C"/>
    <w:rsid w:val="00F341EB"/>
    <w:rsid w:val="00F562BE"/>
    <w:rsid w:val="00F716BD"/>
    <w:rsid w:val="00F7569F"/>
    <w:rsid w:val="00F90C4B"/>
    <w:rsid w:val="00FA2260"/>
    <w:rsid w:val="00FD1630"/>
    <w:rsid w:val="00FD3070"/>
    <w:rsid w:val="00FE0ED2"/>
    <w:rsid w:val="00FF27B1"/>
    <w:rsid w:val="00FF6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2899E38"/>
  <w15:chartTrackingRefBased/>
  <w15:docId w15:val="{0DF21F9E-E679-4CE2-8957-12379F06C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816"/>
    <w:pPr>
      <w:spacing w:after="0"/>
      <w:ind w:firstLine="547"/>
      <w:jc w:val="both"/>
    </w:pPr>
    <w:rPr>
      <w:sz w:val="24"/>
    </w:rPr>
  </w:style>
  <w:style w:type="paragraph" w:styleId="Heading1">
    <w:name w:val="heading 1"/>
    <w:basedOn w:val="Normal"/>
    <w:next w:val="Normal"/>
    <w:link w:val="Heading1Char"/>
    <w:uiPriority w:val="9"/>
    <w:qFormat/>
    <w:rsid w:val="00A335B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335B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7603B"/>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2C04"/>
    <w:pPr>
      <w:ind w:left="720"/>
      <w:contextualSpacing/>
    </w:pPr>
  </w:style>
  <w:style w:type="paragraph" w:styleId="BalloonText">
    <w:name w:val="Balloon Text"/>
    <w:basedOn w:val="Normal"/>
    <w:link w:val="BalloonTextChar"/>
    <w:uiPriority w:val="99"/>
    <w:semiHidden/>
    <w:unhideWhenUsed/>
    <w:rsid w:val="00A319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19EA"/>
    <w:rPr>
      <w:rFonts w:ascii="Segoe UI" w:hAnsi="Segoe UI" w:cs="Segoe UI"/>
      <w:sz w:val="18"/>
      <w:szCs w:val="18"/>
    </w:rPr>
  </w:style>
  <w:style w:type="character" w:styleId="Hyperlink">
    <w:name w:val="Hyperlink"/>
    <w:basedOn w:val="DefaultParagraphFont"/>
    <w:uiPriority w:val="99"/>
    <w:unhideWhenUsed/>
    <w:rsid w:val="00854131"/>
    <w:rPr>
      <w:color w:val="0563C1" w:themeColor="hyperlink"/>
      <w:u w:val="single"/>
    </w:rPr>
  </w:style>
  <w:style w:type="character" w:customStyle="1" w:styleId="Heading1Char">
    <w:name w:val="Heading 1 Char"/>
    <w:basedOn w:val="DefaultParagraphFont"/>
    <w:link w:val="Heading1"/>
    <w:uiPriority w:val="9"/>
    <w:rsid w:val="00A335B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335B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97603B"/>
    <w:rPr>
      <w:rFonts w:asciiTheme="majorHAnsi" w:eastAsiaTheme="majorEastAsia" w:hAnsiTheme="majorHAnsi" w:cstheme="majorBidi"/>
      <w:color w:val="1F4D78" w:themeColor="accent1" w:themeShade="7F"/>
      <w:sz w:val="24"/>
      <w:szCs w:val="24"/>
    </w:rPr>
  </w:style>
  <w:style w:type="paragraph" w:styleId="FootnoteText">
    <w:name w:val="footnote text"/>
    <w:basedOn w:val="Normal"/>
    <w:link w:val="FootnoteTextChar"/>
    <w:uiPriority w:val="99"/>
    <w:semiHidden/>
    <w:unhideWhenUsed/>
    <w:rsid w:val="008C2892"/>
    <w:pPr>
      <w:spacing w:line="240" w:lineRule="auto"/>
    </w:pPr>
    <w:rPr>
      <w:sz w:val="20"/>
      <w:szCs w:val="20"/>
    </w:rPr>
  </w:style>
  <w:style w:type="character" w:customStyle="1" w:styleId="FootnoteTextChar">
    <w:name w:val="Footnote Text Char"/>
    <w:basedOn w:val="DefaultParagraphFont"/>
    <w:link w:val="FootnoteText"/>
    <w:uiPriority w:val="99"/>
    <w:semiHidden/>
    <w:rsid w:val="008C2892"/>
    <w:rPr>
      <w:sz w:val="20"/>
      <w:szCs w:val="20"/>
    </w:rPr>
  </w:style>
  <w:style w:type="character" w:styleId="FootnoteReference">
    <w:name w:val="footnote reference"/>
    <w:basedOn w:val="DefaultParagraphFont"/>
    <w:uiPriority w:val="99"/>
    <w:semiHidden/>
    <w:unhideWhenUsed/>
    <w:rsid w:val="008C2892"/>
    <w:rPr>
      <w:vertAlign w:val="superscript"/>
    </w:rPr>
  </w:style>
  <w:style w:type="character" w:customStyle="1" w:styleId="ng-binding">
    <w:name w:val="ng-binding"/>
    <w:basedOn w:val="DefaultParagraphFont"/>
    <w:rsid w:val="00924BD5"/>
  </w:style>
  <w:style w:type="paragraph" w:styleId="Caption">
    <w:name w:val="caption"/>
    <w:basedOn w:val="Normal"/>
    <w:next w:val="Normal"/>
    <w:uiPriority w:val="35"/>
    <w:unhideWhenUsed/>
    <w:qFormat/>
    <w:rsid w:val="00171AF0"/>
    <w:pPr>
      <w:spacing w:line="240" w:lineRule="auto"/>
    </w:pPr>
    <w:rPr>
      <w:rFonts w:ascii="Times New Roman" w:eastAsia="Times New Roman" w:hAnsi="Times New Roman" w:cs="Times New Roman"/>
      <w:i/>
      <w:iCs/>
      <w:color w:val="44546A" w:themeColor="text2"/>
      <w:sz w:val="18"/>
      <w:szCs w:val="18"/>
      <w:lang w:val="en-CA" w:eastAsia="en-GB"/>
    </w:rPr>
  </w:style>
  <w:style w:type="table" w:styleId="ListTable2-Accent1">
    <w:name w:val="List Table 2 Accent 1"/>
    <w:basedOn w:val="TableNormal"/>
    <w:uiPriority w:val="47"/>
    <w:rsid w:val="00171AF0"/>
    <w:pPr>
      <w:spacing w:after="0" w:line="240" w:lineRule="auto"/>
    </w:pPr>
    <w:rPr>
      <w:rFonts w:eastAsiaTheme="minorEastAsia"/>
      <w:sz w:val="24"/>
      <w:szCs w:val="24"/>
      <w:lang w:val="fr-BE" w:eastAsia="ja-JP"/>
    </w:r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
    <w:name w:val="Table Grid"/>
    <w:basedOn w:val="TableNormal"/>
    <w:uiPriority w:val="39"/>
    <w:rsid w:val="008F0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Accent1">
    <w:name w:val="List Table 1 Light Accent 1"/>
    <w:basedOn w:val="TableNormal"/>
    <w:uiPriority w:val="46"/>
    <w:rsid w:val="008F0AA7"/>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Header">
    <w:name w:val="header"/>
    <w:basedOn w:val="Normal"/>
    <w:link w:val="HeaderChar"/>
    <w:uiPriority w:val="99"/>
    <w:unhideWhenUsed/>
    <w:rsid w:val="00B762EE"/>
    <w:pPr>
      <w:tabs>
        <w:tab w:val="center" w:pos="4680"/>
        <w:tab w:val="right" w:pos="9360"/>
      </w:tabs>
      <w:spacing w:line="240" w:lineRule="auto"/>
    </w:pPr>
  </w:style>
  <w:style w:type="character" w:customStyle="1" w:styleId="HeaderChar">
    <w:name w:val="Header Char"/>
    <w:basedOn w:val="DefaultParagraphFont"/>
    <w:link w:val="Header"/>
    <w:uiPriority w:val="99"/>
    <w:rsid w:val="00B762EE"/>
    <w:rPr>
      <w:sz w:val="24"/>
    </w:rPr>
  </w:style>
  <w:style w:type="paragraph" w:styleId="Footer">
    <w:name w:val="footer"/>
    <w:basedOn w:val="Normal"/>
    <w:link w:val="FooterChar"/>
    <w:uiPriority w:val="99"/>
    <w:unhideWhenUsed/>
    <w:rsid w:val="00B762EE"/>
    <w:pPr>
      <w:tabs>
        <w:tab w:val="center" w:pos="4680"/>
        <w:tab w:val="right" w:pos="9360"/>
      </w:tabs>
      <w:spacing w:line="240" w:lineRule="auto"/>
    </w:pPr>
  </w:style>
  <w:style w:type="character" w:customStyle="1" w:styleId="FooterChar">
    <w:name w:val="Footer Char"/>
    <w:basedOn w:val="DefaultParagraphFont"/>
    <w:link w:val="Footer"/>
    <w:uiPriority w:val="99"/>
    <w:rsid w:val="00B762EE"/>
    <w:rPr>
      <w:sz w:val="24"/>
    </w:rPr>
  </w:style>
  <w:style w:type="character" w:styleId="CommentReference">
    <w:name w:val="annotation reference"/>
    <w:basedOn w:val="DefaultParagraphFont"/>
    <w:uiPriority w:val="99"/>
    <w:semiHidden/>
    <w:unhideWhenUsed/>
    <w:rsid w:val="003A1EAD"/>
    <w:rPr>
      <w:sz w:val="16"/>
      <w:szCs w:val="16"/>
    </w:rPr>
  </w:style>
  <w:style w:type="paragraph" w:styleId="CommentText">
    <w:name w:val="annotation text"/>
    <w:basedOn w:val="Normal"/>
    <w:link w:val="CommentTextChar"/>
    <w:uiPriority w:val="99"/>
    <w:semiHidden/>
    <w:unhideWhenUsed/>
    <w:rsid w:val="003A1EAD"/>
    <w:pPr>
      <w:spacing w:line="240" w:lineRule="auto"/>
    </w:pPr>
    <w:rPr>
      <w:sz w:val="20"/>
      <w:szCs w:val="20"/>
    </w:rPr>
  </w:style>
  <w:style w:type="character" w:customStyle="1" w:styleId="CommentTextChar">
    <w:name w:val="Comment Text Char"/>
    <w:basedOn w:val="DefaultParagraphFont"/>
    <w:link w:val="CommentText"/>
    <w:uiPriority w:val="99"/>
    <w:semiHidden/>
    <w:rsid w:val="003A1EAD"/>
    <w:rPr>
      <w:sz w:val="20"/>
      <w:szCs w:val="20"/>
    </w:rPr>
  </w:style>
  <w:style w:type="paragraph" w:styleId="CommentSubject">
    <w:name w:val="annotation subject"/>
    <w:basedOn w:val="CommentText"/>
    <w:next w:val="CommentText"/>
    <w:link w:val="CommentSubjectChar"/>
    <w:uiPriority w:val="99"/>
    <w:semiHidden/>
    <w:unhideWhenUsed/>
    <w:rsid w:val="003A1EAD"/>
    <w:rPr>
      <w:b/>
      <w:bCs/>
    </w:rPr>
  </w:style>
  <w:style w:type="character" w:customStyle="1" w:styleId="CommentSubjectChar">
    <w:name w:val="Comment Subject Char"/>
    <w:basedOn w:val="CommentTextChar"/>
    <w:link w:val="CommentSubject"/>
    <w:uiPriority w:val="99"/>
    <w:semiHidden/>
    <w:rsid w:val="003A1EAD"/>
    <w:rPr>
      <w:b/>
      <w:bCs/>
      <w:sz w:val="20"/>
      <w:szCs w:val="20"/>
    </w:rPr>
  </w:style>
  <w:style w:type="character" w:customStyle="1" w:styleId="UnresolvedMention1">
    <w:name w:val="Unresolved Mention1"/>
    <w:basedOn w:val="DefaultParagraphFont"/>
    <w:uiPriority w:val="99"/>
    <w:semiHidden/>
    <w:unhideWhenUsed/>
    <w:rsid w:val="00D31FE1"/>
    <w:rPr>
      <w:color w:val="605E5C"/>
      <w:shd w:val="clear" w:color="auto" w:fill="E1DFDD"/>
    </w:rPr>
  </w:style>
  <w:style w:type="paragraph" w:customStyle="1" w:styleId="footnote">
    <w:name w:val="footnote"/>
    <w:basedOn w:val="FootnoteText"/>
    <w:link w:val="footnoteChar"/>
    <w:qFormat/>
    <w:rsid w:val="00751813"/>
    <w:pPr>
      <w:ind w:firstLine="0"/>
      <w:jc w:val="left"/>
    </w:pPr>
    <w:rPr>
      <w:sz w:val="18"/>
    </w:rPr>
  </w:style>
  <w:style w:type="table" w:styleId="GridTable2-Accent5">
    <w:name w:val="Grid Table 2 Accent 5"/>
    <w:basedOn w:val="TableNormal"/>
    <w:uiPriority w:val="47"/>
    <w:rsid w:val="0075181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footnoteChar">
    <w:name w:val="footnote Char"/>
    <w:basedOn w:val="FootnoteTextChar"/>
    <w:link w:val="footnote"/>
    <w:rsid w:val="00751813"/>
    <w:rPr>
      <w:sz w:val="18"/>
      <w:szCs w:val="20"/>
    </w:rPr>
  </w:style>
  <w:style w:type="table" w:styleId="GridTable2">
    <w:name w:val="Grid Table 2"/>
    <w:basedOn w:val="TableNormal"/>
    <w:uiPriority w:val="47"/>
    <w:rsid w:val="001D5CE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17760">
      <w:bodyDiv w:val="1"/>
      <w:marLeft w:val="0"/>
      <w:marRight w:val="0"/>
      <w:marTop w:val="0"/>
      <w:marBottom w:val="0"/>
      <w:divBdr>
        <w:top w:val="none" w:sz="0" w:space="0" w:color="auto"/>
        <w:left w:val="none" w:sz="0" w:space="0" w:color="auto"/>
        <w:bottom w:val="none" w:sz="0" w:space="0" w:color="auto"/>
        <w:right w:val="none" w:sz="0" w:space="0" w:color="auto"/>
      </w:divBdr>
    </w:div>
    <w:div w:id="81949759">
      <w:bodyDiv w:val="1"/>
      <w:marLeft w:val="0"/>
      <w:marRight w:val="0"/>
      <w:marTop w:val="0"/>
      <w:marBottom w:val="0"/>
      <w:divBdr>
        <w:top w:val="none" w:sz="0" w:space="0" w:color="auto"/>
        <w:left w:val="none" w:sz="0" w:space="0" w:color="auto"/>
        <w:bottom w:val="none" w:sz="0" w:space="0" w:color="auto"/>
        <w:right w:val="none" w:sz="0" w:space="0" w:color="auto"/>
      </w:divBdr>
    </w:div>
    <w:div w:id="235364643">
      <w:bodyDiv w:val="1"/>
      <w:marLeft w:val="0"/>
      <w:marRight w:val="0"/>
      <w:marTop w:val="0"/>
      <w:marBottom w:val="0"/>
      <w:divBdr>
        <w:top w:val="none" w:sz="0" w:space="0" w:color="auto"/>
        <w:left w:val="none" w:sz="0" w:space="0" w:color="auto"/>
        <w:bottom w:val="none" w:sz="0" w:space="0" w:color="auto"/>
        <w:right w:val="none" w:sz="0" w:space="0" w:color="auto"/>
      </w:divBdr>
    </w:div>
    <w:div w:id="296882487">
      <w:bodyDiv w:val="1"/>
      <w:marLeft w:val="0"/>
      <w:marRight w:val="0"/>
      <w:marTop w:val="0"/>
      <w:marBottom w:val="0"/>
      <w:divBdr>
        <w:top w:val="none" w:sz="0" w:space="0" w:color="auto"/>
        <w:left w:val="none" w:sz="0" w:space="0" w:color="auto"/>
        <w:bottom w:val="none" w:sz="0" w:space="0" w:color="auto"/>
        <w:right w:val="none" w:sz="0" w:space="0" w:color="auto"/>
      </w:divBdr>
      <w:divsChild>
        <w:div w:id="159465156">
          <w:marLeft w:val="0"/>
          <w:marRight w:val="0"/>
          <w:marTop w:val="0"/>
          <w:marBottom w:val="0"/>
          <w:divBdr>
            <w:top w:val="none" w:sz="0" w:space="0" w:color="auto"/>
            <w:left w:val="none" w:sz="0" w:space="0" w:color="auto"/>
            <w:bottom w:val="none" w:sz="0" w:space="0" w:color="auto"/>
            <w:right w:val="none" w:sz="0" w:space="0" w:color="auto"/>
          </w:divBdr>
          <w:divsChild>
            <w:div w:id="161247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919626">
      <w:bodyDiv w:val="1"/>
      <w:marLeft w:val="0"/>
      <w:marRight w:val="0"/>
      <w:marTop w:val="0"/>
      <w:marBottom w:val="0"/>
      <w:divBdr>
        <w:top w:val="none" w:sz="0" w:space="0" w:color="auto"/>
        <w:left w:val="none" w:sz="0" w:space="0" w:color="auto"/>
        <w:bottom w:val="none" w:sz="0" w:space="0" w:color="auto"/>
        <w:right w:val="none" w:sz="0" w:space="0" w:color="auto"/>
      </w:divBdr>
    </w:div>
    <w:div w:id="418454530">
      <w:bodyDiv w:val="1"/>
      <w:marLeft w:val="0"/>
      <w:marRight w:val="0"/>
      <w:marTop w:val="0"/>
      <w:marBottom w:val="0"/>
      <w:divBdr>
        <w:top w:val="none" w:sz="0" w:space="0" w:color="auto"/>
        <w:left w:val="none" w:sz="0" w:space="0" w:color="auto"/>
        <w:bottom w:val="none" w:sz="0" w:space="0" w:color="auto"/>
        <w:right w:val="none" w:sz="0" w:space="0" w:color="auto"/>
      </w:divBdr>
    </w:div>
    <w:div w:id="484473669">
      <w:bodyDiv w:val="1"/>
      <w:marLeft w:val="0"/>
      <w:marRight w:val="0"/>
      <w:marTop w:val="0"/>
      <w:marBottom w:val="0"/>
      <w:divBdr>
        <w:top w:val="none" w:sz="0" w:space="0" w:color="auto"/>
        <w:left w:val="none" w:sz="0" w:space="0" w:color="auto"/>
        <w:bottom w:val="none" w:sz="0" w:space="0" w:color="auto"/>
        <w:right w:val="none" w:sz="0" w:space="0" w:color="auto"/>
      </w:divBdr>
      <w:divsChild>
        <w:div w:id="1574244027">
          <w:marLeft w:val="0"/>
          <w:marRight w:val="0"/>
          <w:marTop w:val="0"/>
          <w:marBottom w:val="0"/>
          <w:divBdr>
            <w:top w:val="none" w:sz="0" w:space="0" w:color="auto"/>
            <w:left w:val="none" w:sz="0" w:space="0" w:color="auto"/>
            <w:bottom w:val="none" w:sz="0" w:space="0" w:color="auto"/>
            <w:right w:val="none" w:sz="0" w:space="0" w:color="auto"/>
          </w:divBdr>
          <w:divsChild>
            <w:div w:id="88953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518382">
      <w:bodyDiv w:val="1"/>
      <w:marLeft w:val="0"/>
      <w:marRight w:val="0"/>
      <w:marTop w:val="0"/>
      <w:marBottom w:val="0"/>
      <w:divBdr>
        <w:top w:val="none" w:sz="0" w:space="0" w:color="auto"/>
        <w:left w:val="none" w:sz="0" w:space="0" w:color="auto"/>
        <w:bottom w:val="none" w:sz="0" w:space="0" w:color="auto"/>
        <w:right w:val="none" w:sz="0" w:space="0" w:color="auto"/>
      </w:divBdr>
    </w:div>
    <w:div w:id="607469334">
      <w:bodyDiv w:val="1"/>
      <w:marLeft w:val="0"/>
      <w:marRight w:val="0"/>
      <w:marTop w:val="0"/>
      <w:marBottom w:val="0"/>
      <w:divBdr>
        <w:top w:val="none" w:sz="0" w:space="0" w:color="auto"/>
        <w:left w:val="none" w:sz="0" w:space="0" w:color="auto"/>
        <w:bottom w:val="none" w:sz="0" w:space="0" w:color="auto"/>
        <w:right w:val="none" w:sz="0" w:space="0" w:color="auto"/>
      </w:divBdr>
    </w:div>
    <w:div w:id="615864866">
      <w:bodyDiv w:val="1"/>
      <w:marLeft w:val="0"/>
      <w:marRight w:val="0"/>
      <w:marTop w:val="0"/>
      <w:marBottom w:val="0"/>
      <w:divBdr>
        <w:top w:val="none" w:sz="0" w:space="0" w:color="auto"/>
        <w:left w:val="none" w:sz="0" w:space="0" w:color="auto"/>
        <w:bottom w:val="none" w:sz="0" w:space="0" w:color="auto"/>
        <w:right w:val="none" w:sz="0" w:space="0" w:color="auto"/>
      </w:divBdr>
      <w:divsChild>
        <w:div w:id="1466505032">
          <w:marLeft w:val="0"/>
          <w:marRight w:val="0"/>
          <w:marTop w:val="0"/>
          <w:marBottom w:val="0"/>
          <w:divBdr>
            <w:top w:val="none" w:sz="0" w:space="0" w:color="auto"/>
            <w:left w:val="none" w:sz="0" w:space="0" w:color="auto"/>
            <w:bottom w:val="none" w:sz="0" w:space="0" w:color="auto"/>
            <w:right w:val="none" w:sz="0" w:space="0" w:color="auto"/>
          </w:divBdr>
          <w:divsChild>
            <w:div w:id="121261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47053">
      <w:bodyDiv w:val="1"/>
      <w:marLeft w:val="0"/>
      <w:marRight w:val="0"/>
      <w:marTop w:val="0"/>
      <w:marBottom w:val="0"/>
      <w:divBdr>
        <w:top w:val="none" w:sz="0" w:space="0" w:color="auto"/>
        <w:left w:val="none" w:sz="0" w:space="0" w:color="auto"/>
        <w:bottom w:val="none" w:sz="0" w:space="0" w:color="auto"/>
        <w:right w:val="none" w:sz="0" w:space="0" w:color="auto"/>
      </w:divBdr>
    </w:div>
    <w:div w:id="722405153">
      <w:bodyDiv w:val="1"/>
      <w:marLeft w:val="0"/>
      <w:marRight w:val="0"/>
      <w:marTop w:val="0"/>
      <w:marBottom w:val="0"/>
      <w:divBdr>
        <w:top w:val="none" w:sz="0" w:space="0" w:color="auto"/>
        <w:left w:val="none" w:sz="0" w:space="0" w:color="auto"/>
        <w:bottom w:val="none" w:sz="0" w:space="0" w:color="auto"/>
        <w:right w:val="none" w:sz="0" w:space="0" w:color="auto"/>
      </w:divBdr>
    </w:div>
    <w:div w:id="744187591">
      <w:bodyDiv w:val="1"/>
      <w:marLeft w:val="0"/>
      <w:marRight w:val="0"/>
      <w:marTop w:val="0"/>
      <w:marBottom w:val="0"/>
      <w:divBdr>
        <w:top w:val="none" w:sz="0" w:space="0" w:color="auto"/>
        <w:left w:val="none" w:sz="0" w:space="0" w:color="auto"/>
        <w:bottom w:val="none" w:sz="0" w:space="0" w:color="auto"/>
        <w:right w:val="none" w:sz="0" w:space="0" w:color="auto"/>
      </w:divBdr>
      <w:divsChild>
        <w:div w:id="803891543">
          <w:marLeft w:val="0"/>
          <w:marRight w:val="0"/>
          <w:marTop w:val="0"/>
          <w:marBottom w:val="0"/>
          <w:divBdr>
            <w:top w:val="none" w:sz="0" w:space="0" w:color="auto"/>
            <w:left w:val="none" w:sz="0" w:space="0" w:color="auto"/>
            <w:bottom w:val="none" w:sz="0" w:space="0" w:color="auto"/>
            <w:right w:val="none" w:sz="0" w:space="0" w:color="auto"/>
          </w:divBdr>
        </w:div>
        <w:div w:id="1573735871">
          <w:marLeft w:val="0"/>
          <w:marRight w:val="0"/>
          <w:marTop w:val="0"/>
          <w:marBottom w:val="0"/>
          <w:divBdr>
            <w:top w:val="none" w:sz="0" w:space="0" w:color="auto"/>
            <w:left w:val="none" w:sz="0" w:space="0" w:color="auto"/>
            <w:bottom w:val="none" w:sz="0" w:space="0" w:color="auto"/>
            <w:right w:val="none" w:sz="0" w:space="0" w:color="auto"/>
          </w:divBdr>
        </w:div>
      </w:divsChild>
    </w:div>
    <w:div w:id="747844565">
      <w:bodyDiv w:val="1"/>
      <w:marLeft w:val="0"/>
      <w:marRight w:val="0"/>
      <w:marTop w:val="0"/>
      <w:marBottom w:val="0"/>
      <w:divBdr>
        <w:top w:val="none" w:sz="0" w:space="0" w:color="auto"/>
        <w:left w:val="none" w:sz="0" w:space="0" w:color="auto"/>
        <w:bottom w:val="none" w:sz="0" w:space="0" w:color="auto"/>
        <w:right w:val="none" w:sz="0" w:space="0" w:color="auto"/>
      </w:divBdr>
      <w:divsChild>
        <w:div w:id="638193676">
          <w:marLeft w:val="0"/>
          <w:marRight w:val="0"/>
          <w:marTop w:val="0"/>
          <w:marBottom w:val="0"/>
          <w:divBdr>
            <w:top w:val="none" w:sz="0" w:space="0" w:color="auto"/>
            <w:left w:val="none" w:sz="0" w:space="0" w:color="auto"/>
            <w:bottom w:val="none" w:sz="0" w:space="0" w:color="auto"/>
            <w:right w:val="none" w:sz="0" w:space="0" w:color="auto"/>
          </w:divBdr>
          <w:divsChild>
            <w:div w:id="1902133861">
              <w:marLeft w:val="0"/>
              <w:marRight w:val="0"/>
              <w:marTop w:val="0"/>
              <w:marBottom w:val="0"/>
              <w:divBdr>
                <w:top w:val="none" w:sz="0" w:space="0" w:color="auto"/>
                <w:left w:val="none" w:sz="0" w:space="0" w:color="auto"/>
                <w:bottom w:val="none" w:sz="0" w:space="0" w:color="auto"/>
                <w:right w:val="none" w:sz="0" w:space="0" w:color="auto"/>
              </w:divBdr>
            </w:div>
          </w:divsChild>
        </w:div>
        <w:div w:id="480852617">
          <w:marLeft w:val="0"/>
          <w:marRight w:val="0"/>
          <w:marTop w:val="0"/>
          <w:marBottom w:val="0"/>
          <w:divBdr>
            <w:top w:val="none" w:sz="0" w:space="0" w:color="auto"/>
            <w:left w:val="none" w:sz="0" w:space="0" w:color="auto"/>
            <w:bottom w:val="none" w:sz="0" w:space="0" w:color="auto"/>
            <w:right w:val="none" w:sz="0" w:space="0" w:color="auto"/>
          </w:divBdr>
        </w:div>
      </w:divsChild>
    </w:div>
    <w:div w:id="979336715">
      <w:bodyDiv w:val="1"/>
      <w:marLeft w:val="0"/>
      <w:marRight w:val="0"/>
      <w:marTop w:val="0"/>
      <w:marBottom w:val="0"/>
      <w:divBdr>
        <w:top w:val="none" w:sz="0" w:space="0" w:color="auto"/>
        <w:left w:val="none" w:sz="0" w:space="0" w:color="auto"/>
        <w:bottom w:val="none" w:sz="0" w:space="0" w:color="auto"/>
        <w:right w:val="none" w:sz="0" w:space="0" w:color="auto"/>
      </w:divBdr>
      <w:divsChild>
        <w:div w:id="1614089719">
          <w:marLeft w:val="0"/>
          <w:marRight w:val="0"/>
          <w:marTop w:val="0"/>
          <w:marBottom w:val="0"/>
          <w:divBdr>
            <w:top w:val="none" w:sz="0" w:space="0" w:color="auto"/>
            <w:left w:val="none" w:sz="0" w:space="0" w:color="auto"/>
            <w:bottom w:val="none" w:sz="0" w:space="0" w:color="auto"/>
            <w:right w:val="none" w:sz="0" w:space="0" w:color="auto"/>
          </w:divBdr>
          <w:divsChild>
            <w:div w:id="953706452">
              <w:marLeft w:val="0"/>
              <w:marRight w:val="0"/>
              <w:marTop w:val="0"/>
              <w:marBottom w:val="0"/>
              <w:divBdr>
                <w:top w:val="none" w:sz="0" w:space="0" w:color="auto"/>
                <w:left w:val="none" w:sz="0" w:space="0" w:color="auto"/>
                <w:bottom w:val="none" w:sz="0" w:space="0" w:color="auto"/>
                <w:right w:val="none" w:sz="0" w:space="0" w:color="auto"/>
              </w:divBdr>
            </w:div>
          </w:divsChild>
        </w:div>
        <w:div w:id="1158569772">
          <w:marLeft w:val="0"/>
          <w:marRight w:val="0"/>
          <w:marTop w:val="0"/>
          <w:marBottom w:val="0"/>
          <w:divBdr>
            <w:top w:val="none" w:sz="0" w:space="0" w:color="auto"/>
            <w:left w:val="none" w:sz="0" w:space="0" w:color="auto"/>
            <w:bottom w:val="none" w:sz="0" w:space="0" w:color="auto"/>
            <w:right w:val="none" w:sz="0" w:space="0" w:color="auto"/>
          </w:divBdr>
        </w:div>
      </w:divsChild>
    </w:div>
    <w:div w:id="1051684577">
      <w:bodyDiv w:val="1"/>
      <w:marLeft w:val="0"/>
      <w:marRight w:val="0"/>
      <w:marTop w:val="0"/>
      <w:marBottom w:val="0"/>
      <w:divBdr>
        <w:top w:val="none" w:sz="0" w:space="0" w:color="auto"/>
        <w:left w:val="none" w:sz="0" w:space="0" w:color="auto"/>
        <w:bottom w:val="none" w:sz="0" w:space="0" w:color="auto"/>
        <w:right w:val="none" w:sz="0" w:space="0" w:color="auto"/>
      </w:divBdr>
    </w:div>
    <w:div w:id="1140803536">
      <w:bodyDiv w:val="1"/>
      <w:marLeft w:val="0"/>
      <w:marRight w:val="0"/>
      <w:marTop w:val="0"/>
      <w:marBottom w:val="0"/>
      <w:divBdr>
        <w:top w:val="none" w:sz="0" w:space="0" w:color="auto"/>
        <w:left w:val="none" w:sz="0" w:space="0" w:color="auto"/>
        <w:bottom w:val="none" w:sz="0" w:space="0" w:color="auto"/>
        <w:right w:val="none" w:sz="0" w:space="0" w:color="auto"/>
      </w:divBdr>
    </w:div>
    <w:div w:id="1147549875">
      <w:bodyDiv w:val="1"/>
      <w:marLeft w:val="0"/>
      <w:marRight w:val="0"/>
      <w:marTop w:val="0"/>
      <w:marBottom w:val="0"/>
      <w:divBdr>
        <w:top w:val="none" w:sz="0" w:space="0" w:color="auto"/>
        <w:left w:val="none" w:sz="0" w:space="0" w:color="auto"/>
        <w:bottom w:val="none" w:sz="0" w:space="0" w:color="auto"/>
        <w:right w:val="none" w:sz="0" w:space="0" w:color="auto"/>
      </w:divBdr>
      <w:divsChild>
        <w:div w:id="162015264">
          <w:marLeft w:val="0"/>
          <w:marRight w:val="0"/>
          <w:marTop w:val="0"/>
          <w:marBottom w:val="0"/>
          <w:divBdr>
            <w:top w:val="none" w:sz="0" w:space="0" w:color="auto"/>
            <w:left w:val="none" w:sz="0" w:space="0" w:color="auto"/>
            <w:bottom w:val="none" w:sz="0" w:space="0" w:color="auto"/>
            <w:right w:val="none" w:sz="0" w:space="0" w:color="auto"/>
          </w:divBdr>
          <w:divsChild>
            <w:div w:id="702095839">
              <w:marLeft w:val="0"/>
              <w:marRight w:val="0"/>
              <w:marTop w:val="0"/>
              <w:marBottom w:val="0"/>
              <w:divBdr>
                <w:top w:val="none" w:sz="0" w:space="0" w:color="auto"/>
                <w:left w:val="none" w:sz="0" w:space="0" w:color="auto"/>
                <w:bottom w:val="none" w:sz="0" w:space="0" w:color="auto"/>
                <w:right w:val="none" w:sz="0" w:space="0" w:color="auto"/>
              </w:divBdr>
            </w:div>
          </w:divsChild>
        </w:div>
        <w:div w:id="1561477216">
          <w:marLeft w:val="0"/>
          <w:marRight w:val="0"/>
          <w:marTop w:val="0"/>
          <w:marBottom w:val="0"/>
          <w:divBdr>
            <w:top w:val="none" w:sz="0" w:space="0" w:color="auto"/>
            <w:left w:val="none" w:sz="0" w:space="0" w:color="auto"/>
            <w:bottom w:val="none" w:sz="0" w:space="0" w:color="auto"/>
            <w:right w:val="none" w:sz="0" w:space="0" w:color="auto"/>
          </w:divBdr>
        </w:div>
      </w:divsChild>
    </w:div>
    <w:div w:id="1216043435">
      <w:bodyDiv w:val="1"/>
      <w:marLeft w:val="0"/>
      <w:marRight w:val="0"/>
      <w:marTop w:val="0"/>
      <w:marBottom w:val="0"/>
      <w:divBdr>
        <w:top w:val="none" w:sz="0" w:space="0" w:color="auto"/>
        <w:left w:val="none" w:sz="0" w:space="0" w:color="auto"/>
        <w:bottom w:val="none" w:sz="0" w:space="0" w:color="auto"/>
        <w:right w:val="none" w:sz="0" w:space="0" w:color="auto"/>
      </w:divBdr>
      <w:divsChild>
        <w:div w:id="372853650">
          <w:marLeft w:val="0"/>
          <w:marRight w:val="0"/>
          <w:marTop w:val="0"/>
          <w:marBottom w:val="0"/>
          <w:divBdr>
            <w:top w:val="none" w:sz="0" w:space="0" w:color="auto"/>
            <w:left w:val="none" w:sz="0" w:space="0" w:color="auto"/>
            <w:bottom w:val="none" w:sz="0" w:space="0" w:color="auto"/>
            <w:right w:val="none" w:sz="0" w:space="0" w:color="auto"/>
          </w:divBdr>
          <w:divsChild>
            <w:div w:id="193293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455019">
      <w:bodyDiv w:val="1"/>
      <w:marLeft w:val="0"/>
      <w:marRight w:val="0"/>
      <w:marTop w:val="0"/>
      <w:marBottom w:val="0"/>
      <w:divBdr>
        <w:top w:val="none" w:sz="0" w:space="0" w:color="auto"/>
        <w:left w:val="none" w:sz="0" w:space="0" w:color="auto"/>
        <w:bottom w:val="none" w:sz="0" w:space="0" w:color="auto"/>
        <w:right w:val="none" w:sz="0" w:space="0" w:color="auto"/>
      </w:divBdr>
    </w:div>
    <w:div w:id="1499232018">
      <w:bodyDiv w:val="1"/>
      <w:marLeft w:val="0"/>
      <w:marRight w:val="0"/>
      <w:marTop w:val="0"/>
      <w:marBottom w:val="0"/>
      <w:divBdr>
        <w:top w:val="none" w:sz="0" w:space="0" w:color="auto"/>
        <w:left w:val="none" w:sz="0" w:space="0" w:color="auto"/>
        <w:bottom w:val="none" w:sz="0" w:space="0" w:color="auto"/>
        <w:right w:val="none" w:sz="0" w:space="0" w:color="auto"/>
      </w:divBdr>
    </w:div>
    <w:div w:id="1504474866">
      <w:bodyDiv w:val="1"/>
      <w:marLeft w:val="0"/>
      <w:marRight w:val="0"/>
      <w:marTop w:val="0"/>
      <w:marBottom w:val="0"/>
      <w:divBdr>
        <w:top w:val="none" w:sz="0" w:space="0" w:color="auto"/>
        <w:left w:val="none" w:sz="0" w:space="0" w:color="auto"/>
        <w:bottom w:val="none" w:sz="0" w:space="0" w:color="auto"/>
        <w:right w:val="none" w:sz="0" w:space="0" w:color="auto"/>
      </w:divBdr>
      <w:divsChild>
        <w:div w:id="299499612">
          <w:marLeft w:val="0"/>
          <w:marRight w:val="0"/>
          <w:marTop w:val="0"/>
          <w:marBottom w:val="0"/>
          <w:divBdr>
            <w:top w:val="none" w:sz="0" w:space="0" w:color="auto"/>
            <w:left w:val="none" w:sz="0" w:space="0" w:color="auto"/>
            <w:bottom w:val="none" w:sz="0" w:space="0" w:color="auto"/>
            <w:right w:val="none" w:sz="0" w:space="0" w:color="auto"/>
          </w:divBdr>
        </w:div>
        <w:div w:id="1462962025">
          <w:marLeft w:val="0"/>
          <w:marRight w:val="0"/>
          <w:marTop w:val="0"/>
          <w:marBottom w:val="0"/>
          <w:divBdr>
            <w:top w:val="none" w:sz="0" w:space="0" w:color="auto"/>
            <w:left w:val="none" w:sz="0" w:space="0" w:color="auto"/>
            <w:bottom w:val="none" w:sz="0" w:space="0" w:color="auto"/>
            <w:right w:val="none" w:sz="0" w:space="0" w:color="auto"/>
          </w:divBdr>
        </w:div>
      </w:divsChild>
    </w:div>
    <w:div w:id="1596161651">
      <w:bodyDiv w:val="1"/>
      <w:marLeft w:val="0"/>
      <w:marRight w:val="0"/>
      <w:marTop w:val="0"/>
      <w:marBottom w:val="0"/>
      <w:divBdr>
        <w:top w:val="none" w:sz="0" w:space="0" w:color="auto"/>
        <w:left w:val="none" w:sz="0" w:space="0" w:color="auto"/>
        <w:bottom w:val="none" w:sz="0" w:space="0" w:color="auto"/>
        <w:right w:val="none" w:sz="0" w:space="0" w:color="auto"/>
      </w:divBdr>
      <w:divsChild>
        <w:div w:id="1590305967">
          <w:marLeft w:val="0"/>
          <w:marRight w:val="0"/>
          <w:marTop w:val="0"/>
          <w:marBottom w:val="0"/>
          <w:divBdr>
            <w:top w:val="none" w:sz="0" w:space="0" w:color="auto"/>
            <w:left w:val="none" w:sz="0" w:space="0" w:color="auto"/>
            <w:bottom w:val="none" w:sz="0" w:space="0" w:color="auto"/>
            <w:right w:val="none" w:sz="0" w:space="0" w:color="auto"/>
          </w:divBdr>
          <w:divsChild>
            <w:div w:id="1210385431">
              <w:marLeft w:val="0"/>
              <w:marRight w:val="0"/>
              <w:marTop w:val="0"/>
              <w:marBottom w:val="0"/>
              <w:divBdr>
                <w:top w:val="none" w:sz="0" w:space="0" w:color="auto"/>
                <w:left w:val="none" w:sz="0" w:space="0" w:color="auto"/>
                <w:bottom w:val="none" w:sz="0" w:space="0" w:color="auto"/>
                <w:right w:val="none" w:sz="0" w:space="0" w:color="auto"/>
              </w:divBdr>
            </w:div>
          </w:divsChild>
        </w:div>
        <w:div w:id="1528367684">
          <w:marLeft w:val="0"/>
          <w:marRight w:val="0"/>
          <w:marTop w:val="0"/>
          <w:marBottom w:val="0"/>
          <w:divBdr>
            <w:top w:val="none" w:sz="0" w:space="0" w:color="auto"/>
            <w:left w:val="none" w:sz="0" w:space="0" w:color="auto"/>
            <w:bottom w:val="none" w:sz="0" w:space="0" w:color="auto"/>
            <w:right w:val="none" w:sz="0" w:space="0" w:color="auto"/>
          </w:divBdr>
        </w:div>
      </w:divsChild>
    </w:div>
    <w:div w:id="1615014780">
      <w:bodyDiv w:val="1"/>
      <w:marLeft w:val="0"/>
      <w:marRight w:val="0"/>
      <w:marTop w:val="0"/>
      <w:marBottom w:val="0"/>
      <w:divBdr>
        <w:top w:val="none" w:sz="0" w:space="0" w:color="auto"/>
        <w:left w:val="none" w:sz="0" w:space="0" w:color="auto"/>
        <w:bottom w:val="none" w:sz="0" w:space="0" w:color="auto"/>
        <w:right w:val="none" w:sz="0" w:space="0" w:color="auto"/>
      </w:divBdr>
    </w:div>
    <w:div w:id="1811558746">
      <w:bodyDiv w:val="1"/>
      <w:marLeft w:val="0"/>
      <w:marRight w:val="0"/>
      <w:marTop w:val="0"/>
      <w:marBottom w:val="0"/>
      <w:divBdr>
        <w:top w:val="none" w:sz="0" w:space="0" w:color="auto"/>
        <w:left w:val="none" w:sz="0" w:space="0" w:color="auto"/>
        <w:bottom w:val="none" w:sz="0" w:space="0" w:color="auto"/>
        <w:right w:val="none" w:sz="0" w:space="0" w:color="auto"/>
      </w:divBdr>
      <w:divsChild>
        <w:div w:id="456720842">
          <w:marLeft w:val="0"/>
          <w:marRight w:val="0"/>
          <w:marTop w:val="0"/>
          <w:marBottom w:val="0"/>
          <w:divBdr>
            <w:top w:val="none" w:sz="0" w:space="0" w:color="auto"/>
            <w:left w:val="none" w:sz="0" w:space="0" w:color="auto"/>
            <w:bottom w:val="none" w:sz="0" w:space="0" w:color="auto"/>
            <w:right w:val="none" w:sz="0" w:space="0" w:color="auto"/>
          </w:divBdr>
        </w:div>
        <w:div w:id="625939397">
          <w:marLeft w:val="0"/>
          <w:marRight w:val="0"/>
          <w:marTop w:val="0"/>
          <w:marBottom w:val="0"/>
          <w:divBdr>
            <w:top w:val="none" w:sz="0" w:space="0" w:color="auto"/>
            <w:left w:val="none" w:sz="0" w:space="0" w:color="auto"/>
            <w:bottom w:val="none" w:sz="0" w:space="0" w:color="auto"/>
            <w:right w:val="none" w:sz="0" w:space="0" w:color="auto"/>
          </w:divBdr>
        </w:div>
      </w:divsChild>
    </w:div>
    <w:div w:id="1843885706">
      <w:bodyDiv w:val="1"/>
      <w:marLeft w:val="0"/>
      <w:marRight w:val="0"/>
      <w:marTop w:val="0"/>
      <w:marBottom w:val="0"/>
      <w:divBdr>
        <w:top w:val="none" w:sz="0" w:space="0" w:color="auto"/>
        <w:left w:val="none" w:sz="0" w:space="0" w:color="auto"/>
        <w:bottom w:val="none" w:sz="0" w:space="0" w:color="auto"/>
        <w:right w:val="none" w:sz="0" w:space="0" w:color="auto"/>
      </w:divBdr>
      <w:divsChild>
        <w:div w:id="834734137">
          <w:marLeft w:val="0"/>
          <w:marRight w:val="0"/>
          <w:marTop w:val="0"/>
          <w:marBottom w:val="0"/>
          <w:divBdr>
            <w:top w:val="none" w:sz="0" w:space="0" w:color="auto"/>
            <w:left w:val="none" w:sz="0" w:space="0" w:color="auto"/>
            <w:bottom w:val="none" w:sz="0" w:space="0" w:color="auto"/>
            <w:right w:val="none" w:sz="0" w:space="0" w:color="auto"/>
          </w:divBdr>
          <w:divsChild>
            <w:div w:id="635337441">
              <w:marLeft w:val="0"/>
              <w:marRight w:val="0"/>
              <w:marTop w:val="0"/>
              <w:marBottom w:val="0"/>
              <w:divBdr>
                <w:top w:val="none" w:sz="0" w:space="0" w:color="auto"/>
                <w:left w:val="none" w:sz="0" w:space="0" w:color="auto"/>
                <w:bottom w:val="none" w:sz="0" w:space="0" w:color="auto"/>
                <w:right w:val="none" w:sz="0" w:space="0" w:color="auto"/>
              </w:divBdr>
            </w:div>
          </w:divsChild>
        </w:div>
        <w:div w:id="2019502219">
          <w:marLeft w:val="0"/>
          <w:marRight w:val="0"/>
          <w:marTop w:val="0"/>
          <w:marBottom w:val="0"/>
          <w:divBdr>
            <w:top w:val="none" w:sz="0" w:space="0" w:color="auto"/>
            <w:left w:val="none" w:sz="0" w:space="0" w:color="auto"/>
            <w:bottom w:val="none" w:sz="0" w:space="0" w:color="auto"/>
            <w:right w:val="none" w:sz="0" w:space="0" w:color="auto"/>
          </w:divBdr>
        </w:div>
      </w:divsChild>
    </w:div>
    <w:div w:id="1877350256">
      <w:bodyDiv w:val="1"/>
      <w:marLeft w:val="0"/>
      <w:marRight w:val="0"/>
      <w:marTop w:val="0"/>
      <w:marBottom w:val="0"/>
      <w:divBdr>
        <w:top w:val="none" w:sz="0" w:space="0" w:color="auto"/>
        <w:left w:val="none" w:sz="0" w:space="0" w:color="auto"/>
        <w:bottom w:val="none" w:sz="0" w:space="0" w:color="auto"/>
        <w:right w:val="none" w:sz="0" w:space="0" w:color="auto"/>
      </w:divBdr>
    </w:div>
    <w:div w:id="1895198362">
      <w:bodyDiv w:val="1"/>
      <w:marLeft w:val="0"/>
      <w:marRight w:val="0"/>
      <w:marTop w:val="0"/>
      <w:marBottom w:val="0"/>
      <w:divBdr>
        <w:top w:val="none" w:sz="0" w:space="0" w:color="auto"/>
        <w:left w:val="none" w:sz="0" w:space="0" w:color="auto"/>
        <w:bottom w:val="none" w:sz="0" w:space="0" w:color="auto"/>
        <w:right w:val="none" w:sz="0" w:space="0" w:color="auto"/>
      </w:divBdr>
      <w:divsChild>
        <w:div w:id="12726490">
          <w:marLeft w:val="0"/>
          <w:marRight w:val="0"/>
          <w:marTop w:val="0"/>
          <w:marBottom w:val="0"/>
          <w:divBdr>
            <w:top w:val="none" w:sz="0" w:space="0" w:color="auto"/>
            <w:left w:val="none" w:sz="0" w:space="0" w:color="auto"/>
            <w:bottom w:val="none" w:sz="0" w:space="0" w:color="auto"/>
            <w:right w:val="none" w:sz="0" w:space="0" w:color="auto"/>
          </w:divBdr>
        </w:div>
        <w:div w:id="879703157">
          <w:marLeft w:val="0"/>
          <w:marRight w:val="0"/>
          <w:marTop w:val="0"/>
          <w:marBottom w:val="0"/>
          <w:divBdr>
            <w:top w:val="none" w:sz="0" w:space="0" w:color="auto"/>
            <w:left w:val="none" w:sz="0" w:space="0" w:color="auto"/>
            <w:bottom w:val="none" w:sz="0" w:space="0" w:color="auto"/>
            <w:right w:val="none" w:sz="0" w:space="0" w:color="auto"/>
          </w:divBdr>
        </w:div>
      </w:divsChild>
    </w:div>
    <w:div w:id="1918249594">
      <w:bodyDiv w:val="1"/>
      <w:marLeft w:val="0"/>
      <w:marRight w:val="0"/>
      <w:marTop w:val="0"/>
      <w:marBottom w:val="0"/>
      <w:divBdr>
        <w:top w:val="none" w:sz="0" w:space="0" w:color="auto"/>
        <w:left w:val="none" w:sz="0" w:space="0" w:color="auto"/>
        <w:bottom w:val="none" w:sz="0" w:space="0" w:color="auto"/>
        <w:right w:val="none" w:sz="0" w:space="0" w:color="auto"/>
      </w:divBdr>
    </w:div>
    <w:div w:id="2003271026">
      <w:bodyDiv w:val="1"/>
      <w:marLeft w:val="0"/>
      <w:marRight w:val="0"/>
      <w:marTop w:val="0"/>
      <w:marBottom w:val="0"/>
      <w:divBdr>
        <w:top w:val="none" w:sz="0" w:space="0" w:color="auto"/>
        <w:left w:val="none" w:sz="0" w:space="0" w:color="auto"/>
        <w:bottom w:val="none" w:sz="0" w:space="0" w:color="auto"/>
        <w:right w:val="none" w:sz="0" w:space="0" w:color="auto"/>
      </w:divBdr>
      <w:divsChild>
        <w:div w:id="1932158541">
          <w:marLeft w:val="0"/>
          <w:marRight w:val="0"/>
          <w:marTop w:val="0"/>
          <w:marBottom w:val="0"/>
          <w:divBdr>
            <w:top w:val="none" w:sz="0" w:space="0" w:color="auto"/>
            <w:left w:val="none" w:sz="0" w:space="0" w:color="auto"/>
            <w:bottom w:val="none" w:sz="0" w:space="0" w:color="auto"/>
            <w:right w:val="none" w:sz="0" w:space="0" w:color="auto"/>
          </w:divBdr>
          <w:divsChild>
            <w:div w:id="1192500626">
              <w:marLeft w:val="0"/>
              <w:marRight w:val="0"/>
              <w:marTop w:val="0"/>
              <w:marBottom w:val="0"/>
              <w:divBdr>
                <w:top w:val="none" w:sz="0" w:space="0" w:color="auto"/>
                <w:left w:val="none" w:sz="0" w:space="0" w:color="auto"/>
                <w:bottom w:val="none" w:sz="0" w:space="0" w:color="auto"/>
                <w:right w:val="none" w:sz="0" w:space="0" w:color="auto"/>
              </w:divBdr>
            </w:div>
          </w:divsChild>
        </w:div>
        <w:div w:id="786041790">
          <w:marLeft w:val="0"/>
          <w:marRight w:val="0"/>
          <w:marTop w:val="0"/>
          <w:marBottom w:val="0"/>
          <w:divBdr>
            <w:top w:val="none" w:sz="0" w:space="0" w:color="auto"/>
            <w:left w:val="none" w:sz="0" w:space="0" w:color="auto"/>
            <w:bottom w:val="none" w:sz="0" w:space="0" w:color="auto"/>
            <w:right w:val="none" w:sz="0" w:space="0" w:color="auto"/>
          </w:divBdr>
        </w:div>
      </w:divsChild>
    </w:div>
    <w:div w:id="2105488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png"/><Relationship Id="rId42" Type="http://schemas.openxmlformats.org/officeDocument/2006/relationships/hyperlink" Target="https://doi.org/10.21642/JGEA.050203AF" TargetMode="External"/><Relationship Id="rId47" Type="http://schemas.openxmlformats.org/officeDocument/2006/relationships/hyperlink" Target="https://www.eea.europa.eu/data-and-maps/figures/countries-which-adopted-a-national" TargetMode="External"/><Relationship Id="rId63" Type="http://schemas.openxmlformats.org/officeDocument/2006/relationships/hyperlink" Target="https://doi.org/10.1111/jiec.12626" TargetMode="External"/><Relationship Id="rId68" Type="http://schemas.openxmlformats.org/officeDocument/2006/relationships/hyperlink" Target="https://www.resourcepanel.org/global-material-flows-database" TargetMode="External"/><Relationship Id="rId84" Type="http://schemas.openxmlformats.org/officeDocument/2006/relationships/hyperlink" Target="https://www.world-aluminium.org/statistics/primary-aluminium-production/" TargetMode="External"/><Relationship Id="rId89" Type="http://schemas.openxmlformats.org/officeDocument/2006/relationships/hyperlink" Target="http://science.sciencemag.org/content/347/6223/768/" TargetMode="External"/><Relationship Id="rId16" Type="http://schemas.microsoft.com/office/2007/relationships/diagramDrawing" Target="diagrams/drawing1.xml"/><Relationship Id="rId107" Type="http://schemas.openxmlformats.org/officeDocument/2006/relationships/fontTable" Target="fontTable.xml"/><Relationship Id="rId11" Type="http://schemas.openxmlformats.org/officeDocument/2006/relationships/image" Target="media/image2.png"/><Relationship Id="rId32" Type="http://schemas.openxmlformats.org/officeDocument/2006/relationships/image" Target="media/image18.png"/><Relationship Id="rId37" Type="http://schemas.openxmlformats.org/officeDocument/2006/relationships/hyperlink" Target="https://www.bok.or.kr/eng/bbs/E0000634/view.do?nttId=10050569&amp;menuNo=400069" TargetMode="External"/><Relationship Id="rId53" Type="http://schemas.openxmlformats.org/officeDocument/2006/relationships/hyperlink" Target="https://doi.org/10.1016/j.resconrec.2017.09.005" TargetMode="External"/><Relationship Id="rId58" Type="http://schemas.openxmlformats.org/officeDocument/2006/relationships/hyperlink" Target="http://dx.doi.org/10.1787/af983f9a-en" TargetMode="External"/><Relationship Id="rId74" Type="http://schemas.openxmlformats.org/officeDocument/2006/relationships/hyperlink" Target="https://data.worldbank.org/indicator/SP.POP.TOTL" TargetMode="External"/><Relationship Id="rId79" Type="http://schemas.openxmlformats.org/officeDocument/2006/relationships/hyperlink" Target="https://s3-us-west-2.amazonaws.com/prd-wret/assets/palladium/production/mineral-pubs/copper/myb1-2015-coppe.xlsx" TargetMode="External"/><Relationship Id="rId102" Type="http://schemas.openxmlformats.org/officeDocument/2006/relationships/hyperlink" Target="http://www.cepii.fr/CEPII/en/bdd_modele/presentation.asp?id=37" TargetMode="External"/><Relationship Id="rId5" Type="http://schemas.openxmlformats.org/officeDocument/2006/relationships/webSettings" Target="webSettings.xml"/><Relationship Id="rId90" Type="http://schemas.openxmlformats.org/officeDocument/2006/relationships/hyperlink" Target="https://committee.iso.org/files/live/sites/tc61/files/The%20Plastic%20Industry%20Berlin%20Aug%202016%20-%20Copy.pdf" TargetMode="External"/><Relationship Id="rId95" Type="http://schemas.openxmlformats.org/officeDocument/2006/relationships/hyperlink" Target="https://www.canada.ca/en/environment-climate-change/news/2020/10/canada-one-step-closer-to-zero-plastic-waste-by-2030.html" TargetMode="External"/><Relationship Id="rId22" Type="http://schemas.openxmlformats.org/officeDocument/2006/relationships/image" Target="media/image8.png"/><Relationship Id="rId27" Type="http://schemas.openxmlformats.org/officeDocument/2006/relationships/image" Target="media/image13.png"/><Relationship Id="rId43" Type="http://schemas.openxmlformats.org/officeDocument/2006/relationships/hyperlink" Target="https://www.gtap.agecon.purdue.edu/resources/res_display.asp?RecordID=6354" TargetMode="External"/><Relationship Id="rId48" Type="http://schemas.openxmlformats.org/officeDocument/2006/relationships/hyperlink" Target="https://doi.org/10.1088/1748-9326/ab842a" TargetMode="External"/><Relationship Id="rId64" Type="http://schemas.openxmlformats.org/officeDocument/2006/relationships/hyperlink" Target="https://link.springer.com/content/pdf/10.1007/s11015-009-9116-5.pdf" TargetMode="External"/><Relationship Id="rId69" Type="http://schemas.openxmlformats.org/officeDocument/2006/relationships/hyperlink" Target="https://www.bea.gov/industry/input-output-accounts-data" TargetMode="External"/><Relationship Id="rId80" Type="http://schemas.openxmlformats.org/officeDocument/2006/relationships/hyperlink" Target="https://copperalliance.eu/about-copper/copper-and-its-alloys/processes/" TargetMode="External"/><Relationship Id="rId85" Type="http://schemas.openxmlformats.org/officeDocument/2006/relationships/hyperlink" Target="https://alucycle.world-aluminium.org/public-access/" TargetMode="External"/><Relationship Id="rId12" Type="http://schemas.openxmlformats.org/officeDocument/2006/relationships/diagramData" Target="diagrams/data1.xml"/><Relationship Id="rId17" Type="http://schemas.openxmlformats.org/officeDocument/2006/relationships/image" Target="media/image3.png"/><Relationship Id="rId33" Type="http://schemas.openxmlformats.org/officeDocument/2006/relationships/image" Target="media/image19.png"/><Relationship Id="rId38" Type="http://schemas.openxmlformats.org/officeDocument/2006/relationships/hyperlink" Target="https://doi.org/10.1787/c1f3c8d0-en" TargetMode="External"/><Relationship Id="rId59" Type="http://schemas.openxmlformats.org/officeDocument/2006/relationships/hyperlink" Target="https://www.soumu.go.jp/english/dgpp_ss/data/io/io15_00001.htm" TargetMode="External"/><Relationship Id="rId103" Type="http://schemas.openxmlformats.org/officeDocument/2006/relationships/header" Target="header1.xml"/><Relationship Id="rId108" Type="http://schemas.openxmlformats.org/officeDocument/2006/relationships/theme" Target="theme/theme1.xml"/><Relationship Id="rId20" Type="http://schemas.openxmlformats.org/officeDocument/2006/relationships/image" Target="media/image6.png"/><Relationship Id="rId41" Type="http://schemas.openxmlformats.org/officeDocument/2006/relationships/hyperlink" Target="http://www.cepii.fr/DATA_DOWNLOAD/baci/doc/DescriptionBACI.html" TargetMode="External"/><Relationship Id="rId54" Type="http://schemas.openxmlformats.org/officeDocument/2006/relationships/hyperlink" Target="https://doi.org/10.1016/j.ecolecon.2017.06.041" TargetMode="External"/><Relationship Id="rId62" Type="http://schemas.openxmlformats.org/officeDocument/2006/relationships/hyperlink" Target="https://ourworldindata.org/a-history-of-global-living-conditions-in-5-charts" TargetMode="External"/><Relationship Id="rId70" Type="http://schemas.openxmlformats.org/officeDocument/2006/relationships/hyperlink" Target="https://mygeohub.org/groups/gtap/envisage-docs" TargetMode="External"/><Relationship Id="rId75" Type="http://schemas.openxmlformats.org/officeDocument/2006/relationships/hyperlink" Target="https://s3-us-west-2.amazonaws.com/prd-wret/assets/palladium/production/mineral-pubs/iron-ore/myb1-2015-feore.xlsx" TargetMode="External"/><Relationship Id="rId83" Type="http://schemas.openxmlformats.org/officeDocument/2006/relationships/hyperlink" Target="https://www.lightmetalage.com/resources-section/secondary-producers/" TargetMode="External"/><Relationship Id="rId88" Type="http://schemas.openxmlformats.org/officeDocument/2006/relationships/hyperlink" Target="https://ourworldindata.org/plastic-pollution" TargetMode="External"/><Relationship Id="rId91" Type="http://schemas.openxmlformats.org/officeDocument/2006/relationships/hyperlink" Target="https://www.veolia.co.uk/sites/g/files/dvc1681/files/document/2018/10/Veolia%20UK%20_%20Planet%20Magazine%2016.pdf" TargetMode="External"/><Relationship Id="rId96" Type="http://schemas.openxmlformats.org/officeDocument/2006/relationships/hyperlink" Target="https://www.ifc.org/wps/wcm/connect/news_ext_content/ifc_external_corporate_site/news+and+events/news/moscow+kids+recyclin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Colors" Target="diagrams/colors1.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yperlink" Target="https://doi.org/10.1016/j.jclepro.2020.123421" TargetMode="External"/><Relationship Id="rId49" Type="http://schemas.openxmlformats.org/officeDocument/2006/relationships/hyperlink" Target="https://doi.org/10.1098/rstb.2008.0311" TargetMode="External"/><Relationship Id="rId57" Type="http://schemas.openxmlformats.org/officeDocument/2006/relationships/hyperlink" Target="https://doi.org/10.1038/s41559-019-0824-3" TargetMode="External"/><Relationship Id="rId106" Type="http://schemas.openxmlformats.org/officeDocument/2006/relationships/header" Target="header3.xml"/><Relationship Id="rId10" Type="http://schemas.openxmlformats.org/officeDocument/2006/relationships/hyperlink" Target="https://www.eea.europa.eu/data-and-maps/figures/countries-which-adopted-a-national/99936_countries-with-a-national-resource.eps/image_large" TargetMode="External"/><Relationship Id="rId31" Type="http://schemas.openxmlformats.org/officeDocument/2006/relationships/image" Target="media/image17.png"/><Relationship Id="rId44" Type="http://schemas.openxmlformats.org/officeDocument/2006/relationships/hyperlink" Target="https://doi.org/10.1016/j.jclepro.2020.122825" TargetMode="External"/><Relationship Id="rId52" Type="http://schemas.openxmlformats.org/officeDocument/2006/relationships/hyperlink" Target="https://doi.org/10.1016/j.energy.2011.07.050" TargetMode="External"/><Relationship Id="rId60" Type="http://schemas.openxmlformats.org/officeDocument/2006/relationships/hyperlink" Target="https://doi.org/10.1787/9789264307452-en" TargetMode="External"/><Relationship Id="rId65" Type="http://schemas.openxmlformats.org/officeDocument/2006/relationships/hyperlink" Target="https://www150.statcan.gc.ca/n1/pub/15-602-x/15-602-x2017001-eng.htm" TargetMode="External"/><Relationship Id="rId73" Type="http://schemas.openxmlformats.org/officeDocument/2006/relationships/hyperlink" Target="https://data.worldbank.org/indicator/NY.GDP.PCAP.KD" TargetMode="External"/><Relationship Id="rId78" Type="http://schemas.openxmlformats.org/officeDocument/2006/relationships/hyperlink" Target="https://www.statista.com/statistics/1038450/us-bauxite-production/" TargetMode="External"/><Relationship Id="rId81" Type="http://schemas.openxmlformats.org/officeDocument/2006/relationships/hyperlink" Target="https://s3-us-west-2.amazonaws.com/prd-wret/assets/palladium/production/mineral-pubs/copper/myb1-2015-coppe.xlsx" TargetMode="External"/><Relationship Id="rId86" Type="http://schemas.openxmlformats.org/officeDocument/2006/relationships/hyperlink" Target="https://www.worldsteel.org/en/dam/jcr:37ad1117-fefc-4df3-b84f-6295478ae460/Steel%2520Statistical%2520Yearbook%25202016.pdf" TargetMode="External"/><Relationship Id="rId94" Type="http://schemas.openxmlformats.org/officeDocument/2006/relationships/hyperlink" Target="https://wedocs.unep.org/bitstream/handle/20.500.11822/30975/Africa_WMO_Poster.pdf" TargetMode="External"/><Relationship Id="rId99" Type="http://schemas.openxmlformats.org/officeDocument/2006/relationships/hyperlink" Target="http://www.krinstitute.org/Views-@-Plastic-;_An_Undegradable_Problem.aspx" TargetMode="External"/><Relationship Id="rId101" Type="http://schemas.openxmlformats.org/officeDocument/2006/relationships/hyperlink" Target="https://www.corepla.it/documenti/5f2fa32a-7081-416f-8bac-2efff3ff2fbd/Plastics+TheFacts+2015.pdf" TargetMode="External"/><Relationship Id="rId4" Type="http://schemas.openxmlformats.org/officeDocument/2006/relationships/settings" Target="settings.xml"/><Relationship Id="rId9" Type="http://schemas.openxmlformats.org/officeDocument/2006/relationships/hyperlink" Target="https://www.epa.gov/climateleadership/scope-1-and-scope-2-inventory-guidance" TargetMode="External"/><Relationship Id="rId13" Type="http://schemas.openxmlformats.org/officeDocument/2006/relationships/diagramLayout" Target="diagrams/layout1.xml"/><Relationship Id="rId18" Type="http://schemas.openxmlformats.org/officeDocument/2006/relationships/image" Target="media/image4.png"/><Relationship Id="rId39" Type="http://schemas.openxmlformats.org/officeDocument/2006/relationships/hyperlink" Target="https://doi.org/10.1016/j.jclepro.2013.04.031" TargetMode="External"/><Relationship Id="rId34" Type="http://schemas.openxmlformats.org/officeDocument/2006/relationships/image" Target="media/image20.png"/><Relationship Id="rId50" Type="http://schemas.openxmlformats.org/officeDocument/2006/relationships/hyperlink" Target="https://www.copsmodels.com/archivep.htm" TargetMode="External"/><Relationship Id="rId55" Type="http://schemas.openxmlformats.org/officeDocument/2006/relationships/hyperlink" Target="https://doi.org/10.1016/j.gloenvcha.2018.07.003" TargetMode="External"/><Relationship Id="rId76" Type="http://schemas.openxmlformats.org/officeDocument/2006/relationships/hyperlink" Target="https://s3-us-west-2.amazonaws.com/prd-wret/assets/palladium/production/mineral-pubs/country/2014/myb3-2014-bt-np.xls" TargetMode="External"/><Relationship Id="rId97" Type="http://schemas.openxmlformats.org/officeDocument/2006/relationships/hyperlink" Target="https://documents1.worldbank.org/curated/pt/702251549554831489/pdf/Waste-in-Russia-Garbage-or-Valuable-Resource.pdf" TargetMode="External"/><Relationship Id="rId104"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hyperlink" Target="https://doi.org/10.1021/acs.est.9b01208" TargetMode="External"/><Relationship Id="rId92" Type="http://schemas.openxmlformats.org/officeDocument/2006/relationships/hyperlink" Target="https://enveurope.springeropen.com/articles/10.1186/s12302-019-0254-5" TargetMode="External"/><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hyperlink" Target="https://www.mgg-recycling.com/wp-content/uploads/2013/06/BIR_CO2_report.pdf" TargetMode="External"/><Relationship Id="rId45" Type="http://schemas.openxmlformats.org/officeDocument/2006/relationships/hyperlink" Target="https://eur-lex.europa.eu/legal-content/EN/TXT/?qid=1583933814386&amp;uri=COM:2020:98:FIN" TargetMode="External"/><Relationship Id="rId66" Type="http://schemas.openxmlformats.org/officeDocument/2006/relationships/hyperlink" Target="https://doi.org/10.1371/journal.pone.0070385" TargetMode="External"/><Relationship Id="rId87" Type="http://schemas.openxmlformats.org/officeDocument/2006/relationships/hyperlink" Target="https://www.resourcepanel.org/global-material-flows-database" TargetMode="External"/><Relationship Id="rId61" Type="http://schemas.openxmlformats.org/officeDocument/2006/relationships/hyperlink" Target="https://doi.org/10.1111/conl.12713" TargetMode="External"/><Relationship Id="rId82" Type="http://schemas.openxmlformats.org/officeDocument/2006/relationships/hyperlink" Target="https://s3-us-west-2.amazonaws.com/prd-wret/assets/palladium/production/mineral-pubs/aluminum/myb1-2015-alumi.xls" TargetMode="External"/><Relationship Id="rId19" Type="http://schemas.openxmlformats.org/officeDocument/2006/relationships/image" Target="media/image5.png"/><Relationship Id="rId14" Type="http://schemas.openxmlformats.org/officeDocument/2006/relationships/diagramQuickStyle" Target="diagrams/quickStyle1.xml"/><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hyperlink" Target="https://doi.org/10.1016/j.apenergy.2015.11.075" TargetMode="External"/><Relationship Id="rId77" Type="http://schemas.openxmlformats.org/officeDocument/2006/relationships/hyperlink" Target="https://s3-us-west-2.amazonaws.com/prd-wret/assets/palladium/production/mineral-pubs/bauxite/myb1-2015-bauxi.xlsx" TargetMode="External"/><Relationship Id="rId100" Type="http://schemas.openxmlformats.org/officeDocument/2006/relationships/hyperlink" Target="https://wwf.org.ph/wp-content/uploads/2020/12/WWF_REPORT_EPR_Philippines_.pdf" TargetMode="External"/><Relationship Id="rId105"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www.copsmodels.com/msplitcom.htm" TargetMode="External"/><Relationship Id="rId72" Type="http://schemas.openxmlformats.org/officeDocument/2006/relationships/hyperlink" Target="https://doi.org/10.1007/s10368-017-0385-3" TargetMode="External"/><Relationship Id="rId93" Type="http://schemas.openxmlformats.org/officeDocument/2006/relationships/hyperlink" Target="https://publications.iadb.org/publications/english/document/Plastic-Waste-Management-and-Leakage-in-Latin-America-and-the-Caribbean.pdf" TargetMode="External"/><Relationship Id="rId98" Type="http://schemas.openxmlformats.org/officeDocument/2006/relationships/hyperlink" Target="https://www.unescap.org/sites/default/files/SSWA%20Development_Paper20-02_Marine%20Plastic%20Pollution%20in%20South%20Asia.pdf" TargetMode="External"/><Relationship Id="rId3" Type="http://schemas.openxmlformats.org/officeDocument/2006/relationships/styles" Target="styles.xml"/><Relationship Id="rId25" Type="http://schemas.openxmlformats.org/officeDocument/2006/relationships/image" Target="media/image11.png"/><Relationship Id="rId46" Type="http://schemas.openxmlformats.org/officeDocument/2006/relationships/hyperlink" Target="https://ec.europa.eu/eurostat/web/products-datasets/-/cei_srm030" TargetMode="External"/><Relationship Id="rId67" Type="http://schemas.openxmlformats.org/officeDocument/2006/relationships/hyperlink" Target="https://plasticsrecycling.org/images/library/APR-Recycled-vs-Virgin-May2020.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nsilium.europa.eu/en/policies/green-deal/eu-plan-for-a-green-transition/" TargetMode="External"/></Relationships>
</file>

<file path=word/diagrams/_rels/data1.xml.rels><?xml version="1.0" encoding="UTF-8" standalone="yes"?>
<Relationships xmlns="http://schemas.openxmlformats.org/package/2006/relationships"><Relationship Id="rId1" Type="http://schemas.openxmlformats.org/officeDocument/2006/relationships/hyperlink" Target="FAOSTAT_data.xls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4B17CA-97EB-44A4-B820-C09C599ED21A}"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US"/>
        </a:p>
      </dgm:t>
    </dgm:pt>
    <dgm:pt modelId="{6E8F4581-D0D9-4167-A0F8-AF1DCBBB6599}">
      <dgm:prSet phldrT="[Text]" custT="1"/>
      <dgm:spPr/>
      <dgm:t>
        <a:bodyPr/>
        <a:lstStyle/>
        <a:p>
          <a:r>
            <a:rPr lang="en-US" sz="1100" b="1" dirty="0"/>
            <a:t>(4) Database split</a:t>
          </a:r>
        </a:p>
      </dgm:t>
    </dgm:pt>
    <dgm:pt modelId="{86050FAE-97FF-4DC7-B801-762D06BAD6A7}" type="parTrans" cxnId="{62188B82-047E-44BE-8ECE-03521CA1ECE4}">
      <dgm:prSet/>
      <dgm:spPr/>
      <dgm:t>
        <a:bodyPr/>
        <a:lstStyle/>
        <a:p>
          <a:endParaRPr lang="en-US" sz="1000"/>
        </a:p>
      </dgm:t>
    </dgm:pt>
    <dgm:pt modelId="{6DAEDFA1-BC9D-4997-85E7-3EB8465064B8}" type="sibTrans" cxnId="{62188B82-047E-44BE-8ECE-03521CA1ECE4}">
      <dgm:prSet/>
      <dgm:spPr/>
      <dgm:t>
        <a:bodyPr/>
        <a:lstStyle/>
        <a:p>
          <a:endParaRPr lang="en-US" sz="1000"/>
        </a:p>
      </dgm:t>
    </dgm:pt>
    <dgm:pt modelId="{09F4FC60-1B18-4CAD-AD94-7F5821F2650A}">
      <dgm:prSet phldrT="[Text]" custT="1"/>
      <dgm:spPr/>
      <dgm:t>
        <a:bodyPr lIns="0" tIns="0" rIns="0" bIns="0"/>
        <a:lstStyle/>
        <a:p>
          <a:pPr algn="l"/>
          <a:r>
            <a:rPr lang="en-US" sz="1050" b="1" i="1" dirty="0"/>
            <a:t>Data: </a:t>
          </a:r>
          <a:r>
            <a:rPr lang="en-US" sz="1050" dirty="0"/>
            <a:t>Split targets from Step 3.</a:t>
          </a:r>
        </a:p>
      </dgm:t>
    </dgm:pt>
    <dgm:pt modelId="{B00E7FC3-0CB4-4F8F-BC2B-F287284731A3}" type="parTrans" cxnId="{192CD293-8A5C-47BA-B010-206C18049B61}">
      <dgm:prSet/>
      <dgm:spPr/>
      <dgm:t>
        <a:bodyPr/>
        <a:lstStyle/>
        <a:p>
          <a:endParaRPr lang="en-US" sz="1000"/>
        </a:p>
      </dgm:t>
    </dgm:pt>
    <dgm:pt modelId="{F6272118-863D-4B66-8B1A-237C830E1BDD}" type="sibTrans" cxnId="{192CD293-8A5C-47BA-B010-206C18049B61}">
      <dgm:prSet/>
      <dgm:spPr/>
      <dgm:t>
        <a:bodyPr/>
        <a:lstStyle/>
        <a:p>
          <a:endParaRPr lang="en-US" sz="1000"/>
        </a:p>
      </dgm:t>
    </dgm:pt>
    <dgm:pt modelId="{B22335FB-8C6E-468D-820D-14C101084711}">
      <dgm:prSet phldrT="[Text]" custT="1"/>
      <dgm:spPr/>
      <dgm:t>
        <a:bodyPr/>
        <a:lstStyle/>
        <a:p>
          <a:r>
            <a:rPr lang="en-US" sz="1100" b="1" dirty="0"/>
            <a:t>(5) Construction of the final database</a:t>
          </a:r>
        </a:p>
      </dgm:t>
    </dgm:pt>
    <dgm:pt modelId="{8FDE2D31-3264-4084-8D4D-9265D175CD83}" type="parTrans" cxnId="{688DAB2F-AC8D-4CF9-8A65-2A7615493D03}">
      <dgm:prSet/>
      <dgm:spPr/>
      <dgm:t>
        <a:bodyPr/>
        <a:lstStyle/>
        <a:p>
          <a:endParaRPr lang="en-US" sz="1000"/>
        </a:p>
      </dgm:t>
    </dgm:pt>
    <dgm:pt modelId="{61E37199-B1BC-4195-81AE-F6676E5D1E03}" type="sibTrans" cxnId="{688DAB2F-AC8D-4CF9-8A65-2A7615493D03}">
      <dgm:prSet/>
      <dgm:spPr/>
      <dgm:t>
        <a:bodyPr/>
        <a:lstStyle/>
        <a:p>
          <a:endParaRPr lang="en-US" sz="1000"/>
        </a:p>
      </dgm:t>
    </dgm:pt>
    <dgm:pt modelId="{2E34091C-81F1-418E-A378-9C63A72F80EE}">
      <dgm:prSet phldrT="[Text]" custT="1"/>
      <dgm:spPr/>
      <dgm:t>
        <a:bodyPr lIns="0" tIns="0" rIns="0" bIns="0"/>
        <a:lstStyle/>
        <a:p>
          <a:r>
            <a:rPr lang="en-US" sz="1050" b="1" i="1" dirty="0"/>
            <a:t>Data:</a:t>
          </a:r>
          <a:r>
            <a:rPr lang="en-US" sz="1050" dirty="0"/>
            <a:t> Disaggregated database from Step 4, </a:t>
          </a:r>
          <a:r>
            <a:rPr lang="en-US" sz="1050" b="0" i="0" dirty="0"/>
            <a:t>BACI, UNEP IRP MFA</a:t>
          </a:r>
          <a:r>
            <a:rPr lang="en-US" sz="1050" dirty="0"/>
            <a:t>.</a:t>
          </a:r>
        </a:p>
      </dgm:t>
    </dgm:pt>
    <dgm:pt modelId="{CE329964-AD52-4D0D-8AEB-B2AB3BB08984}" type="parTrans" cxnId="{836CA368-90F1-4CCA-9DD4-956FF02DDC63}">
      <dgm:prSet/>
      <dgm:spPr/>
      <dgm:t>
        <a:bodyPr/>
        <a:lstStyle/>
        <a:p>
          <a:endParaRPr lang="en-US" sz="1000"/>
        </a:p>
      </dgm:t>
    </dgm:pt>
    <dgm:pt modelId="{9AE86BF2-31E5-44A9-A171-C62186F72506}" type="sibTrans" cxnId="{836CA368-90F1-4CCA-9DD4-956FF02DDC63}">
      <dgm:prSet/>
      <dgm:spPr/>
      <dgm:t>
        <a:bodyPr/>
        <a:lstStyle/>
        <a:p>
          <a:endParaRPr lang="en-US" sz="1000"/>
        </a:p>
      </dgm:t>
    </dgm:pt>
    <dgm:pt modelId="{00A40046-DE1D-4B2D-989B-0FBCB12730EB}">
      <dgm:prSet phldrT="[Text]" custT="1"/>
      <dgm:spPr/>
      <dgm:t>
        <a:bodyPr/>
        <a:lstStyle/>
        <a:p>
          <a:r>
            <a:rPr lang="en-US" sz="1100" b="1" dirty="0"/>
            <a:t>(1) Data preparation </a:t>
          </a:r>
        </a:p>
        <a:p>
          <a:r>
            <a:rPr lang="en-US" sz="1100" b="1" dirty="0"/>
            <a:t>(output splits)</a:t>
          </a:r>
        </a:p>
      </dgm:t>
    </dgm:pt>
    <dgm:pt modelId="{FAB66DEF-667E-4AE8-B7EE-B9BC0E628AFC}" type="parTrans" cxnId="{388DAB55-E5FC-40EE-A0A8-9F123D30502A}">
      <dgm:prSet/>
      <dgm:spPr/>
      <dgm:t>
        <a:bodyPr/>
        <a:lstStyle/>
        <a:p>
          <a:endParaRPr lang="en-US" sz="1000"/>
        </a:p>
      </dgm:t>
    </dgm:pt>
    <dgm:pt modelId="{D1F678E0-0719-408C-A26C-205EFBC4E07D}" type="sibTrans" cxnId="{388DAB55-E5FC-40EE-A0A8-9F123D30502A}">
      <dgm:prSet/>
      <dgm:spPr/>
      <dgm:t>
        <a:bodyPr/>
        <a:lstStyle/>
        <a:p>
          <a:endParaRPr lang="en-US" sz="1000"/>
        </a:p>
      </dgm:t>
    </dgm:pt>
    <dgm:pt modelId="{DA10C7F5-748A-4881-97B3-2B1460CF0550}">
      <dgm:prSet phldrT="[Text]" custT="1"/>
      <dgm:spPr/>
      <dgm:t>
        <a:bodyPr lIns="0" tIns="0" rIns="0" bIns="0"/>
        <a:lstStyle/>
        <a:p>
          <a:r>
            <a:rPr lang="en-US" sz="1050" b="1" i="1" dirty="0"/>
            <a:t>Data:</a:t>
          </a:r>
          <a:r>
            <a:rPr lang="en-US" sz="1050" dirty="0"/>
            <a:t> Volumes of primary and secondary production, volumes of waste, recycling rates, bilateral trade data for sectors or interest.</a:t>
          </a:r>
        </a:p>
      </dgm:t>
      <dgm:extLst>
        <a:ext uri="{E40237B7-FDA0-4F09-8148-C483321AD2D9}">
          <dgm14:cNvPr xmlns:dgm14="http://schemas.microsoft.com/office/drawing/2010/diagram" id="0" name="" title="fdsfsa">
            <a:hlinkClick xmlns:r="http://schemas.openxmlformats.org/officeDocument/2006/relationships" r:id="rId1"/>
          </dgm14:cNvPr>
        </a:ext>
      </dgm:extLst>
    </dgm:pt>
    <dgm:pt modelId="{762C0E5E-EF8F-47CA-8A2F-F8AC93FA4525}" type="parTrans" cxnId="{0C78EE61-4719-4BC6-8D03-B485608452EC}">
      <dgm:prSet/>
      <dgm:spPr/>
      <dgm:t>
        <a:bodyPr/>
        <a:lstStyle/>
        <a:p>
          <a:endParaRPr lang="en-US" sz="1000"/>
        </a:p>
      </dgm:t>
    </dgm:pt>
    <dgm:pt modelId="{13B57D31-83A9-44F1-91D9-3FDF022D8EFC}" type="sibTrans" cxnId="{0C78EE61-4719-4BC6-8D03-B485608452EC}">
      <dgm:prSet/>
      <dgm:spPr/>
      <dgm:t>
        <a:bodyPr/>
        <a:lstStyle/>
        <a:p>
          <a:endParaRPr lang="en-US" sz="1000"/>
        </a:p>
      </dgm:t>
    </dgm:pt>
    <dgm:pt modelId="{94F329B9-99F1-4B4D-8323-29C3B178004B}">
      <dgm:prSet phldrT="[Text]" custT="1"/>
      <dgm:spPr/>
      <dgm:t>
        <a:bodyPr lIns="0" tIns="0" rIns="0" bIns="0"/>
        <a:lstStyle/>
        <a:p>
          <a:r>
            <a:rPr lang="en-US" sz="1050" dirty="0"/>
            <a:t>Construction of the production targets using volume and price data. </a:t>
          </a:r>
        </a:p>
      </dgm:t>
    </dgm:pt>
    <dgm:pt modelId="{48CCCCBF-874D-4ED2-A8EA-0EC10FE9FE4B}" type="parTrans" cxnId="{31DD0EDB-B1EC-4FF9-B8FA-F4A0DEEFDACE}">
      <dgm:prSet/>
      <dgm:spPr/>
      <dgm:t>
        <a:bodyPr/>
        <a:lstStyle/>
        <a:p>
          <a:endParaRPr lang="en-US" sz="1000"/>
        </a:p>
      </dgm:t>
    </dgm:pt>
    <dgm:pt modelId="{279C4ED4-19C0-4A50-9D69-2DF6197D71BC}" type="sibTrans" cxnId="{31DD0EDB-B1EC-4FF9-B8FA-F4A0DEEFDACE}">
      <dgm:prSet/>
      <dgm:spPr/>
      <dgm:t>
        <a:bodyPr/>
        <a:lstStyle/>
        <a:p>
          <a:endParaRPr lang="en-US" sz="1000"/>
        </a:p>
      </dgm:t>
    </dgm:pt>
    <dgm:pt modelId="{1F98DC1F-A6BE-4159-B63E-67B10198316C}">
      <dgm:prSet custT="1"/>
      <dgm:spPr/>
      <dgm:t>
        <a:bodyPr/>
        <a:lstStyle/>
        <a:p>
          <a:r>
            <a:rPr lang="en-US" sz="1050" dirty="0"/>
            <a:t>GTAP Data Base split using SPLITCOM. Further refinement using </a:t>
          </a:r>
          <a:r>
            <a:rPr lang="en-US" sz="1050" dirty="0" err="1"/>
            <a:t>GTAPAdjust</a:t>
          </a:r>
          <a:r>
            <a:rPr lang="en-US" sz="1050" dirty="0"/>
            <a:t> if relevant.</a:t>
          </a:r>
        </a:p>
      </dgm:t>
    </dgm:pt>
    <dgm:pt modelId="{F96B784A-7577-43F8-9203-8A53629FFA1E}" type="parTrans" cxnId="{7BC76A1A-58C0-4C8A-8646-7A005A01D401}">
      <dgm:prSet/>
      <dgm:spPr/>
      <dgm:t>
        <a:bodyPr/>
        <a:lstStyle/>
        <a:p>
          <a:endParaRPr lang="en-US" sz="1000"/>
        </a:p>
      </dgm:t>
    </dgm:pt>
    <dgm:pt modelId="{704742F5-0867-4B3F-AD65-3C08EF1A07E6}" type="sibTrans" cxnId="{7BC76A1A-58C0-4C8A-8646-7A005A01D401}">
      <dgm:prSet/>
      <dgm:spPr/>
      <dgm:t>
        <a:bodyPr/>
        <a:lstStyle/>
        <a:p>
          <a:endParaRPr lang="en-US" sz="1000"/>
        </a:p>
      </dgm:t>
    </dgm:pt>
    <dgm:pt modelId="{AEE07D6E-AD5B-4D4F-94B6-B7BF33D3B1BD}">
      <dgm:prSet phldrT="[Text]" custT="1"/>
      <dgm:spPr/>
      <dgm:t>
        <a:bodyPr/>
        <a:lstStyle/>
        <a:p>
          <a:r>
            <a:rPr lang="en-US" sz="1100" b="1" dirty="0"/>
            <a:t>(3) Targets’ reconciliation</a:t>
          </a:r>
        </a:p>
      </dgm:t>
    </dgm:pt>
    <dgm:pt modelId="{EFC3630E-9876-4432-A4A7-B6F2D8F38BA4}" type="parTrans" cxnId="{4CFDA954-E609-4F94-9918-87D21FEF0DBD}">
      <dgm:prSet/>
      <dgm:spPr/>
      <dgm:t>
        <a:bodyPr/>
        <a:lstStyle/>
        <a:p>
          <a:endParaRPr lang="en-US" sz="1000"/>
        </a:p>
      </dgm:t>
    </dgm:pt>
    <dgm:pt modelId="{AD90DA5D-A286-4B9D-B91C-D1F0AF0D9B7C}" type="sibTrans" cxnId="{4CFDA954-E609-4F94-9918-87D21FEF0DBD}">
      <dgm:prSet/>
      <dgm:spPr/>
      <dgm:t>
        <a:bodyPr/>
        <a:lstStyle/>
        <a:p>
          <a:endParaRPr lang="en-US" sz="1000"/>
        </a:p>
      </dgm:t>
    </dgm:pt>
    <dgm:pt modelId="{E170810D-425E-461D-9058-9E5CEA7CC8F5}">
      <dgm:prSet phldrT="[Text]" custT="1"/>
      <dgm:spPr/>
      <dgm:t>
        <a:bodyPr lIns="0" tIns="0" rIns="0" bIns="0"/>
        <a:lstStyle/>
        <a:p>
          <a:r>
            <a:rPr lang="en-US" sz="1050" dirty="0"/>
            <a:t>Reconciliation of the production targets, supply/use structures and trade data for disaggregated SAMs extracted from the GTAP.</a:t>
          </a:r>
        </a:p>
      </dgm:t>
    </dgm:pt>
    <dgm:pt modelId="{92A7C5DC-0D00-418F-A47C-528F45DAB57E}" type="parTrans" cxnId="{C92FC964-0B0E-4A90-AE83-7E2BF9FD94D3}">
      <dgm:prSet/>
      <dgm:spPr/>
      <dgm:t>
        <a:bodyPr/>
        <a:lstStyle/>
        <a:p>
          <a:endParaRPr lang="en-US" sz="1000"/>
        </a:p>
      </dgm:t>
    </dgm:pt>
    <dgm:pt modelId="{980A7A0E-104A-4F9A-8881-E0C2F571D8F5}" type="sibTrans" cxnId="{C92FC964-0B0E-4A90-AE83-7E2BF9FD94D3}">
      <dgm:prSet/>
      <dgm:spPr/>
      <dgm:t>
        <a:bodyPr/>
        <a:lstStyle/>
        <a:p>
          <a:endParaRPr lang="en-US" sz="1000"/>
        </a:p>
      </dgm:t>
    </dgm:pt>
    <dgm:pt modelId="{EC5FBEAF-74EE-4A9E-BD65-F53CAF0C2403}">
      <dgm:prSet phldrT="[Text]" custT="1"/>
      <dgm:spPr/>
      <dgm:t>
        <a:bodyPr lIns="0" tIns="0" rIns="0" bIns="0"/>
        <a:lstStyle/>
        <a:p>
          <a:r>
            <a:rPr lang="en-US" sz="1050" b="1" i="1" dirty="0"/>
            <a:t>Data:</a:t>
          </a:r>
          <a:r>
            <a:rPr lang="en-US" sz="1050" dirty="0"/>
            <a:t> GTAP 10 Power Data Base, data inputs from Steps 1 and 2.</a:t>
          </a:r>
        </a:p>
      </dgm:t>
    </dgm:pt>
    <dgm:pt modelId="{939CEA2B-8802-4E14-9B60-1C8375A4D10D}" type="parTrans" cxnId="{64A8C54E-8F4D-43DE-B763-BD8E967829B4}">
      <dgm:prSet/>
      <dgm:spPr/>
      <dgm:t>
        <a:bodyPr/>
        <a:lstStyle/>
        <a:p>
          <a:endParaRPr lang="en-US" sz="1000"/>
        </a:p>
      </dgm:t>
    </dgm:pt>
    <dgm:pt modelId="{D37CBA32-683F-46DC-81F1-71C6291AC4A6}" type="sibTrans" cxnId="{64A8C54E-8F4D-43DE-B763-BD8E967829B4}">
      <dgm:prSet/>
      <dgm:spPr/>
      <dgm:t>
        <a:bodyPr/>
        <a:lstStyle/>
        <a:p>
          <a:endParaRPr lang="en-US" sz="1000"/>
        </a:p>
      </dgm:t>
    </dgm:pt>
    <dgm:pt modelId="{934CC7B1-F61A-4294-A761-A3CCEFC8D5A0}">
      <dgm:prSet phldrT="[Text]" custT="1"/>
      <dgm:spPr/>
      <dgm:t>
        <a:bodyPr lIns="0" tIns="0" rIns="0" bIns="0"/>
        <a:lstStyle/>
        <a:p>
          <a:r>
            <a:rPr lang="en-US" sz="1050" dirty="0"/>
            <a:t>Incorporation of the energy and emission flows for disaggregated sectors. Introduction of the quantity flows for the non-metallic minerals sector. Compilation of the final database.</a:t>
          </a:r>
        </a:p>
      </dgm:t>
    </dgm:pt>
    <dgm:pt modelId="{B4289FE0-5A36-4272-A904-9F5F33128FB0}" type="parTrans" cxnId="{1DF06461-9156-4370-B8B6-E7C5B1CE6477}">
      <dgm:prSet/>
      <dgm:spPr/>
      <dgm:t>
        <a:bodyPr/>
        <a:lstStyle/>
        <a:p>
          <a:endParaRPr lang="en-US" sz="1000"/>
        </a:p>
      </dgm:t>
    </dgm:pt>
    <dgm:pt modelId="{50BC83B8-2677-4276-B51F-56B0E50B3CA1}" type="sibTrans" cxnId="{1DF06461-9156-4370-B8B6-E7C5B1CE6477}">
      <dgm:prSet/>
      <dgm:spPr/>
      <dgm:t>
        <a:bodyPr/>
        <a:lstStyle/>
        <a:p>
          <a:endParaRPr lang="en-US" sz="1000"/>
        </a:p>
      </dgm:t>
    </dgm:pt>
    <dgm:pt modelId="{EE172D81-7BC5-45EB-8D94-D0F57F5CA268}">
      <dgm:prSet phldrT="[Text]" custT="1"/>
      <dgm:spPr/>
      <dgm:t>
        <a:bodyPr/>
        <a:lstStyle/>
        <a:p>
          <a:r>
            <a:rPr lang="en-US" sz="1100" b="1" dirty="0"/>
            <a:t>(2) Data preparation (supply/use splits)</a:t>
          </a:r>
        </a:p>
      </dgm:t>
    </dgm:pt>
    <dgm:pt modelId="{1B1F0E34-CDA7-4191-80C6-68F626C8A62A}" type="parTrans" cxnId="{7CCDCA96-AD29-4DD9-BE3D-BDFB19974874}">
      <dgm:prSet/>
      <dgm:spPr/>
      <dgm:t>
        <a:bodyPr/>
        <a:lstStyle/>
        <a:p>
          <a:endParaRPr lang="en-US" sz="1050"/>
        </a:p>
      </dgm:t>
    </dgm:pt>
    <dgm:pt modelId="{5951F507-A83A-4833-870B-D2D18442436B}" type="sibTrans" cxnId="{7CCDCA96-AD29-4DD9-BE3D-BDFB19974874}">
      <dgm:prSet/>
      <dgm:spPr/>
      <dgm:t>
        <a:bodyPr/>
        <a:lstStyle/>
        <a:p>
          <a:endParaRPr lang="en-US" sz="1050"/>
        </a:p>
      </dgm:t>
    </dgm:pt>
    <dgm:pt modelId="{36DE0E3D-5184-417A-A4CB-97227A4F0530}">
      <dgm:prSet phldrT="[Text]" custT="1"/>
      <dgm:spPr/>
      <dgm:t>
        <a:bodyPr lIns="0" tIns="0" rIns="0" bIns="0"/>
        <a:lstStyle/>
        <a:p>
          <a:r>
            <a:rPr lang="en-US" sz="1050" b="1" i="1" dirty="0"/>
            <a:t>Data:</a:t>
          </a:r>
          <a:r>
            <a:rPr lang="en-US" sz="1050" dirty="0"/>
            <a:t> Disaggregated individual country input-output tables (USA, Korea, Japan, Canada), EXIOBASE, cost structure assumptions for energy inputs of primary and secondary produciton.</a:t>
          </a:r>
        </a:p>
      </dgm:t>
    </dgm:pt>
    <dgm:pt modelId="{F3A9589E-21A7-45AB-8B23-A9FE69242218}" type="parTrans" cxnId="{715052CE-7BC6-4B4C-A28A-3E11BB10389A}">
      <dgm:prSet/>
      <dgm:spPr/>
      <dgm:t>
        <a:bodyPr/>
        <a:lstStyle/>
        <a:p>
          <a:endParaRPr lang="en-US" sz="1050"/>
        </a:p>
      </dgm:t>
    </dgm:pt>
    <dgm:pt modelId="{788586F9-5C69-418D-AE2C-87444091EEB3}" type="sibTrans" cxnId="{715052CE-7BC6-4B4C-A28A-3E11BB10389A}">
      <dgm:prSet/>
      <dgm:spPr/>
      <dgm:t>
        <a:bodyPr/>
        <a:lstStyle/>
        <a:p>
          <a:endParaRPr lang="en-US" sz="1050"/>
        </a:p>
      </dgm:t>
    </dgm:pt>
    <dgm:pt modelId="{53431C3D-8654-469A-981E-5C0BA7E97187}">
      <dgm:prSet phldrT="[Text]" custT="1"/>
      <dgm:spPr/>
      <dgm:t>
        <a:bodyPr lIns="0" tIns="0" rIns="0" bIns="0"/>
        <a:lstStyle/>
        <a:p>
          <a:r>
            <a:rPr lang="en-US" sz="1050" b="1" i="1" dirty="0"/>
            <a:t>Data sources: </a:t>
          </a:r>
          <a:r>
            <a:rPr lang="en-US" sz="1050" b="0" i="0" dirty="0"/>
            <a:t>USGS, UNIDO, BACI, UNEP IRP MFA, World Steel, </a:t>
          </a:r>
          <a:r>
            <a:rPr lang="en-US" sz="1050" b="0" i="0" dirty="0" err="1"/>
            <a:t>Jambeck</a:t>
          </a:r>
          <a:r>
            <a:rPr lang="en-US" sz="1050" b="0" i="0" dirty="0"/>
            <a:t> et al. (2015), Plastics Europe, Veolia, multiple country-specific data sources (for plastic recycling rates).</a:t>
          </a:r>
          <a:endParaRPr lang="en-US" sz="1050" b="1" i="1" dirty="0"/>
        </a:p>
      </dgm:t>
    </dgm:pt>
    <dgm:pt modelId="{2897D254-95D6-4BEE-81A1-C56E29DFCB6E}" type="parTrans" cxnId="{75CE9C56-FF2A-4C5C-95E2-71EB727D06A6}">
      <dgm:prSet/>
      <dgm:spPr/>
      <dgm:t>
        <a:bodyPr/>
        <a:lstStyle/>
        <a:p>
          <a:endParaRPr lang="en-US" sz="1050"/>
        </a:p>
      </dgm:t>
    </dgm:pt>
    <dgm:pt modelId="{AEE91C9D-38C9-4E7A-8866-76CA14DDDE92}" type="sibTrans" cxnId="{75CE9C56-FF2A-4C5C-95E2-71EB727D06A6}">
      <dgm:prSet/>
      <dgm:spPr/>
      <dgm:t>
        <a:bodyPr/>
        <a:lstStyle/>
        <a:p>
          <a:endParaRPr lang="en-US" sz="1050"/>
        </a:p>
      </dgm:t>
    </dgm:pt>
    <dgm:pt modelId="{180A77ED-0777-4311-A39C-D4232F9A2141}">
      <dgm:prSet phldrT="[Text]" custT="1"/>
      <dgm:spPr/>
      <dgm:t>
        <a:bodyPr lIns="0" tIns="0" rIns="0" bIns="0"/>
        <a:lstStyle/>
        <a:p>
          <a:r>
            <a:rPr lang="en-US" sz="1050" dirty="0"/>
            <a:t>Construction of the cost structure targets.</a:t>
          </a:r>
        </a:p>
      </dgm:t>
    </dgm:pt>
    <dgm:pt modelId="{EA05C62F-8585-45E6-BB1A-BD2591169EFD}" type="parTrans" cxnId="{5EFA136F-9320-43BB-A499-E8C29DFDBA23}">
      <dgm:prSet/>
      <dgm:spPr/>
      <dgm:t>
        <a:bodyPr/>
        <a:lstStyle/>
        <a:p>
          <a:endParaRPr lang="en-US" sz="1050"/>
        </a:p>
      </dgm:t>
    </dgm:pt>
    <dgm:pt modelId="{F1307BBF-039C-4D02-A34A-2F7519D386E9}" type="sibTrans" cxnId="{5EFA136F-9320-43BB-A499-E8C29DFDBA23}">
      <dgm:prSet/>
      <dgm:spPr/>
      <dgm:t>
        <a:bodyPr/>
        <a:lstStyle/>
        <a:p>
          <a:endParaRPr lang="en-US" sz="1050"/>
        </a:p>
      </dgm:t>
    </dgm:pt>
    <dgm:pt modelId="{4388145B-C78F-4911-A73C-857A44858BC6}" type="pres">
      <dgm:prSet presAssocID="{104B17CA-97EB-44A4-B820-C09C599ED21A}" presName="Name0" presStyleCnt="0">
        <dgm:presLayoutVars>
          <dgm:dir/>
          <dgm:animLvl val="lvl"/>
          <dgm:resizeHandles val="exact"/>
        </dgm:presLayoutVars>
      </dgm:prSet>
      <dgm:spPr/>
    </dgm:pt>
    <dgm:pt modelId="{4F285496-944B-4C29-98B9-D44C6F3C9AB4}" type="pres">
      <dgm:prSet presAssocID="{00A40046-DE1D-4B2D-989B-0FBCB12730EB}" presName="linNode" presStyleCnt="0"/>
      <dgm:spPr/>
    </dgm:pt>
    <dgm:pt modelId="{2A0CD3FC-4A82-4569-95AF-12161B3DF770}" type="pres">
      <dgm:prSet presAssocID="{00A40046-DE1D-4B2D-989B-0FBCB12730EB}" presName="parentText" presStyleLbl="node1" presStyleIdx="0" presStyleCnt="5" custScaleX="86308" custScaleY="77913">
        <dgm:presLayoutVars>
          <dgm:chMax val="1"/>
          <dgm:bulletEnabled val="1"/>
        </dgm:presLayoutVars>
      </dgm:prSet>
      <dgm:spPr/>
    </dgm:pt>
    <dgm:pt modelId="{16B3D8D3-2602-485E-A59F-5748799559D5}" type="pres">
      <dgm:prSet presAssocID="{00A40046-DE1D-4B2D-989B-0FBCB12730EB}" presName="descendantText" presStyleLbl="alignAccFollowNode1" presStyleIdx="0" presStyleCnt="5" custScaleX="107701" custScaleY="105922">
        <dgm:presLayoutVars>
          <dgm:bulletEnabled val="1"/>
        </dgm:presLayoutVars>
      </dgm:prSet>
      <dgm:spPr/>
    </dgm:pt>
    <dgm:pt modelId="{7F52B159-8243-4B75-85EC-5B3861108951}" type="pres">
      <dgm:prSet presAssocID="{D1F678E0-0719-408C-A26C-205EFBC4E07D}" presName="sp" presStyleCnt="0"/>
      <dgm:spPr/>
    </dgm:pt>
    <dgm:pt modelId="{CCCD7E89-5D03-47DF-956C-6A2A4F44309E}" type="pres">
      <dgm:prSet presAssocID="{AEE07D6E-AD5B-4D4F-94B6-B7BF33D3B1BD}" presName="linNode" presStyleCnt="0"/>
      <dgm:spPr/>
    </dgm:pt>
    <dgm:pt modelId="{FCEFC499-BE94-4D88-8C82-5CEB94209E70}" type="pres">
      <dgm:prSet presAssocID="{AEE07D6E-AD5B-4D4F-94B6-B7BF33D3B1BD}" presName="parentText" presStyleLbl="node1" presStyleIdx="1" presStyleCnt="5" custScaleX="86308" custScaleY="61939" custLinFactNeighborY="63362">
        <dgm:presLayoutVars>
          <dgm:chMax val="1"/>
          <dgm:bulletEnabled val="1"/>
        </dgm:presLayoutVars>
      </dgm:prSet>
      <dgm:spPr/>
    </dgm:pt>
    <dgm:pt modelId="{4A1D68EC-E2AE-448E-8ACE-1E3E46AD2F53}" type="pres">
      <dgm:prSet presAssocID="{AEE07D6E-AD5B-4D4F-94B6-B7BF33D3B1BD}" presName="descendantText" presStyleLbl="alignAccFollowNode1" presStyleIdx="1" presStyleCnt="5" custScaleX="107701" custScaleY="74273" custLinFactNeighborY="79214">
        <dgm:presLayoutVars>
          <dgm:bulletEnabled val="1"/>
        </dgm:presLayoutVars>
      </dgm:prSet>
      <dgm:spPr/>
    </dgm:pt>
    <dgm:pt modelId="{474DE415-15A2-44F5-B25F-7D80B94ADC5F}" type="pres">
      <dgm:prSet presAssocID="{AD90DA5D-A286-4B9D-B91C-D1F0AF0D9B7C}" presName="sp" presStyleCnt="0"/>
      <dgm:spPr/>
    </dgm:pt>
    <dgm:pt modelId="{6B931145-040F-4107-8562-82E63481B9B2}" type="pres">
      <dgm:prSet presAssocID="{6E8F4581-D0D9-4167-A0F8-AF1DCBBB6599}" presName="linNode" presStyleCnt="0"/>
      <dgm:spPr/>
    </dgm:pt>
    <dgm:pt modelId="{6FED0100-86E0-48DE-9364-1978AEA75E7A}" type="pres">
      <dgm:prSet presAssocID="{6E8F4581-D0D9-4167-A0F8-AF1DCBBB6599}" presName="parentText" presStyleLbl="node1" presStyleIdx="2" presStyleCnt="5" custScaleX="86309" custScaleY="66247" custLinFactNeighborY="62807">
        <dgm:presLayoutVars>
          <dgm:chMax val="1"/>
          <dgm:bulletEnabled val="1"/>
        </dgm:presLayoutVars>
      </dgm:prSet>
      <dgm:spPr/>
    </dgm:pt>
    <dgm:pt modelId="{07DA6818-91B8-4332-9FD1-972ACB9DC1FB}" type="pres">
      <dgm:prSet presAssocID="{6E8F4581-D0D9-4167-A0F8-AF1DCBBB6599}" presName="descendantText" presStyleLbl="alignAccFollowNode1" presStyleIdx="2" presStyleCnt="5" custScaleX="107807" custScaleY="69611" custLinFactNeighborY="78507">
        <dgm:presLayoutVars>
          <dgm:bulletEnabled val="1"/>
        </dgm:presLayoutVars>
      </dgm:prSet>
      <dgm:spPr/>
    </dgm:pt>
    <dgm:pt modelId="{6FE9F4D6-80AB-4519-AF46-EFA0991534F6}" type="pres">
      <dgm:prSet presAssocID="{6DAEDFA1-BC9D-4997-85E7-3EB8465064B8}" presName="sp" presStyleCnt="0"/>
      <dgm:spPr/>
    </dgm:pt>
    <dgm:pt modelId="{82112494-BFB3-4923-94F6-E645C84CD78E}" type="pres">
      <dgm:prSet presAssocID="{B22335FB-8C6E-468D-820D-14C101084711}" presName="linNode" presStyleCnt="0"/>
      <dgm:spPr/>
    </dgm:pt>
    <dgm:pt modelId="{DB10C6DF-F866-4B5E-B72B-E35FA2220151}" type="pres">
      <dgm:prSet presAssocID="{B22335FB-8C6E-468D-820D-14C101084711}" presName="parentText" presStyleLbl="node1" presStyleIdx="3" presStyleCnt="5" custScaleX="86309" custScaleY="48545" custLinFactNeighborY="60605">
        <dgm:presLayoutVars>
          <dgm:chMax val="1"/>
          <dgm:bulletEnabled val="1"/>
        </dgm:presLayoutVars>
      </dgm:prSet>
      <dgm:spPr/>
    </dgm:pt>
    <dgm:pt modelId="{BD6D4AA7-3CB1-42A3-BF73-099AC099A2DC}" type="pres">
      <dgm:prSet presAssocID="{B22335FB-8C6E-468D-820D-14C101084711}" presName="descendantText" presStyleLbl="alignAccFollowNode1" presStyleIdx="3" presStyleCnt="5" custScaleX="107807" custScaleY="68676" custLinFactNeighborY="71991">
        <dgm:presLayoutVars>
          <dgm:bulletEnabled val="1"/>
        </dgm:presLayoutVars>
      </dgm:prSet>
      <dgm:spPr/>
    </dgm:pt>
    <dgm:pt modelId="{D0C91668-6C16-4984-A4CF-247AFBDF8B08}" type="pres">
      <dgm:prSet presAssocID="{61E37199-B1BC-4195-81AE-F6676E5D1E03}" presName="sp" presStyleCnt="0"/>
      <dgm:spPr/>
    </dgm:pt>
    <dgm:pt modelId="{36B731F3-2592-4A1A-A1DA-6724F68995F4}" type="pres">
      <dgm:prSet presAssocID="{EE172D81-7BC5-45EB-8D94-D0F57F5CA268}" presName="linNode" presStyleCnt="0"/>
      <dgm:spPr/>
    </dgm:pt>
    <dgm:pt modelId="{9C89E8B4-83FC-49D0-85DD-DBB928DA1B33}" type="pres">
      <dgm:prSet presAssocID="{EE172D81-7BC5-45EB-8D94-D0F57F5CA268}" presName="parentText" presStyleLbl="node1" presStyleIdx="4" presStyleCnt="5" custScaleX="86308" custScaleY="51111" custLinFactY="-96158" custLinFactNeighborY="-100000">
        <dgm:presLayoutVars>
          <dgm:chMax val="1"/>
          <dgm:bulletEnabled val="1"/>
        </dgm:presLayoutVars>
      </dgm:prSet>
      <dgm:spPr/>
    </dgm:pt>
    <dgm:pt modelId="{FAF77C24-B4A0-4DB4-8D51-C8142C13EB0D}" type="pres">
      <dgm:prSet presAssocID="{EE172D81-7BC5-45EB-8D94-D0F57F5CA268}" presName="descendantText" presStyleLbl="alignAccFollowNode1" presStyleIdx="4" presStyleCnt="5" custScaleX="107701" custScaleY="70179" custLinFactY="-100000" custLinFactNeighborX="-582" custLinFactNeighborY="-145194">
        <dgm:presLayoutVars>
          <dgm:bulletEnabled val="1"/>
        </dgm:presLayoutVars>
      </dgm:prSet>
      <dgm:spPr/>
    </dgm:pt>
  </dgm:ptLst>
  <dgm:cxnLst>
    <dgm:cxn modelId="{F692DE04-0E94-4F25-9AB9-183A9EBA42A9}" type="presOf" srcId="{6E8F4581-D0D9-4167-A0F8-AF1DCBBB6599}" destId="{6FED0100-86E0-48DE-9364-1978AEA75E7A}" srcOrd="0" destOrd="0" presId="urn:microsoft.com/office/officeart/2005/8/layout/vList5"/>
    <dgm:cxn modelId="{2691260F-2978-4872-8CE7-E1BB03F3FC2B}" type="presOf" srcId="{1F98DC1F-A6BE-4159-B63E-67B10198316C}" destId="{07DA6818-91B8-4332-9FD1-972ACB9DC1FB}" srcOrd="0" destOrd="1" presId="urn:microsoft.com/office/officeart/2005/8/layout/vList5"/>
    <dgm:cxn modelId="{A25D3817-542C-4185-B28D-779149485CEF}" type="presOf" srcId="{EE172D81-7BC5-45EB-8D94-D0F57F5CA268}" destId="{9C89E8B4-83FC-49D0-85DD-DBB928DA1B33}" srcOrd="0" destOrd="0" presId="urn:microsoft.com/office/officeart/2005/8/layout/vList5"/>
    <dgm:cxn modelId="{7BC76A1A-58C0-4C8A-8646-7A005A01D401}" srcId="{6E8F4581-D0D9-4167-A0F8-AF1DCBBB6599}" destId="{1F98DC1F-A6BE-4159-B63E-67B10198316C}" srcOrd="1" destOrd="0" parTransId="{F96B784A-7577-43F8-9203-8A53629FFA1E}" sibTransId="{704742F5-0867-4B3F-AD65-3C08EF1A07E6}"/>
    <dgm:cxn modelId="{55CB892F-2BE5-40F6-8105-CBE5CC78DBF6}" type="presOf" srcId="{09F4FC60-1B18-4CAD-AD94-7F5821F2650A}" destId="{07DA6818-91B8-4332-9FD1-972ACB9DC1FB}" srcOrd="0" destOrd="0" presId="urn:microsoft.com/office/officeart/2005/8/layout/vList5"/>
    <dgm:cxn modelId="{688DAB2F-AC8D-4CF9-8A65-2A7615493D03}" srcId="{104B17CA-97EB-44A4-B820-C09C599ED21A}" destId="{B22335FB-8C6E-468D-820D-14C101084711}" srcOrd="3" destOrd="0" parTransId="{8FDE2D31-3264-4084-8D4D-9265D175CD83}" sibTransId="{61E37199-B1BC-4195-81AE-F6676E5D1E03}"/>
    <dgm:cxn modelId="{94649533-32EB-43F5-9C36-A64B1DB9A10A}" type="presOf" srcId="{00A40046-DE1D-4B2D-989B-0FBCB12730EB}" destId="{2A0CD3FC-4A82-4569-95AF-12161B3DF770}" srcOrd="0" destOrd="0" presId="urn:microsoft.com/office/officeart/2005/8/layout/vList5"/>
    <dgm:cxn modelId="{C74D1F3F-4B59-410A-A7EC-DA2F4463A31A}" type="presOf" srcId="{36DE0E3D-5184-417A-A4CB-97227A4F0530}" destId="{FAF77C24-B4A0-4DB4-8D51-C8142C13EB0D}" srcOrd="0" destOrd="0" presId="urn:microsoft.com/office/officeart/2005/8/layout/vList5"/>
    <dgm:cxn modelId="{8772015D-5747-4413-92AC-B7204794F90A}" type="presOf" srcId="{AEE07D6E-AD5B-4D4F-94B6-B7BF33D3B1BD}" destId="{FCEFC499-BE94-4D88-8C82-5CEB94209E70}" srcOrd="0" destOrd="0" presId="urn:microsoft.com/office/officeart/2005/8/layout/vList5"/>
    <dgm:cxn modelId="{1DF06461-9156-4370-B8B6-E7C5B1CE6477}" srcId="{B22335FB-8C6E-468D-820D-14C101084711}" destId="{934CC7B1-F61A-4294-A761-A3CCEFC8D5A0}" srcOrd="1" destOrd="0" parTransId="{B4289FE0-5A36-4272-A904-9F5F33128FB0}" sibTransId="{50BC83B8-2677-4276-B51F-56B0E50B3CA1}"/>
    <dgm:cxn modelId="{0C78EE61-4719-4BC6-8D03-B485608452EC}" srcId="{00A40046-DE1D-4B2D-989B-0FBCB12730EB}" destId="{DA10C7F5-748A-4881-97B3-2B1460CF0550}" srcOrd="0" destOrd="0" parTransId="{762C0E5E-EF8F-47CA-8A2F-F8AC93FA4525}" sibTransId="{13B57D31-83A9-44F1-91D9-3FDF022D8EFC}"/>
    <dgm:cxn modelId="{C92FC964-0B0E-4A90-AE83-7E2BF9FD94D3}" srcId="{AEE07D6E-AD5B-4D4F-94B6-B7BF33D3B1BD}" destId="{E170810D-425E-461D-9058-9E5CEA7CC8F5}" srcOrd="1" destOrd="0" parTransId="{92A7C5DC-0D00-418F-A47C-528F45DAB57E}" sibTransId="{980A7A0E-104A-4F9A-8881-E0C2F571D8F5}"/>
    <dgm:cxn modelId="{836CA368-90F1-4CCA-9DD4-956FF02DDC63}" srcId="{B22335FB-8C6E-468D-820D-14C101084711}" destId="{2E34091C-81F1-418E-A378-9C63A72F80EE}" srcOrd="0" destOrd="0" parTransId="{CE329964-AD52-4D0D-8AEB-B2AB3BB08984}" sibTransId="{9AE86BF2-31E5-44A9-A171-C62186F72506}"/>
    <dgm:cxn modelId="{64A8C54E-8F4D-43DE-B763-BD8E967829B4}" srcId="{AEE07D6E-AD5B-4D4F-94B6-B7BF33D3B1BD}" destId="{EC5FBEAF-74EE-4A9E-BD65-F53CAF0C2403}" srcOrd="0" destOrd="0" parTransId="{939CEA2B-8802-4E14-9B60-1C8375A4D10D}" sibTransId="{D37CBA32-683F-46DC-81F1-71C6291AC4A6}"/>
    <dgm:cxn modelId="{5EFA136F-9320-43BB-A499-E8C29DFDBA23}" srcId="{EE172D81-7BC5-45EB-8D94-D0F57F5CA268}" destId="{180A77ED-0777-4311-A39C-D4232F9A2141}" srcOrd="1" destOrd="0" parTransId="{EA05C62F-8585-45E6-BB1A-BD2591169EFD}" sibTransId="{F1307BBF-039C-4D02-A34A-2F7519D386E9}"/>
    <dgm:cxn modelId="{90140B54-7BAE-41B2-8983-4C688E93492E}" type="presOf" srcId="{53431C3D-8654-469A-981E-5C0BA7E97187}" destId="{16B3D8D3-2602-485E-A59F-5748799559D5}" srcOrd="0" destOrd="1" presId="urn:microsoft.com/office/officeart/2005/8/layout/vList5"/>
    <dgm:cxn modelId="{F038A454-CB1F-490C-BFEB-DB4D68403E2E}" type="presOf" srcId="{934CC7B1-F61A-4294-A761-A3CCEFC8D5A0}" destId="{BD6D4AA7-3CB1-42A3-BF73-099AC099A2DC}" srcOrd="0" destOrd="1" presId="urn:microsoft.com/office/officeart/2005/8/layout/vList5"/>
    <dgm:cxn modelId="{4CFDA954-E609-4F94-9918-87D21FEF0DBD}" srcId="{104B17CA-97EB-44A4-B820-C09C599ED21A}" destId="{AEE07D6E-AD5B-4D4F-94B6-B7BF33D3B1BD}" srcOrd="1" destOrd="0" parTransId="{EFC3630E-9876-4432-A4A7-B6F2D8F38BA4}" sibTransId="{AD90DA5D-A286-4B9D-B91C-D1F0AF0D9B7C}"/>
    <dgm:cxn modelId="{DC5A5655-BAB5-4157-98AF-DEF1DD898549}" type="presOf" srcId="{EC5FBEAF-74EE-4A9E-BD65-F53CAF0C2403}" destId="{4A1D68EC-E2AE-448E-8ACE-1E3E46AD2F53}" srcOrd="0" destOrd="0" presId="urn:microsoft.com/office/officeart/2005/8/layout/vList5"/>
    <dgm:cxn modelId="{388DAB55-E5FC-40EE-A0A8-9F123D30502A}" srcId="{104B17CA-97EB-44A4-B820-C09C599ED21A}" destId="{00A40046-DE1D-4B2D-989B-0FBCB12730EB}" srcOrd="0" destOrd="0" parTransId="{FAB66DEF-667E-4AE8-B7EE-B9BC0E628AFC}" sibTransId="{D1F678E0-0719-408C-A26C-205EFBC4E07D}"/>
    <dgm:cxn modelId="{75CE9C56-FF2A-4C5C-95E2-71EB727D06A6}" srcId="{00A40046-DE1D-4B2D-989B-0FBCB12730EB}" destId="{53431C3D-8654-469A-981E-5C0BA7E97187}" srcOrd="1" destOrd="0" parTransId="{2897D254-95D6-4BEE-81A1-C56E29DFCB6E}" sibTransId="{AEE91C9D-38C9-4E7A-8866-76CA14DDDE92}"/>
    <dgm:cxn modelId="{62188B82-047E-44BE-8ECE-03521CA1ECE4}" srcId="{104B17CA-97EB-44A4-B820-C09C599ED21A}" destId="{6E8F4581-D0D9-4167-A0F8-AF1DCBBB6599}" srcOrd="2" destOrd="0" parTransId="{86050FAE-97FF-4DC7-B801-762D06BAD6A7}" sibTransId="{6DAEDFA1-BC9D-4997-85E7-3EB8465064B8}"/>
    <dgm:cxn modelId="{88355389-5B83-41B3-BC6C-530C21B1BE69}" type="presOf" srcId="{94F329B9-99F1-4B4D-8323-29C3B178004B}" destId="{16B3D8D3-2602-485E-A59F-5748799559D5}" srcOrd="0" destOrd="2" presId="urn:microsoft.com/office/officeart/2005/8/layout/vList5"/>
    <dgm:cxn modelId="{90CE4C8E-5DCC-4A1D-8393-0516745BB13D}" type="presOf" srcId="{E170810D-425E-461D-9058-9E5CEA7CC8F5}" destId="{4A1D68EC-E2AE-448E-8ACE-1E3E46AD2F53}" srcOrd="0" destOrd="1" presId="urn:microsoft.com/office/officeart/2005/8/layout/vList5"/>
    <dgm:cxn modelId="{ECA05B90-8E17-46F1-B66F-DBB3D3CE4A5D}" type="presOf" srcId="{B22335FB-8C6E-468D-820D-14C101084711}" destId="{DB10C6DF-F866-4B5E-B72B-E35FA2220151}" srcOrd="0" destOrd="0" presId="urn:microsoft.com/office/officeart/2005/8/layout/vList5"/>
    <dgm:cxn modelId="{192CD293-8A5C-47BA-B010-206C18049B61}" srcId="{6E8F4581-D0D9-4167-A0F8-AF1DCBBB6599}" destId="{09F4FC60-1B18-4CAD-AD94-7F5821F2650A}" srcOrd="0" destOrd="0" parTransId="{B00E7FC3-0CB4-4F8F-BC2B-F287284731A3}" sibTransId="{F6272118-863D-4B66-8B1A-237C830E1BDD}"/>
    <dgm:cxn modelId="{7CCDCA96-AD29-4DD9-BE3D-BDFB19974874}" srcId="{104B17CA-97EB-44A4-B820-C09C599ED21A}" destId="{EE172D81-7BC5-45EB-8D94-D0F57F5CA268}" srcOrd="4" destOrd="0" parTransId="{1B1F0E34-CDA7-4191-80C6-68F626C8A62A}" sibTransId="{5951F507-A83A-4833-870B-D2D18442436B}"/>
    <dgm:cxn modelId="{93A7EB9F-3807-4F8F-9618-66FD4B2E8F5A}" type="presOf" srcId="{DA10C7F5-748A-4881-97B3-2B1460CF0550}" destId="{16B3D8D3-2602-485E-A59F-5748799559D5}" srcOrd="0" destOrd="0" presId="urn:microsoft.com/office/officeart/2005/8/layout/vList5"/>
    <dgm:cxn modelId="{A28218BB-2568-415F-A257-7344B75D8391}" type="presOf" srcId="{104B17CA-97EB-44A4-B820-C09C599ED21A}" destId="{4388145B-C78F-4911-A73C-857A44858BC6}" srcOrd="0" destOrd="0" presId="urn:microsoft.com/office/officeart/2005/8/layout/vList5"/>
    <dgm:cxn modelId="{715052CE-7BC6-4B4C-A28A-3E11BB10389A}" srcId="{EE172D81-7BC5-45EB-8D94-D0F57F5CA268}" destId="{36DE0E3D-5184-417A-A4CB-97227A4F0530}" srcOrd="0" destOrd="0" parTransId="{F3A9589E-21A7-45AB-8B23-A9FE69242218}" sibTransId="{788586F9-5C69-418D-AE2C-87444091EEB3}"/>
    <dgm:cxn modelId="{31DD0EDB-B1EC-4FF9-B8FA-F4A0DEEFDACE}" srcId="{00A40046-DE1D-4B2D-989B-0FBCB12730EB}" destId="{94F329B9-99F1-4B4D-8323-29C3B178004B}" srcOrd="2" destOrd="0" parTransId="{48CCCCBF-874D-4ED2-A8EA-0EC10FE9FE4B}" sibTransId="{279C4ED4-19C0-4A50-9D69-2DF6197D71BC}"/>
    <dgm:cxn modelId="{777166F0-6B31-463A-82EE-7EB9E7F87300}" type="presOf" srcId="{2E34091C-81F1-418E-A378-9C63A72F80EE}" destId="{BD6D4AA7-3CB1-42A3-BF73-099AC099A2DC}" srcOrd="0" destOrd="0" presId="urn:microsoft.com/office/officeart/2005/8/layout/vList5"/>
    <dgm:cxn modelId="{2DA291FF-B0EB-48E8-9964-D8D7DFF3447F}" type="presOf" srcId="{180A77ED-0777-4311-A39C-D4232F9A2141}" destId="{FAF77C24-B4A0-4DB4-8D51-C8142C13EB0D}" srcOrd="0" destOrd="1" presId="urn:microsoft.com/office/officeart/2005/8/layout/vList5"/>
    <dgm:cxn modelId="{819AF561-0A78-4B78-9E47-28EB1B7F2CC6}" type="presParOf" srcId="{4388145B-C78F-4911-A73C-857A44858BC6}" destId="{4F285496-944B-4C29-98B9-D44C6F3C9AB4}" srcOrd="0" destOrd="0" presId="urn:microsoft.com/office/officeart/2005/8/layout/vList5"/>
    <dgm:cxn modelId="{EA42DEFE-CA48-4515-BFC1-1FE838B1F15D}" type="presParOf" srcId="{4F285496-944B-4C29-98B9-D44C6F3C9AB4}" destId="{2A0CD3FC-4A82-4569-95AF-12161B3DF770}" srcOrd="0" destOrd="0" presId="urn:microsoft.com/office/officeart/2005/8/layout/vList5"/>
    <dgm:cxn modelId="{D62365A3-106D-4246-884C-A6B560C1324C}" type="presParOf" srcId="{4F285496-944B-4C29-98B9-D44C6F3C9AB4}" destId="{16B3D8D3-2602-485E-A59F-5748799559D5}" srcOrd="1" destOrd="0" presId="urn:microsoft.com/office/officeart/2005/8/layout/vList5"/>
    <dgm:cxn modelId="{EBDA34DA-C6AA-42E1-BF5B-1AAFEC1F6A0D}" type="presParOf" srcId="{4388145B-C78F-4911-A73C-857A44858BC6}" destId="{7F52B159-8243-4B75-85EC-5B3861108951}" srcOrd="1" destOrd="0" presId="urn:microsoft.com/office/officeart/2005/8/layout/vList5"/>
    <dgm:cxn modelId="{8F160EDA-EF74-4B74-8D6E-D69456D9193F}" type="presParOf" srcId="{4388145B-C78F-4911-A73C-857A44858BC6}" destId="{CCCD7E89-5D03-47DF-956C-6A2A4F44309E}" srcOrd="2" destOrd="0" presId="urn:microsoft.com/office/officeart/2005/8/layout/vList5"/>
    <dgm:cxn modelId="{C091FA00-EDFE-4AF7-A6E2-FF9C488EF208}" type="presParOf" srcId="{CCCD7E89-5D03-47DF-956C-6A2A4F44309E}" destId="{FCEFC499-BE94-4D88-8C82-5CEB94209E70}" srcOrd="0" destOrd="0" presId="urn:microsoft.com/office/officeart/2005/8/layout/vList5"/>
    <dgm:cxn modelId="{8C2087D2-A431-4B67-85B3-709BE8964A79}" type="presParOf" srcId="{CCCD7E89-5D03-47DF-956C-6A2A4F44309E}" destId="{4A1D68EC-E2AE-448E-8ACE-1E3E46AD2F53}" srcOrd="1" destOrd="0" presId="urn:microsoft.com/office/officeart/2005/8/layout/vList5"/>
    <dgm:cxn modelId="{210704CC-315C-4933-8273-0A8976EE61A3}" type="presParOf" srcId="{4388145B-C78F-4911-A73C-857A44858BC6}" destId="{474DE415-15A2-44F5-B25F-7D80B94ADC5F}" srcOrd="3" destOrd="0" presId="urn:microsoft.com/office/officeart/2005/8/layout/vList5"/>
    <dgm:cxn modelId="{C8B070BE-AF32-4221-AA76-B1245D5CC86A}" type="presParOf" srcId="{4388145B-C78F-4911-A73C-857A44858BC6}" destId="{6B931145-040F-4107-8562-82E63481B9B2}" srcOrd="4" destOrd="0" presId="urn:microsoft.com/office/officeart/2005/8/layout/vList5"/>
    <dgm:cxn modelId="{37A40AF6-C7FD-4966-8AB9-84B8ED95DADE}" type="presParOf" srcId="{6B931145-040F-4107-8562-82E63481B9B2}" destId="{6FED0100-86E0-48DE-9364-1978AEA75E7A}" srcOrd="0" destOrd="0" presId="urn:microsoft.com/office/officeart/2005/8/layout/vList5"/>
    <dgm:cxn modelId="{2A8450C6-0F27-4225-BF61-C3E8C3793E5E}" type="presParOf" srcId="{6B931145-040F-4107-8562-82E63481B9B2}" destId="{07DA6818-91B8-4332-9FD1-972ACB9DC1FB}" srcOrd="1" destOrd="0" presId="urn:microsoft.com/office/officeart/2005/8/layout/vList5"/>
    <dgm:cxn modelId="{C2CD3FAF-5DE9-4667-9EE1-64396CD8BC6C}" type="presParOf" srcId="{4388145B-C78F-4911-A73C-857A44858BC6}" destId="{6FE9F4D6-80AB-4519-AF46-EFA0991534F6}" srcOrd="5" destOrd="0" presId="urn:microsoft.com/office/officeart/2005/8/layout/vList5"/>
    <dgm:cxn modelId="{B26E090D-41BE-49D7-ADC5-82CA6C39E823}" type="presParOf" srcId="{4388145B-C78F-4911-A73C-857A44858BC6}" destId="{82112494-BFB3-4923-94F6-E645C84CD78E}" srcOrd="6" destOrd="0" presId="urn:microsoft.com/office/officeart/2005/8/layout/vList5"/>
    <dgm:cxn modelId="{7B6CB9FE-FE9F-47D3-BFB5-63845E7C78E6}" type="presParOf" srcId="{82112494-BFB3-4923-94F6-E645C84CD78E}" destId="{DB10C6DF-F866-4B5E-B72B-E35FA2220151}" srcOrd="0" destOrd="0" presId="urn:microsoft.com/office/officeart/2005/8/layout/vList5"/>
    <dgm:cxn modelId="{DEF9732D-D58F-4F02-B96B-DB9D0A2DEF33}" type="presParOf" srcId="{82112494-BFB3-4923-94F6-E645C84CD78E}" destId="{BD6D4AA7-3CB1-42A3-BF73-099AC099A2DC}" srcOrd="1" destOrd="0" presId="urn:microsoft.com/office/officeart/2005/8/layout/vList5"/>
    <dgm:cxn modelId="{2891E85F-A315-4FED-BBC5-04A297661A8C}" type="presParOf" srcId="{4388145B-C78F-4911-A73C-857A44858BC6}" destId="{D0C91668-6C16-4984-A4CF-247AFBDF8B08}" srcOrd="7" destOrd="0" presId="urn:microsoft.com/office/officeart/2005/8/layout/vList5"/>
    <dgm:cxn modelId="{4669C716-3F43-4F35-8CEE-DE23C3A090BA}" type="presParOf" srcId="{4388145B-C78F-4911-A73C-857A44858BC6}" destId="{36B731F3-2592-4A1A-A1DA-6724F68995F4}" srcOrd="8" destOrd="0" presId="urn:microsoft.com/office/officeart/2005/8/layout/vList5"/>
    <dgm:cxn modelId="{DDEC285F-9C3E-4B52-9F80-56DD76FBADD6}" type="presParOf" srcId="{36B731F3-2592-4A1A-A1DA-6724F68995F4}" destId="{9C89E8B4-83FC-49D0-85DD-DBB928DA1B33}" srcOrd="0" destOrd="0" presId="urn:microsoft.com/office/officeart/2005/8/layout/vList5"/>
    <dgm:cxn modelId="{61093DFE-98BD-4F6B-A7D7-258C308131DB}" type="presParOf" srcId="{36B731F3-2592-4A1A-A1DA-6724F68995F4}" destId="{FAF77C24-B4A0-4DB4-8D51-C8142C13EB0D}" srcOrd="1" destOrd="0" presId="urn:microsoft.com/office/officeart/2005/8/layout/vList5"/>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B3D8D3-2602-485E-A59F-5748799559D5}">
      <dsp:nvSpPr>
        <dsp:cNvPr id="0" name=""/>
        <dsp:cNvSpPr/>
      </dsp:nvSpPr>
      <dsp:spPr>
        <a:xfrm rot="5400000">
          <a:off x="3475993" y="-1592604"/>
          <a:ext cx="988155" cy="4175628"/>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66725">
            <a:lnSpc>
              <a:spcPct val="90000"/>
            </a:lnSpc>
            <a:spcBef>
              <a:spcPct val="0"/>
            </a:spcBef>
            <a:spcAft>
              <a:spcPct val="15000"/>
            </a:spcAft>
            <a:buChar char="•"/>
          </a:pPr>
          <a:r>
            <a:rPr lang="en-US" sz="1050" b="1" i="1" kern="1200" dirty="0"/>
            <a:t>Data:</a:t>
          </a:r>
          <a:r>
            <a:rPr lang="en-US" sz="1050" kern="1200" dirty="0"/>
            <a:t> Volumes of primary and secondary production, volumes of waste, recycling rates, bilateral trade data for sectors or interest.</a:t>
          </a:r>
        </a:p>
        <a:p>
          <a:pPr marL="57150" lvl="1" indent="-57150" algn="l" defTabSz="466725">
            <a:lnSpc>
              <a:spcPct val="90000"/>
            </a:lnSpc>
            <a:spcBef>
              <a:spcPct val="0"/>
            </a:spcBef>
            <a:spcAft>
              <a:spcPct val="15000"/>
            </a:spcAft>
            <a:buChar char="•"/>
          </a:pPr>
          <a:r>
            <a:rPr lang="en-US" sz="1050" b="1" i="1" kern="1200" dirty="0"/>
            <a:t>Data sources: </a:t>
          </a:r>
          <a:r>
            <a:rPr lang="en-US" sz="1050" b="0" i="0" kern="1200" dirty="0"/>
            <a:t>USGS, UNIDO, BACI, UNEP IRP MFA, World Steel, </a:t>
          </a:r>
          <a:r>
            <a:rPr lang="en-US" sz="1050" b="0" i="0" kern="1200" dirty="0" err="1"/>
            <a:t>Jambeck</a:t>
          </a:r>
          <a:r>
            <a:rPr lang="en-US" sz="1050" b="0" i="0" kern="1200" dirty="0"/>
            <a:t> et al. (2015), Plastics Europe, Veolia, multiple country-specific data sources (for plastic recycling rates).</a:t>
          </a:r>
          <a:endParaRPr lang="en-US" sz="1050" b="1" i="1" kern="1200" dirty="0"/>
        </a:p>
        <a:p>
          <a:pPr marL="57150" lvl="1" indent="-57150" algn="l" defTabSz="466725">
            <a:lnSpc>
              <a:spcPct val="90000"/>
            </a:lnSpc>
            <a:spcBef>
              <a:spcPct val="0"/>
            </a:spcBef>
            <a:spcAft>
              <a:spcPct val="15000"/>
            </a:spcAft>
            <a:buChar char="•"/>
          </a:pPr>
          <a:r>
            <a:rPr lang="en-US" sz="1050" kern="1200" dirty="0"/>
            <a:t>Construction of the production targets using volume and price data. </a:t>
          </a:r>
        </a:p>
      </dsp:txBody>
      <dsp:txXfrm rot="-5400000">
        <a:off x="1882257" y="49370"/>
        <a:ext cx="4127390" cy="891679"/>
      </dsp:txXfrm>
    </dsp:sp>
    <dsp:sp modelId="{2A0CD3FC-4A82-4569-95AF-12161B3DF770}">
      <dsp:nvSpPr>
        <dsp:cNvPr id="0" name=""/>
        <dsp:cNvSpPr/>
      </dsp:nvSpPr>
      <dsp:spPr>
        <a:xfrm>
          <a:off x="14" y="40923"/>
          <a:ext cx="1882242" cy="90857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en-US" sz="1100" b="1" kern="1200" dirty="0"/>
            <a:t>(1) Data preparation </a:t>
          </a:r>
        </a:p>
        <a:p>
          <a:pPr marL="0" lvl="0" indent="0" algn="ctr" defTabSz="488950">
            <a:lnSpc>
              <a:spcPct val="90000"/>
            </a:lnSpc>
            <a:spcBef>
              <a:spcPct val="0"/>
            </a:spcBef>
            <a:spcAft>
              <a:spcPct val="35000"/>
            </a:spcAft>
            <a:buNone/>
          </a:pPr>
          <a:r>
            <a:rPr lang="en-US" sz="1100" b="1" kern="1200" dirty="0"/>
            <a:t>(output splits)</a:t>
          </a:r>
        </a:p>
      </dsp:txBody>
      <dsp:txXfrm>
        <a:off x="44367" y="85276"/>
        <a:ext cx="1793536" cy="819865"/>
      </dsp:txXfrm>
    </dsp:sp>
    <dsp:sp modelId="{4A1D68EC-E2AE-448E-8ACE-1E3E46AD2F53}">
      <dsp:nvSpPr>
        <dsp:cNvPr id="0" name=""/>
        <dsp:cNvSpPr/>
      </dsp:nvSpPr>
      <dsp:spPr>
        <a:xfrm rot="5400000">
          <a:off x="3623621" y="59921"/>
          <a:ext cx="692899" cy="4175628"/>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66725">
            <a:lnSpc>
              <a:spcPct val="90000"/>
            </a:lnSpc>
            <a:spcBef>
              <a:spcPct val="0"/>
            </a:spcBef>
            <a:spcAft>
              <a:spcPct val="15000"/>
            </a:spcAft>
            <a:buChar char="•"/>
          </a:pPr>
          <a:r>
            <a:rPr lang="en-US" sz="1050" b="1" i="1" kern="1200" dirty="0"/>
            <a:t>Data:</a:t>
          </a:r>
          <a:r>
            <a:rPr lang="en-US" sz="1050" kern="1200" dirty="0"/>
            <a:t> GTAP 10 Power Data Base, data inputs from Steps 1 and 2.</a:t>
          </a:r>
        </a:p>
        <a:p>
          <a:pPr marL="57150" lvl="1" indent="-57150" algn="l" defTabSz="466725">
            <a:lnSpc>
              <a:spcPct val="90000"/>
            </a:lnSpc>
            <a:spcBef>
              <a:spcPct val="0"/>
            </a:spcBef>
            <a:spcAft>
              <a:spcPct val="15000"/>
            </a:spcAft>
            <a:buChar char="•"/>
          </a:pPr>
          <a:r>
            <a:rPr lang="en-US" sz="1050" kern="1200" dirty="0"/>
            <a:t>Reconciliation of the production targets, supply/use structures and trade data for disaggregated SAMs extracted from the GTAP.</a:t>
          </a:r>
        </a:p>
      </dsp:txBody>
      <dsp:txXfrm rot="-5400000">
        <a:off x="1882257" y="1835111"/>
        <a:ext cx="4141803" cy="625249"/>
      </dsp:txXfrm>
    </dsp:sp>
    <dsp:sp modelId="{FCEFC499-BE94-4D88-8C82-5CEB94209E70}">
      <dsp:nvSpPr>
        <dsp:cNvPr id="0" name=""/>
        <dsp:cNvSpPr/>
      </dsp:nvSpPr>
      <dsp:spPr>
        <a:xfrm>
          <a:off x="14" y="1786481"/>
          <a:ext cx="1882242" cy="722293"/>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en-US" sz="1100" b="1" kern="1200" dirty="0"/>
            <a:t>(3) Targets’ reconciliation</a:t>
          </a:r>
        </a:p>
      </dsp:txBody>
      <dsp:txXfrm>
        <a:off x="35273" y="1821740"/>
        <a:ext cx="1811724" cy="651775"/>
      </dsp:txXfrm>
    </dsp:sp>
    <dsp:sp modelId="{07DA6818-91B8-4332-9FD1-972ACB9DC1FB}">
      <dsp:nvSpPr>
        <dsp:cNvPr id="0" name=""/>
        <dsp:cNvSpPr/>
      </dsp:nvSpPr>
      <dsp:spPr>
        <a:xfrm rot="5400000">
          <a:off x="3643565" y="859029"/>
          <a:ext cx="649407" cy="4175655"/>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66725">
            <a:lnSpc>
              <a:spcPct val="90000"/>
            </a:lnSpc>
            <a:spcBef>
              <a:spcPct val="0"/>
            </a:spcBef>
            <a:spcAft>
              <a:spcPct val="15000"/>
            </a:spcAft>
            <a:buChar char="•"/>
          </a:pPr>
          <a:r>
            <a:rPr lang="en-US" sz="1050" b="1" i="1" kern="1200" dirty="0"/>
            <a:t>Data: </a:t>
          </a:r>
          <a:r>
            <a:rPr lang="en-US" sz="1050" kern="1200" dirty="0"/>
            <a:t>Split targets from Step 3.</a:t>
          </a:r>
        </a:p>
        <a:p>
          <a:pPr marL="57150" lvl="1" indent="-57150" algn="l" defTabSz="466725">
            <a:lnSpc>
              <a:spcPct val="90000"/>
            </a:lnSpc>
            <a:spcBef>
              <a:spcPct val="0"/>
            </a:spcBef>
            <a:spcAft>
              <a:spcPct val="15000"/>
            </a:spcAft>
            <a:buChar char="•"/>
          </a:pPr>
          <a:r>
            <a:rPr lang="en-US" sz="1050" kern="1200" dirty="0"/>
            <a:t>GTAP Data Base split using SPLITCOM. Further refinement using </a:t>
          </a:r>
          <a:r>
            <a:rPr lang="en-US" sz="1050" kern="1200" dirty="0" err="1"/>
            <a:t>GTAPAdjust</a:t>
          </a:r>
          <a:r>
            <a:rPr lang="en-US" sz="1050" kern="1200" dirty="0"/>
            <a:t> if relevant.</a:t>
          </a:r>
        </a:p>
      </dsp:txBody>
      <dsp:txXfrm rot="-5400000">
        <a:off x="1880442" y="2653854"/>
        <a:ext cx="4143954" cy="586005"/>
      </dsp:txXfrm>
    </dsp:sp>
    <dsp:sp modelId="{6FED0100-86E0-48DE-9364-1978AEA75E7A}">
      <dsp:nvSpPr>
        <dsp:cNvPr id="0" name=""/>
        <dsp:cNvSpPr/>
      </dsp:nvSpPr>
      <dsp:spPr>
        <a:xfrm>
          <a:off x="14" y="2560609"/>
          <a:ext cx="1880426" cy="77253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en-US" sz="1100" b="1" kern="1200" dirty="0"/>
            <a:t>(4) Database split</a:t>
          </a:r>
        </a:p>
      </dsp:txBody>
      <dsp:txXfrm>
        <a:off x="37726" y="2598321"/>
        <a:ext cx="1805002" cy="697106"/>
      </dsp:txXfrm>
    </dsp:sp>
    <dsp:sp modelId="{BD6D4AA7-3CB1-42A3-BF73-099AC099A2DC}">
      <dsp:nvSpPr>
        <dsp:cNvPr id="0" name=""/>
        <dsp:cNvSpPr/>
      </dsp:nvSpPr>
      <dsp:spPr>
        <a:xfrm rot="5400000">
          <a:off x="3647926" y="1563155"/>
          <a:ext cx="640684" cy="4175655"/>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66725">
            <a:lnSpc>
              <a:spcPct val="90000"/>
            </a:lnSpc>
            <a:spcBef>
              <a:spcPct val="0"/>
            </a:spcBef>
            <a:spcAft>
              <a:spcPct val="15000"/>
            </a:spcAft>
            <a:buChar char="•"/>
          </a:pPr>
          <a:r>
            <a:rPr lang="en-US" sz="1050" b="1" i="1" kern="1200" dirty="0"/>
            <a:t>Data:</a:t>
          </a:r>
          <a:r>
            <a:rPr lang="en-US" sz="1050" kern="1200" dirty="0"/>
            <a:t> Disaggregated database from Step 4, </a:t>
          </a:r>
          <a:r>
            <a:rPr lang="en-US" sz="1050" b="0" i="0" kern="1200" dirty="0"/>
            <a:t>BACI, UNEP IRP MFA</a:t>
          </a:r>
          <a:r>
            <a:rPr lang="en-US" sz="1050" kern="1200" dirty="0"/>
            <a:t>.</a:t>
          </a:r>
        </a:p>
        <a:p>
          <a:pPr marL="57150" lvl="1" indent="-57150" algn="l" defTabSz="466725">
            <a:lnSpc>
              <a:spcPct val="90000"/>
            </a:lnSpc>
            <a:spcBef>
              <a:spcPct val="0"/>
            </a:spcBef>
            <a:spcAft>
              <a:spcPct val="15000"/>
            </a:spcAft>
            <a:buChar char="•"/>
          </a:pPr>
          <a:r>
            <a:rPr lang="en-US" sz="1050" kern="1200" dirty="0"/>
            <a:t>Incorporation of the energy and emission flows for disaggregated sectors. Introduction of the quantity flows for the non-metallic minerals sector. Compilation of the final database.</a:t>
          </a:r>
        </a:p>
      </dsp:txBody>
      <dsp:txXfrm rot="-5400000">
        <a:off x="1880441" y="3361916"/>
        <a:ext cx="4144379" cy="578132"/>
      </dsp:txXfrm>
    </dsp:sp>
    <dsp:sp modelId="{DB10C6DF-F866-4B5E-B72B-E35FA2220151}">
      <dsp:nvSpPr>
        <dsp:cNvPr id="0" name=""/>
        <dsp:cNvSpPr/>
      </dsp:nvSpPr>
      <dsp:spPr>
        <a:xfrm>
          <a:off x="14" y="3403059"/>
          <a:ext cx="1880426" cy="5661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en-US" sz="1100" b="1" kern="1200" dirty="0"/>
            <a:t>(5) Construction of the final database</a:t>
          </a:r>
        </a:p>
      </dsp:txBody>
      <dsp:txXfrm>
        <a:off x="27649" y="3430694"/>
        <a:ext cx="1825156" cy="510830"/>
      </dsp:txXfrm>
    </dsp:sp>
    <dsp:sp modelId="{FAF77C24-B4A0-4DB4-8D51-C8142C13EB0D}">
      <dsp:nvSpPr>
        <dsp:cNvPr id="0" name=""/>
        <dsp:cNvSpPr/>
      </dsp:nvSpPr>
      <dsp:spPr>
        <a:xfrm rot="5400000">
          <a:off x="3630025" y="-689875"/>
          <a:ext cx="654706" cy="4175628"/>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66725">
            <a:lnSpc>
              <a:spcPct val="90000"/>
            </a:lnSpc>
            <a:spcBef>
              <a:spcPct val="0"/>
            </a:spcBef>
            <a:spcAft>
              <a:spcPct val="15000"/>
            </a:spcAft>
            <a:buChar char="•"/>
          </a:pPr>
          <a:r>
            <a:rPr lang="en-US" sz="1050" b="1" i="1" kern="1200" dirty="0"/>
            <a:t>Data:</a:t>
          </a:r>
          <a:r>
            <a:rPr lang="en-US" sz="1050" kern="1200" dirty="0"/>
            <a:t> Disaggregated individual country input-output tables (USA, Korea, Japan, Canada), EXIOBASE, cost structure assumptions for energy inputs of primary and secondary produciton.</a:t>
          </a:r>
        </a:p>
        <a:p>
          <a:pPr marL="57150" lvl="1" indent="-57150" algn="l" defTabSz="466725">
            <a:lnSpc>
              <a:spcPct val="90000"/>
            </a:lnSpc>
            <a:spcBef>
              <a:spcPct val="0"/>
            </a:spcBef>
            <a:spcAft>
              <a:spcPct val="15000"/>
            </a:spcAft>
            <a:buChar char="•"/>
          </a:pPr>
          <a:r>
            <a:rPr lang="en-US" sz="1050" kern="1200" dirty="0"/>
            <a:t>Construction of the cost structure targets.</a:t>
          </a:r>
        </a:p>
      </dsp:txBody>
      <dsp:txXfrm rot="-5400000">
        <a:off x="1869564" y="1102546"/>
        <a:ext cx="4143668" cy="590786"/>
      </dsp:txXfrm>
    </dsp:sp>
    <dsp:sp modelId="{9C89E8B4-83FC-49D0-85DD-DBB928DA1B33}">
      <dsp:nvSpPr>
        <dsp:cNvPr id="0" name=""/>
        <dsp:cNvSpPr/>
      </dsp:nvSpPr>
      <dsp:spPr>
        <a:xfrm>
          <a:off x="14" y="1099894"/>
          <a:ext cx="1882242" cy="596023"/>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en-US" sz="1100" b="1" kern="1200" dirty="0"/>
            <a:t>(2) Data preparation (supply/use splits)</a:t>
          </a:r>
        </a:p>
      </dsp:txBody>
      <dsp:txXfrm>
        <a:off x="29109" y="1128989"/>
        <a:ext cx="1824052" cy="537833"/>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5C803-A687-41C2-8194-7EBE32887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35</Pages>
  <Words>12560</Words>
  <Characters>71592</Characters>
  <Application>Microsoft Office Word</Application>
  <DocSecurity>0</DocSecurity>
  <Lines>596</Lines>
  <Paragraphs>167</Paragraphs>
  <ScaleCrop>false</ScaleCrop>
  <HeadingPairs>
    <vt:vector size="2" baseType="variant">
      <vt:variant>
        <vt:lpstr>Title</vt:lpstr>
      </vt:variant>
      <vt:variant>
        <vt:i4>1</vt:i4>
      </vt:variant>
    </vt:vector>
  </HeadingPairs>
  <TitlesOfParts>
    <vt:vector size="1" baseType="lpstr">
      <vt:lpstr/>
    </vt:vector>
  </TitlesOfParts>
  <Company>Purdue University - AgIT</Company>
  <LinksUpToDate>false</LinksUpToDate>
  <CharactersWithSpaces>83985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der Mensbrugghe, Dominique Y</dc:creator>
  <cp:keywords/>
  <dc:description/>
  <cp:lastModifiedBy>Aguiar, Angel H.</cp:lastModifiedBy>
  <cp:revision>2</cp:revision>
  <dcterms:created xsi:type="dcterms:W3CDTF">2022-04-15T14:35:00Z</dcterms:created>
  <dcterms:modified xsi:type="dcterms:W3CDTF">2022-04-15T14:35:00Z</dcterms:modified>
</cp:coreProperties>
</file>