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E5787A5" w14:textId="69E99CFE" w:rsidR="0050349C" w:rsidRDefault="00154A67">
      <w:pPr>
        <w:rPr>
          <w:b/>
          <w:bCs/>
          <w:sz w:val="28"/>
          <w:szCs w:val="28"/>
          <w:u w:val="single"/>
        </w:rPr>
      </w:pPr>
      <w:r>
        <w:rPr>
          <w:b/>
          <w:bCs/>
          <w:sz w:val="28"/>
          <w:szCs w:val="28"/>
          <w:u w:val="single"/>
        </w:rPr>
        <w:t xml:space="preserve">GTAP Conference Paper 2023: Using Trade Liberalisation to Compare Dynamic Baselines </w:t>
      </w:r>
    </w:p>
    <w:p w14:paraId="45299D94" w14:textId="77777777" w:rsidR="00154A67" w:rsidRDefault="00154A67">
      <w:pPr>
        <w:rPr>
          <w:color w:val="FF0000"/>
          <w:sz w:val="20"/>
          <w:szCs w:val="20"/>
          <w:u w:val="single"/>
        </w:rPr>
      </w:pPr>
    </w:p>
    <w:p w14:paraId="2CF898EC" w14:textId="52A3261A" w:rsidR="00843A4E" w:rsidRPr="00176599" w:rsidRDefault="00843A4E" w:rsidP="00176599">
      <w:pPr>
        <w:pStyle w:val="ListParagraph"/>
        <w:numPr>
          <w:ilvl w:val="0"/>
          <w:numId w:val="3"/>
        </w:numPr>
        <w:rPr>
          <w:b/>
          <w:bCs/>
          <w:i/>
          <w:iCs/>
          <w:sz w:val="20"/>
          <w:szCs w:val="20"/>
        </w:rPr>
      </w:pPr>
      <w:r w:rsidRPr="00176599">
        <w:rPr>
          <w:b/>
          <w:bCs/>
          <w:i/>
          <w:iCs/>
          <w:sz w:val="20"/>
          <w:szCs w:val="20"/>
        </w:rPr>
        <w:t>Introduction</w:t>
      </w:r>
    </w:p>
    <w:p w14:paraId="3EEF7314" w14:textId="3236458B" w:rsidR="005A3C38" w:rsidRDefault="005A3C38" w:rsidP="00515CC4">
      <w:pPr>
        <w:rPr>
          <w:sz w:val="20"/>
          <w:szCs w:val="20"/>
        </w:rPr>
      </w:pPr>
      <w:r>
        <w:rPr>
          <w:sz w:val="20"/>
          <w:szCs w:val="20"/>
        </w:rPr>
        <w:t>Computable General Equilibrium (CGE) model</w:t>
      </w:r>
      <w:r w:rsidR="00EB5E9B">
        <w:rPr>
          <w:sz w:val="20"/>
          <w:szCs w:val="20"/>
        </w:rPr>
        <w:t>s</w:t>
      </w:r>
      <w:r>
        <w:rPr>
          <w:sz w:val="20"/>
          <w:szCs w:val="20"/>
        </w:rPr>
        <w:t xml:space="preserve"> are often accused of being ‘black </w:t>
      </w:r>
      <w:proofErr w:type="gramStart"/>
      <w:r>
        <w:rPr>
          <w:sz w:val="20"/>
          <w:szCs w:val="20"/>
        </w:rPr>
        <w:t>boxes’</w:t>
      </w:r>
      <w:proofErr w:type="gramEnd"/>
      <w:r>
        <w:rPr>
          <w:sz w:val="20"/>
          <w:szCs w:val="20"/>
        </w:rPr>
        <w:t>. The</w:t>
      </w:r>
      <w:r w:rsidR="00EB5E9B">
        <w:rPr>
          <w:sz w:val="20"/>
          <w:szCs w:val="20"/>
        </w:rPr>
        <w:t xml:space="preserve">ir complex nature </w:t>
      </w:r>
      <w:r>
        <w:rPr>
          <w:sz w:val="20"/>
          <w:szCs w:val="20"/>
        </w:rPr>
        <w:t xml:space="preserve"> </w:t>
      </w:r>
      <w:r w:rsidR="00EB5E9B">
        <w:rPr>
          <w:sz w:val="20"/>
          <w:szCs w:val="20"/>
        </w:rPr>
        <w:t xml:space="preserve">leads </w:t>
      </w:r>
      <w:r>
        <w:rPr>
          <w:sz w:val="20"/>
          <w:szCs w:val="20"/>
        </w:rPr>
        <w:t>them to be written in novel programming languages</w:t>
      </w:r>
      <w:r w:rsidR="00367E93">
        <w:rPr>
          <w:sz w:val="20"/>
          <w:szCs w:val="20"/>
        </w:rPr>
        <w:t xml:space="preserve"> which reduces their accessibility</w:t>
      </w:r>
      <w:r w:rsidR="00EB5E9B">
        <w:rPr>
          <w:sz w:val="20"/>
          <w:szCs w:val="20"/>
        </w:rPr>
        <w:t>,</w:t>
      </w:r>
      <w:r w:rsidR="00367E93">
        <w:rPr>
          <w:sz w:val="20"/>
          <w:szCs w:val="20"/>
        </w:rPr>
        <w:t xml:space="preserve"> even</w:t>
      </w:r>
      <w:r w:rsidR="00EB5E9B">
        <w:rPr>
          <w:sz w:val="20"/>
          <w:szCs w:val="20"/>
        </w:rPr>
        <w:t xml:space="preserve"> to</w:t>
      </w:r>
      <w:r w:rsidR="00367E93">
        <w:rPr>
          <w:sz w:val="20"/>
          <w:szCs w:val="20"/>
        </w:rPr>
        <w:t xml:space="preserve"> other modellers</w:t>
      </w:r>
      <w:r>
        <w:rPr>
          <w:sz w:val="20"/>
          <w:szCs w:val="20"/>
        </w:rPr>
        <w:t xml:space="preserve">. Furthermore, </w:t>
      </w:r>
      <w:r w:rsidR="00367E93">
        <w:rPr>
          <w:sz w:val="20"/>
          <w:szCs w:val="20"/>
        </w:rPr>
        <w:t xml:space="preserve">inputs and </w:t>
      </w:r>
      <w:r>
        <w:rPr>
          <w:sz w:val="20"/>
          <w:szCs w:val="20"/>
        </w:rPr>
        <w:t xml:space="preserve">outputs </w:t>
      </w:r>
      <w:r w:rsidR="00367E93">
        <w:rPr>
          <w:sz w:val="20"/>
          <w:szCs w:val="20"/>
        </w:rPr>
        <w:t xml:space="preserve">can be far removed </w:t>
      </w:r>
      <w:r>
        <w:rPr>
          <w:sz w:val="20"/>
          <w:szCs w:val="20"/>
        </w:rPr>
        <w:t xml:space="preserve">from </w:t>
      </w:r>
      <w:r w:rsidR="00367E93">
        <w:rPr>
          <w:sz w:val="20"/>
          <w:szCs w:val="20"/>
        </w:rPr>
        <w:t xml:space="preserve">CGE models’ </w:t>
      </w:r>
      <w:r>
        <w:rPr>
          <w:sz w:val="20"/>
          <w:szCs w:val="20"/>
        </w:rPr>
        <w:t>model structu</w:t>
      </w:r>
      <w:r w:rsidR="00367E93">
        <w:rPr>
          <w:sz w:val="20"/>
          <w:szCs w:val="20"/>
        </w:rPr>
        <w:t xml:space="preserve">re. This makes it difficult, even for other economists, to understand what is driving results. This opaqueness can </w:t>
      </w:r>
      <w:r w:rsidR="00EB5E9B">
        <w:rPr>
          <w:sz w:val="20"/>
          <w:szCs w:val="20"/>
        </w:rPr>
        <w:t>disengage</w:t>
      </w:r>
      <w:r w:rsidR="00367E93">
        <w:rPr>
          <w:sz w:val="20"/>
          <w:szCs w:val="20"/>
        </w:rPr>
        <w:t xml:space="preserve"> decision makers</w:t>
      </w:r>
      <w:r w:rsidR="00EB5E9B">
        <w:rPr>
          <w:sz w:val="20"/>
          <w:szCs w:val="20"/>
        </w:rPr>
        <w:t xml:space="preserve"> which withdraws influence from </w:t>
      </w:r>
      <w:r w:rsidR="00367E93">
        <w:rPr>
          <w:sz w:val="20"/>
          <w:szCs w:val="20"/>
        </w:rPr>
        <w:t>field</w:t>
      </w:r>
      <w:r w:rsidR="00EB5E9B">
        <w:rPr>
          <w:sz w:val="20"/>
          <w:szCs w:val="20"/>
        </w:rPr>
        <w:t xml:space="preserve"> of applied general equilibrium analysis</w:t>
      </w:r>
      <w:r w:rsidR="00367E93">
        <w:rPr>
          <w:sz w:val="20"/>
          <w:szCs w:val="20"/>
        </w:rPr>
        <w:t xml:space="preserve">. </w:t>
      </w:r>
    </w:p>
    <w:p w14:paraId="6498ED5C" w14:textId="2D569C75" w:rsidR="00974862" w:rsidRDefault="00367E93" w:rsidP="00515CC4">
      <w:pPr>
        <w:rPr>
          <w:sz w:val="20"/>
          <w:szCs w:val="20"/>
        </w:rPr>
      </w:pPr>
      <w:r>
        <w:rPr>
          <w:sz w:val="20"/>
          <w:szCs w:val="20"/>
        </w:rPr>
        <w:t xml:space="preserve">Dynamic CGE models, models where </w:t>
      </w:r>
      <w:r w:rsidR="004F32DB">
        <w:rPr>
          <w:sz w:val="20"/>
          <w:szCs w:val="20"/>
        </w:rPr>
        <w:t xml:space="preserve">time </w:t>
      </w:r>
      <w:r w:rsidR="00635E26">
        <w:rPr>
          <w:sz w:val="20"/>
          <w:szCs w:val="20"/>
        </w:rPr>
        <w:t xml:space="preserve">is explicitly considered </w:t>
      </w:r>
      <w:r w:rsidR="004F32DB">
        <w:rPr>
          <w:sz w:val="20"/>
          <w:szCs w:val="20"/>
        </w:rPr>
        <w:t>as a determinant of behaviour</w:t>
      </w:r>
      <w:r w:rsidR="00635E26">
        <w:rPr>
          <w:sz w:val="20"/>
          <w:szCs w:val="20"/>
        </w:rPr>
        <w:t xml:space="preserve">, </w:t>
      </w:r>
      <w:r w:rsidR="004A7E11">
        <w:rPr>
          <w:sz w:val="20"/>
          <w:szCs w:val="20"/>
        </w:rPr>
        <w:t>introduces further complexities. One of the</w:t>
      </w:r>
      <w:r w:rsidR="009F7A96">
        <w:rPr>
          <w:sz w:val="20"/>
          <w:szCs w:val="20"/>
        </w:rPr>
        <w:t xml:space="preserve"> most fundamental of which</w:t>
      </w:r>
      <w:r w:rsidR="00176599">
        <w:rPr>
          <w:sz w:val="20"/>
          <w:szCs w:val="20"/>
        </w:rPr>
        <w:t xml:space="preserve"> </w:t>
      </w:r>
      <w:r w:rsidR="004A7E11">
        <w:rPr>
          <w:sz w:val="20"/>
          <w:szCs w:val="20"/>
        </w:rPr>
        <w:t>is the introduction of dynamic baselines</w:t>
      </w:r>
      <w:r w:rsidR="00974862">
        <w:rPr>
          <w:sz w:val="20"/>
          <w:szCs w:val="20"/>
        </w:rPr>
        <w:t>. Growth in key macroeconomic variables determining growth in income and endowments (such as labour force) interact with shocks in</w:t>
      </w:r>
      <w:r w:rsidR="004F32DB">
        <w:rPr>
          <w:sz w:val="20"/>
          <w:szCs w:val="20"/>
        </w:rPr>
        <w:t xml:space="preserve"> simulated</w:t>
      </w:r>
      <w:r w:rsidR="00974862">
        <w:rPr>
          <w:sz w:val="20"/>
          <w:szCs w:val="20"/>
        </w:rPr>
        <w:t xml:space="preserve"> ‘policy’ scenarios. Thus, differences in the projections underpinning these baselines could have consequences for the marginal impact of scenarios. </w:t>
      </w:r>
      <w:r w:rsidR="004F32DB">
        <w:rPr>
          <w:sz w:val="20"/>
          <w:szCs w:val="20"/>
        </w:rPr>
        <w:t>Unc</w:t>
      </w:r>
      <w:r w:rsidR="00974862">
        <w:rPr>
          <w:sz w:val="20"/>
          <w:szCs w:val="20"/>
        </w:rPr>
        <w:t>lear communication of the consequences of baseline selection to both policy makers and other analysts</w:t>
      </w:r>
      <w:r w:rsidR="004F32DB">
        <w:rPr>
          <w:sz w:val="20"/>
          <w:szCs w:val="20"/>
        </w:rPr>
        <w:t xml:space="preserve"> poses a further risk to the influence of </w:t>
      </w:r>
      <w:r w:rsidR="00974862">
        <w:rPr>
          <w:sz w:val="20"/>
          <w:szCs w:val="20"/>
        </w:rPr>
        <w:t>CGE analysis. A critical pre-cursor to this</w:t>
      </w:r>
      <w:r w:rsidR="004F32DB">
        <w:rPr>
          <w:sz w:val="20"/>
          <w:szCs w:val="20"/>
        </w:rPr>
        <w:t>,</w:t>
      </w:r>
      <w:r w:rsidR="00974862">
        <w:rPr>
          <w:sz w:val="20"/>
          <w:szCs w:val="20"/>
        </w:rPr>
        <w:t xml:space="preserve"> is for the field</w:t>
      </w:r>
      <w:r w:rsidR="004F32DB">
        <w:rPr>
          <w:sz w:val="20"/>
          <w:szCs w:val="20"/>
        </w:rPr>
        <w:t>,</w:t>
      </w:r>
      <w:r w:rsidR="00974862">
        <w:rPr>
          <w:sz w:val="20"/>
          <w:szCs w:val="20"/>
        </w:rPr>
        <w:t xml:space="preserve"> itself</w:t>
      </w:r>
      <w:r w:rsidR="004F32DB">
        <w:rPr>
          <w:sz w:val="20"/>
          <w:szCs w:val="20"/>
        </w:rPr>
        <w:t>,</w:t>
      </w:r>
      <w:r w:rsidR="00974862">
        <w:rPr>
          <w:sz w:val="20"/>
          <w:szCs w:val="20"/>
        </w:rPr>
        <w:t xml:space="preserve"> to understand the implications of baseline selection and implementation in CGE modelling. </w:t>
      </w:r>
    </w:p>
    <w:p w14:paraId="2CD092E6" w14:textId="62F2704F" w:rsidR="00974862" w:rsidRDefault="002811E2" w:rsidP="00515CC4">
      <w:pPr>
        <w:rPr>
          <w:sz w:val="20"/>
          <w:szCs w:val="20"/>
        </w:rPr>
      </w:pPr>
      <w:r>
        <w:rPr>
          <w:sz w:val="20"/>
          <w:szCs w:val="20"/>
        </w:rPr>
        <w:t>The importance of understanding and effectively communicating the influence of baselines in CGE models has been</w:t>
      </w:r>
      <w:r w:rsidR="004A5FA4">
        <w:rPr>
          <w:sz w:val="20"/>
          <w:szCs w:val="20"/>
        </w:rPr>
        <w:t xml:space="preserve"> recognised by the Global Trade Analysis Project (GTAP) </w:t>
      </w:r>
      <w:r w:rsidR="004F32DB">
        <w:rPr>
          <w:sz w:val="20"/>
          <w:szCs w:val="20"/>
        </w:rPr>
        <w:t>(</w:t>
      </w:r>
      <w:r w:rsidR="004A5FA4">
        <w:rPr>
          <w:sz w:val="20"/>
          <w:szCs w:val="20"/>
        </w:rPr>
        <w:t>an influential network in CGE modelling around the globe</w:t>
      </w:r>
      <w:r w:rsidR="004F32DB">
        <w:rPr>
          <w:sz w:val="20"/>
          <w:szCs w:val="20"/>
        </w:rPr>
        <w:t>)</w:t>
      </w:r>
      <w:r w:rsidR="004A5FA4">
        <w:rPr>
          <w:sz w:val="20"/>
          <w:szCs w:val="20"/>
        </w:rPr>
        <w:t xml:space="preserve">. </w:t>
      </w:r>
      <w:r w:rsidR="00412509">
        <w:rPr>
          <w:sz w:val="20"/>
          <w:szCs w:val="20"/>
        </w:rPr>
        <w:t>In 2018, t</w:t>
      </w:r>
      <w:r w:rsidR="004A5FA4">
        <w:rPr>
          <w:sz w:val="20"/>
          <w:szCs w:val="20"/>
        </w:rPr>
        <w:t xml:space="preserve">he GTAP Centre, </w:t>
      </w:r>
      <w:r w:rsidR="004F32DB">
        <w:rPr>
          <w:sz w:val="20"/>
          <w:szCs w:val="20"/>
        </w:rPr>
        <w:t xml:space="preserve">at </w:t>
      </w:r>
      <w:r w:rsidR="004A5FA4">
        <w:rPr>
          <w:sz w:val="20"/>
          <w:szCs w:val="20"/>
        </w:rPr>
        <w:t>Purdue University, in partnership with the Organisation for Economic Cooperation and Development (O</w:t>
      </w:r>
      <w:r w:rsidR="009F7A96">
        <w:rPr>
          <w:sz w:val="20"/>
          <w:szCs w:val="20"/>
        </w:rPr>
        <w:t>E</w:t>
      </w:r>
      <w:r w:rsidR="004A5FA4">
        <w:rPr>
          <w:sz w:val="20"/>
          <w:szCs w:val="20"/>
        </w:rPr>
        <w:t xml:space="preserve">CD) </w:t>
      </w:r>
      <w:r w:rsidR="00412509">
        <w:rPr>
          <w:sz w:val="20"/>
          <w:szCs w:val="20"/>
        </w:rPr>
        <w:t xml:space="preserve">held </w:t>
      </w:r>
      <w:r w:rsidR="004A5FA4">
        <w:rPr>
          <w:sz w:val="20"/>
          <w:szCs w:val="20"/>
        </w:rPr>
        <w:t xml:space="preserve">a workshop exploring </w:t>
      </w:r>
      <w:r w:rsidR="004C61B6">
        <w:rPr>
          <w:sz w:val="20"/>
          <w:szCs w:val="20"/>
        </w:rPr>
        <w:t xml:space="preserve">the </w:t>
      </w:r>
      <w:r w:rsidR="00412509">
        <w:rPr>
          <w:sz w:val="20"/>
          <w:szCs w:val="20"/>
        </w:rPr>
        <w:t xml:space="preserve">existence, </w:t>
      </w:r>
      <w:r w:rsidR="004C61B6">
        <w:rPr>
          <w:sz w:val="20"/>
          <w:szCs w:val="20"/>
        </w:rPr>
        <w:t>implications and opportunities of variations in baselines across CGE models.</w:t>
      </w:r>
      <w:r w:rsidR="00F71359">
        <w:rPr>
          <w:rStyle w:val="FootnoteReference"/>
          <w:sz w:val="20"/>
          <w:szCs w:val="20"/>
        </w:rPr>
        <w:footnoteReference w:id="2"/>
      </w:r>
      <w:r w:rsidR="004C61B6">
        <w:rPr>
          <w:sz w:val="20"/>
          <w:szCs w:val="20"/>
        </w:rPr>
        <w:t xml:space="preserve"> </w:t>
      </w:r>
      <w:r w:rsidR="00F86B45">
        <w:rPr>
          <w:sz w:val="20"/>
          <w:szCs w:val="20"/>
        </w:rPr>
        <w:t xml:space="preserve">Among other suggestions, the work recommended a thorough, quantitative comparison of models’ baselines by running a single set of scenarios on top of them. </w:t>
      </w:r>
      <w:r w:rsidR="00AC3D3D">
        <w:rPr>
          <w:sz w:val="20"/>
          <w:szCs w:val="20"/>
        </w:rPr>
        <w:t xml:space="preserve">CGE modellers will be able to begin to benchmark their own projections against those analysed in this exercise to understand how their choice in baselines affects their analysis. </w:t>
      </w:r>
      <w:r w:rsidR="00494128">
        <w:rPr>
          <w:sz w:val="20"/>
          <w:szCs w:val="20"/>
        </w:rPr>
        <w:t>Th</w:t>
      </w:r>
      <w:r w:rsidR="004F32DB">
        <w:rPr>
          <w:sz w:val="20"/>
          <w:szCs w:val="20"/>
        </w:rPr>
        <w:t>is may help modellers: when comparing results against each other; develop their models and baselines to suit the specific needs of their policy analysis; and aid more effective communication of their analysis to non-modellers and decision makers</w:t>
      </w:r>
      <w:r w:rsidR="00494128">
        <w:rPr>
          <w:sz w:val="20"/>
          <w:szCs w:val="20"/>
        </w:rPr>
        <w:t xml:space="preserve">. The work of this paper </w:t>
      </w:r>
      <w:r w:rsidR="007711AE">
        <w:rPr>
          <w:sz w:val="20"/>
          <w:szCs w:val="20"/>
        </w:rPr>
        <w:t xml:space="preserve">aims to bring the literature closer to these goals. </w:t>
      </w:r>
    </w:p>
    <w:p w14:paraId="6518B6AA" w14:textId="6AF94EAA" w:rsidR="00494128" w:rsidRDefault="00494128" w:rsidP="00515CC4">
      <w:pPr>
        <w:rPr>
          <w:sz w:val="20"/>
          <w:szCs w:val="20"/>
        </w:rPr>
      </w:pPr>
      <w:r w:rsidRPr="00AC3D3D">
        <w:rPr>
          <w:color w:val="FF0000"/>
          <w:sz w:val="20"/>
          <w:szCs w:val="20"/>
        </w:rPr>
        <w:t xml:space="preserve">Our </w:t>
      </w:r>
      <w:r>
        <w:rPr>
          <w:sz w:val="20"/>
          <w:szCs w:val="20"/>
        </w:rPr>
        <w:t xml:space="preserve">research will collate publicly available projections suitable for GTAP CGE models. We will explore </w:t>
      </w:r>
      <w:r w:rsidR="00AC3D3D">
        <w:rPr>
          <w:sz w:val="20"/>
          <w:szCs w:val="20"/>
        </w:rPr>
        <w:t xml:space="preserve">what drives variation in the projections </w:t>
      </w:r>
      <w:r>
        <w:rPr>
          <w:sz w:val="20"/>
          <w:szCs w:val="20"/>
        </w:rPr>
        <w:t xml:space="preserve">and consider the different ways of incorporating them in a CGE model. These projections will then be quantitatively compared by </w:t>
      </w:r>
      <w:r w:rsidR="00A5591B">
        <w:rPr>
          <w:sz w:val="20"/>
          <w:szCs w:val="20"/>
        </w:rPr>
        <w:t>running</w:t>
      </w:r>
      <w:r>
        <w:rPr>
          <w:sz w:val="20"/>
          <w:szCs w:val="20"/>
        </w:rPr>
        <w:t xml:space="preserve"> a fictional trade agreement scenario on top of them. </w:t>
      </w:r>
      <w:r w:rsidR="00C10E51">
        <w:rPr>
          <w:sz w:val="20"/>
          <w:szCs w:val="20"/>
        </w:rPr>
        <w:t>These quantitative differences</w:t>
      </w:r>
      <w:r w:rsidR="00A5591B">
        <w:rPr>
          <w:sz w:val="20"/>
          <w:szCs w:val="20"/>
        </w:rPr>
        <w:t xml:space="preserve"> will </w:t>
      </w:r>
      <w:r w:rsidR="00AC3D3D">
        <w:rPr>
          <w:sz w:val="20"/>
          <w:szCs w:val="20"/>
        </w:rPr>
        <w:t xml:space="preserve">be analysed and </w:t>
      </w:r>
      <w:r w:rsidR="00A5591B">
        <w:rPr>
          <w:sz w:val="20"/>
          <w:szCs w:val="20"/>
        </w:rPr>
        <w:t>then qualitatively categorised</w:t>
      </w:r>
      <w:r w:rsidR="00F535D8">
        <w:rPr>
          <w:sz w:val="20"/>
          <w:szCs w:val="20"/>
        </w:rPr>
        <w:t xml:space="preserve"> to test how modellers can be aided to effectively describe the effects of their baseline construction. </w:t>
      </w:r>
    </w:p>
    <w:p w14:paraId="30D321CA" w14:textId="4447998A" w:rsidR="00F535D8" w:rsidRPr="00F535D8" w:rsidRDefault="00F535D8" w:rsidP="00515CC4">
      <w:pPr>
        <w:rPr>
          <w:sz w:val="20"/>
          <w:szCs w:val="20"/>
        </w:rPr>
      </w:pPr>
      <w:r>
        <w:rPr>
          <w:sz w:val="20"/>
          <w:szCs w:val="20"/>
        </w:rPr>
        <w:t xml:space="preserve">The intention of the research in this paper is </w:t>
      </w:r>
      <w:r>
        <w:rPr>
          <w:i/>
          <w:iCs/>
          <w:sz w:val="20"/>
          <w:szCs w:val="20"/>
        </w:rPr>
        <w:t xml:space="preserve">not </w:t>
      </w:r>
      <w:r>
        <w:rPr>
          <w:sz w:val="20"/>
          <w:szCs w:val="20"/>
        </w:rPr>
        <w:t xml:space="preserve">to provide a comprehensive comparison of baselines but to use a select set of projections to work through the opportunities and issues that a comprehensive comparison exercise might encounter. </w:t>
      </w:r>
    </w:p>
    <w:p w14:paraId="44751847" w14:textId="6EBCEEF2" w:rsidR="00C10E51" w:rsidRDefault="002811E2" w:rsidP="00515CC4">
      <w:pPr>
        <w:rPr>
          <w:sz w:val="20"/>
          <w:szCs w:val="20"/>
        </w:rPr>
      </w:pPr>
      <w:r>
        <w:rPr>
          <w:sz w:val="20"/>
          <w:szCs w:val="20"/>
        </w:rPr>
        <w:t>T</w:t>
      </w:r>
      <w:r w:rsidR="00C10E51">
        <w:rPr>
          <w:sz w:val="20"/>
          <w:szCs w:val="20"/>
        </w:rPr>
        <w:t>he next section</w:t>
      </w:r>
      <w:r w:rsidR="002E1E28" w:rsidRPr="002E1E28">
        <w:rPr>
          <w:i/>
          <w:iCs/>
          <w:sz w:val="20"/>
          <w:szCs w:val="20"/>
        </w:rPr>
        <w:t>,</w:t>
      </w:r>
      <w:r w:rsidR="002E1E28">
        <w:rPr>
          <w:sz w:val="20"/>
          <w:szCs w:val="20"/>
        </w:rPr>
        <w:t xml:space="preserve"> </w:t>
      </w:r>
      <w:proofErr w:type="gramStart"/>
      <w:r w:rsidR="002E1E28">
        <w:rPr>
          <w:i/>
          <w:iCs/>
          <w:sz w:val="20"/>
          <w:szCs w:val="20"/>
        </w:rPr>
        <w:t>Building</w:t>
      </w:r>
      <w:proofErr w:type="gramEnd"/>
      <w:r w:rsidR="002E1E28">
        <w:rPr>
          <w:i/>
          <w:iCs/>
          <w:sz w:val="20"/>
          <w:szCs w:val="20"/>
        </w:rPr>
        <w:t xml:space="preserve"> on the Special Edition</w:t>
      </w:r>
      <w:r w:rsidR="002E1E28">
        <w:rPr>
          <w:sz w:val="20"/>
          <w:szCs w:val="20"/>
        </w:rPr>
        <w:t>,</w:t>
      </w:r>
      <w:r w:rsidR="00C10E51">
        <w:rPr>
          <w:sz w:val="20"/>
          <w:szCs w:val="20"/>
        </w:rPr>
        <w:t xml:space="preserve"> </w:t>
      </w:r>
      <w:r>
        <w:rPr>
          <w:sz w:val="20"/>
          <w:szCs w:val="20"/>
        </w:rPr>
        <w:t xml:space="preserve">of this paper </w:t>
      </w:r>
      <w:r w:rsidR="00C10E51">
        <w:rPr>
          <w:sz w:val="20"/>
          <w:szCs w:val="20"/>
        </w:rPr>
        <w:t xml:space="preserve">will </w:t>
      </w:r>
      <w:r>
        <w:rPr>
          <w:sz w:val="20"/>
          <w:szCs w:val="20"/>
        </w:rPr>
        <w:t>explain in further detail how projections are used in CGE modelling and how this work will build on the GTAP centre’s research</w:t>
      </w:r>
      <w:r w:rsidRPr="00176599">
        <w:rPr>
          <w:sz w:val="20"/>
          <w:szCs w:val="20"/>
        </w:rPr>
        <w:t>.</w:t>
      </w:r>
      <w:r w:rsidR="002F78BB" w:rsidRPr="00176599">
        <w:rPr>
          <w:sz w:val="20"/>
          <w:szCs w:val="20"/>
        </w:rPr>
        <w:t xml:space="preserve"> </w:t>
      </w:r>
      <w:r w:rsidR="002E1E28" w:rsidRPr="00176599">
        <w:rPr>
          <w:i/>
          <w:iCs/>
          <w:sz w:val="20"/>
          <w:szCs w:val="20"/>
        </w:rPr>
        <w:t>Selected Projections at First Glance</w:t>
      </w:r>
      <w:r w:rsidR="002F78BB" w:rsidRPr="00176599">
        <w:rPr>
          <w:sz w:val="20"/>
          <w:szCs w:val="20"/>
        </w:rPr>
        <w:t xml:space="preserve"> </w:t>
      </w:r>
      <w:r w:rsidR="002F78BB">
        <w:rPr>
          <w:sz w:val="20"/>
          <w:szCs w:val="20"/>
        </w:rPr>
        <w:t xml:space="preserve">will describe the projections this work utilises. </w:t>
      </w:r>
      <w:r w:rsidR="002E1E28">
        <w:rPr>
          <w:sz w:val="20"/>
          <w:szCs w:val="20"/>
        </w:rPr>
        <w:t>A proposed m</w:t>
      </w:r>
      <w:r w:rsidR="002F78BB">
        <w:rPr>
          <w:sz w:val="20"/>
          <w:szCs w:val="20"/>
        </w:rPr>
        <w:t xml:space="preserve">ethodology for </w:t>
      </w:r>
      <w:r w:rsidR="002E1E28">
        <w:rPr>
          <w:sz w:val="20"/>
          <w:szCs w:val="20"/>
        </w:rPr>
        <w:t xml:space="preserve">how we will compare </w:t>
      </w:r>
      <w:r w:rsidR="002F78BB">
        <w:rPr>
          <w:sz w:val="20"/>
          <w:szCs w:val="20"/>
        </w:rPr>
        <w:t>projections will be outlined</w:t>
      </w:r>
      <w:r w:rsidR="002E1E28">
        <w:rPr>
          <w:sz w:val="20"/>
          <w:szCs w:val="20"/>
        </w:rPr>
        <w:t xml:space="preserve"> in</w:t>
      </w:r>
      <w:r w:rsidR="002F78BB">
        <w:rPr>
          <w:sz w:val="20"/>
          <w:szCs w:val="20"/>
        </w:rPr>
        <w:t xml:space="preserve"> </w:t>
      </w:r>
      <w:r w:rsidR="002E1E28" w:rsidRPr="00176599">
        <w:rPr>
          <w:i/>
          <w:iCs/>
          <w:sz w:val="20"/>
          <w:szCs w:val="20"/>
        </w:rPr>
        <w:t>Experimental Methodology for Comparison</w:t>
      </w:r>
      <w:r w:rsidR="002F78BB">
        <w:rPr>
          <w:sz w:val="20"/>
          <w:szCs w:val="20"/>
        </w:rPr>
        <w:t>.</w:t>
      </w:r>
    </w:p>
    <w:p w14:paraId="6127ADD4" w14:textId="4A4477DB" w:rsidR="00176599" w:rsidRDefault="00176599" w:rsidP="00515CC4">
      <w:pPr>
        <w:rPr>
          <w:sz w:val="20"/>
          <w:szCs w:val="20"/>
        </w:rPr>
      </w:pPr>
    </w:p>
    <w:p w14:paraId="3FB6DE3B" w14:textId="77777777" w:rsidR="00176599" w:rsidRDefault="00176599" w:rsidP="00515CC4">
      <w:pPr>
        <w:rPr>
          <w:sz w:val="20"/>
          <w:szCs w:val="20"/>
        </w:rPr>
      </w:pPr>
    </w:p>
    <w:p w14:paraId="16EC68C1" w14:textId="5578971F" w:rsidR="00564554" w:rsidRPr="00176599" w:rsidRDefault="002811E2" w:rsidP="00176599">
      <w:pPr>
        <w:pStyle w:val="ListParagraph"/>
        <w:numPr>
          <w:ilvl w:val="0"/>
          <w:numId w:val="3"/>
        </w:numPr>
        <w:rPr>
          <w:b/>
          <w:bCs/>
          <w:sz w:val="20"/>
          <w:szCs w:val="20"/>
        </w:rPr>
      </w:pPr>
      <w:r w:rsidRPr="00176599">
        <w:rPr>
          <w:b/>
          <w:bCs/>
          <w:i/>
          <w:iCs/>
          <w:sz w:val="20"/>
          <w:szCs w:val="20"/>
        </w:rPr>
        <w:t>Building on the Special Edition</w:t>
      </w:r>
      <w:r w:rsidRPr="00176599">
        <w:rPr>
          <w:b/>
          <w:bCs/>
          <w:sz w:val="20"/>
          <w:szCs w:val="20"/>
        </w:rPr>
        <w:t xml:space="preserve"> </w:t>
      </w:r>
    </w:p>
    <w:p w14:paraId="4770EF98" w14:textId="5C3D6FB4" w:rsidR="004049BB" w:rsidRDefault="00412509" w:rsidP="00515CC4">
      <w:pPr>
        <w:rPr>
          <w:sz w:val="20"/>
          <w:szCs w:val="20"/>
        </w:rPr>
      </w:pPr>
      <w:r>
        <w:rPr>
          <w:sz w:val="20"/>
          <w:szCs w:val="20"/>
        </w:rPr>
        <w:lastRenderedPageBreak/>
        <w:t xml:space="preserve">The Journal of Global Economic Analysis (JGEA) produced a special edition on dynamic baselines utilising work originating from the 2018 GTAP Centre-OECD workshop. </w:t>
      </w:r>
      <w:r w:rsidR="00F94E75">
        <w:rPr>
          <w:sz w:val="20"/>
          <w:szCs w:val="20"/>
        </w:rPr>
        <w:t>The edition looks at existing CGE baselines projections</w:t>
      </w:r>
      <w:r w:rsidR="000740DA">
        <w:rPr>
          <w:sz w:val="20"/>
          <w:szCs w:val="20"/>
        </w:rPr>
        <w:t xml:space="preserve"> and </w:t>
      </w:r>
      <w:r w:rsidR="00F94E75">
        <w:rPr>
          <w:sz w:val="20"/>
          <w:szCs w:val="20"/>
        </w:rPr>
        <w:t>their macroeconomic drives</w:t>
      </w:r>
      <w:r w:rsidR="000740DA">
        <w:rPr>
          <w:sz w:val="20"/>
          <w:szCs w:val="20"/>
        </w:rPr>
        <w:t xml:space="preserve"> (including demand, supply, </w:t>
      </w:r>
      <w:proofErr w:type="gramStart"/>
      <w:r w:rsidR="000740DA">
        <w:rPr>
          <w:sz w:val="20"/>
          <w:szCs w:val="20"/>
        </w:rPr>
        <w:t>trade</w:t>
      </w:r>
      <w:proofErr w:type="gramEnd"/>
      <w:r w:rsidR="000740DA">
        <w:rPr>
          <w:sz w:val="20"/>
          <w:szCs w:val="20"/>
        </w:rPr>
        <w:t xml:space="preserve"> and energy trends). </w:t>
      </w:r>
      <w:r w:rsidR="00F94E75">
        <w:rPr>
          <w:sz w:val="20"/>
          <w:szCs w:val="20"/>
        </w:rPr>
        <w:t xml:space="preserve">  </w:t>
      </w:r>
    </w:p>
    <w:p w14:paraId="798DC1AD" w14:textId="6C740FB4" w:rsidR="002811E2" w:rsidRDefault="002811E2" w:rsidP="00515CC4">
      <w:pPr>
        <w:rPr>
          <w:sz w:val="20"/>
          <w:szCs w:val="20"/>
        </w:rPr>
      </w:pPr>
      <w:r>
        <w:rPr>
          <w:sz w:val="20"/>
          <w:szCs w:val="20"/>
        </w:rPr>
        <w:t xml:space="preserve">Introducing the </w:t>
      </w:r>
      <w:r w:rsidR="004049BB">
        <w:rPr>
          <w:sz w:val="20"/>
          <w:szCs w:val="20"/>
        </w:rPr>
        <w:t xml:space="preserve">edition, </w:t>
      </w:r>
      <w:proofErr w:type="spellStart"/>
      <w:r w:rsidR="004049BB">
        <w:rPr>
          <w:sz w:val="20"/>
          <w:szCs w:val="20"/>
        </w:rPr>
        <w:t>Dellink</w:t>
      </w:r>
      <w:proofErr w:type="spellEnd"/>
      <w:r w:rsidR="00E255FB">
        <w:rPr>
          <w:sz w:val="20"/>
          <w:szCs w:val="20"/>
        </w:rPr>
        <w:t xml:space="preserve"> et al.</w:t>
      </w:r>
      <w:r w:rsidR="002E1E28">
        <w:rPr>
          <w:sz w:val="20"/>
          <w:szCs w:val="20"/>
        </w:rPr>
        <w:t>, 2020</w:t>
      </w:r>
      <w:r w:rsidR="004049BB">
        <w:rPr>
          <w:sz w:val="20"/>
          <w:szCs w:val="20"/>
        </w:rPr>
        <w:t xml:space="preserve"> points to the cost of producing </w:t>
      </w:r>
      <w:r w:rsidR="00E255FB">
        <w:rPr>
          <w:sz w:val="20"/>
          <w:szCs w:val="20"/>
        </w:rPr>
        <w:t xml:space="preserve">dynamic </w:t>
      </w:r>
      <w:r w:rsidR="004049BB">
        <w:rPr>
          <w:sz w:val="20"/>
          <w:szCs w:val="20"/>
        </w:rPr>
        <w:t>baselines</w:t>
      </w:r>
      <w:r w:rsidR="00E255FB">
        <w:rPr>
          <w:sz w:val="20"/>
          <w:szCs w:val="20"/>
        </w:rPr>
        <w:t xml:space="preserve"> as a factor in the lack of investigating into their variation across the CGE community</w:t>
      </w:r>
      <w:r w:rsidR="00D545F3">
        <w:rPr>
          <w:sz w:val="20"/>
          <w:szCs w:val="20"/>
        </w:rPr>
        <w:t xml:space="preserve"> </w:t>
      </w:r>
      <w:sdt>
        <w:sdtPr>
          <w:rPr>
            <w:sz w:val="20"/>
            <w:szCs w:val="20"/>
          </w:rPr>
          <w:id w:val="17595775"/>
          <w:citation/>
        </w:sdtPr>
        <w:sdtContent>
          <w:r w:rsidR="00D545F3">
            <w:rPr>
              <w:sz w:val="20"/>
              <w:szCs w:val="20"/>
            </w:rPr>
            <w:fldChar w:fldCharType="begin"/>
          </w:r>
          <w:r w:rsidR="00D545F3">
            <w:rPr>
              <w:sz w:val="20"/>
              <w:szCs w:val="20"/>
            </w:rPr>
            <w:instrText xml:space="preserve"> CITATION Rob20 \l 2057 </w:instrText>
          </w:r>
          <w:r w:rsidR="00D545F3">
            <w:rPr>
              <w:sz w:val="20"/>
              <w:szCs w:val="20"/>
            </w:rPr>
            <w:fldChar w:fldCharType="separate"/>
          </w:r>
          <w:r w:rsidR="00D545F3" w:rsidRPr="00D545F3">
            <w:rPr>
              <w:noProof/>
              <w:sz w:val="20"/>
              <w:szCs w:val="20"/>
            </w:rPr>
            <w:t>(Dellink, Mensbrugghe, &amp; Saveyn, 2020)</w:t>
          </w:r>
          <w:r w:rsidR="00D545F3">
            <w:rPr>
              <w:sz w:val="20"/>
              <w:szCs w:val="20"/>
            </w:rPr>
            <w:fldChar w:fldCharType="end"/>
          </w:r>
        </w:sdtContent>
      </w:sdt>
      <w:r w:rsidR="00E255FB">
        <w:rPr>
          <w:sz w:val="20"/>
          <w:szCs w:val="20"/>
        </w:rPr>
        <w:t>.</w:t>
      </w:r>
      <w:r w:rsidR="00CF4CCA">
        <w:rPr>
          <w:sz w:val="20"/>
          <w:szCs w:val="20"/>
        </w:rPr>
        <w:t xml:space="preserve"> P</w:t>
      </w:r>
      <w:r w:rsidR="00E255FB">
        <w:rPr>
          <w:sz w:val="20"/>
          <w:szCs w:val="20"/>
        </w:rPr>
        <w:t>rojections</w:t>
      </w:r>
      <w:r w:rsidR="00CF4CCA">
        <w:rPr>
          <w:sz w:val="20"/>
          <w:szCs w:val="20"/>
        </w:rPr>
        <w:t>, which help</w:t>
      </w:r>
      <w:r w:rsidR="00E255FB">
        <w:rPr>
          <w:sz w:val="20"/>
          <w:szCs w:val="20"/>
        </w:rPr>
        <w:t xml:space="preserve"> </w:t>
      </w:r>
      <w:r w:rsidR="00CF4CCA">
        <w:rPr>
          <w:sz w:val="20"/>
          <w:szCs w:val="20"/>
        </w:rPr>
        <w:t xml:space="preserve">form </w:t>
      </w:r>
      <w:r w:rsidR="00E255FB">
        <w:rPr>
          <w:sz w:val="20"/>
          <w:szCs w:val="20"/>
        </w:rPr>
        <w:t xml:space="preserve">baselines, are often underpinned by nuanced empirical evidence and numerous assumptions determining both the modelling to obtain projections and the policies included within them. </w:t>
      </w:r>
      <w:r w:rsidR="00D545F3">
        <w:rPr>
          <w:sz w:val="20"/>
          <w:szCs w:val="20"/>
        </w:rPr>
        <w:t xml:space="preserve">Then, </w:t>
      </w:r>
      <w:r w:rsidR="00E255FB">
        <w:rPr>
          <w:sz w:val="20"/>
          <w:szCs w:val="20"/>
        </w:rPr>
        <w:t xml:space="preserve">there is no </w:t>
      </w:r>
      <w:r w:rsidR="00E255FB" w:rsidRPr="00E255FB">
        <w:rPr>
          <w:sz w:val="20"/>
          <w:szCs w:val="20"/>
        </w:rPr>
        <w:t xml:space="preserve">perfect science to the selection, </w:t>
      </w:r>
      <w:r w:rsidR="00D545F3" w:rsidRPr="00E255FB">
        <w:rPr>
          <w:sz w:val="20"/>
          <w:szCs w:val="20"/>
        </w:rPr>
        <w:t>manipulation,</w:t>
      </w:r>
      <w:r w:rsidR="00E255FB" w:rsidRPr="00E255FB">
        <w:rPr>
          <w:sz w:val="20"/>
          <w:szCs w:val="20"/>
        </w:rPr>
        <w:t xml:space="preserve"> and collation of</w:t>
      </w:r>
      <w:r w:rsidR="00D545F3">
        <w:rPr>
          <w:sz w:val="20"/>
          <w:szCs w:val="20"/>
        </w:rPr>
        <w:t xml:space="preserve"> a consistent set of</w:t>
      </w:r>
      <w:r w:rsidR="00E255FB" w:rsidRPr="00E255FB">
        <w:rPr>
          <w:sz w:val="20"/>
          <w:szCs w:val="20"/>
        </w:rPr>
        <w:t xml:space="preserve"> projections into baselines</w:t>
      </w:r>
      <w:r w:rsidR="00E255FB">
        <w:rPr>
          <w:sz w:val="20"/>
          <w:szCs w:val="20"/>
        </w:rPr>
        <w:t xml:space="preserve">. </w:t>
      </w:r>
      <w:r w:rsidR="00D545F3">
        <w:rPr>
          <w:sz w:val="20"/>
          <w:szCs w:val="20"/>
        </w:rPr>
        <w:t xml:space="preserve">This process is </w:t>
      </w:r>
      <w:proofErr w:type="gramStart"/>
      <w:r w:rsidR="00D545F3">
        <w:rPr>
          <w:sz w:val="20"/>
          <w:szCs w:val="20"/>
        </w:rPr>
        <w:t>bespoke</w:t>
      </w:r>
      <w:proofErr w:type="gramEnd"/>
      <w:r w:rsidR="00D545F3">
        <w:rPr>
          <w:sz w:val="20"/>
          <w:szCs w:val="20"/>
        </w:rPr>
        <w:t xml:space="preserve"> to individual CGE models</w:t>
      </w:r>
      <w:r w:rsidR="006B024F">
        <w:rPr>
          <w:sz w:val="20"/>
          <w:szCs w:val="20"/>
        </w:rPr>
        <w:t>. It</w:t>
      </w:r>
      <w:r w:rsidR="00D545F3">
        <w:rPr>
          <w:sz w:val="20"/>
          <w:szCs w:val="20"/>
        </w:rPr>
        <w:t xml:space="preserve"> depend</w:t>
      </w:r>
      <w:r w:rsidR="004539D2">
        <w:rPr>
          <w:sz w:val="20"/>
          <w:szCs w:val="20"/>
        </w:rPr>
        <w:t>s</w:t>
      </w:r>
      <w:r w:rsidR="00D545F3">
        <w:rPr>
          <w:sz w:val="20"/>
          <w:szCs w:val="20"/>
        </w:rPr>
        <w:t xml:space="preserve"> on</w:t>
      </w:r>
      <w:r w:rsidR="006B024F">
        <w:rPr>
          <w:sz w:val="20"/>
          <w:szCs w:val="20"/>
        </w:rPr>
        <w:t xml:space="preserve"> both</w:t>
      </w:r>
      <w:r w:rsidR="00D545F3">
        <w:rPr>
          <w:sz w:val="20"/>
          <w:szCs w:val="20"/>
        </w:rPr>
        <w:t xml:space="preserve"> the mechanics of the </w:t>
      </w:r>
      <w:r w:rsidR="006B024F">
        <w:rPr>
          <w:sz w:val="20"/>
          <w:szCs w:val="20"/>
        </w:rPr>
        <w:t xml:space="preserve">CGE </w:t>
      </w:r>
      <w:r w:rsidR="00D545F3">
        <w:rPr>
          <w:sz w:val="20"/>
          <w:szCs w:val="20"/>
        </w:rPr>
        <w:t>mo</w:t>
      </w:r>
      <w:r w:rsidR="00D545F3" w:rsidRPr="006B024F">
        <w:rPr>
          <w:sz w:val="20"/>
          <w:szCs w:val="20"/>
        </w:rPr>
        <w:t>del</w:t>
      </w:r>
      <w:r w:rsidR="006B024F" w:rsidRPr="006B024F">
        <w:rPr>
          <w:sz w:val="20"/>
          <w:szCs w:val="20"/>
        </w:rPr>
        <w:t>,</w:t>
      </w:r>
      <w:r w:rsidR="00D545F3" w:rsidRPr="006B024F">
        <w:rPr>
          <w:sz w:val="20"/>
          <w:szCs w:val="20"/>
        </w:rPr>
        <w:t xml:space="preserve"> including closure rules</w:t>
      </w:r>
      <w:r w:rsidR="00837A69" w:rsidRPr="006B024F">
        <w:rPr>
          <w:sz w:val="20"/>
          <w:szCs w:val="20"/>
        </w:rPr>
        <w:t xml:space="preserve"> </w:t>
      </w:r>
      <w:r w:rsidR="00986C70" w:rsidRPr="006B024F">
        <w:rPr>
          <w:sz w:val="20"/>
          <w:szCs w:val="20"/>
        </w:rPr>
        <w:t xml:space="preserve">and, as </w:t>
      </w:r>
      <w:proofErr w:type="spellStart"/>
      <w:r w:rsidR="00986C70" w:rsidRPr="006B024F">
        <w:rPr>
          <w:sz w:val="20"/>
          <w:szCs w:val="20"/>
        </w:rPr>
        <w:t>Dellink</w:t>
      </w:r>
      <w:proofErr w:type="spellEnd"/>
      <w:r w:rsidR="00986C70" w:rsidRPr="006B024F">
        <w:rPr>
          <w:sz w:val="20"/>
          <w:szCs w:val="20"/>
        </w:rPr>
        <w:t xml:space="preserve"> et al</w:t>
      </w:r>
      <w:r w:rsidR="0047663D">
        <w:rPr>
          <w:sz w:val="20"/>
          <w:szCs w:val="20"/>
        </w:rPr>
        <w:t>., 2020</w:t>
      </w:r>
      <w:r w:rsidR="00986C70" w:rsidRPr="006B024F">
        <w:rPr>
          <w:sz w:val="20"/>
          <w:szCs w:val="20"/>
        </w:rPr>
        <w:t xml:space="preserve"> </w:t>
      </w:r>
      <w:proofErr w:type="gramStart"/>
      <w:r w:rsidR="00986C70" w:rsidRPr="006B024F">
        <w:rPr>
          <w:sz w:val="20"/>
          <w:szCs w:val="20"/>
        </w:rPr>
        <w:t>describes,</w:t>
      </w:r>
      <w:proofErr w:type="gramEnd"/>
      <w:r w:rsidR="00986C70" w:rsidRPr="006B024F">
        <w:rPr>
          <w:sz w:val="20"/>
          <w:szCs w:val="20"/>
        </w:rPr>
        <w:t xml:space="preserve"> </w:t>
      </w:r>
      <w:r w:rsidR="00837A69" w:rsidRPr="006B024F">
        <w:rPr>
          <w:sz w:val="20"/>
          <w:szCs w:val="20"/>
        </w:rPr>
        <w:t xml:space="preserve">dynamic mechanisms such as </w:t>
      </w:r>
      <w:r w:rsidR="00986C70" w:rsidRPr="006B024F">
        <w:rPr>
          <w:sz w:val="20"/>
          <w:szCs w:val="20"/>
        </w:rPr>
        <w:t xml:space="preserve">modelling </w:t>
      </w:r>
      <w:r w:rsidR="00837A69" w:rsidRPr="006B024F">
        <w:rPr>
          <w:sz w:val="20"/>
          <w:szCs w:val="20"/>
        </w:rPr>
        <w:t xml:space="preserve">assumptions </w:t>
      </w:r>
      <w:r w:rsidR="00986C70" w:rsidRPr="006B024F">
        <w:rPr>
          <w:sz w:val="20"/>
          <w:szCs w:val="20"/>
        </w:rPr>
        <w:t xml:space="preserve">for </w:t>
      </w:r>
      <w:r w:rsidR="00986C70">
        <w:rPr>
          <w:sz w:val="20"/>
          <w:szCs w:val="20"/>
        </w:rPr>
        <w:t>‘agents’ forward looking behaviour’</w:t>
      </w:r>
      <w:r w:rsidR="006B024F">
        <w:rPr>
          <w:sz w:val="20"/>
          <w:szCs w:val="20"/>
        </w:rPr>
        <w:t>;</w:t>
      </w:r>
      <w:r w:rsidR="00986C70">
        <w:rPr>
          <w:sz w:val="20"/>
          <w:szCs w:val="20"/>
        </w:rPr>
        <w:t xml:space="preserve"> as well as </w:t>
      </w:r>
      <w:r w:rsidR="006B024F">
        <w:rPr>
          <w:sz w:val="20"/>
          <w:szCs w:val="20"/>
        </w:rPr>
        <w:t xml:space="preserve">the </w:t>
      </w:r>
      <w:r w:rsidR="00986C70">
        <w:rPr>
          <w:sz w:val="20"/>
          <w:szCs w:val="20"/>
        </w:rPr>
        <w:t>‘policy’ scenarios intended to be modelled. T</w:t>
      </w:r>
      <w:r w:rsidR="007C4310">
        <w:rPr>
          <w:sz w:val="20"/>
          <w:szCs w:val="20"/>
        </w:rPr>
        <w:t>his inherent complexity hinders understanding of</w:t>
      </w:r>
      <w:r w:rsidR="00E54CA4">
        <w:rPr>
          <w:sz w:val="20"/>
          <w:szCs w:val="20"/>
        </w:rPr>
        <w:t xml:space="preserve"> </w:t>
      </w:r>
      <w:r w:rsidR="006B024F">
        <w:rPr>
          <w:sz w:val="20"/>
          <w:szCs w:val="20"/>
        </w:rPr>
        <w:t xml:space="preserve">peers’ </w:t>
      </w:r>
      <w:r w:rsidR="007C4310">
        <w:rPr>
          <w:sz w:val="20"/>
          <w:szCs w:val="20"/>
        </w:rPr>
        <w:t>baselines</w:t>
      </w:r>
      <w:r w:rsidR="00A7679D">
        <w:rPr>
          <w:sz w:val="20"/>
          <w:szCs w:val="20"/>
        </w:rPr>
        <w:t xml:space="preserve">. </w:t>
      </w:r>
    </w:p>
    <w:p w14:paraId="5E99BA59" w14:textId="54753B1C" w:rsidR="00F71359" w:rsidRDefault="00E54CA4" w:rsidP="00515CC4">
      <w:pPr>
        <w:rPr>
          <w:sz w:val="20"/>
          <w:szCs w:val="20"/>
        </w:rPr>
      </w:pPr>
      <w:r>
        <w:rPr>
          <w:sz w:val="20"/>
          <w:szCs w:val="20"/>
        </w:rPr>
        <w:t>T</w:t>
      </w:r>
      <w:r w:rsidR="00F71359">
        <w:rPr>
          <w:sz w:val="20"/>
          <w:szCs w:val="20"/>
        </w:rPr>
        <w:t xml:space="preserve">his </w:t>
      </w:r>
      <w:r w:rsidR="004539D2">
        <w:rPr>
          <w:sz w:val="20"/>
          <w:szCs w:val="20"/>
        </w:rPr>
        <w:t>low knowledge level</w:t>
      </w:r>
      <w:r w:rsidR="00837A69">
        <w:rPr>
          <w:sz w:val="20"/>
          <w:szCs w:val="20"/>
        </w:rPr>
        <w:t xml:space="preserve"> </w:t>
      </w:r>
      <w:r w:rsidR="004539D2">
        <w:rPr>
          <w:sz w:val="20"/>
          <w:szCs w:val="20"/>
        </w:rPr>
        <w:t>of</w:t>
      </w:r>
      <w:r>
        <w:rPr>
          <w:sz w:val="20"/>
          <w:szCs w:val="20"/>
        </w:rPr>
        <w:t xml:space="preserve"> the variation of CGE baselines may begin to be resolved by quantitative consideration</w:t>
      </w:r>
      <w:r w:rsidR="0047663D">
        <w:rPr>
          <w:sz w:val="20"/>
          <w:szCs w:val="20"/>
        </w:rPr>
        <w:t xml:space="preserve"> of the variation</w:t>
      </w:r>
      <w:r>
        <w:rPr>
          <w:sz w:val="20"/>
          <w:szCs w:val="20"/>
        </w:rPr>
        <w:t xml:space="preserve">. The special edition recommends this as a next step from </w:t>
      </w:r>
      <w:r w:rsidR="00D03BF4">
        <w:rPr>
          <w:sz w:val="20"/>
          <w:szCs w:val="20"/>
        </w:rPr>
        <w:t>its</w:t>
      </w:r>
      <w:r>
        <w:rPr>
          <w:sz w:val="20"/>
          <w:szCs w:val="20"/>
        </w:rPr>
        <w:t xml:space="preserve"> generalised and qualitative look at the different choices available </w:t>
      </w:r>
      <w:r w:rsidR="00D03BF4">
        <w:rPr>
          <w:sz w:val="20"/>
          <w:szCs w:val="20"/>
        </w:rPr>
        <w:t>when building baselines</w:t>
      </w:r>
      <w:r>
        <w:rPr>
          <w:sz w:val="20"/>
          <w:szCs w:val="20"/>
        </w:rPr>
        <w:t xml:space="preserve">. </w:t>
      </w:r>
      <w:proofErr w:type="spellStart"/>
      <w:r w:rsidR="0047663D">
        <w:rPr>
          <w:sz w:val="20"/>
          <w:szCs w:val="20"/>
        </w:rPr>
        <w:t>Dellink</w:t>
      </w:r>
      <w:proofErr w:type="spellEnd"/>
      <w:r w:rsidR="0047663D">
        <w:rPr>
          <w:sz w:val="20"/>
          <w:szCs w:val="20"/>
        </w:rPr>
        <w:t xml:space="preserve"> et al., 2020 </w:t>
      </w:r>
      <w:r w:rsidR="00B66E2F">
        <w:rPr>
          <w:sz w:val="20"/>
          <w:szCs w:val="20"/>
        </w:rPr>
        <w:t xml:space="preserve">propose running a consistent set of scenarios across multiple CGE models (which have different baselines). As a preliminary step, this work </w:t>
      </w:r>
      <w:r w:rsidR="00760BD8">
        <w:rPr>
          <w:sz w:val="20"/>
          <w:szCs w:val="20"/>
        </w:rPr>
        <w:t xml:space="preserve">will run a set of scenarios in the same model but utilising different publicly available baselines. This has </w:t>
      </w:r>
      <w:proofErr w:type="gramStart"/>
      <w:r w:rsidR="00760BD8">
        <w:rPr>
          <w:sz w:val="20"/>
          <w:szCs w:val="20"/>
        </w:rPr>
        <w:t>a number of</w:t>
      </w:r>
      <w:proofErr w:type="gramEnd"/>
      <w:r w:rsidR="00760BD8">
        <w:rPr>
          <w:sz w:val="20"/>
          <w:szCs w:val="20"/>
        </w:rPr>
        <w:t xml:space="preserve"> benefits. First, this initial, smaller scale experiment will enable us to identify and resolve methodology issues without excess resource requirements. For example, identifying how we compare baselines with different closure rules</w:t>
      </w:r>
      <w:r w:rsidR="00FB5647">
        <w:rPr>
          <w:sz w:val="20"/>
          <w:szCs w:val="20"/>
        </w:rPr>
        <w:t>, what time periods we use and how to manage different policy assumptions. Furthermore, it will give the community an early indication of the results that can be obtained</w:t>
      </w:r>
      <w:r w:rsidR="004539D2">
        <w:rPr>
          <w:sz w:val="20"/>
          <w:szCs w:val="20"/>
        </w:rPr>
        <w:t>;</w:t>
      </w:r>
      <w:r w:rsidR="00FB5647">
        <w:rPr>
          <w:sz w:val="20"/>
          <w:szCs w:val="20"/>
        </w:rPr>
        <w:t xml:space="preserve"> as comparing baselines across “as many relevant CGE models as possible” </w:t>
      </w:r>
      <w:r w:rsidR="004240C3">
        <w:rPr>
          <w:sz w:val="20"/>
          <w:szCs w:val="20"/>
        </w:rPr>
        <w:t xml:space="preserve">in the way </w:t>
      </w:r>
      <w:proofErr w:type="spellStart"/>
      <w:r w:rsidR="004240C3">
        <w:rPr>
          <w:sz w:val="20"/>
          <w:szCs w:val="20"/>
        </w:rPr>
        <w:t>Dellink</w:t>
      </w:r>
      <w:proofErr w:type="spellEnd"/>
      <w:r w:rsidR="004240C3">
        <w:rPr>
          <w:sz w:val="20"/>
          <w:szCs w:val="20"/>
        </w:rPr>
        <w:t xml:space="preserve"> et al. recommend</w:t>
      </w:r>
      <w:r w:rsidR="0047663D">
        <w:rPr>
          <w:sz w:val="20"/>
          <w:szCs w:val="20"/>
        </w:rPr>
        <w:t xml:space="preserve">s </w:t>
      </w:r>
      <w:r w:rsidR="004240C3">
        <w:rPr>
          <w:sz w:val="20"/>
          <w:szCs w:val="20"/>
        </w:rPr>
        <w:t xml:space="preserve">will be </w:t>
      </w:r>
      <w:proofErr w:type="gramStart"/>
      <w:r w:rsidR="004240C3">
        <w:rPr>
          <w:sz w:val="20"/>
          <w:szCs w:val="20"/>
        </w:rPr>
        <w:t>resource-intensive</w:t>
      </w:r>
      <w:proofErr w:type="gramEnd"/>
      <w:r w:rsidR="00FB5647">
        <w:rPr>
          <w:sz w:val="20"/>
          <w:szCs w:val="20"/>
        </w:rPr>
        <w:t>.</w:t>
      </w:r>
      <w:r w:rsidR="00FB5647">
        <w:rPr>
          <w:rStyle w:val="FootnoteReference"/>
          <w:sz w:val="20"/>
          <w:szCs w:val="20"/>
        </w:rPr>
        <w:footnoteReference w:id="3"/>
      </w:r>
      <w:r w:rsidR="0047663D">
        <w:rPr>
          <w:sz w:val="20"/>
          <w:szCs w:val="20"/>
        </w:rPr>
        <w:t xml:space="preserve"> Also, by running multiple baselines through just one CGE model, </w:t>
      </w:r>
      <w:r w:rsidR="0047663D" w:rsidRPr="0047663D">
        <w:rPr>
          <w:color w:val="FF0000"/>
          <w:sz w:val="20"/>
          <w:szCs w:val="20"/>
        </w:rPr>
        <w:t xml:space="preserve">we can </w:t>
      </w:r>
      <w:r w:rsidR="0047663D">
        <w:rPr>
          <w:sz w:val="20"/>
          <w:szCs w:val="20"/>
        </w:rPr>
        <w:t xml:space="preserve">mitigate </w:t>
      </w:r>
      <w:r w:rsidR="0047663D" w:rsidRPr="0047663D">
        <w:rPr>
          <w:sz w:val="20"/>
          <w:szCs w:val="20"/>
        </w:rPr>
        <w:t>the risk of conflating variation in baselines with variation in model mechanics.</w:t>
      </w:r>
    </w:p>
    <w:p w14:paraId="376AA836" w14:textId="05D9E8DF" w:rsidR="00FB5647" w:rsidRDefault="004240C3" w:rsidP="00515CC4">
      <w:pPr>
        <w:rPr>
          <w:sz w:val="20"/>
          <w:szCs w:val="20"/>
        </w:rPr>
      </w:pPr>
      <w:r>
        <w:rPr>
          <w:sz w:val="20"/>
          <w:szCs w:val="20"/>
        </w:rPr>
        <w:t xml:space="preserve">A better understanding of dynamic CGE baselines will pave the way to better communication of baselines. </w:t>
      </w:r>
      <w:proofErr w:type="spellStart"/>
      <w:r w:rsidR="00D731C2">
        <w:rPr>
          <w:sz w:val="20"/>
          <w:szCs w:val="20"/>
        </w:rPr>
        <w:t>Dellink</w:t>
      </w:r>
      <w:proofErr w:type="spellEnd"/>
      <w:r w:rsidR="00D731C2">
        <w:rPr>
          <w:sz w:val="20"/>
          <w:szCs w:val="20"/>
        </w:rPr>
        <w:t xml:space="preserve"> et al.</w:t>
      </w:r>
      <w:r w:rsidR="00E5363F">
        <w:rPr>
          <w:sz w:val="20"/>
          <w:szCs w:val="20"/>
        </w:rPr>
        <w:t>, 2020</w:t>
      </w:r>
      <w:r w:rsidR="00D731C2">
        <w:rPr>
          <w:sz w:val="20"/>
          <w:szCs w:val="20"/>
        </w:rPr>
        <w:t xml:space="preserve"> </w:t>
      </w:r>
      <w:r w:rsidR="00E5363F">
        <w:rPr>
          <w:sz w:val="20"/>
          <w:szCs w:val="20"/>
        </w:rPr>
        <w:t>describes</w:t>
      </w:r>
      <w:r w:rsidR="00D731C2">
        <w:rPr>
          <w:sz w:val="20"/>
          <w:szCs w:val="20"/>
        </w:rPr>
        <w:t xml:space="preserve"> a culture of </w:t>
      </w:r>
      <w:r w:rsidR="00D731C2">
        <w:rPr>
          <w:i/>
          <w:iCs/>
          <w:sz w:val="20"/>
          <w:szCs w:val="20"/>
        </w:rPr>
        <w:t xml:space="preserve">not </w:t>
      </w:r>
      <w:r w:rsidR="00D731C2">
        <w:rPr>
          <w:sz w:val="20"/>
          <w:szCs w:val="20"/>
        </w:rPr>
        <w:t xml:space="preserve">publishing baselines alongside policy analysis in academic journals. Furthermore, analysts struggle to contextualise their analysis using these complex dynamic baselines to policymakers and the </w:t>
      </w:r>
      <w:proofErr w:type="gramStart"/>
      <w:r w:rsidR="00D731C2">
        <w:rPr>
          <w:sz w:val="20"/>
          <w:szCs w:val="20"/>
        </w:rPr>
        <w:t>general public</w:t>
      </w:r>
      <w:proofErr w:type="gramEnd"/>
      <w:r w:rsidR="00D731C2">
        <w:rPr>
          <w:sz w:val="20"/>
          <w:szCs w:val="20"/>
        </w:rPr>
        <w:t>. Th</w:t>
      </w:r>
      <w:r w:rsidR="00E5363F">
        <w:rPr>
          <w:sz w:val="20"/>
          <w:szCs w:val="20"/>
        </w:rPr>
        <w:t>is</w:t>
      </w:r>
      <w:r w:rsidR="00D731C2">
        <w:rPr>
          <w:sz w:val="20"/>
          <w:szCs w:val="20"/>
        </w:rPr>
        <w:t xml:space="preserve"> was shown in the UK when it published </w:t>
      </w:r>
      <w:proofErr w:type="gramStart"/>
      <w:r w:rsidR="00D731C2">
        <w:rPr>
          <w:sz w:val="20"/>
          <w:szCs w:val="20"/>
        </w:rPr>
        <w:t>a</w:t>
      </w:r>
      <w:proofErr w:type="gramEnd"/>
      <w:r w:rsidR="00D731C2">
        <w:rPr>
          <w:sz w:val="20"/>
          <w:szCs w:val="20"/>
        </w:rPr>
        <w:t xml:space="preserve"> impact assessment on the agreement in principle on its accession to the Comprehensive and Progressive Agreements on Trans-Pacific Partnership (CPTPP). Commentators have struggled to explain </w:t>
      </w:r>
      <w:r w:rsidR="00E5363F">
        <w:rPr>
          <w:sz w:val="20"/>
          <w:szCs w:val="20"/>
        </w:rPr>
        <w:t xml:space="preserve">to the public </w:t>
      </w:r>
      <w:r w:rsidR="00D731C2">
        <w:rPr>
          <w:sz w:val="20"/>
          <w:szCs w:val="20"/>
        </w:rPr>
        <w:t xml:space="preserve">how CGE analysis with a dynamic baseline may give </w:t>
      </w:r>
      <w:r w:rsidR="00E5363F">
        <w:rPr>
          <w:sz w:val="20"/>
          <w:szCs w:val="20"/>
        </w:rPr>
        <w:t>a greater</w:t>
      </w:r>
      <w:r w:rsidR="00D731C2">
        <w:rPr>
          <w:sz w:val="20"/>
          <w:szCs w:val="20"/>
        </w:rPr>
        <w:t xml:space="preserve"> estimate of the benefits to the UK</w:t>
      </w:r>
      <w:r w:rsidR="00E5363F">
        <w:rPr>
          <w:sz w:val="20"/>
          <w:szCs w:val="20"/>
        </w:rPr>
        <w:t xml:space="preserve"> (compared</w:t>
      </w:r>
      <w:r w:rsidR="00D731C2">
        <w:rPr>
          <w:sz w:val="20"/>
          <w:szCs w:val="20"/>
        </w:rPr>
        <w:t xml:space="preserve"> to the published static analysis</w:t>
      </w:r>
      <w:r w:rsidR="00E5363F">
        <w:rPr>
          <w:sz w:val="20"/>
          <w:szCs w:val="20"/>
        </w:rPr>
        <w:t>)</w:t>
      </w:r>
      <w:r w:rsidR="00D731C2">
        <w:rPr>
          <w:sz w:val="20"/>
          <w:szCs w:val="20"/>
        </w:rPr>
        <w:t>.</w:t>
      </w:r>
      <w:r w:rsidR="00595E12">
        <w:rPr>
          <w:rStyle w:val="FootnoteReference"/>
          <w:sz w:val="20"/>
          <w:szCs w:val="20"/>
        </w:rPr>
        <w:footnoteReference w:id="4"/>
      </w:r>
      <w:r w:rsidR="00D731C2">
        <w:rPr>
          <w:sz w:val="20"/>
          <w:szCs w:val="20"/>
        </w:rPr>
        <w:t xml:space="preserve"> </w:t>
      </w:r>
      <w:r w:rsidR="00595E12">
        <w:rPr>
          <w:sz w:val="20"/>
          <w:szCs w:val="20"/>
        </w:rPr>
        <w:t xml:space="preserve"> </w:t>
      </w:r>
    </w:p>
    <w:p w14:paraId="69618CD8" w14:textId="02905235" w:rsidR="00C45717" w:rsidRDefault="00595E12" w:rsidP="00515CC4">
      <w:pPr>
        <w:rPr>
          <w:sz w:val="20"/>
          <w:szCs w:val="20"/>
        </w:rPr>
      </w:pPr>
      <w:proofErr w:type="spellStart"/>
      <w:r>
        <w:rPr>
          <w:sz w:val="20"/>
          <w:szCs w:val="20"/>
        </w:rPr>
        <w:t>Dellink</w:t>
      </w:r>
      <w:proofErr w:type="spellEnd"/>
      <w:r>
        <w:rPr>
          <w:sz w:val="20"/>
          <w:szCs w:val="20"/>
        </w:rPr>
        <w:t xml:space="preserve"> et a</w:t>
      </w:r>
      <w:r w:rsidR="00760D42">
        <w:rPr>
          <w:sz w:val="20"/>
          <w:szCs w:val="20"/>
        </w:rPr>
        <w:t>l.</w:t>
      </w:r>
      <w:r w:rsidR="0050523D">
        <w:rPr>
          <w:sz w:val="20"/>
          <w:szCs w:val="20"/>
        </w:rPr>
        <w:t>, 2020</w:t>
      </w:r>
      <w:r w:rsidR="00760D42">
        <w:rPr>
          <w:sz w:val="20"/>
          <w:szCs w:val="20"/>
        </w:rPr>
        <w:t xml:space="preserve"> recommend building on the research comparing baselines but categorising them in a similar style to Socioeconomic-Shared Pathways (SSPs). </w:t>
      </w:r>
      <w:r w:rsidR="00293C1B">
        <w:rPr>
          <w:sz w:val="20"/>
          <w:szCs w:val="20"/>
        </w:rPr>
        <w:t xml:space="preserve">The SSPs </w:t>
      </w:r>
      <w:r w:rsidR="008B5A27">
        <w:rPr>
          <w:sz w:val="20"/>
          <w:szCs w:val="20"/>
        </w:rPr>
        <w:t>give “storylines” for each baseline, providing a lo</w:t>
      </w:r>
      <w:r w:rsidR="006756DB">
        <w:rPr>
          <w:sz w:val="20"/>
          <w:szCs w:val="20"/>
        </w:rPr>
        <w:t>o</w:t>
      </w:r>
      <w:r w:rsidR="008B5A27">
        <w:rPr>
          <w:sz w:val="20"/>
          <w:szCs w:val="20"/>
        </w:rPr>
        <w:t>s</w:t>
      </w:r>
      <w:r w:rsidR="006756DB">
        <w:rPr>
          <w:sz w:val="20"/>
          <w:szCs w:val="20"/>
        </w:rPr>
        <w:t>e</w:t>
      </w:r>
      <w:r w:rsidR="008B5A27">
        <w:rPr>
          <w:sz w:val="20"/>
          <w:szCs w:val="20"/>
        </w:rPr>
        <w:t xml:space="preserve"> description of the global economic environment – mostly relating to climate change mitigation policy, demographic change</w:t>
      </w:r>
      <w:r w:rsidR="0050523D">
        <w:rPr>
          <w:sz w:val="20"/>
          <w:szCs w:val="20"/>
        </w:rPr>
        <w:t xml:space="preserve">, </w:t>
      </w:r>
      <w:r w:rsidR="008B5A27">
        <w:rPr>
          <w:sz w:val="20"/>
          <w:szCs w:val="20"/>
        </w:rPr>
        <w:t xml:space="preserve">economic </w:t>
      </w:r>
      <w:proofErr w:type="gramStart"/>
      <w:r w:rsidR="008B5A27">
        <w:rPr>
          <w:sz w:val="20"/>
          <w:szCs w:val="20"/>
        </w:rPr>
        <w:t>growth</w:t>
      </w:r>
      <w:proofErr w:type="gramEnd"/>
      <w:r w:rsidR="008B5A27">
        <w:rPr>
          <w:sz w:val="20"/>
          <w:szCs w:val="20"/>
        </w:rPr>
        <w:t xml:space="preserve"> </w:t>
      </w:r>
      <w:r w:rsidR="00CA2D93">
        <w:rPr>
          <w:sz w:val="20"/>
          <w:szCs w:val="20"/>
        </w:rPr>
        <w:t xml:space="preserve">and </w:t>
      </w:r>
      <w:r w:rsidR="0050523D">
        <w:rPr>
          <w:sz w:val="20"/>
          <w:szCs w:val="20"/>
        </w:rPr>
        <w:t xml:space="preserve">the </w:t>
      </w:r>
      <w:r w:rsidR="00CA2D93">
        <w:rPr>
          <w:sz w:val="20"/>
          <w:szCs w:val="20"/>
        </w:rPr>
        <w:t xml:space="preserve">development </w:t>
      </w:r>
      <w:r w:rsidR="0050523D">
        <w:rPr>
          <w:sz w:val="20"/>
          <w:szCs w:val="20"/>
        </w:rPr>
        <w:t xml:space="preserve">trajectory </w:t>
      </w:r>
      <w:r w:rsidR="008B5A27">
        <w:rPr>
          <w:sz w:val="20"/>
          <w:szCs w:val="20"/>
        </w:rPr>
        <w:t>of countries grouped by income level and geography.</w:t>
      </w:r>
      <w:r w:rsidR="006B6952">
        <w:rPr>
          <w:sz w:val="20"/>
          <w:szCs w:val="20"/>
        </w:rPr>
        <w:t xml:space="preserve"> Succinct descriptions are combined with catchy names ‘</w:t>
      </w:r>
      <w:proofErr w:type="gramStart"/>
      <w:r w:rsidR="006B6952">
        <w:rPr>
          <w:sz w:val="20"/>
          <w:szCs w:val="20"/>
        </w:rPr>
        <w:t>e.g.</w:t>
      </w:r>
      <w:proofErr w:type="gramEnd"/>
      <w:r w:rsidR="006B6952">
        <w:rPr>
          <w:sz w:val="20"/>
          <w:szCs w:val="20"/>
        </w:rPr>
        <w:t xml:space="preserve"> Rock Road’ (referring a SSP3 where </w:t>
      </w:r>
      <w:r w:rsidR="00C45717">
        <w:rPr>
          <w:sz w:val="20"/>
          <w:szCs w:val="20"/>
        </w:rPr>
        <w:t xml:space="preserve">increased </w:t>
      </w:r>
      <w:r w:rsidR="006B6952">
        <w:rPr>
          <w:sz w:val="20"/>
          <w:szCs w:val="20"/>
        </w:rPr>
        <w:t>rivalry</w:t>
      </w:r>
      <w:r w:rsidR="00C45717" w:rsidRPr="00C45717">
        <w:rPr>
          <w:sz w:val="20"/>
          <w:szCs w:val="20"/>
        </w:rPr>
        <w:t xml:space="preserve"> </w:t>
      </w:r>
      <w:r w:rsidR="00C45717">
        <w:rPr>
          <w:sz w:val="20"/>
          <w:szCs w:val="20"/>
        </w:rPr>
        <w:t>between regions is assumed</w:t>
      </w:r>
      <w:r w:rsidR="006B6952">
        <w:rPr>
          <w:sz w:val="20"/>
          <w:szCs w:val="20"/>
        </w:rPr>
        <w:t xml:space="preserve">). These SSPs make it easier to communicate climate policy analysis </w:t>
      </w:r>
      <w:r w:rsidR="00C45717">
        <w:rPr>
          <w:sz w:val="20"/>
          <w:szCs w:val="20"/>
        </w:rPr>
        <w:t>because</w:t>
      </w:r>
      <w:r w:rsidR="006B6952">
        <w:rPr>
          <w:sz w:val="20"/>
          <w:szCs w:val="20"/>
        </w:rPr>
        <w:t xml:space="preserve"> the audience understands how the world is assumed to be without the policy</w:t>
      </w:r>
      <w:r w:rsidR="00C45717">
        <w:rPr>
          <w:sz w:val="20"/>
          <w:szCs w:val="20"/>
        </w:rPr>
        <w:t>,</w:t>
      </w:r>
      <w:r w:rsidR="006B6952">
        <w:rPr>
          <w:sz w:val="20"/>
          <w:szCs w:val="20"/>
        </w:rPr>
        <w:t xml:space="preserve"> </w:t>
      </w:r>
      <w:r w:rsidR="00C45717">
        <w:rPr>
          <w:sz w:val="20"/>
          <w:szCs w:val="20"/>
        </w:rPr>
        <w:t xml:space="preserve">and therefore </w:t>
      </w:r>
      <w:r w:rsidR="006B6952">
        <w:rPr>
          <w:sz w:val="20"/>
          <w:szCs w:val="20"/>
        </w:rPr>
        <w:t xml:space="preserve">how these assumptions interact with policy scenarios. </w:t>
      </w:r>
    </w:p>
    <w:p w14:paraId="31E5A11E" w14:textId="235EDCDC" w:rsidR="00595E12" w:rsidRDefault="006B6952" w:rsidP="00515CC4">
      <w:pPr>
        <w:rPr>
          <w:sz w:val="20"/>
          <w:szCs w:val="20"/>
        </w:rPr>
      </w:pPr>
      <w:r>
        <w:rPr>
          <w:sz w:val="20"/>
          <w:szCs w:val="20"/>
        </w:rPr>
        <w:t xml:space="preserve">This work will </w:t>
      </w:r>
      <w:r w:rsidR="00625FE4">
        <w:rPr>
          <w:sz w:val="20"/>
          <w:szCs w:val="20"/>
        </w:rPr>
        <w:t>extend this ca</w:t>
      </w:r>
      <w:r w:rsidR="00C45717">
        <w:rPr>
          <w:sz w:val="20"/>
          <w:szCs w:val="20"/>
        </w:rPr>
        <w:t>tegorisation</w:t>
      </w:r>
      <w:r w:rsidR="00625FE4">
        <w:rPr>
          <w:sz w:val="20"/>
          <w:szCs w:val="20"/>
        </w:rPr>
        <w:t xml:space="preserve"> </w:t>
      </w:r>
      <w:r>
        <w:rPr>
          <w:sz w:val="20"/>
          <w:szCs w:val="20"/>
        </w:rPr>
        <w:t xml:space="preserve">concept </w:t>
      </w:r>
      <w:r w:rsidR="00625FE4">
        <w:rPr>
          <w:sz w:val="20"/>
          <w:szCs w:val="20"/>
        </w:rPr>
        <w:t xml:space="preserve">by focusing on the latter benefit – helping audiences understand how baseline assumptions interact with </w:t>
      </w:r>
      <w:r w:rsidR="00C45717">
        <w:rPr>
          <w:sz w:val="20"/>
          <w:szCs w:val="20"/>
        </w:rPr>
        <w:t xml:space="preserve">‘policy’ </w:t>
      </w:r>
      <w:r w:rsidR="00625FE4">
        <w:rPr>
          <w:sz w:val="20"/>
          <w:szCs w:val="20"/>
        </w:rPr>
        <w:t xml:space="preserve">scenarios. It will do this by categorising projections not on their drivers or internal policy assumptions but their effect on policy </w:t>
      </w:r>
      <w:r w:rsidR="00C45717">
        <w:rPr>
          <w:sz w:val="20"/>
          <w:szCs w:val="20"/>
        </w:rPr>
        <w:t>scenarios in</w:t>
      </w:r>
      <w:r w:rsidR="00625FE4">
        <w:rPr>
          <w:sz w:val="20"/>
          <w:szCs w:val="20"/>
        </w:rPr>
        <w:t xml:space="preserve"> CGE models. Our work will design a framework that assess projections’ interaction</w:t>
      </w:r>
      <w:r w:rsidR="00DA2AB7">
        <w:rPr>
          <w:sz w:val="20"/>
          <w:szCs w:val="20"/>
        </w:rPr>
        <w:t xml:space="preserve">s </w:t>
      </w:r>
      <w:r w:rsidR="00625FE4">
        <w:rPr>
          <w:sz w:val="20"/>
          <w:szCs w:val="20"/>
        </w:rPr>
        <w:t xml:space="preserve">with </w:t>
      </w:r>
      <w:r w:rsidR="00DA2AB7">
        <w:rPr>
          <w:sz w:val="20"/>
          <w:szCs w:val="20"/>
        </w:rPr>
        <w:t xml:space="preserve">an </w:t>
      </w:r>
      <w:r w:rsidR="00625FE4">
        <w:rPr>
          <w:sz w:val="20"/>
          <w:szCs w:val="20"/>
        </w:rPr>
        <w:t>expansionary policy scenario</w:t>
      </w:r>
      <w:r w:rsidR="00DA2AB7">
        <w:rPr>
          <w:sz w:val="20"/>
          <w:szCs w:val="20"/>
        </w:rPr>
        <w:t xml:space="preserve"> </w:t>
      </w:r>
      <w:r w:rsidR="00625FE4">
        <w:rPr>
          <w:sz w:val="20"/>
          <w:szCs w:val="20"/>
        </w:rPr>
        <w:t xml:space="preserve">by focusing on their impact on key variables such as income and changes to trade patterns. </w:t>
      </w:r>
      <w:r w:rsidR="00555FDE">
        <w:rPr>
          <w:sz w:val="20"/>
          <w:szCs w:val="20"/>
        </w:rPr>
        <w:t xml:space="preserve">Again, attempting this will be ambitious but </w:t>
      </w:r>
      <w:r w:rsidR="00DA2AB7">
        <w:rPr>
          <w:sz w:val="20"/>
          <w:szCs w:val="20"/>
        </w:rPr>
        <w:t xml:space="preserve">choosing to do this at a </w:t>
      </w:r>
      <w:r w:rsidR="00555FDE">
        <w:rPr>
          <w:sz w:val="20"/>
          <w:szCs w:val="20"/>
        </w:rPr>
        <w:t xml:space="preserve">small scale </w:t>
      </w:r>
      <w:r w:rsidR="00DA2AB7">
        <w:rPr>
          <w:sz w:val="20"/>
          <w:szCs w:val="20"/>
        </w:rPr>
        <w:t xml:space="preserve">will allow issues to be </w:t>
      </w:r>
      <w:r w:rsidR="00555FDE">
        <w:rPr>
          <w:sz w:val="20"/>
          <w:szCs w:val="20"/>
        </w:rPr>
        <w:t xml:space="preserve">worked through in a non-resource </w:t>
      </w:r>
      <w:r w:rsidR="00555FDE">
        <w:rPr>
          <w:sz w:val="20"/>
          <w:szCs w:val="20"/>
        </w:rPr>
        <w:lastRenderedPageBreak/>
        <w:t xml:space="preserve">intensive manner. However, we do recognise, that our limited projections may make it more difficult to categorise models if there is a lack of variation between them. </w:t>
      </w:r>
    </w:p>
    <w:p w14:paraId="094BBA05" w14:textId="392BF9FB" w:rsidR="00F83613" w:rsidRDefault="00F83613" w:rsidP="00515CC4">
      <w:pPr>
        <w:rPr>
          <w:sz w:val="20"/>
          <w:szCs w:val="20"/>
        </w:rPr>
      </w:pPr>
    </w:p>
    <w:p w14:paraId="6721D372" w14:textId="17B99E46" w:rsidR="00F83613" w:rsidRDefault="00F83613" w:rsidP="00515CC4">
      <w:pPr>
        <w:rPr>
          <w:sz w:val="20"/>
          <w:szCs w:val="20"/>
        </w:rPr>
      </w:pPr>
    </w:p>
    <w:p w14:paraId="46F99F72" w14:textId="7166C535" w:rsidR="00F83613" w:rsidRDefault="00F83613" w:rsidP="00515CC4">
      <w:pPr>
        <w:rPr>
          <w:sz w:val="20"/>
          <w:szCs w:val="20"/>
        </w:rPr>
      </w:pPr>
    </w:p>
    <w:p w14:paraId="0EA87892" w14:textId="70262552" w:rsidR="00F83613" w:rsidRDefault="00F83613" w:rsidP="00515CC4">
      <w:pPr>
        <w:rPr>
          <w:sz w:val="20"/>
          <w:szCs w:val="20"/>
        </w:rPr>
      </w:pPr>
    </w:p>
    <w:p w14:paraId="0272A20B" w14:textId="02BF3F2A" w:rsidR="00F83613" w:rsidRDefault="00F83613" w:rsidP="00515CC4">
      <w:pPr>
        <w:rPr>
          <w:sz w:val="20"/>
          <w:szCs w:val="20"/>
        </w:rPr>
      </w:pPr>
    </w:p>
    <w:p w14:paraId="7DE6E674" w14:textId="1E23E9D2" w:rsidR="00F83613" w:rsidRDefault="00F83613" w:rsidP="00515CC4">
      <w:pPr>
        <w:rPr>
          <w:sz w:val="20"/>
          <w:szCs w:val="20"/>
        </w:rPr>
      </w:pPr>
    </w:p>
    <w:p w14:paraId="62CDEF09" w14:textId="11580CA1" w:rsidR="00F83613" w:rsidRDefault="00F83613" w:rsidP="00515CC4">
      <w:pPr>
        <w:rPr>
          <w:sz w:val="20"/>
          <w:szCs w:val="20"/>
        </w:rPr>
      </w:pPr>
    </w:p>
    <w:p w14:paraId="79E94697" w14:textId="0546015A" w:rsidR="00F83613" w:rsidRDefault="00F83613" w:rsidP="00515CC4">
      <w:pPr>
        <w:rPr>
          <w:sz w:val="20"/>
          <w:szCs w:val="20"/>
        </w:rPr>
      </w:pPr>
    </w:p>
    <w:p w14:paraId="69AE7BC9" w14:textId="65CFC0A8" w:rsidR="00F83613" w:rsidRDefault="00F83613" w:rsidP="00515CC4">
      <w:pPr>
        <w:rPr>
          <w:sz w:val="20"/>
          <w:szCs w:val="20"/>
        </w:rPr>
      </w:pPr>
    </w:p>
    <w:p w14:paraId="6E1EE9C9" w14:textId="32FBAE6B" w:rsidR="00F83613" w:rsidRDefault="00F83613" w:rsidP="00515CC4">
      <w:pPr>
        <w:rPr>
          <w:sz w:val="20"/>
          <w:szCs w:val="20"/>
        </w:rPr>
      </w:pPr>
    </w:p>
    <w:p w14:paraId="7C5F1602" w14:textId="66DC5471" w:rsidR="00F83613" w:rsidRDefault="00F83613" w:rsidP="00515CC4">
      <w:pPr>
        <w:rPr>
          <w:sz w:val="20"/>
          <w:szCs w:val="20"/>
        </w:rPr>
      </w:pPr>
    </w:p>
    <w:p w14:paraId="2DA06DDC" w14:textId="7EA35F98" w:rsidR="00F83613" w:rsidRDefault="00F83613" w:rsidP="00515CC4">
      <w:pPr>
        <w:rPr>
          <w:sz w:val="20"/>
          <w:szCs w:val="20"/>
        </w:rPr>
      </w:pPr>
    </w:p>
    <w:p w14:paraId="5C973FC8" w14:textId="3176B559" w:rsidR="00F83613" w:rsidRDefault="00F83613" w:rsidP="00515CC4">
      <w:pPr>
        <w:rPr>
          <w:sz w:val="20"/>
          <w:szCs w:val="20"/>
        </w:rPr>
      </w:pPr>
    </w:p>
    <w:p w14:paraId="3217DB12" w14:textId="583BFCCE" w:rsidR="00F83613" w:rsidRDefault="00F83613" w:rsidP="00515CC4">
      <w:pPr>
        <w:rPr>
          <w:sz w:val="20"/>
          <w:szCs w:val="20"/>
        </w:rPr>
      </w:pPr>
    </w:p>
    <w:p w14:paraId="105E5EAE" w14:textId="0F62E5A6" w:rsidR="00F83613" w:rsidRDefault="00F83613" w:rsidP="00515CC4">
      <w:pPr>
        <w:rPr>
          <w:sz w:val="20"/>
          <w:szCs w:val="20"/>
        </w:rPr>
      </w:pPr>
    </w:p>
    <w:p w14:paraId="6010B9C4" w14:textId="7CB37156" w:rsidR="00F83613" w:rsidRDefault="00F83613" w:rsidP="00515CC4">
      <w:pPr>
        <w:rPr>
          <w:sz w:val="20"/>
          <w:szCs w:val="20"/>
        </w:rPr>
      </w:pPr>
    </w:p>
    <w:p w14:paraId="0B0FE7FB" w14:textId="7C4345D9" w:rsidR="00F83613" w:rsidRDefault="00F83613" w:rsidP="00515CC4">
      <w:pPr>
        <w:rPr>
          <w:sz w:val="20"/>
          <w:szCs w:val="20"/>
        </w:rPr>
      </w:pPr>
    </w:p>
    <w:p w14:paraId="3BDB827B" w14:textId="6F296AD8" w:rsidR="00F83613" w:rsidRDefault="00F83613" w:rsidP="00515CC4">
      <w:pPr>
        <w:rPr>
          <w:sz w:val="20"/>
          <w:szCs w:val="20"/>
        </w:rPr>
      </w:pPr>
    </w:p>
    <w:p w14:paraId="22F4C938" w14:textId="23D840CA" w:rsidR="00F83613" w:rsidRDefault="00F83613" w:rsidP="00515CC4">
      <w:pPr>
        <w:rPr>
          <w:sz w:val="20"/>
          <w:szCs w:val="20"/>
        </w:rPr>
      </w:pPr>
    </w:p>
    <w:p w14:paraId="3A3A37E3" w14:textId="667EC346" w:rsidR="00F83613" w:rsidRDefault="00F83613" w:rsidP="00515CC4">
      <w:pPr>
        <w:rPr>
          <w:sz w:val="20"/>
          <w:szCs w:val="20"/>
        </w:rPr>
      </w:pPr>
    </w:p>
    <w:p w14:paraId="28163D08" w14:textId="78302542" w:rsidR="00F83613" w:rsidRDefault="00F83613" w:rsidP="00515CC4">
      <w:pPr>
        <w:rPr>
          <w:sz w:val="20"/>
          <w:szCs w:val="20"/>
        </w:rPr>
      </w:pPr>
    </w:p>
    <w:p w14:paraId="6A124E82" w14:textId="5B5AC30B" w:rsidR="00F83613" w:rsidRDefault="00F83613" w:rsidP="00515CC4">
      <w:pPr>
        <w:rPr>
          <w:sz w:val="20"/>
          <w:szCs w:val="20"/>
        </w:rPr>
      </w:pPr>
    </w:p>
    <w:p w14:paraId="43F95377" w14:textId="4F03C73C" w:rsidR="00F83613" w:rsidRDefault="00F83613" w:rsidP="00515CC4">
      <w:pPr>
        <w:rPr>
          <w:sz w:val="20"/>
          <w:szCs w:val="20"/>
        </w:rPr>
      </w:pPr>
    </w:p>
    <w:p w14:paraId="5EFF1BD1" w14:textId="7BDB04A7" w:rsidR="00F83613" w:rsidRDefault="00F83613" w:rsidP="00515CC4">
      <w:pPr>
        <w:rPr>
          <w:sz w:val="20"/>
          <w:szCs w:val="20"/>
        </w:rPr>
      </w:pPr>
    </w:p>
    <w:p w14:paraId="1C4E71CE" w14:textId="0870BE7C" w:rsidR="00F83613" w:rsidRDefault="00F83613" w:rsidP="00515CC4">
      <w:pPr>
        <w:rPr>
          <w:sz w:val="20"/>
          <w:szCs w:val="20"/>
        </w:rPr>
      </w:pPr>
    </w:p>
    <w:p w14:paraId="68485BEF" w14:textId="3AFBC534" w:rsidR="00F83613" w:rsidRDefault="00F83613" w:rsidP="00515CC4">
      <w:pPr>
        <w:rPr>
          <w:sz w:val="20"/>
          <w:szCs w:val="20"/>
        </w:rPr>
      </w:pPr>
    </w:p>
    <w:p w14:paraId="67C92C83" w14:textId="2BBD8884" w:rsidR="00F83613" w:rsidRDefault="00F83613" w:rsidP="00515CC4">
      <w:pPr>
        <w:rPr>
          <w:sz w:val="20"/>
          <w:szCs w:val="20"/>
        </w:rPr>
      </w:pPr>
    </w:p>
    <w:p w14:paraId="212AEB26" w14:textId="068BD751" w:rsidR="00F83613" w:rsidRDefault="00F83613" w:rsidP="00515CC4">
      <w:pPr>
        <w:rPr>
          <w:sz w:val="20"/>
          <w:szCs w:val="20"/>
        </w:rPr>
      </w:pPr>
    </w:p>
    <w:p w14:paraId="3DCFEEFB" w14:textId="6D0FE1A2" w:rsidR="00F83613" w:rsidRDefault="00F83613" w:rsidP="00515CC4">
      <w:pPr>
        <w:rPr>
          <w:sz w:val="20"/>
          <w:szCs w:val="20"/>
        </w:rPr>
      </w:pPr>
    </w:p>
    <w:p w14:paraId="154FE483" w14:textId="34FE355B" w:rsidR="00F83613" w:rsidRDefault="00F83613" w:rsidP="00515CC4">
      <w:pPr>
        <w:rPr>
          <w:sz w:val="20"/>
          <w:szCs w:val="20"/>
        </w:rPr>
      </w:pPr>
    </w:p>
    <w:p w14:paraId="1751ADA4" w14:textId="77777777" w:rsidR="00F83613" w:rsidRDefault="00F83613" w:rsidP="00515CC4">
      <w:pPr>
        <w:rPr>
          <w:sz w:val="20"/>
          <w:szCs w:val="20"/>
        </w:rPr>
      </w:pPr>
    </w:p>
    <w:p w14:paraId="0E969D7A" w14:textId="655291B8" w:rsidR="006832AB" w:rsidRPr="00F83613" w:rsidRDefault="00E21B73" w:rsidP="00176599">
      <w:pPr>
        <w:pStyle w:val="ListParagraph"/>
        <w:numPr>
          <w:ilvl w:val="0"/>
          <w:numId w:val="3"/>
        </w:numPr>
        <w:rPr>
          <w:b/>
          <w:bCs/>
          <w:i/>
          <w:iCs/>
          <w:sz w:val="20"/>
          <w:szCs w:val="20"/>
        </w:rPr>
      </w:pPr>
      <w:r w:rsidRPr="00F83613">
        <w:rPr>
          <w:b/>
          <w:bCs/>
          <w:i/>
          <w:iCs/>
          <w:sz w:val="20"/>
          <w:szCs w:val="20"/>
        </w:rPr>
        <w:t>Selected Projections at First Glance</w:t>
      </w:r>
    </w:p>
    <w:p w14:paraId="6D0733AC" w14:textId="7EADEB43" w:rsidR="00E21B73" w:rsidRDefault="00866837" w:rsidP="00515CC4">
      <w:pPr>
        <w:rPr>
          <w:sz w:val="20"/>
          <w:szCs w:val="20"/>
        </w:rPr>
      </w:pPr>
      <w:r>
        <w:rPr>
          <w:sz w:val="20"/>
          <w:szCs w:val="20"/>
        </w:rPr>
        <w:t xml:space="preserve">We have initially selected projections from six sources to compare. Three of these have </w:t>
      </w:r>
      <w:r w:rsidR="00A60027">
        <w:rPr>
          <w:sz w:val="20"/>
          <w:szCs w:val="20"/>
        </w:rPr>
        <w:t xml:space="preserve">a </w:t>
      </w:r>
      <w:r>
        <w:rPr>
          <w:sz w:val="20"/>
          <w:szCs w:val="20"/>
        </w:rPr>
        <w:t>set of projections for each of the five socio-economic pathways</w:t>
      </w:r>
      <w:r w:rsidR="00DA4626">
        <w:rPr>
          <w:sz w:val="20"/>
          <w:szCs w:val="20"/>
        </w:rPr>
        <w:t xml:space="preserve"> (SSPs)</w:t>
      </w:r>
      <w:r w:rsidR="00C07B3C">
        <w:rPr>
          <w:sz w:val="20"/>
          <w:szCs w:val="20"/>
        </w:rPr>
        <w:t xml:space="preserve">, this results in 18 projections of key macroeconomic variables. </w:t>
      </w:r>
      <w:r w:rsidR="00DA4626">
        <w:rPr>
          <w:sz w:val="20"/>
          <w:szCs w:val="20"/>
        </w:rPr>
        <w:t xml:space="preserve">The projections presented in this section may not be the final projections we compare as some of these sources are due to be updated soon. We also hope to incorporate a set of projections for UK agricultural output. </w:t>
      </w:r>
    </w:p>
    <w:tbl>
      <w:tblPr>
        <w:tblStyle w:val="TableGrid"/>
        <w:tblW w:w="0" w:type="auto"/>
        <w:tblLook w:val="04A0" w:firstRow="1" w:lastRow="0" w:firstColumn="1" w:lastColumn="0" w:noHBand="0" w:noVBand="1"/>
      </w:tblPr>
      <w:tblGrid>
        <w:gridCol w:w="1810"/>
        <w:gridCol w:w="1877"/>
        <w:gridCol w:w="1648"/>
        <w:gridCol w:w="1790"/>
        <w:gridCol w:w="1891"/>
      </w:tblGrid>
      <w:tr w:rsidR="000561EF" w14:paraId="01AE84BF" w14:textId="344AF013" w:rsidTr="000561EF">
        <w:tc>
          <w:tcPr>
            <w:tcW w:w="1810" w:type="dxa"/>
          </w:tcPr>
          <w:p w14:paraId="2B45B384" w14:textId="2BE6ECD7" w:rsidR="000561EF" w:rsidRPr="00DA4626" w:rsidRDefault="000561EF" w:rsidP="00515CC4">
            <w:pPr>
              <w:rPr>
                <w:b/>
                <w:bCs/>
                <w:sz w:val="20"/>
                <w:szCs w:val="20"/>
              </w:rPr>
            </w:pPr>
            <w:r>
              <w:rPr>
                <w:b/>
                <w:bCs/>
                <w:sz w:val="20"/>
                <w:szCs w:val="20"/>
              </w:rPr>
              <w:t>Source</w:t>
            </w:r>
          </w:p>
        </w:tc>
        <w:tc>
          <w:tcPr>
            <w:tcW w:w="1877" w:type="dxa"/>
          </w:tcPr>
          <w:p w14:paraId="2C04A0ED" w14:textId="30A30023" w:rsidR="000561EF" w:rsidRPr="00DA4626" w:rsidRDefault="000561EF" w:rsidP="00515CC4">
            <w:pPr>
              <w:rPr>
                <w:b/>
                <w:bCs/>
                <w:sz w:val="20"/>
                <w:szCs w:val="20"/>
              </w:rPr>
            </w:pPr>
            <w:r>
              <w:rPr>
                <w:b/>
                <w:bCs/>
                <w:sz w:val="20"/>
                <w:szCs w:val="20"/>
              </w:rPr>
              <w:t>First Year of Projected Data</w:t>
            </w:r>
          </w:p>
        </w:tc>
        <w:tc>
          <w:tcPr>
            <w:tcW w:w="1648" w:type="dxa"/>
          </w:tcPr>
          <w:p w14:paraId="50C05A65" w14:textId="7803B424" w:rsidR="000561EF" w:rsidRPr="00DA4626" w:rsidRDefault="000561EF" w:rsidP="00515CC4">
            <w:pPr>
              <w:rPr>
                <w:b/>
                <w:bCs/>
                <w:sz w:val="20"/>
                <w:szCs w:val="20"/>
              </w:rPr>
            </w:pPr>
            <w:r>
              <w:rPr>
                <w:b/>
                <w:bCs/>
                <w:sz w:val="20"/>
                <w:szCs w:val="20"/>
              </w:rPr>
              <w:t>Last Year of Projected Data</w:t>
            </w:r>
          </w:p>
        </w:tc>
        <w:tc>
          <w:tcPr>
            <w:tcW w:w="1790" w:type="dxa"/>
          </w:tcPr>
          <w:p w14:paraId="489E72FF" w14:textId="5D52E8F8" w:rsidR="000561EF" w:rsidRPr="00DA4626" w:rsidRDefault="000561EF" w:rsidP="00515CC4">
            <w:pPr>
              <w:rPr>
                <w:b/>
                <w:bCs/>
                <w:sz w:val="20"/>
                <w:szCs w:val="20"/>
              </w:rPr>
            </w:pPr>
            <w:r w:rsidRPr="00DA4626">
              <w:rPr>
                <w:b/>
                <w:bCs/>
                <w:sz w:val="20"/>
                <w:szCs w:val="20"/>
              </w:rPr>
              <w:t>Based on SSPs?</w:t>
            </w:r>
          </w:p>
        </w:tc>
        <w:tc>
          <w:tcPr>
            <w:tcW w:w="1891" w:type="dxa"/>
          </w:tcPr>
          <w:p w14:paraId="39E8DC86" w14:textId="7A420404" w:rsidR="000561EF" w:rsidRPr="00DA4626" w:rsidRDefault="000561EF" w:rsidP="00515CC4">
            <w:pPr>
              <w:rPr>
                <w:b/>
                <w:bCs/>
                <w:sz w:val="20"/>
                <w:szCs w:val="20"/>
              </w:rPr>
            </w:pPr>
            <w:r w:rsidRPr="00DA4626">
              <w:rPr>
                <w:b/>
                <w:bCs/>
                <w:sz w:val="20"/>
                <w:szCs w:val="20"/>
              </w:rPr>
              <w:t>Reference</w:t>
            </w:r>
          </w:p>
        </w:tc>
      </w:tr>
      <w:tr w:rsidR="000561EF" w14:paraId="3ED31C26" w14:textId="21BA187C" w:rsidTr="000561EF">
        <w:tc>
          <w:tcPr>
            <w:tcW w:w="1810" w:type="dxa"/>
          </w:tcPr>
          <w:p w14:paraId="1F273A47" w14:textId="42D9D66E" w:rsidR="000561EF" w:rsidRDefault="000561EF" w:rsidP="00515CC4">
            <w:pPr>
              <w:rPr>
                <w:sz w:val="20"/>
                <w:szCs w:val="20"/>
              </w:rPr>
            </w:pPr>
            <w:r>
              <w:rPr>
                <w:sz w:val="20"/>
                <w:szCs w:val="20"/>
              </w:rPr>
              <w:t>CEPII</w:t>
            </w:r>
          </w:p>
        </w:tc>
        <w:tc>
          <w:tcPr>
            <w:tcW w:w="1877" w:type="dxa"/>
          </w:tcPr>
          <w:p w14:paraId="3EF373B0" w14:textId="500124C4" w:rsidR="000561EF" w:rsidRDefault="000561EF" w:rsidP="00515CC4">
            <w:pPr>
              <w:rPr>
                <w:sz w:val="20"/>
                <w:szCs w:val="20"/>
              </w:rPr>
            </w:pPr>
            <w:r>
              <w:rPr>
                <w:sz w:val="20"/>
                <w:szCs w:val="20"/>
              </w:rPr>
              <w:t>2011</w:t>
            </w:r>
          </w:p>
        </w:tc>
        <w:tc>
          <w:tcPr>
            <w:tcW w:w="1648" w:type="dxa"/>
          </w:tcPr>
          <w:p w14:paraId="488793C7" w14:textId="3860AC18" w:rsidR="000561EF" w:rsidRDefault="000561EF" w:rsidP="00515CC4">
            <w:pPr>
              <w:rPr>
                <w:sz w:val="20"/>
                <w:szCs w:val="20"/>
              </w:rPr>
            </w:pPr>
            <w:r>
              <w:rPr>
                <w:sz w:val="20"/>
                <w:szCs w:val="20"/>
              </w:rPr>
              <w:t>2050</w:t>
            </w:r>
          </w:p>
        </w:tc>
        <w:tc>
          <w:tcPr>
            <w:tcW w:w="1790" w:type="dxa"/>
          </w:tcPr>
          <w:p w14:paraId="1CA9F2C4" w14:textId="6BC6E68D" w:rsidR="000561EF" w:rsidRDefault="000561EF" w:rsidP="00515CC4">
            <w:pPr>
              <w:rPr>
                <w:sz w:val="20"/>
                <w:szCs w:val="20"/>
              </w:rPr>
            </w:pPr>
            <w:r>
              <w:rPr>
                <w:sz w:val="20"/>
                <w:szCs w:val="20"/>
              </w:rPr>
              <w:t>Yes</w:t>
            </w:r>
          </w:p>
        </w:tc>
        <w:tc>
          <w:tcPr>
            <w:tcW w:w="1891" w:type="dxa"/>
          </w:tcPr>
          <w:p w14:paraId="7B4A0A2F" w14:textId="767621B7" w:rsidR="000561EF" w:rsidRDefault="00843991" w:rsidP="00515CC4">
            <w:pPr>
              <w:rPr>
                <w:sz w:val="20"/>
                <w:szCs w:val="20"/>
              </w:rPr>
            </w:pPr>
            <w:sdt>
              <w:sdtPr>
                <w:rPr>
                  <w:sz w:val="20"/>
                  <w:szCs w:val="20"/>
                </w:rPr>
                <w:id w:val="193280986"/>
                <w:citation/>
              </w:sdtPr>
              <w:sdtContent>
                <w:r>
                  <w:rPr>
                    <w:sz w:val="20"/>
                    <w:szCs w:val="20"/>
                  </w:rPr>
                  <w:fldChar w:fldCharType="begin"/>
                </w:r>
                <w:r>
                  <w:rPr>
                    <w:sz w:val="20"/>
                    <w:szCs w:val="20"/>
                  </w:rPr>
                  <w:instrText xml:space="preserve"> CITATION Lio221 \l 2057 </w:instrText>
                </w:r>
                <w:r>
                  <w:rPr>
                    <w:sz w:val="20"/>
                    <w:szCs w:val="20"/>
                  </w:rPr>
                  <w:fldChar w:fldCharType="separate"/>
                </w:r>
                <w:r w:rsidRPr="00843991">
                  <w:rPr>
                    <w:noProof/>
                    <w:sz w:val="20"/>
                    <w:szCs w:val="20"/>
                  </w:rPr>
                  <w:t>(Fontagné, Perego, &amp; Santoni, 2022)</w:t>
                </w:r>
                <w:r>
                  <w:rPr>
                    <w:sz w:val="20"/>
                    <w:szCs w:val="20"/>
                  </w:rPr>
                  <w:fldChar w:fldCharType="end"/>
                </w:r>
              </w:sdtContent>
            </w:sdt>
          </w:p>
        </w:tc>
      </w:tr>
      <w:tr w:rsidR="000561EF" w14:paraId="6ADFF1BA" w14:textId="6EF1383E" w:rsidTr="000561EF">
        <w:tc>
          <w:tcPr>
            <w:tcW w:w="1810" w:type="dxa"/>
          </w:tcPr>
          <w:p w14:paraId="43EBBA91" w14:textId="3C2F51E3" w:rsidR="000561EF" w:rsidRDefault="000561EF" w:rsidP="00515CC4">
            <w:pPr>
              <w:rPr>
                <w:sz w:val="20"/>
                <w:szCs w:val="20"/>
              </w:rPr>
            </w:pPr>
            <w:r>
              <w:rPr>
                <w:sz w:val="20"/>
                <w:szCs w:val="20"/>
              </w:rPr>
              <w:t>OECD</w:t>
            </w:r>
          </w:p>
        </w:tc>
        <w:tc>
          <w:tcPr>
            <w:tcW w:w="1877" w:type="dxa"/>
          </w:tcPr>
          <w:p w14:paraId="45612192" w14:textId="230E2C0A" w:rsidR="000561EF" w:rsidRDefault="000561EF" w:rsidP="00515CC4">
            <w:pPr>
              <w:rPr>
                <w:sz w:val="20"/>
                <w:szCs w:val="20"/>
              </w:rPr>
            </w:pPr>
            <w:r>
              <w:rPr>
                <w:sz w:val="20"/>
                <w:szCs w:val="20"/>
              </w:rPr>
              <w:t>2015</w:t>
            </w:r>
          </w:p>
        </w:tc>
        <w:tc>
          <w:tcPr>
            <w:tcW w:w="1648" w:type="dxa"/>
          </w:tcPr>
          <w:p w14:paraId="439192EF" w14:textId="03E3690B" w:rsidR="000561EF" w:rsidRDefault="000561EF" w:rsidP="00515CC4">
            <w:pPr>
              <w:rPr>
                <w:sz w:val="20"/>
                <w:szCs w:val="20"/>
              </w:rPr>
            </w:pPr>
            <w:r>
              <w:rPr>
                <w:sz w:val="20"/>
                <w:szCs w:val="20"/>
              </w:rPr>
              <w:t>2100</w:t>
            </w:r>
          </w:p>
        </w:tc>
        <w:tc>
          <w:tcPr>
            <w:tcW w:w="1790" w:type="dxa"/>
          </w:tcPr>
          <w:p w14:paraId="3A51B029" w14:textId="104509B1" w:rsidR="000561EF" w:rsidRDefault="000561EF" w:rsidP="00515CC4">
            <w:pPr>
              <w:rPr>
                <w:sz w:val="20"/>
                <w:szCs w:val="20"/>
              </w:rPr>
            </w:pPr>
            <w:r>
              <w:rPr>
                <w:sz w:val="20"/>
                <w:szCs w:val="20"/>
              </w:rPr>
              <w:t>Yes</w:t>
            </w:r>
          </w:p>
        </w:tc>
        <w:tc>
          <w:tcPr>
            <w:tcW w:w="1891" w:type="dxa"/>
          </w:tcPr>
          <w:p w14:paraId="37079697" w14:textId="2A223347" w:rsidR="000561EF" w:rsidRDefault="00843991" w:rsidP="00515CC4">
            <w:pPr>
              <w:rPr>
                <w:sz w:val="20"/>
                <w:szCs w:val="20"/>
              </w:rPr>
            </w:pPr>
            <w:sdt>
              <w:sdtPr>
                <w:rPr>
                  <w:sz w:val="20"/>
                  <w:szCs w:val="20"/>
                </w:rPr>
                <w:id w:val="-1169708635"/>
                <w:citation/>
              </w:sdtPr>
              <w:sdtContent>
                <w:r>
                  <w:rPr>
                    <w:sz w:val="20"/>
                    <w:szCs w:val="20"/>
                  </w:rPr>
                  <w:fldChar w:fldCharType="begin"/>
                </w:r>
                <w:r>
                  <w:rPr>
                    <w:sz w:val="20"/>
                    <w:szCs w:val="20"/>
                  </w:rPr>
                  <w:instrText xml:space="preserve">CITATION Bri16 \l 2057 </w:instrText>
                </w:r>
                <w:r>
                  <w:rPr>
                    <w:sz w:val="20"/>
                    <w:szCs w:val="20"/>
                  </w:rPr>
                  <w:fldChar w:fldCharType="separate"/>
                </w:r>
                <w:r w:rsidRPr="00843991">
                  <w:rPr>
                    <w:noProof/>
                    <w:sz w:val="20"/>
                    <w:szCs w:val="20"/>
                  </w:rPr>
                  <w:t>(O’Neill, 2016)</w:t>
                </w:r>
                <w:r>
                  <w:rPr>
                    <w:sz w:val="20"/>
                    <w:szCs w:val="20"/>
                  </w:rPr>
                  <w:fldChar w:fldCharType="end"/>
                </w:r>
              </w:sdtContent>
            </w:sdt>
          </w:p>
        </w:tc>
      </w:tr>
      <w:tr w:rsidR="000561EF" w14:paraId="356254B9" w14:textId="0FBE6247" w:rsidTr="000561EF">
        <w:tc>
          <w:tcPr>
            <w:tcW w:w="1810" w:type="dxa"/>
          </w:tcPr>
          <w:p w14:paraId="2C496ECC" w14:textId="1CAAA48C" w:rsidR="000561EF" w:rsidRDefault="000561EF" w:rsidP="00515CC4">
            <w:pPr>
              <w:rPr>
                <w:sz w:val="20"/>
                <w:szCs w:val="20"/>
              </w:rPr>
            </w:pPr>
            <w:r>
              <w:rPr>
                <w:sz w:val="20"/>
                <w:szCs w:val="20"/>
              </w:rPr>
              <w:t>IIASA</w:t>
            </w:r>
          </w:p>
        </w:tc>
        <w:tc>
          <w:tcPr>
            <w:tcW w:w="1877" w:type="dxa"/>
          </w:tcPr>
          <w:p w14:paraId="182C5643" w14:textId="489BCE5D" w:rsidR="000561EF" w:rsidRDefault="000561EF" w:rsidP="00515CC4">
            <w:pPr>
              <w:rPr>
                <w:sz w:val="20"/>
                <w:szCs w:val="20"/>
              </w:rPr>
            </w:pPr>
            <w:r>
              <w:rPr>
                <w:sz w:val="20"/>
                <w:szCs w:val="20"/>
              </w:rPr>
              <w:t>2015</w:t>
            </w:r>
          </w:p>
        </w:tc>
        <w:tc>
          <w:tcPr>
            <w:tcW w:w="1648" w:type="dxa"/>
          </w:tcPr>
          <w:p w14:paraId="2F812E6C" w14:textId="536E2D54" w:rsidR="000561EF" w:rsidRDefault="000561EF" w:rsidP="00515CC4">
            <w:pPr>
              <w:rPr>
                <w:sz w:val="20"/>
                <w:szCs w:val="20"/>
              </w:rPr>
            </w:pPr>
            <w:r>
              <w:rPr>
                <w:sz w:val="20"/>
                <w:szCs w:val="20"/>
              </w:rPr>
              <w:t>2100</w:t>
            </w:r>
          </w:p>
        </w:tc>
        <w:tc>
          <w:tcPr>
            <w:tcW w:w="1790" w:type="dxa"/>
          </w:tcPr>
          <w:p w14:paraId="77F60D1F" w14:textId="1C457409" w:rsidR="000561EF" w:rsidRDefault="000561EF" w:rsidP="00515CC4">
            <w:pPr>
              <w:rPr>
                <w:sz w:val="20"/>
                <w:szCs w:val="20"/>
              </w:rPr>
            </w:pPr>
            <w:r>
              <w:rPr>
                <w:sz w:val="20"/>
                <w:szCs w:val="20"/>
              </w:rPr>
              <w:t>Yes</w:t>
            </w:r>
          </w:p>
        </w:tc>
        <w:tc>
          <w:tcPr>
            <w:tcW w:w="1891" w:type="dxa"/>
          </w:tcPr>
          <w:p w14:paraId="15CD050D" w14:textId="3BF2AE7F" w:rsidR="000561EF" w:rsidRDefault="00843991" w:rsidP="00515CC4">
            <w:pPr>
              <w:rPr>
                <w:sz w:val="20"/>
                <w:szCs w:val="20"/>
              </w:rPr>
            </w:pPr>
            <w:sdt>
              <w:sdtPr>
                <w:rPr>
                  <w:sz w:val="20"/>
                  <w:szCs w:val="20"/>
                </w:rPr>
                <w:id w:val="1071083203"/>
                <w:citation/>
              </w:sdtPr>
              <w:sdtContent>
                <w:r>
                  <w:rPr>
                    <w:sz w:val="20"/>
                    <w:szCs w:val="20"/>
                  </w:rPr>
                  <w:fldChar w:fldCharType="begin"/>
                </w:r>
                <w:r>
                  <w:rPr>
                    <w:sz w:val="20"/>
                    <w:szCs w:val="20"/>
                  </w:rPr>
                  <w:instrText xml:space="preserve"> CITATION Bri16 \l 2057 </w:instrText>
                </w:r>
                <w:r>
                  <w:rPr>
                    <w:sz w:val="20"/>
                    <w:szCs w:val="20"/>
                  </w:rPr>
                  <w:fldChar w:fldCharType="separate"/>
                </w:r>
                <w:r w:rsidRPr="00843991">
                  <w:rPr>
                    <w:noProof/>
                    <w:sz w:val="20"/>
                    <w:szCs w:val="20"/>
                  </w:rPr>
                  <w:t>(O’Neill, 2016)</w:t>
                </w:r>
                <w:r>
                  <w:rPr>
                    <w:sz w:val="20"/>
                    <w:szCs w:val="20"/>
                  </w:rPr>
                  <w:fldChar w:fldCharType="end"/>
                </w:r>
              </w:sdtContent>
            </w:sdt>
          </w:p>
        </w:tc>
      </w:tr>
      <w:tr w:rsidR="000561EF" w14:paraId="21A44116" w14:textId="5E3D8F8D" w:rsidTr="000561EF">
        <w:tc>
          <w:tcPr>
            <w:tcW w:w="1810" w:type="dxa"/>
          </w:tcPr>
          <w:p w14:paraId="18591DCB" w14:textId="4E62E75B" w:rsidR="000561EF" w:rsidRDefault="000561EF" w:rsidP="00515CC4">
            <w:pPr>
              <w:rPr>
                <w:sz w:val="20"/>
                <w:szCs w:val="20"/>
              </w:rPr>
            </w:pPr>
            <w:r>
              <w:rPr>
                <w:sz w:val="20"/>
                <w:szCs w:val="20"/>
              </w:rPr>
              <w:t>DBT</w:t>
            </w:r>
          </w:p>
        </w:tc>
        <w:tc>
          <w:tcPr>
            <w:tcW w:w="1877" w:type="dxa"/>
          </w:tcPr>
          <w:p w14:paraId="2DD8AD65" w14:textId="77935FAC" w:rsidR="000561EF" w:rsidRDefault="000561EF" w:rsidP="00515CC4">
            <w:pPr>
              <w:rPr>
                <w:sz w:val="20"/>
                <w:szCs w:val="20"/>
              </w:rPr>
            </w:pPr>
            <w:r>
              <w:rPr>
                <w:sz w:val="20"/>
                <w:szCs w:val="20"/>
              </w:rPr>
              <w:t>2021</w:t>
            </w:r>
          </w:p>
        </w:tc>
        <w:tc>
          <w:tcPr>
            <w:tcW w:w="1648" w:type="dxa"/>
          </w:tcPr>
          <w:p w14:paraId="754FDF31" w14:textId="7376BE39" w:rsidR="000561EF" w:rsidRDefault="000561EF" w:rsidP="00515CC4">
            <w:pPr>
              <w:rPr>
                <w:sz w:val="20"/>
                <w:szCs w:val="20"/>
              </w:rPr>
            </w:pPr>
            <w:r>
              <w:rPr>
                <w:sz w:val="20"/>
                <w:szCs w:val="20"/>
              </w:rPr>
              <w:t>2050</w:t>
            </w:r>
          </w:p>
        </w:tc>
        <w:tc>
          <w:tcPr>
            <w:tcW w:w="1790" w:type="dxa"/>
          </w:tcPr>
          <w:p w14:paraId="6C80BB74" w14:textId="74667C47" w:rsidR="000561EF" w:rsidRDefault="000561EF" w:rsidP="00515CC4">
            <w:pPr>
              <w:rPr>
                <w:sz w:val="20"/>
                <w:szCs w:val="20"/>
              </w:rPr>
            </w:pPr>
            <w:r>
              <w:rPr>
                <w:sz w:val="20"/>
                <w:szCs w:val="20"/>
              </w:rPr>
              <w:t>No</w:t>
            </w:r>
          </w:p>
        </w:tc>
        <w:tc>
          <w:tcPr>
            <w:tcW w:w="1891" w:type="dxa"/>
          </w:tcPr>
          <w:p w14:paraId="7AB90450" w14:textId="09D01CA7" w:rsidR="000561EF" w:rsidRDefault="00843991" w:rsidP="00515CC4">
            <w:pPr>
              <w:rPr>
                <w:sz w:val="20"/>
                <w:szCs w:val="20"/>
              </w:rPr>
            </w:pPr>
            <w:sdt>
              <w:sdtPr>
                <w:rPr>
                  <w:sz w:val="20"/>
                  <w:szCs w:val="20"/>
                </w:rPr>
                <w:id w:val="485986415"/>
                <w:citation/>
              </w:sdtPr>
              <w:sdtContent>
                <w:r>
                  <w:rPr>
                    <w:sz w:val="20"/>
                    <w:szCs w:val="20"/>
                  </w:rPr>
                  <w:fldChar w:fldCharType="begin"/>
                </w:r>
                <w:r>
                  <w:rPr>
                    <w:sz w:val="20"/>
                    <w:szCs w:val="20"/>
                  </w:rPr>
                  <w:instrText xml:space="preserve"> CITATION DBT23 \l 2057 </w:instrText>
                </w:r>
                <w:r>
                  <w:rPr>
                    <w:sz w:val="20"/>
                    <w:szCs w:val="20"/>
                  </w:rPr>
                  <w:fldChar w:fldCharType="separate"/>
                </w:r>
                <w:r w:rsidRPr="00843991">
                  <w:rPr>
                    <w:noProof/>
                    <w:sz w:val="20"/>
                    <w:szCs w:val="20"/>
                  </w:rPr>
                  <w:t>(DBT, 2023)</w:t>
                </w:r>
                <w:r>
                  <w:rPr>
                    <w:sz w:val="20"/>
                    <w:szCs w:val="20"/>
                  </w:rPr>
                  <w:fldChar w:fldCharType="end"/>
                </w:r>
              </w:sdtContent>
            </w:sdt>
          </w:p>
        </w:tc>
      </w:tr>
      <w:tr w:rsidR="000561EF" w14:paraId="337730F3" w14:textId="00824E02" w:rsidTr="000561EF">
        <w:tc>
          <w:tcPr>
            <w:tcW w:w="1810" w:type="dxa"/>
          </w:tcPr>
          <w:p w14:paraId="3561AADB" w14:textId="4247EC2C" w:rsidR="000561EF" w:rsidRDefault="000561EF" w:rsidP="00515CC4">
            <w:pPr>
              <w:rPr>
                <w:sz w:val="20"/>
                <w:szCs w:val="20"/>
              </w:rPr>
            </w:pPr>
            <w:r>
              <w:rPr>
                <w:sz w:val="20"/>
                <w:szCs w:val="20"/>
              </w:rPr>
              <w:t>IMF</w:t>
            </w:r>
          </w:p>
        </w:tc>
        <w:tc>
          <w:tcPr>
            <w:tcW w:w="1877" w:type="dxa"/>
          </w:tcPr>
          <w:p w14:paraId="7EE4606E" w14:textId="7B3EAC76" w:rsidR="000561EF" w:rsidRDefault="2A6CAB8B" w:rsidP="00515CC4">
            <w:pPr>
              <w:rPr>
                <w:sz w:val="20"/>
                <w:szCs w:val="20"/>
              </w:rPr>
            </w:pPr>
            <w:r w:rsidRPr="1CFC6652">
              <w:rPr>
                <w:sz w:val="20"/>
                <w:szCs w:val="20"/>
              </w:rPr>
              <w:t>2022</w:t>
            </w:r>
          </w:p>
        </w:tc>
        <w:tc>
          <w:tcPr>
            <w:tcW w:w="1648" w:type="dxa"/>
          </w:tcPr>
          <w:p w14:paraId="5DD92AB4" w14:textId="64B0DB25" w:rsidR="000561EF" w:rsidRDefault="000561EF" w:rsidP="00515CC4">
            <w:pPr>
              <w:rPr>
                <w:sz w:val="20"/>
                <w:szCs w:val="20"/>
              </w:rPr>
            </w:pPr>
            <w:r>
              <w:rPr>
                <w:sz w:val="20"/>
                <w:szCs w:val="20"/>
              </w:rPr>
              <w:t>2027</w:t>
            </w:r>
          </w:p>
        </w:tc>
        <w:tc>
          <w:tcPr>
            <w:tcW w:w="1790" w:type="dxa"/>
          </w:tcPr>
          <w:p w14:paraId="1A546A1A" w14:textId="080CCF3B" w:rsidR="000561EF" w:rsidRDefault="000561EF" w:rsidP="00515CC4">
            <w:pPr>
              <w:rPr>
                <w:sz w:val="20"/>
                <w:szCs w:val="20"/>
              </w:rPr>
            </w:pPr>
            <w:r>
              <w:rPr>
                <w:sz w:val="20"/>
                <w:szCs w:val="20"/>
              </w:rPr>
              <w:t>No</w:t>
            </w:r>
          </w:p>
        </w:tc>
        <w:tc>
          <w:tcPr>
            <w:tcW w:w="1891" w:type="dxa"/>
          </w:tcPr>
          <w:p w14:paraId="21F7603F" w14:textId="3F178621" w:rsidR="000561EF" w:rsidRDefault="004079AE" w:rsidP="00515CC4">
            <w:pPr>
              <w:rPr>
                <w:sz w:val="20"/>
                <w:szCs w:val="20"/>
              </w:rPr>
            </w:pPr>
            <w:sdt>
              <w:sdtPr>
                <w:rPr>
                  <w:sz w:val="20"/>
                  <w:szCs w:val="20"/>
                </w:rPr>
                <w:id w:val="-1004822782"/>
                <w:citation/>
              </w:sdtPr>
              <w:sdtContent>
                <w:r>
                  <w:rPr>
                    <w:sz w:val="20"/>
                    <w:szCs w:val="20"/>
                  </w:rPr>
                  <w:fldChar w:fldCharType="begin"/>
                </w:r>
                <w:r>
                  <w:rPr>
                    <w:sz w:val="20"/>
                    <w:szCs w:val="20"/>
                  </w:rPr>
                  <w:instrText xml:space="preserve"> CITATION Jam97 \l 2057 </w:instrText>
                </w:r>
                <w:r>
                  <w:rPr>
                    <w:sz w:val="20"/>
                    <w:szCs w:val="20"/>
                  </w:rPr>
                  <w:fldChar w:fldCharType="separate"/>
                </w:r>
                <w:r w:rsidRPr="004079AE">
                  <w:rPr>
                    <w:noProof/>
                    <w:sz w:val="20"/>
                    <w:szCs w:val="20"/>
                  </w:rPr>
                  <w:t>(Boughton, 1997)</w:t>
                </w:r>
                <w:r>
                  <w:rPr>
                    <w:sz w:val="20"/>
                    <w:szCs w:val="20"/>
                  </w:rPr>
                  <w:fldChar w:fldCharType="end"/>
                </w:r>
              </w:sdtContent>
            </w:sdt>
          </w:p>
        </w:tc>
      </w:tr>
      <w:tr w:rsidR="000561EF" w14:paraId="20A073BA" w14:textId="73E1C1EF" w:rsidTr="000561EF">
        <w:tc>
          <w:tcPr>
            <w:tcW w:w="1810" w:type="dxa"/>
          </w:tcPr>
          <w:p w14:paraId="7E9DBB62" w14:textId="0C6061B3" w:rsidR="000561EF" w:rsidRDefault="000561EF" w:rsidP="00515CC4">
            <w:pPr>
              <w:rPr>
                <w:sz w:val="20"/>
                <w:szCs w:val="20"/>
              </w:rPr>
            </w:pPr>
            <w:r>
              <w:rPr>
                <w:sz w:val="20"/>
                <w:szCs w:val="20"/>
              </w:rPr>
              <w:t>WB</w:t>
            </w:r>
          </w:p>
        </w:tc>
        <w:tc>
          <w:tcPr>
            <w:tcW w:w="1877" w:type="dxa"/>
          </w:tcPr>
          <w:p w14:paraId="042A8808" w14:textId="57D4CCF2" w:rsidR="000561EF" w:rsidRDefault="004539D2" w:rsidP="00515CC4">
            <w:pPr>
              <w:rPr>
                <w:sz w:val="20"/>
                <w:szCs w:val="20"/>
              </w:rPr>
            </w:pPr>
            <w:r>
              <w:rPr>
                <w:sz w:val="20"/>
                <w:szCs w:val="20"/>
              </w:rPr>
              <w:t>2022</w:t>
            </w:r>
          </w:p>
        </w:tc>
        <w:tc>
          <w:tcPr>
            <w:tcW w:w="1648" w:type="dxa"/>
          </w:tcPr>
          <w:p w14:paraId="79BE23D5" w14:textId="5D12A028" w:rsidR="000561EF" w:rsidRDefault="000561EF" w:rsidP="00515CC4">
            <w:pPr>
              <w:rPr>
                <w:sz w:val="20"/>
                <w:szCs w:val="20"/>
              </w:rPr>
            </w:pPr>
            <w:r>
              <w:rPr>
                <w:sz w:val="20"/>
                <w:szCs w:val="20"/>
              </w:rPr>
              <w:t>2027</w:t>
            </w:r>
          </w:p>
        </w:tc>
        <w:tc>
          <w:tcPr>
            <w:tcW w:w="1790" w:type="dxa"/>
          </w:tcPr>
          <w:p w14:paraId="6EB13DE5" w14:textId="5CCAC088" w:rsidR="000561EF" w:rsidRDefault="000561EF" w:rsidP="00515CC4">
            <w:pPr>
              <w:rPr>
                <w:sz w:val="20"/>
                <w:szCs w:val="20"/>
              </w:rPr>
            </w:pPr>
            <w:r>
              <w:rPr>
                <w:sz w:val="20"/>
                <w:szCs w:val="20"/>
              </w:rPr>
              <w:t>No</w:t>
            </w:r>
          </w:p>
        </w:tc>
        <w:tc>
          <w:tcPr>
            <w:tcW w:w="1891" w:type="dxa"/>
          </w:tcPr>
          <w:p w14:paraId="36D9D4D0" w14:textId="0BFCF992" w:rsidR="000561EF" w:rsidRPr="004079AE" w:rsidRDefault="004079AE" w:rsidP="00515CC4">
            <w:pPr>
              <w:rPr>
                <w:i/>
                <w:iCs/>
                <w:sz w:val="20"/>
                <w:szCs w:val="20"/>
              </w:rPr>
            </w:pPr>
            <w:r w:rsidRPr="004079AE">
              <w:rPr>
                <w:i/>
                <w:iCs/>
                <w:color w:val="FF0000"/>
                <w:sz w:val="20"/>
                <w:szCs w:val="20"/>
              </w:rPr>
              <w:t>tbc</w:t>
            </w:r>
          </w:p>
        </w:tc>
      </w:tr>
    </w:tbl>
    <w:p w14:paraId="0A689CC0" w14:textId="6948FBD8" w:rsidR="00DA4626" w:rsidRDefault="00DA4626" w:rsidP="00A60027">
      <w:pPr>
        <w:spacing w:before="240"/>
        <w:rPr>
          <w:sz w:val="20"/>
          <w:szCs w:val="20"/>
        </w:rPr>
      </w:pPr>
      <w:r>
        <w:rPr>
          <w:sz w:val="20"/>
          <w:szCs w:val="20"/>
        </w:rPr>
        <w:t xml:space="preserve">We have included projections from the Centre </w:t>
      </w:r>
      <w:proofErr w:type="spellStart"/>
      <w:r>
        <w:rPr>
          <w:sz w:val="20"/>
          <w:szCs w:val="20"/>
        </w:rPr>
        <w:t>d’Etude</w:t>
      </w:r>
      <w:proofErr w:type="spellEnd"/>
      <w:r>
        <w:rPr>
          <w:sz w:val="20"/>
          <w:szCs w:val="20"/>
        </w:rPr>
        <w:t xml:space="preserve"> Prospective et </w:t>
      </w:r>
      <w:proofErr w:type="spellStart"/>
      <w:r>
        <w:rPr>
          <w:sz w:val="20"/>
          <w:szCs w:val="20"/>
        </w:rPr>
        <w:t>d’Information</w:t>
      </w:r>
      <w:proofErr w:type="spellEnd"/>
      <w:r>
        <w:rPr>
          <w:sz w:val="20"/>
          <w:szCs w:val="20"/>
        </w:rPr>
        <w:t xml:space="preserve"> </w:t>
      </w:r>
      <w:proofErr w:type="spellStart"/>
      <w:r>
        <w:rPr>
          <w:sz w:val="20"/>
          <w:szCs w:val="20"/>
        </w:rPr>
        <w:t>Internationales</w:t>
      </w:r>
      <w:proofErr w:type="spellEnd"/>
      <w:r>
        <w:rPr>
          <w:sz w:val="20"/>
          <w:szCs w:val="20"/>
        </w:rPr>
        <w:t xml:space="preserve"> (CEPII), OECD and International Institute for Applied Systems Analysis (IIASA) despite being much older than our other sources as they have projections for each SSP. Furthermore, the latter two sets of projections are the default projections in the GTAP 10 database. </w:t>
      </w:r>
    </w:p>
    <w:p w14:paraId="0C32DD75" w14:textId="67BC393B" w:rsidR="000561EF" w:rsidRDefault="00A354A2" w:rsidP="00515CC4">
      <w:pPr>
        <w:rPr>
          <w:sz w:val="20"/>
          <w:szCs w:val="20"/>
        </w:rPr>
      </w:pPr>
      <w:r>
        <w:rPr>
          <w:i/>
          <w:iCs/>
          <w:color w:val="FF0000"/>
          <w:sz w:val="20"/>
          <w:szCs w:val="20"/>
        </w:rPr>
        <w:t>G</w:t>
      </w:r>
      <w:r w:rsidRPr="00A354A2">
        <w:rPr>
          <w:i/>
          <w:iCs/>
          <w:color w:val="FF0000"/>
          <w:sz w:val="20"/>
          <w:szCs w:val="20"/>
        </w:rPr>
        <w:t>raph</w:t>
      </w:r>
      <w:r w:rsidR="003B1A6C">
        <w:rPr>
          <w:i/>
          <w:iCs/>
          <w:color w:val="FF0000"/>
          <w:sz w:val="20"/>
          <w:szCs w:val="20"/>
        </w:rPr>
        <w:t xml:space="preserve"> </w:t>
      </w:r>
      <w:r w:rsidR="00A60027">
        <w:rPr>
          <w:i/>
          <w:iCs/>
          <w:color w:val="FF0000"/>
          <w:sz w:val="20"/>
          <w:szCs w:val="20"/>
        </w:rPr>
        <w:t>X</w:t>
      </w:r>
      <w:r>
        <w:rPr>
          <w:i/>
          <w:iCs/>
          <w:sz w:val="20"/>
          <w:szCs w:val="20"/>
        </w:rPr>
        <w:t xml:space="preserve"> </w:t>
      </w:r>
      <w:r>
        <w:rPr>
          <w:sz w:val="20"/>
          <w:szCs w:val="20"/>
        </w:rPr>
        <w:t xml:space="preserve">shows </w:t>
      </w:r>
      <w:r w:rsidR="003B1A6C">
        <w:rPr>
          <w:sz w:val="20"/>
          <w:szCs w:val="20"/>
        </w:rPr>
        <w:t xml:space="preserve">projections for GDP per capita growth from 2014 to 2050 for India vary by 1,232 percentage points, just in this small sample of projections. </w:t>
      </w:r>
      <w:r w:rsidR="000B3ADE">
        <w:rPr>
          <w:sz w:val="20"/>
          <w:szCs w:val="20"/>
        </w:rPr>
        <w:t>T</w:t>
      </w:r>
      <w:r w:rsidR="00F24DF6">
        <w:rPr>
          <w:sz w:val="20"/>
          <w:szCs w:val="20"/>
        </w:rPr>
        <w:t xml:space="preserve">he range in projections for the world as whole is much smaller though. This likely </w:t>
      </w:r>
      <w:r w:rsidR="000B3ADE">
        <w:rPr>
          <w:sz w:val="20"/>
          <w:szCs w:val="20"/>
        </w:rPr>
        <w:t>due to</w:t>
      </w:r>
      <w:r w:rsidR="00F24DF6">
        <w:rPr>
          <w:sz w:val="20"/>
          <w:szCs w:val="20"/>
        </w:rPr>
        <w:t xml:space="preserve"> the largest variation in projections </w:t>
      </w:r>
      <w:r w:rsidR="000B3ADE">
        <w:rPr>
          <w:sz w:val="20"/>
          <w:szCs w:val="20"/>
        </w:rPr>
        <w:t>occurring</w:t>
      </w:r>
      <w:r w:rsidR="00F24DF6">
        <w:rPr>
          <w:sz w:val="20"/>
          <w:szCs w:val="20"/>
        </w:rPr>
        <w:t xml:space="preserve"> for regions that currently have low GDP per capita. These </w:t>
      </w:r>
      <w:r w:rsidR="000B3ADE">
        <w:rPr>
          <w:sz w:val="20"/>
          <w:szCs w:val="20"/>
        </w:rPr>
        <w:t xml:space="preserve">regions </w:t>
      </w:r>
      <w:r w:rsidR="00F24DF6">
        <w:rPr>
          <w:sz w:val="20"/>
          <w:szCs w:val="20"/>
        </w:rPr>
        <w:t xml:space="preserve">are a smaller </w:t>
      </w:r>
      <w:r w:rsidR="000B3ADE">
        <w:rPr>
          <w:sz w:val="20"/>
          <w:szCs w:val="20"/>
        </w:rPr>
        <w:t>proportion</w:t>
      </w:r>
      <w:r w:rsidR="00F24DF6">
        <w:rPr>
          <w:sz w:val="20"/>
          <w:szCs w:val="20"/>
        </w:rPr>
        <w:t xml:space="preserve"> of </w:t>
      </w:r>
      <w:r w:rsidR="000B3ADE">
        <w:rPr>
          <w:sz w:val="20"/>
          <w:szCs w:val="20"/>
        </w:rPr>
        <w:t>world</w:t>
      </w:r>
      <w:r w:rsidR="00F24DF6">
        <w:rPr>
          <w:sz w:val="20"/>
          <w:szCs w:val="20"/>
        </w:rPr>
        <w:t xml:space="preserve"> global GDP per capita compared to regions like the US and EU</w:t>
      </w:r>
      <w:r w:rsidR="000B3ADE">
        <w:rPr>
          <w:sz w:val="20"/>
          <w:szCs w:val="20"/>
        </w:rPr>
        <w:t>,</w:t>
      </w:r>
      <w:r w:rsidR="00F24DF6">
        <w:rPr>
          <w:sz w:val="20"/>
          <w:szCs w:val="20"/>
        </w:rPr>
        <w:t xml:space="preserve"> </w:t>
      </w:r>
      <w:r w:rsidR="000B3ADE">
        <w:rPr>
          <w:sz w:val="20"/>
          <w:szCs w:val="20"/>
        </w:rPr>
        <w:t>so variation in their GDP per capita doesn’t have an equal effect on global GDP per capita</w:t>
      </w:r>
      <w:r w:rsidR="00F24DF6">
        <w:rPr>
          <w:sz w:val="20"/>
          <w:szCs w:val="20"/>
        </w:rPr>
        <w:t xml:space="preserve">. However, </w:t>
      </w:r>
      <w:r w:rsidR="000B3ADE">
        <w:rPr>
          <w:sz w:val="20"/>
          <w:szCs w:val="20"/>
        </w:rPr>
        <w:t>variation in these faster growing regions</w:t>
      </w:r>
      <w:r w:rsidR="00F24DF6">
        <w:rPr>
          <w:sz w:val="20"/>
          <w:szCs w:val="20"/>
        </w:rPr>
        <w:t xml:space="preserve"> could still have significant implications for the </w:t>
      </w:r>
      <w:r w:rsidR="004A1EEF">
        <w:rPr>
          <w:sz w:val="20"/>
          <w:szCs w:val="20"/>
        </w:rPr>
        <w:t xml:space="preserve">CGE results. This is because households in </w:t>
      </w:r>
      <w:r w:rsidR="000B3ADE">
        <w:rPr>
          <w:sz w:val="20"/>
          <w:szCs w:val="20"/>
        </w:rPr>
        <w:t>these</w:t>
      </w:r>
      <w:r w:rsidR="004A1EEF">
        <w:rPr>
          <w:sz w:val="20"/>
          <w:szCs w:val="20"/>
        </w:rPr>
        <w:t xml:space="preserve"> regions tend to have different and more dynamic preferences to those in higher income, slower growing regions. Thus, differences in projected growth in the hundreds of percentage points could dramatically change which global sectors grow – this has implications for trade flows and resources as well as general </w:t>
      </w:r>
      <w:r w:rsidR="00D21438">
        <w:rPr>
          <w:sz w:val="20"/>
          <w:szCs w:val="20"/>
        </w:rPr>
        <w:t>equilibrium</w:t>
      </w:r>
      <w:r w:rsidR="004A1EEF">
        <w:rPr>
          <w:sz w:val="20"/>
          <w:szCs w:val="20"/>
        </w:rPr>
        <w:t xml:space="preserve"> effects for producers of these in-demand goods. </w:t>
      </w:r>
    </w:p>
    <w:p w14:paraId="0B0CF0EF" w14:textId="43572172" w:rsidR="00D21438" w:rsidRDefault="00D21438" w:rsidP="00515CC4">
      <w:pPr>
        <w:rPr>
          <w:sz w:val="20"/>
          <w:szCs w:val="20"/>
        </w:rPr>
      </w:pPr>
      <w:r>
        <w:rPr>
          <w:noProof/>
        </w:rPr>
        <w:drawing>
          <wp:inline distT="0" distB="0" distL="0" distR="0" wp14:anchorId="26E3356A" wp14:editId="26C96297">
            <wp:extent cx="5824847" cy="2885704"/>
            <wp:effectExtent l="0" t="0" r="5080" b="10160"/>
            <wp:docPr id="1" name="Chart 1">
              <a:extLst xmlns:a="http://schemas.openxmlformats.org/drawingml/2006/main">
                <a:ext uri="{FF2B5EF4-FFF2-40B4-BE49-F238E27FC236}">
                  <a16:creationId xmlns:a16="http://schemas.microsoft.com/office/drawing/2014/main" id="{079477EC-509B-43A1-9F7B-FDEAEE38F1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AADCE6" w14:textId="60F457B9" w:rsidR="00A014D7" w:rsidRDefault="00A014D7" w:rsidP="00515CC4">
      <w:pPr>
        <w:rPr>
          <w:sz w:val="20"/>
          <w:szCs w:val="20"/>
        </w:rPr>
      </w:pPr>
      <w:r>
        <w:rPr>
          <w:sz w:val="20"/>
          <w:szCs w:val="20"/>
        </w:rPr>
        <w:lastRenderedPageBreak/>
        <w:t xml:space="preserve">A closer </w:t>
      </w:r>
      <w:r w:rsidR="004539D2">
        <w:rPr>
          <w:sz w:val="20"/>
          <w:szCs w:val="20"/>
        </w:rPr>
        <w:t>look</w:t>
      </w:r>
      <w:r>
        <w:rPr>
          <w:sz w:val="20"/>
          <w:szCs w:val="20"/>
        </w:rPr>
        <w:t xml:space="preserve"> </w:t>
      </w:r>
      <w:r w:rsidR="00D63296">
        <w:rPr>
          <w:sz w:val="20"/>
          <w:szCs w:val="20"/>
        </w:rPr>
        <w:t>at project</w:t>
      </w:r>
      <w:r w:rsidR="00DD4CAD">
        <w:rPr>
          <w:sz w:val="20"/>
          <w:szCs w:val="20"/>
        </w:rPr>
        <w:t>ed GDP per capita</w:t>
      </w:r>
      <w:r w:rsidR="00D63296">
        <w:rPr>
          <w:sz w:val="20"/>
          <w:szCs w:val="20"/>
        </w:rPr>
        <w:t xml:space="preserve"> for India</w:t>
      </w:r>
      <w:r w:rsidR="000B3ADE">
        <w:rPr>
          <w:sz w:val="20"/>
          <w:szCs w:val="20"/>
        </w:rPr>
        <w:t xml:space="preserve">, in </w:t>
      </w:r>
      <w:r w:rsidR="000B3ADE" w:rsidRPr="000B3ADE">
        <w:rPr>
          <w:i/>
          <w:iCs/>
          <w:color w:val="FF0000"/>
          <w:sz w:val="20"/>
          <w:szCs w:val="20"/>
        </w:rPr>
        <w:t>graph Y</w:t>
      </w:r>
      <w:r w:rsidR="000B3ADE">
        <w:rPr>
          <w:sz w:val="20"/>
          <w:szCs w:val="20"/>
        </w:rPr>
        <w:t>,</w:t>
      </w:r>
      <w:r w:rsidR="00D63296">
        <w:rPr>
          <w:sz w:val="20"/>
          <w:szCs w:val="20"/>
        </w:rPr>
        <w:t xml:space="preserve"> show</w:t>
      </w:r>
      <w:r w:rsidR="004539D2">
        <w:rPr>
          <w:sz w:val="20"/>
          <w:szCs w:val="20"/>
        </w:rPr>
        <w:t>s</w:t>
      </w:r>
      <w:r w:rsidR="00D63296">
        <w:rPr>
          <w:sz w:val="20"/>
          <w:szCs w:val="20"/>
        </w:rPr>
        <w:t xml:space="preserve"> </w:t>
      </w:r>
      <w:r w:rsidR="00DD4CAD">
        <w:rPr>
          <w:sz w:val="20"/>
          <w:szCs w:val="20"/>
        </w:rPr>
        <w:t xml:space="preserve">CEPII (the red trajectories) tends to project greater annual growth than the IIASA (green) and OECD (blue). This is likely due to the Constant Elasticity Substitution (CES) production function utilised by CEPII. This not only allows for more flexible substitution between inputs but </w:t>
      </w:r>
      <w:r w:rsidR="000B3ADE">
        <w:rPr>
          <w:sz w:val="20"/>
          <w:szCs w:val="20"/>
        </w:rPr>
        <w:t>enables the</w:t>
      </w:r>
      <w:r w:rsidR="00DD4CAD">
        <w:rPr>
          <w:sz w:val="20"/>
          <w:szCs w:val="20"/>
        </w:rPr>
        <w:t xml:space="preserve"> marginal returns on those inputs</w:t>
      </w:r>
      <w:r w:rsidR="000B3ADE">
        <w:rPr>
          <w:sz w:val="20"/>
          <w:szCs w:val="20"/>
        </w:rPr>
        <w:t xml:space="preserve"> to vary</w:t>
      </w:r>
      <w:r w:rsidR="00DD4CAD">
        <w:rPr>
          <w:sz w:val="20"/>
          <w:szCs w:val="20"/>
        </w:rPr>
        <w:t xml:space="preserve">. CEPII’s </w:t>
      </w:r>
      <w:r w:rsidR="000B3ADE">
        <w:rPr>
          <w:sz w:val="20"/>
          <w:szCs w:val="20"/>
        </w:rPr>
        <w:t>projections</w:t>
      </w:r>
      <w:r w:rsidR="00DD4CAD">
        <w:rPr>
          <w:sz w:val="20"/>
          <w:szCs w:val="20"/>
        </w:rPr>
        <w:t xml:space="preserve"> reflect the potential for India to gain from economies of scale as it grows. </w:t>
      </w:r>
    </w:p>
    <w:p w14:paraId="18B5AF4F" w14:textId="3DF76918" w:rsidR="00DD4CAD" w:rsidRDefault="00DD4CAD" w:rsidP="00515CC4">
      <w:pPr>
        <w:rPr>
          <w:sz w:val="20"/>
          <w:szCs w:val="20"/>
        </w:rPr>
      </w:pPr>
      <w:r>
        <w:rPr>
          <w:noProof/>
        </w:rPr>
        <w:drawing>
          <wp:inline distT="0" distB="0" distL="0" distR="0" wp14:anchorId="57878D97" wp14:editId="45ACF6AB">
            <wp:extent cx="6323162" cy="3096883"/>
            <wp:effectExtent l="0" t="0" r="1905" b="8890"/>
            <wp:docPr id="3" name="Chart 3">
              <a:extLst xmlns:a="http://schemas.openxmlformats.org/drawingml/2006/main">
                <a:ext uri="{FF2B5EF4-FFF2-40B4-BE49-F238E27FC236}">
                  <a16:creationId xmlns:a16="http://schemas.microsoft.com/office/drawing/2014/main" id="{2E8338FC-E727-4EC7-921C-DAAD26933E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97C3892" w14:textId="6B0F23C7" w:rsidR="008D058E" w:rsidRDefault="008D058E" w:rsidP="00515CC4">
      <w:pPr>
        <w:rPr>
          <w:sz w:val="20"/>
          <w:szCs w:val="20"/>
        </w:rPr>
      </w:pPr>
      <w:r w:rsidRPr="008D058E">
        <w:rPr>
          <w:i/>
          <w:iCs/>
          <w:color w:val="FF0000"/>
          <w:sz w:val="20"/>
          <w:szCs w:val="20"/>
        </w:rPr>
        <w:t xml:space="preserve">Graph </w:t>
      </w:r>
      <w:r w:rsidR="000B3ADE">
        <w:rPr>
          <w:i/>
          <w:iCs/>
          <w:color w:val="FF0000"/>
          <w:sz w:val="20"/>
          <w:szCs w:val="20"/>
        </w:rPr>
        <w:t>Z</w:t>
      </w:r>
      <w:r>
        <w:rPr>
          <w:i/>
          <w:iCs/>
          <w:color w:val="FF0000"/>
          <w:sz w:val="20"/>
          <w:szCs w:val="20"/>
        </w:rPr>
        <w:t xml:space="preserve"> </w:t>
      </w:r>
      <w:r>
        <w:rPr>
          <w:sz w:val="20"/>
          <w:szCs w:val="20"/>
        </w:rPr>
        <w:t>shows</w:t>
      </w:r>
      <w:r w:rsidR="00320E2A">
        <w:rPr>
          <w:sz w:val="20"/>
          <w:szCs w:val="20"/>
        </w:rPr>
        <w:t xml:space="preserve"> the enormous difference up-to-date projections can make. The global pandemic and subsequent events (such as Russia’s invasion of Ukraine and rising global interest rates) has not only revised but completely changed the economic outlook for many countries. </w:t>
      </w:r>
      <w:r w:rsidR="006756DB">
        <w:rPr>
          <w:sz w:val="20"/>
          <w:szCs w:val="20"/>
        </w:rPr>
        <w:t>Thus, t</w:t>
      </w:r>
      <w:r w:rsidR="00320E2A">
        <w:rPr>
          <w:sz w:val="20"/>
          <w:szCs w:val="20"/>
        </w:rPr>
        <w:t>his work will</w:t>
      </w:r>
      <w:r w:rsidR="006756DB">
        <w:rPr>
          <w:sz w:val="20"/>
          <w:szCs w:val="20"/>
        </w:rPr>
        <w:t xml:space="preserve"> also</w:t>
      </w:r>
      <w:r w:rsidR="00320E2A">
        <w:rPr>
          <w:sz w:val="20"/>
          <w:szCs w:val="20"/>
        </w:rPr>
        <w:t xml:space="preserve"> look at the effect of vastly different short-term projections can make on long-run results. </w:t>
      </w:r>
    </w:p>
    <w:p w14:paraId="65E3AC08" w14:textId="0EE2D1F7" w:rsidR="008D058E" w:rsidRDefault="008D058E" w:rsidP="00515CC4">
      <w:pPr>
        <w:rPr>
          <w:sz w:val="20"/>
          <w:szCs w:val="20"/>
        </w:rPr>
      </w:pPr>
      <w:r>
        <w:rPr>
          <w:noProof/>
        </w:rPr>
        <w:drawing>
          <wp:inline distT="0" distB="0" distL="0" distR="0" wp14:anchorId="0591D9EB" wp14:editId="21BE0B5A">
            <wp:extent cx="6383020" cy="3079630"/>
            <wp:effectExtent l="0" t="0" r="17780" b="6985"/>
            <wp:docPr id="5" name="Chart 5">
              <a:extLst xmlns:a="http://schemas.openxmlformats.org/drawingml/2006/main">
                <a:ext uri="{FF2B5EF4-FFF2-40B4-BE49-F238E27FC236}">
                  <a16:creationId xmlns:a16="http://schemas.microsoft.com/office/drawing/2014/main" id="{D4526A09-CB37-466A-8D5C-B8726FA47D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CB8571E" w14:textId="1E4EAFC5" w:rsidR="004D0649" w:rsidRDefault="00320E2A" w:rsidP="00515CC4">
      <w:pPr>
        <w:rPr>
          <w:sz w:val="20"/>
          <w:szCs w:val="20"/>
        </w:rPr>
      </w:pPr>
      <w:r>
        <w:rPr>
          <w:sz w:val="20"/>
          <w:szCs w:val="20"/>
        </w:rPr>
        <w:t>O</w:t>
      </w:r>
      <w:r w:rsidR="006756DB">
        <w:rPr>
          <w:sz w:val="20"/>
          <w:szCs w:val="20"/>
        </w:rPr>
        <w:t xml:space="preserve">ne reason </w:t>
      </w:r>
      <w:r w:rsidR="00CC1F2D">
        <w:rPr>
          <w:sz w:val="20"/>
          <w:szCs w:val="20"/>
        </w:rPr>
        <w:t xml:space="preserve">for India’s projected high income growth is the high labour force growth projected for it. Labour feeds into </w:t>
      </w:r>
      <w:r w:rsidR="00BC6785">
        <w:rPr>
          <w:sz w:val="20"/>
          <w:szCs w:val="20"/>
        </w:rPr>
        <w:t xml:space="preserve">the </w:t>
      </w:r>
      <w:r w:rsidR="00CC1F2D">
        <w:rPr>
          <w:sz w:val="20"/>
          <w:szCs w:val="20"/>
        </w:rPr>
        <w:t xml:space="preserve">GDP projections for all sources of projections </w:t>
      </w:r>
      <w:r w:rsidR="00BC6785">
        <w:rPr>
          <w:sz w:val="20"/>
          <w:szCs w:val="20"/>
        </w:rPr>
        <w:t>presented</w:t>
      </w:r>
      <w:r w:rsidR="00CC1F2D">
        <w:rPr>
          <w:sz w:val="20"/>
          <w:szCs w:val="20"/>
        </w:rPr>
        <w:t xml:space="preserve">. </w:t>
      </w:r>
      <w:r w:rsidR="00BC6785">
        <w:rPr>
          <w:sz w:val="20"/>
          <w:szCs w:val="20"/>
        </w:rPr>
        <w:t xml:space="preserve">Furthermore, labour force relative to population growth, will have a large impact on potential GDP per capita growth </w:t>
      </w:r>
      <w:r w:rsidR="00176599">
        <w:rPr>
          <w:sz w:val="20"/>
          <w:szCs w:val="20"/>
        </w:rPr>
        <w:t>when coupled with economic shocks</w:t>
      </w:r>
      <w:r w:rsidR="00BC6785">
        <w:rPr>
          <w:sz w:val="20"/>
          <w:szCs w:val="20"/>
        </w:rPr>
        <w:t xml:space="preserve">. If India’s labour force grows at a much faster rate than its population growth, </w:t>
      </w:r>
      <w:r w:rsidR="00176599">
        <w:rPr>
          <w:sz w:val="20"/>
          <w:szCs w:val="20"/>
        </w:rPr>
        <w:t xml:space="preserve">when it liberalises trade, </w:t>
      </w:r>
      <w:r w:rsidR="00176599">
        <w:rPr>
          <w:sz w:val="20"/>
          <w:szCs w:val="20"/>
        </w:rPr>
        <w:lastRenderedPageBreak/>
        <w:t>India</w:t>
      </w:r>
      <w:r w:rsidR="00BC6785">
        <w:rPr>
          <w:sz w:val="20"/>
          <w:szCs w:val="20"/>
        </w:rPr>
        <w:t xml:space="preserve"> could take</w:t>
      </w:r>
      <w:r w:rsidR="00176599">
        <w:rPr>
          <w:sz w:val="20"/>
          <w:szCs w:val="20"/>
        </w:rPr>
        <w:t xml:space="preserve"> </w:t>
      </w:r>
      <w:r w:rsidR="00176599" w:rsidRPr="00176599">
        <w:rPr>
          <w:i/>
          <w:iCs/>
          <w:sz w:val="20"/>
          <w:szCs w:val="20"/>
        </w:rPr>
        <w:t>extra</w:t>
      </w:r>
      <w:r w:rsidR="00BC6785">
        <w:rPr>
          <w:sz w:val="20"/>
          <w:szCs w:val="20"/>
        </w:rPr>
        <w:t xml:space="preserve"> advantage of export opportunities by increasing production </w:t>
      </w:r>
      <w:r w:rsidR="00176599">
        <w:rPr>
          <w:sz w:val="20"/>
          <w:szCs w:val="20"/>
        </w:rPr>
        <w:t>(giving rise to expansionary general equilibrium effects) in addition to allocative efficiency benefits of resources moving into exporting sectors</w:t>
      </w:r>
      <w:r w:rsidR="00BC6785">
        <w:rPr>
          <w:sz w:val="20"/>
          <w:szCs w:val="20"/>
        </w:rPr>
        <w:t xml:space="preserve">. </w:t>
      </w:r>
      <w:r w:rsidR="00176599">
        <w:rPr>
          <w:sz w:val="20"/>
          <w:szCs w:val="20"/>
        </w:rPr>
        <w:t>Furthermore, i</w:t>
      </w:r>
      <w:r w:rsidR="00BC6785">
        <w:rPr>
          <w:sz w:val="20"/>
          <w:szCs w:val="20"/>
        </w:rPr>
        <w:t xml:space="preserve">f population growth is relatively lower, less of the additionally generated wealth will have to be shared around. </w:t>
      </w:r>
      <w:r w:rsidR="000B3ADE">
        <w:rPr>
          <w:sz w:val="20"/>
          <w:szCs w:val="20"/>
        </w:rPr>
        <w:t xml:space="preserve">Hence, although other macroeconomic variables feed into GDP per capita, including them in baselines can </w:t>
      </w:r>
      <w:r w:rsidR="00176599">
        <w:rPr>
          <w:sz w:val="20"/>
          <w:szCs w:val="20"/>
        </w:rPr>
        <w:t>affect</w:t>
      </w:r>
      <w:r w:rsidR="000B3ADE">
        <w:rPr>
          <w:sz w:val="20"/>
          <w:szCs w:val="20"/>
        </w:rPr>
        <w:t xml:space="preserve"> marginal impacts of policy scenarios.</w:t>
      </w:r>
    </w:p>
    <w:p w14:paraId="2E9DBB96" w14:textId="7D630B20" w:rsidR="00320E2A" w:rsidRDefault="004D0649" w:rsidP="00515CC4">
      <w:pPr>
        <w:rPr>
          <w:sz w:val="20"/>
          <w:szCs w:val="20"/>
        </w:rPr>
      </w:pPr>
      <w:r>
        <w:rPr>
          <w:noProof/>
        </w:rPr>
        <w:drawing>
          <wp:inline distT="0" distB="0" distL="0" distR="0" wp14:anchorId="1F19799A" wp14:editId="7BB71154">
            <wp:extent cx="5731510" cy="2863970"/>
            <wp:effectExtent l="0" t="0" r="2540" b="12700"/>
            <wp:docPr id="7" name="Chart 7">
              <a:extLst xmlns:a="http://schemas.openxmlformats.org/drawingml/2006/main">
                <a:ext uri="{FF2B5EF4-FFF2-40B4-BE49-F238E27FC236}">
                  <a16:creationId xmlns:a16="http://schemas.microsoft.com/office/drawing/2014/main" id="{AB4CF589-15FF-A0DD-6B44-E9997A4CED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BC6785">
        <w:rPr>
          <w:sz w:val="20"/>
          <w:szCs w:val="20"/>
        </w:rPr>
        <w:t xml:space="preserve"> </w:t>
      </w:r>
    </w:p>
    <w:p w14:paraId="5BAEC1AF" w14:textId="27B102E5" w:rsidR="00176599" w:rsidRDefault="00176599" w:rsidP="00515CC4">
      <w:pPr>
        <w:rPr>
          <w:sz w:val="20"/>
          <w:szCs w:val="20"/>
        </w:rPr>
      </w:pPr>
    </w:p>
    <w:p w14:paraId="4CC8DEF6" w14:textId="637A9455" w:rsidR="00176599" w:rsidRDefault="00176599" w:rsidP="00515CC4">
      <w:pPr>
        <w:rPr>
          <w:sz w:val="20"/>
          <w:szCs w:val="20"/>
        </w:rPr>
      </w:pPr>
    </w:p>
    <w:p w14:paraId="70995D56" w14:textId="469EB1FD" w:rsidR="00176599" w:rsidRDefault="00176599" w:rsidP="00515CC4">
      <w:pPr>
        <w:rPr>
          <w:sz w:val="20"/>
          <w:szCs w:val="20"/>
        </w:rPr>
      </w:pPr>
    </w:p>
    <w:p w14:paraId="511F1997" w14:textId="3125982A" w:rsidR="00176599" w:rsidRDefault="00176599" w:rsidP="00515CC4">
      <w:pPr>
        <w:rPr>
          <w:sz w:val="20"/>
          <w:szCs w:val="20"/>
        </w:rPr>
      </w:pPr>
    </w:p>
    <w:p w14:paraId="0A4B42BA" w14:textId="044B8748" w:rsidR="00176599" w:rsidRDefault="00176599" w:rsidP="00515CC4">
      <w:pPr>
        <w:rPr>
          <w:sz w:val="20"/>
          <w:szCs w:val="20"/>
        </w:rPr>
      </w:pPr>
    </w:p>
    <w:p w14:paraId="609180FD" w14:textId="490E4DB7" w:rsidR="00176599" w:rsidRDefault="00176599" w:rsidP="00515CC4">
      <w:pPr>
        <w:rPr>
          <w:sz w:val="20"/>
          <w:szCs w:val="20"/>
        </w:rPr>
      </w:pPr>
    </w:p>
    <w:p w14:paraId="44C83D39" w14:textId="337F2E4B" w:rsidR="00176599" w:rsidRDefault="00176599" w:rsidP="00515CC4">
      <w:pPr>
        <w:rPr>
          <w:sz w:val="20"/>
          <w:szCs w:val="20"/>
        </w:rPr>
      </w:pPr>
    </w:p>
    <w:p w14:paraId="311FB230" w14:textId="2803A518" w:rsidR="00F83613" w:rsidRDefault="00F83613" w:rsidP="00515CC4">
      <w:pPr>
        <w:rPr>
          <w:sz w:val="20"/>
          <w:szCs w:val="20"/>
        </w:rPr>
      </w:pPr>
    </w:p>
    <w:p w14:paraId="2EE15267" w14:textId="1522F43D" w:rsidR="00F83613" w:rsidRDefault="00F83613" w:rsidP="00515CC4">
      <w:pPr>
        <w:rPr>
          <w:sz w:val="20"/>
          <w:szCs w:val="20"/>
        </w:rPr>
      </w:pPr>
    </w:p>
    <w:p w14:paraId="79009230" w14:textId="25F526F6" w:rsidR="00F83613" w:rsidRDefault="00F83613" w:rsidP="00515CC4">
      <w:pPr>
        <w:rPr>
          <w:sz w:val="20"/>
          <w:szCs w:val="20"/>
        </w:rPr>
      </w:pPr>
    </w:p>
    <w:p w14:paraId="48E47805" w14:textId="7FDD2AAF" w:rsidR="00F83613" w:rsidRDefault="00F83613" w:rsidP="00515CC4">
      <w:pPr>
        <w:rPr>
          <w:sz w:val="20"/>
          <w:szCs w:val="20"/>
        </w:rPr>
      </w:pPr>
    </w:p>
    <w:p w14:paraId="62BB77BB" w14:textId="4CED1A06" w:rsidR="00F83613" w:rsidRDefault="00F83613" w:rsidP="00515CC4">
      <w:pPr>
        <w:rPr>
          <w:sz w:val="20"/>
          <w:szCs w:val="20"/>
        </w:rPr>
      </w:pPr>
    </w:p>
    <w:p w14:paraId="3F0C30E5" w14:textId="51BC9D6D" w:rsidR="00F83613" w:rsidRDefault="00F83613" w:rsidP="00515CC4">
      <w:pPr>
        <w:rPr>
          <w:sz w:val="20"/>
          <w:szCs w:val="20"/>
        </w:rPr>
      </w:pPr>
    </w:p>
    <w:p w14:paraId="4BF04F70" w14:textId="5D246AA8" w:rsidR="00F83613" w:rsidRDefault="00F83613" w:rsidP="00515CC4">
      <w:pPr>
        <w:rPr>
          <w:sz w:val="20"/>
          <w:szCs w:val="20"/>
        </w:rPr>
      </w:pPr>
    </w:p>
    <w:p w14:paraId="591C893E" w14:textId="36CA040A" w:rsidR="00F83613" w:rsidRDefault="00F83613" w:rsidP="00515CC4">
      <w:pPr>
        <w:rPr>
          <w:sz w:val="20"/>
          <w:szCs w:val="20"/>
        </w:rPr>
      </w:pPr>
    </w:p>
    <w:p w14:paraId="7F09B86A" w14:textId="32F4B0F8" w:rsidR="00F83613" w:rsidRDefault="00F83613" w:rsidP="00515CC4">
      <w:pPr>
        <w:rPr>
          <w:sz w:val="20"/>
          <w:szCs w:val="20"/>
        </w:rPr>
      </w:pPr>
    </w:p>
    <w:p w14:paraId="7035FAAC" w14:textId="61DE9DDB" w:rsidR="00F83613" w:rsidRDefault="00F83613" w:rsidP="00515CC4">
      <w:pPr>
        <w:rPr>
          <w:sz w:val="20"/>
          <w:szCs w:val="20"/>
        </w:rPr>
      </w:pPr>
    </w:p>
    <w:p w14:paraId="345AC0B0" w14:textId="189EE985" w:rsidR="00F83613" w:rsidRDefault="00F83613" w:rsidP="00515CC4">
      <w:pPr>
        <w:rPr>
          <w:sz w:val="20"/>
          <w:szCs w:val="20"/>
        </w:rPr>
      </w:pPr>
    </w:p>
    <w:p w14:paraId="23715508" w14:textId="4DD7D2D8" w:rsidR="00F83613" w:rsidRDefault="00F83613" w:rsidP="00515CC4">
      <w:pPr>
        <w:rPr>
          <w:sz w:val="20"/>
          <w:szCs w:val="20"/>
        </w:rPr>
      </w:pPr>
    </w:p>
    <w:p w14:paraId="6BC0987C" w14:textId="77777777" w:rsidR="00F83613" w:rsidRDefault="00F83613" w:rsidP="00515CC4">
      <w:pPr>
        <w:rPr>
          <w:sz w:val="20"/>
          <w:szCs w:val="20"/>
        </w:rPr>
      </w:pPr>
    </w:p>
    <w:p w14:paraId="597F4BF9" w14:textId="4EE86046" w:rsidR="00843991" w:rsidRPr="00176599" w:rsidRDefault="00843991" w:rsidP="00176599">
      <w:pPr>
        <w:pStyle w:val="ListParagraph"/>
        <w:numPr>
          <w:ilvl w:val="0"/>
          <w:numId w:val="3"/>
        </w:numPr>
        <w:rPr>
          <w:b/>
          <w:bCs/>
          <w:i/>
          <w:iCs/>
          <w:sz w:val="20"/>
          <w:szCs w:val="20"/>
        </w:rPr>
      </w:pPr>
      <w:r w:rsidRPr="00176599">
        <w:rPr>
          <w:b/>
          <w:bCs/>
          <w:i/>
          <w:iCs/>
          <w:sz w:val="20"/>
          <w:szCs w:val="20"/>
        </w:rPr>
        <w:t>Experimental Methodology for Comparison</w:t>
      </w:r>
    </w:p>
    <w:p w14:paraId="14442224" w14:textId="1C968490" w:rsidR="00843991" w:rsidRDefault="00843991" w:rsidP="00515CC4">
      <w:pPr>
        <w:rPr>
          <w:sz w:val="20"/>
          <w:szCs w:val="20"/>
        </w:rPr>
      </w:pPr>
      <w:r>
        <w:rPr>
          <w:sz w:val="20"/>
          <w:szCs w:val="20"/>
        </w:rPr>
        <w:t xml:space="preserve">The regional aggregation used, displayed above, reflects countries in CPTPP and REP-15 as well as the largest high income and growing economies. </w:t>
      </w:r>
    </w:p>
    <w:p w14:paraId="3F4783D6" w14:textId="2AFF1DDD" w:rsidR="00843991" w:rsidRDefault="00843991" w:rsidP="00515CC4">
      <w:pPr>
        <w:rPr>
          <w:i/>
          <w:iCs/>
          <w:color w:val="FF0000"/>
          <w:sz w:val="20"/>
          <w:szCs w:val="20"/>
        </w:rPr>
      </w:pPr>
      <w:r w:rsidRPr="00843991">
        <w:rPr>
          <w:i/>
          <w:iCs/>
          <w:color w:val="FF0000"/>
          <w:sz w:val="20"/>
          <w:szCs w:val="20"/>
        </w:rPr>
        <w:t xml:space="preserve">Tbc with an outline of the framework for comparing projections </w:t>
      </w:r>
      <w:r w:rsidR="00176599">
        <w:rPr>
          <w:i/>
          <w:iCs/>
          <w:color w:val="FF0000"/>
          <w:sz w:val="20"/>
          <w:szCs w:val="20"/>
        </w:rPr>
        <w:t>when ran through the CGE model with the</w:t>
      </w:r>
      <w:r w:rsidRPr="00843991">
        <w:rPr>
          <w:i/>
          <w:iCs/>
          <w:color w:val="FF0000"/>
          <w:sz w:val="20"/>
          <w:szCs w:val="20"/>
        </w:rPr>
        <w:t xml:space="preserve"> trade </w:t>
      </w:r>
      <w:r w:rsidR="00176599">
        <w:rPr>
          <w:i/>
          <w:iCs/>
          <w:color w:val="FF0000"/>
          <w:sz w:val="20"/>
          <w:szCs w:val="20"/>
        </w:rPr>
        <w:t>scenario.</w:t>
      </w:r>
    </w:p>
    <w:p w14:paraId="32DB27E7" w14:textId="56A6BC17" w:rsidR="00176599" w:rsidRDefault="00176599" w:rsidP="00515CC4">
      <w:pPr>
        <w:rPr>
          <w:i/>
          <w:iCs/>
          <w:color w:val="FF0000"/>
          <w:sz w:val="20"/>
          <w:szCs w:val="20"/>
        </w:rPr>
      </w:pPr>
    </w:p>
    <w:p w14:paraId="558A9FB0" w14:textId="421CFAE7" w:rsidR="00F83613" w:rsidRDefault="00F83613" w:rsidP="00515CC4">
      <w:pPr>
        <w:rPr>
          <w:i/>
          <w:iCs/>
          <w:color w:val="FF0000"/>
          <w:sz w:val="20"/>
          <w:szCs w:val="20"/>
        </w:rPr>
      </w:pPr>
    </w:p>
    <w:p w14:paraId="6CD25332" w14:textId="5BCE98DA" w:rsidR="00F83613" w:rsidRDefault="00F83613" w:rsidP="00515CC4">
      <w:pPr>
        <w:rPr>
          <w:i/>
          <w:iCs/>
          <w:color w:val="FF0000"/>
          <w:sz w:val="20"/>
          <w:szCs w:val="20"/>
        </w:rPr>
      </w:pPr>
    </w:p>
    <w:p w14:paraId="1FCACE6C" w14:textId="425DB5F0" w:rsidR="00F83613" w:rsidRDefault="00F83613" w:rsidP="00515CC4">
      <w:pPr>
        <w:rPr>
          <w:i/>
          <w:iCs/>
          <w:color w:val="FF0000"/>
          <w:sz w:val="20"/>
          <w:szCs w:val="20"/>
        </w:rPr>
      </w:pPr>
    </w:p>
    <w:p w14:paraId="20199494" w14:textId="1065A3D2" w:rsidR="00F83613" w:rsidRDefault="00F83613" w:rsidP="00515CC4">
      <w:pPr>
        <w:rPr>
          <w:i/>
          <w:iCs/>
          <w:color w:val="FF0000"/>
          <w:sz w:val="20"/>
          <w:szCs w:val="20"/>
        </w:rPr>
      </w:pPr>
    </w:p>
    <w:p w14:paraId="264A6FA8" w14:textId="10AA34A2" w:rsidR="00F83613" w:rsidRDefault="00F83613" w:rsidP="00515CC4">
      <w:pPr>
        <w:rPr>
          <w:i/>
          <w:iCs/>
          <w:color w:val="FF0000"/>
          <w:sz w:val="20"/>
          <w:szCs w:val="20"/>
        </w:rPr>
      </w:pPr>
    </w:p>
    <w:p w14:paraId="6CB1F1F5" w14:textId="019C2C4F" w:rsidR="00F83613" w:rsidRDefault="00F83613" w:rsidP="00515CC4">
      <w:pPr>
        <w:rPr>
          <w:i/>
          <w:iCs/>
          <w:color w:val="FF0000"/>
          <w:sz w:val="20"/>
          <w:szCs w:val="20"/>
        </w:rPr>
      </w:pPr>
    </w:p>
    <w:p w14:paraId="5F5C802E" w14:textId="7AAE485D" w:rsidR="00F83613" w:rsidRDefault="00F83613" w:rsidP="00515CC4">
      <w:pPr>
        <w:rPr>
          <w:i/>
          <w:iCs/>
          <w:color w:val="FF0000"/>
          <w:sz w:val="20"/>
          <w:szCs w:val="20"/>
        </w:rPr>
      </w:pPr>
    </w:p>
    <w:p w14:paraId="0B1B136C" w14:textId="28C4BE9F" w:rsidR="00F83613" w:rsidRDefault="00F83613" w:rsidP="00515CC4">
      <w:pPr>
        <w:rPr>
          <w:i/>
          <w:iCs/>
          <w:color w:val="FF0000"/>
          <w:sz w:val="20"/>
          <w:szCs w:val="20"/>
        </w:rPr>
      </w:pPr>
    </w:p>
    <w:p w14:paraId="1ED1AFEE" w14:textId="6D5712F4" w:rsidR="00F83613" w:rsidRDefault="00F83613" w:rsidP="00515CC4">
      <w:pPr>
        <w:rPr>
          <w:i/>
          <w:iCs/>
          <w:color w:val="FF0000"/>
          <w:sz w:val="20"/>
          <w:szCs w:val="20"/>
        </w:rPr>
      </w:pPr>
    </w:p>
    <w:p w14:paraId="407EFE25" w14:textId="62E8B3AC" w:rsidR="00F83613" w:rsidRDefault="00F83613" w:rsidP="00515CC4">
      <w:pPr>
        <w:rPr>
          <w:i/>
          <w:iCs/>
          <w:color w:val="FF0000"/>
          <w:sz w:val="20"/>
          <w:szCs w:val="20"/>
        </w:rPr>
      </w:pPr>
    </w:p>
    <w:p w14:paraId="1441AC59" w14:textId="367D8429" w:rsidR="00F83613" w:rsidRDefault="00F83613" w:rsidP="00515CC4">
      <w:pPr>
        <w:rPr>
          <w:i/>
          <w:iCs/>
          <w:color w:val="FF0000"/>
          <w:sz w:val="20"/>
          <w:szCs w:val="20"/>
        </w:rPr>
      </w:pPr>
    </w:p>
    <w:p w14:paraId="0843EAB8" w14:textId="309055CF" w:rsidR="00F83613" w:rsidRDefault="00F83613" w:rsidP="00515CC4">
      <w:pPr>
        <w:rPr>
          <w:i/>
          <w:iCs/>
          <w:color w:val="FF0000"/>
          <w:sz w:val="20"/>
          <w:szCs w:val="20"/>
        </w:rPr>
      </w:pPr>
    </w:p>
    <w:p w14:paraId="2C38AC2F" w14:textId="15325394" w:rsidR="00F83613" w:rsidRDefault="00F83613" w:rsidP="00515CC4">
      <w:pPr>
        <w:rPr>
          <w:i/>
          <w:iCs/>
          <w:color w:val="FF0000"/>
          <w:sz w:val="20"/>
          <w:szCs w:val="20"/>
        </w:rPr>
      </w:pPr>
    </w:p>
    <w:p w14:paraId="46BD19B3" w14:textId="5F8FC610" w:rsidR="00F83613" w:rsidRDefault="00F83613" w:rsidP="00515CC4">
      <w:pPr>
        <w:rPr>
          <w:i/>
          <w:iCs/>
          <w:color w:val="FF0000"/>
          <w:sz w:val="20"/>
          <w:szCs w:val="20"/>
        </w:rPr>
      </w:pPr>
    </w:p>
    <w:p w14:paraId="29AE2C14" w14:textId="19DDD40F" w:rsidR="00F83613" w:rsidRDefault="00F83613" w:rsidP="00515CC4">
      <w:pPr>
        <w:rPr>
          <w:i/>
          <w:iCs/>
          <w:color w:val="FF0000"/>
          <w:sz w:val="20"/>
          <w:szCs w:val="20"/>
        </w:rPr>
      </w:pPr>
    </w:p>
    <w:p w14:paraId="6E1D004A" w14:textId="69A1039A" w:rsidR="00F83613" w:rsidRDefault="00F83613" w:rsidP="00515CC4">
      <w:pPr>
        <w:rPr>
          <w:i/>
          <w:iCs/>
          <w:color w:val="FF0000"/>
          <w:sz w:val="20"/>
          <w:szCs w:val="20"/>
        </w:rPr>
      </w:pPr>
    </w:p>
    <w:p w14:paraId="61141A5D" w14:textId="5B443F72" w:rsidR="00F83613" w:rsidRDefault="00F83613" w:rsidP="00515CC4">
      <w:pPr>
        <w:rPr>
          <w:i/>
          <w:iCs/>
          <w:color w:val="FF0000"/>
          <w:sz w:val="20"/>
          <w:szCs w:val="20"/>
        </w:rPr>
      </w:pPr>
    </w:p>
    <w:p w14:paraId="6442D433" w14:textId="72D395EB" w:rsidR="00F83613" w:rsidRDefault="00F83613" w:rsidP="00515CC4">
      <w:pPr>
        <w:rPr>
          <w:i/>
          <w:iCs/>
          <w:color w:val="FF0000"/>
          <w:sz w:val="20"/>
          <w:szCs w:val="20"/>
        </w:rPr>
      </w:pPr>
    </w:p>
    <w:p w14:paraId="3A2B6011" w14:textId="2D114438" w:rsidR="00F83613" w:rsidRDefault="00F83613" w:rsidP="00515CC4">
      <w:pPr>
        <w:rPr>
          <w:i/>
          <w:iCs/>
          <w:color w:val="FF0000"/>
          <w:sz w:val="20"/>
          <w:szCs w:val="20"/>
        </w:rPr>
      </w:pPr>
    </w:p>
    <w:p w14:paraId="0A72DC3B" w14:textId="73778CA3" w:rsidR="00F83613" w:rsidRDefault="00F83613" w:rsidP="00515CC4">
      <w:pPr>
        <w:rPr>
          <w:i/>
          <w:iCs/>
          <w:color w:val="FF0000"/>
          <w:sz w:val="20"/>
          <w:szCs w:val="20"/>
        </w:rPr>
      </w:pPr>
    </w:p>
    <w:p w14:paraId="4C5B34D0" w14:textId="6205E31B" w:rsidR="00F83613" w:rsidRDefault="00F83613" w:rsidP="00515CC4">
      <w:pPr>
        <w:rPr>
          <w:i/>
          <w:iCs/>
          <w:color w:val="FF0000"/>
          <w:sz w:val="20"/>
          <w:szCs w:val="20"/>
        </w:rPr>
      </w:pPr>
    </w:p>
    <w:p w14:paraId="16E670F5" w14:textId="21881AEE" w:rsidR="00F83613" w:rsidRDefault="00F83613" w:rsidP="00515CC4">
      <w:pPr>
        <w:rPr>
          <w:i/>
          <w:iCs/>
          <w:color w:val="FF0000"/>
          <w:sz w:val="20"/>
          <w:szCs w:val="20"/>
        </w:rPr>
      </w:pPr>
    </w:p>
    <w:p w14:paraId="7D7DF193" w14:textId="63A9A1CA" w:rsidR="00F83613" w:rsidRDefault="00F83613" w:rsidP="00515CC4">
      <w:pPr>
        <w:rPr>
          <w:i/>
          <w:iCs/>
          <w:color w:val="FF0000"/>
          <w:sz w:val="20"/>
          <w:szCs w:val="20"/>
        </w:rPr>
      </w:pPr>
    </w:p>
    <w:p w14:paraId="7DB0B94A" w14:textId="7FC15632" w:rsidR="00F83613" w:rsidRDefault="00F83613" w:rsidP="00515CC4">
      <w:pPr>
        <w:rPr>
          <w:i/>
          <w:iCs/>
          <w:color w:val="FF0000"/>
          <w:sz w:val="20"/>
          <w:szCs w:val="20"/>
        </w:rPr>
      </w:pPr>
    </w:p>
    <w:p w14:paraId="3714C85B" w14:textId="33571F34" w:rsidR="00F83613" w:rsidRDefault="00F83613" w:rsidP="00515CC4">
      <w:pPr>
        <w:rPr>
          <w:i/>
          <w:iCs/>
          <w:color w:val="FF0000"/>
          <w:sz w:val="20"/>
          <w:szCs w:val="20"/>
        </w:rPr>
      </w:pPr>
    </w:p>
    <w:p w14:paraId="3054E70E" w14:textId="4430E3C5" w:rsidR="00F83613" w:rsidRDefault="00F83613" w:rsidP="00515CC4">
      <w:pPr>
        <w:rPr>
          <w:i/>
          <w:iCs/>
          <w:color w:val="FF0000"/>
          <w:sz w:val="20"/>
          <w:szCs w:val="20"/>
        </w:rPr>
      </w:pPr>
    </w:p>
    <w:p w14:paraId="229ED4AF" w14:textId="4252086E" w:rsidR="00F83613" w:rsidRDefault="00F83613" w:rsidP="00515CC4">
      <w:pPr>
        <w:rPr>
          <w:i/>
          <w:iCs/>
          <w:color w:val="FF0000"/>
          <w:sz w:val="20"/>
          <w:szCs w:val="20"/>
        </w:rPr>
      </w:pPr>
    </w:p>
    <w:p w14:paraId="601A290B" w14:textId="66A576F7" w:rsidR="00F83613" w:rsidRDefault="00F83613" w:rsidP="00515CC4">
      <w:pPr>
        <w:rPr>
          <w:i/>
          <w:iCs/>
          <w:color w:val="FF0000"/>
          <w:sz w:val="20"/>
          <w:szCs w:val="20"/>
        </w:rPr>
      </w:pPr>
    </w:p>
    <w:p w14:paraId="384C1045" w14:textId="770FF38A" w:rsidR="00D545F3" w:rsidRDefault="00D545F3" w:rsidP="00515CC4">
      <w:pPr>
        <w:rPr>
          <w:b/>
          <w:bCs/>
          <w:i/>
          <w:iCs/>
          <w:sz w:val="20"/>
          <w:szCs w:val="20"/>
        </w:rPr>
      </w:pPr>
      <w:r>
        <w:rPr>
          <w:b/>
          <w:bCs/>
          <w:i/>
          <w:iCs/>
          <w:sz w:val="20"/>
          <w:szCs w:val="20"/>
        </w:rPr>
        <w:t>References</w:t>
      </w:r>
    </w:p>
    <w:p w14:paraId="6838063B" w14:textId="1B413A5D" w:rsidR="00E064B9" w:rsidRDefault="00D545F3" w:rsidP="00E064B9">
      <w:pPr>
        <w:pStyle w:val="Bibliography"/>
        <w:ind w:left="720" w:hanging="720"/>
        <w:rPr>
          <w:noProof/>
          <w:sz w:val="24"/>
          <w:szCs w:val="24"/>
        </w:rPr>
      </w:pPr>
      <w:r>
        <w:rPr>
          <w:sz w:val="20"/>
          <w:szCs w:val="20"/>
        </w:rPr>
        <w:fldChar w:fldCharType="begin"/>
      </w:r>
      <w:r>
        <w:rPr>
          <w:sz w:val="20"/>
          <w:szCs w:val="20"/>
        </w:rPr>
        <w:instrText xml:space="preserve"> BIBLIOGRAPHY  \l 2057 </w:instrText>
      </w:r>
      <w:r>
        <w:rPr>
          <w:sz w:val="20"/>
          <w:szCs w:val="20"/>
        </w:rPr>
        <w:fldChar w:fldCharType="separate"/>
      </w:r>
      <w:r w:rsidR="00E064B9">
        <w:rPr>
          <w:noProof/>
        </w:rPr>
        <w:t xml:space="preserve">Boughton, J. M. (1997). </w:t>
      </w:r>
      <w:r w:rsidR="00E064B9">
        <w:rPr>
          <w:i/>
          <w:iCs/>
          <w:noProof/>
        </w:rPr>
        <w:t>Modeling the World Economic Outlook at the IMF: A Historical Review: Working Paper of the International Monetary Fund.</w:t>
      </w:r>
      <w:r w:rsidR="00E064B9">
        <w:rPr>
          <w:noProof/>
        </w:rPr>
        <w:t xml:space="preserve"> IMF.</w:t>
      </w:r>
    </w:p>
    <w:p w14:paraId="4853FC0B" w14:textId="77777777" w:rsidR="00E064B9" w:rsidRDefault="00E064B9" w:rsidP="00E064B9">
      <w:pPr>
        <w:pStyle w:val="Bibliography"/>
        <w:ind w:left="720" w:hanging="720"/>
        <w:rPr>
          <w:noProof/>
        </w:rPr>
      </w:pPr>
      <w:r>
        <w:rPr>
          <w:noProof/>
        </w:rPr>
        <w:t xml:space="preserve">DBT. (2023). </w:t>
      </w:r>
      <w:r>
        <w:rPr>
          <w:i/>
          <w:iCs/>
          <w:noProof/>
        </w:rPr>
        <w:t>Global trade outlook - February 2023 report.</w:t>
      </w:r>
      <w:r>
        <w:rPr>
          <w:noProof/>
        </w:rPr>
        <w:t xml:space="preserve"> London: Crown.</w:t>
      </w:r>
    </w:p>
    <w:p w14:paraId="58F92070" w14:textId="77777777" w:rsidR="00E064B9" w:rsidRDefault="00E064B9" w:rsidP="00E064B9">
      <w:pPr>
        <w:pStyle w:val="Bibliography"/>
        <w:ind w:left="720" w:hanging="720"/>
        <w:rPr>
          <w:noProof/>
        </w:rPr>
      </w:pPr>
      <w:r>
        <w:rPr>
          <w:noProof/>
        </w:rPr>
        <w:t xml:space="preserve">Dellink, R., Mensbrugghe, D. v., &amp; Saveyn, B. (2020). Shaping Baseline Scenarios of Economic Activity with CGE Models: Introduction to the Special Issue. </w:t>
      </w:r>
      <w:r>
        <w:rPr>
          <w:i/>
          <w:iCs/>
          <w:noProof/>
        </w:rPr>
        <w:t>Journal of Global Economic Analysis, 5</w:t>
      </w:r>
      <w:r>
        <w:rPr>
          <w:noProof/>
        </w:rPr>
        <w:t>(1), 1-27.</w:t>
      </w:r>
    </w:p>
    <w:p w14:paraId="685E5ED9" w14:textId="77777777" w:rsidR="00E064B9" w:rsidRDefault="00E064B9" w:rsidP="00E064B9">
      <w:pPr>
        <w:pStyle w:val="Bibliography"/>
        <w:ind w:left="720" w:hanging="720"/>
        <w:rPr>
          <w:noProof/>
        </w:rPr>
      </w:pPr>
      <w:r>
        <w:rPr>
          <w:noProof/>
        </w:rPr>
        <w:lastRenderedPageBreak/>
        <w:t xml:space="preserve">Espiner, T. (2023, 03 31). </w:t>
      </w:r>
      <w:r>
        <w:rPr>
          <w:i/>
          <w:iCs/>
          <w:noProof/>
        </w:rPr>
        <w:t>UK-Asia trade deal to boost UK economy by 0.08%</w:t>
      </w:r>
      <w:r>
        <w:rPr>
          <w:noProof/>
        </w:rPr>
        <w:t>. Retrieved from BBC News: https://www.bbc.co.uk/news/business-65124741</w:t>
      </w:r>
    </w:p>
    <w:p w14:paraId="076995D5" w14:textId="77777777" w:rsidR="00E064B9" w:rsidRDefault="00E064B9" w:rsidP="00E064B9">
      <w:pPr>
        <w:pStyle w:val="Bibliography"/>
        <w:ind w:left="720" w:hanging="720"/>
        <w:rPr>
          <w:noProof/>
        </w:rPr>
      </w:pPr>
      <w:r>
        <w:rPr>
          <w:noProof/>
        </w:rPr>
        <w:t xml:space="preserve">Fontagné, L., Perego, E., &amp; Santoni, G. (2022). MaGE 3.1: Long-term macroeconomic projections of the World economy. </w:t>
      </w:r>
      <w:r>
        <w:rPr>
          <w:i/>
          <w:iCs/>
          <w:noProof/>
        </w:rPr>
        <w:t>International Economics</w:t>
      </w:r>
      <w:r>
        <w:rPr>
          <w:noProof/>
        </w:rPr>
        <w:t>, 168-189.</w:t>
      </w:r>
    </w:p>
    <w:p w14:paraId="78A5CE8A" w14:textId="77777777" w:rsidR="00E064B9" w:rsidRDefault="00E064B9" w:rsidP="00E064B9">
      <w:pPr>
        <w:pStyle w:val="Bibliography"/>
        <w:ind w:left="720" w:hanging="720"/>
        <w:rPr>
          <w:noProof/>
        </w:rPr>
      </w:pPr>
      <w:r>
        <w:rPr>
          <w:noProof/>
        </w:rPr>
        <w:t>O’Neill, B. (2016). The Shared Socioeconomic Pathways (SSPs) and their extension and use in impact, adaptation and vulnerability studies.</w:t>
      </w:r>
    </w:p>
    <w:p w14:paraId="39FEED3E" w14:textId="6D40D693" w:rsidR="00D545F3" w:rsidRPr="00D545F3" w:rsidRDefault="00D545F3" w:rsidP="00E064B9">
      <w:pPr>
        <w:rPr>
          <w:sz w:val="20"/>
          <w:szCs w:val="20"/>
        </w:rPr>
      </w:pPr>
      <w:r>
        <w:rPr>
          <w:sz w:val="20"/>
          <w:szCs w:val="20"/>
        </w:rPr>
        <w:fldChar w:fldCharType="end"/>
      </w:r>
    </w:p>
    <w:sectPr w:rsidR="00D545F3" w:rsidRPr="00D545F3">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75130" w14:textId="77777777" w:rsidR="00D545F3" w:rsidRDefault="00D545F3" w:rsidP="00D545F3">
      <w:pPr>
        <w:spacing w:after="0" w:line="240" w:lineRule="auto"/>
      </w:pPr>
      <w:r>
        <w:separator/>
      </w:r>
    </w:p>
  </w:endnote>
  <w:endnote w:type="continuationSeparator" w:id="0">
    <w:p w14:paraId="2A281092" w14:textId="77777777" w:rsidR="00D545F3" w:rsidRDefault="00D545F3" w:rsidP="00D545F3">
      <w:pPr>
        <w:spacing w:after="0" w:line="240" w:lineRule="auto"/>
      </w:pPr>
      <w:r>
        <w:continuationSeparator/>
      </w:r>
    </w:p>
  </w:endnote>
  <w:endnote w:type="continuationNotice" w:id="1">
    <w:p w14:paraId="392E881F" w14:textId="77777777" w:rsidR="00BF1157" w:rsidRDefault="00BF11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F98E9" w14:textId="77777777" w:rsidR="00176599" w:rsidRDefault="001765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2AA4" w14:textId="77777777" w:rsidR="00176599" w:rsidRDefault="001765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76A43" w14:textId="77777777" w:rsidR="00176599" w:rsidRDefault="00176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64375" w14:textId="77777777" w:rsidR="00D545F3" w:rsidRDefault="00D545F3" w:rsidP="00D545F3">
      <w:pPr>
        <w:spacing w:after="0" w:line="240" w:lineRule="auto"/>
      </w:pPr>
      <w:r>
        <w:separator/>
      </w:r>
    </w:p>
  </w:footnote>
  <w:footnote w:type="continuationSeparator" w:id="0">
    <w:p w14:paraId="5C348EA3" w14:textId="77777777" w:rsidR="00D545F3" w:rsidRDefault="00D545F3" w:rsidP="00D545F3">
      <w:pPr>
        <w:spacing w:after="0" w:line="240" w:lineRule="auto"/>
      </w:pPr>
      <w:r>
        <w:continuationSeparator/>
      </w:r>
    </w:p>
  </w:footnote>
  <w:footnote w:type="continuationNotice" w:id="1">
    <w:p w14:paraId="2722D265" w14:textId="77777777" w:rsidR="00BF1157" w:rsidRDefault="00BF1157">
      <w:pPr>
        <w:spacing w:after="0" w:line="240" w:lineRule="auto"/>
      </w:pPr>
    </w:p>
  </w:footnote>
  <w:footnote w:id="2">
    <w:p w14:paraId="5871BAD6" w14:textId="3C53C0A8" w:rsidR="00F71359" w:rsidRDefault="00F71359">
      <w:pPr>
        <w:pStyle w:val="FootnoteText"/>
      </w:pPr>
      <w:r>
        <w:rPr>
          <w:rStyle w:val="FootnoteReference"/>
        </w:rPr>
        <w:footnoteRef/>
      </w:r>
      <w:r>
        <w:t xml:space="preserve"> See Annex A of </w:t>
      </w:r>
      <w:proofErr w:type="spellStart"/>
      <w:r>
        <w:t>Dellink</w:t>
      </w:r>
      <w:proofErr w:type="spellEnd"/>
      <w:r>
        <w:t xml:space="preserve"> et al.</w:t>
      </w:r>
      <w:r w:rsidR="002E1E28">
        <w:t>, 2020</w:t>
      </w:r>
      <w:r>
        <w:t xml:space="preserve"> for full summary of the workshop </w:t>
      </w:r>
      <w:sdt>
        <w:sdtPr>
          <w:id w:val="-1479840291"/>
          <w:citation/>
        </w:sdtPr>
        <w:sdtContent>
          <w:r>
            <w:fldChar w:fldCharType="begin"/>
          </w:r>
          <w:r>
            <w:instrText xml:space="preserve"> CITATION Rob20 \l 2057 </w:instrText>
          </w:r>
          <w:r>
            <w:fldChar w:fldCharType="separate"/>
          </w:r>
          <w:r>
            <w:rPr>
              <w:noProof/>
            </w:rPr>
            <w:t>(Dellink, Mensbrugghe, &amp; Saveyn, 2020)</w:t>
          </w:r>
          <w:r>
            <w:fldChar w:fldCharType="end"/>
          </w:r>
        </w:sdtContent>
      </w:sdt>
    </w:p>
  </w:footnote>
  <w:footnote w:id="3">
    <w:p w14:paraId="44109DDD" w14:textId="77B303E5" w:rsidR="00FB5647" w:rsidRPr="00FB5647" w:rsidRDefault="00FB5647">
      <w:pPr>
        <w:pStyle w:val="FootnoteText"/>
        <w:rPr>
          <w:color w:val="FF0000"/>
        </w:rPr>
      </w:pPr>
      <w:r>
        <w:rPr>
          <w:rStyle w:val="FootnoteReference"/>
        </w:rPr>
        <w:footnoteRef/>
      </w:r>
      <w:r>
        <w:t xml:space="preserve"> </w:t>
      </w:r>
      <w:r w:rsidRPr="00FB5647">
        <w:rPr>
          <w:color w:val="FF0000"/>
        </w:rPr>
        <w:t xml:space="preserve">Quote from </w:t>
      </w:r>
      <w:sdt>
        <w:sdtPr>
          <w:rPr>
            <w:color w:val="FF0000"/>
          </w:rPr>
          <w:id w:val="225423393"/>
          <w:citation/>
        </w:sdtPr>
        <w:sdtContent>
          <w:r w:rsidRPr="00FB5647">
            <w:rPr>
              <w:color w:val="FF0000"/>
            </w:rPr>
            <w:fldChar w:fldCharType="begin"/>
          </w:r>
          <w:r w:rsidRPr="00FB5647">
            <w:rPr>
              <w:color w:val="FF0000"/>
            </w:rPr>
            <w:instrText xml:space="preserve"> CITATION Rob20 \l 2057 </w:instrText>
          </w:r>
          <w:r w:rsidRPr="00FB5647">
            <w:rPr>
              <w:color w:val="FF0000"/>
            </w:rPr>
            <w:fldChar w:fldCharType="separate"/>
          </w:r>
          <w:r w:rsidRPr="00FB5647">
            <w:rPr>
              <w:noProof/>
              <w:color w:val="FF0000"/>
            </w:rPr>
            <w:t>(Dellink, Mensbrugghe, &amp; Saveyn, 2020)</w:t>
          </w:r>
          <w:r w:rsidRPr="00FB5647">
            <w:rPr>
              <w:color w:val="FF0000"/>
            </w:rPr>
            <w:fldChar w:fldCharType="end"/>
          </w:r>
        </w:sdtContent>
      </w:sdt>
    </w:p>
  </w:footnote>
  <w:footnote w:id="4">
    <w:p w14:paraId="4F462774" w14:textId="1BD52657" w:rsidR="00595E12" w:rsidRDefault="00595E12">
      <w:pPr>
        <w:pStyle w:val="FootnoteText"/>
      </w:pPr>
      <w:r>
        <w:rPr>
          <w:rStyle w:val="FootnoteReference"/>
        </w:rPr>
        <w:footnoteRef/>
      </w:r>
      <w:r>
        <w:t xml:space="preserve"> The UK Government has pointed to a greater than stated GDP gain for the UK due to the expected growth of member states. </w:t>
      </w:r>
      <w:proofErr w:type="spellStart"/>
      <w:r>
        <w:t>Espiner</w:t>
      </w:r>
      <w:proofErr w:type="spellEnd"/>
      <w:r>
        <w:t xml:space="preserve"> for BBC News reports this </w:t>
      </w:r>
      <w:sdt>
        <w:sdtPr>
          <w:id w:val="-778563117"/>
          <w:citation/>
        </w:sdtPr>
        <w:sdtContent>
          <w:r>
            <w:fldChar w:fldCharType="begin"/>
          </w:r>
          <w:r>
            <w:instrText xml:space="preserve"> CITATION Tom23 \l 2057 </w:instrText>
          </w:r>
          <w:r>
            <w:fldChar w:fldCharType="separate"/>
          </w:r>
          <w:r>
            <w:rPr>
              <w:noProof/>
            </w:rPr>
            <w:t>(Espiner, 2023)</w:t>
          </w:r>
          <w:r>
            <w:fldChar w:fldCharType="end"/>
          </w:r>
        </w:sdtContent>
      </w:sdt>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C8687" w14:textId="7AF58E3A" w:rsidR="00176599" w:rsidRDefault="00176599">
    <w:pPr>
      <w:pStyle w:val="Header"/>
    </w:pPr>
    <w:r>
      <w:rPr>
        <w:noProof/>
      </w:rPr>
      <w:pict w14:anchorId="31E360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2590204" o:spid="_x0000_s2050"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 Light&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9BECA" w14:textId="63303BA8" w:rsidR="00176599" w:rsidRDefault="00176599" w:rsidP="00176599">
    <w:pPr>
      <w:pStyle w:val="Header"/>
      <w:jc w:val="center"/>
    </w:pPr>
    <w:r>
      <w:rPr>
        <w:noProof/>
      </w:rPr>
      <w:pict w14:anchorId="2AD908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2590205" o:spid="_x0000_s2051" type="#_x0000_t136" style="position:absolute;left:0;text-align:left;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 Light&quot;;font-size:1pt" string="DRAFT"/>
        </v:shape>
      </w:pict>
    </w:r>
    <w:r>
      <w:t>DRAFT: NOT FOR PUBLICATION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E1482" w14:textId="5DC86F32" w:rsidR="00176599" w:rsidRDefault="00176599">
    <w:pPr>
      <w:pStyle w:val="Header"/>
    </w:pPr>
    <w:r>
      <w:rPr>
        <w:noProof/>
      </w:rPr>
      <w:pict w14:anchorId="1CED7C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2590203"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 Light&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03827"/>
    <w:multiLevelType w:val="hybridMultilevel"/>
    <w:tmpl w:val="52D048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D451104"/>
    <w:multiLevelType w:val="hybridMultilevel"/>
    <w:tmpl w:val="4BD0ECCC"/>
    <w:lvl w:ilvl="0" w:tplc="7EA888FA">
      <w:numFmt w:val="bullet"/>
      <w:lvlText w:val="-"/>
      <w:lvlJc w:val="left"/>
      <w:pPr>
        <w:ind w:left="720" w:hanging="360"/>
      </w:pPr>
      <w:rPr>
        <w:rFonts w:ascii="Calibri Light" w:eastAsiaTheme="minorHAnsi" w:hAnsi="Calibri Light" w:cs="Calibri Light"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9D7128"/>
    <w:multiLevelType w:val="hybridMultilevel"/>
    <w:tmpl w:val="5FB86E2E"/>
    <w:lvl w:ilvl="0" w:tplc="D9845BCE">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626581">
    <w:abstractNumId w:val="2"/>
  </w:num>
  <w:num w:numId="2" w16cid:durableId="1810976354">
    <w:abstractNumId w:val="1"/>
  </w:num>
  <w:num w:numId="3" w16cid:durableId="1380475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20"/>
  <w:characterSpacingControl w:val="doNotCompress"/>
  <w:hdrShapeDefaults>
    <o:shapedefaults v:ext="edit" spidmax="2052">
      <o:colormru v:ext="edit" colors="#ffd"/>
      <o:colormenu v:ext="edit" fillcolor="none [3212]"/>
    </o:shapedefaults>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6F90C1"/>
    <w:rsid w:val="000561EF"/>
    <w:rsid w:val="000740DA"/>
    <w:rsid w:val="00097899"/>
    <w:rsid w:val="000B3ADE"/>
    <w:rsid w:val="00154A67"/>
    <w:rsid w:val="00176599"/>
    <w:rsid w:val="00195D64"/>
    <w:rsid w:val="001F0F31"/>
    <w:rsid w:val="00263374"/>
    <w:rsid w:val="002811E2"/>
    <w:rsid w:val="00293C1B"/>
    <w:rsid w:val="002E1E28"/>
    <w:rsid w:val="002F78BB"/>
    <w:rsid w:val="00320E2A"/>
    <w:rsid w:val="00367E93"/>
    <w:rsid w:val="003B1A6C"/>
    <w:rsid w:val="004049BB"/>
    <w:rsid w:val="004079AE"/>
    <w:rsid w:val="00412509"/>
    <w:rsid w:val="004240C3"/>
    <w:rsid w:val="004539D2"/>
    <w:rsid w:val="0047663D"/>
    <w:rsid w:val="004807ED"/>
    <w:rsid w:val="00494128"/>
    <w:rsid w:val="004A12D2"/>
    <w:rsid w:val="004A1EEF"/>
    <w:rsid w:val="004A5FA4"/>
    <w:rsid w:val="004A7E11"/>
    <w:rsid w:val="004C384B"/>
    <w:rsid w:val="004C61B6"/>
    <w:rsid w:val="004D0649"/>
    <w:rsid w:val="004F32DB"/>
    <w:rsid w:val="0050349C"/>
    <w:rsid w:val="0050523D"/>
    <w:rsid w:val="00515CC4"/>
    <w:rsid w:val="00555FDE"/>
    <w:rsid w:val="00564554"/>
    <w:rsid w:val="00595E12"/>
    <w:rsid w:val="005A3C38"/>
    <w:rsid w:val="005D0ACC"/>
    <w:rsid w:val="005D1F43"/>
    <w:rsid w:val="00613351"/>
    <w:rsid w:val="00625FE4"/>
    <w:rsid w:val="00635E26"/>
    <w:rsid w:val="00640EFE"/>
    <w:rsid w:val="006756DB"/>
    <w:rsid w:val="006832AB"/>
    <w:rsid w:val="006B024F"/>
    <w:rsid w:val="006B6952"/>
    <w:rsid w:val="007172E8"/>
    <w:rsid w:val="00760BD8"/>
    <w:rsid w:val="00760D42"/>
    <w:rsid w:val="00763308"/>
    <w:rsid w:val="007711AE"/>
    <w:rsid w:val="007969D4"/>
    <w:rsid w:val="007C4310"/>
    <w:rsid w:val="007E69BB"/>
    <w:rsid w:val="00837A69"/>
    <w:rsid w:val="00843991"/>
    <w:rsid w:val="00843A4E"/>
    <w:rsid w:val="0085314A"/>
    <w:rsid w:val="00866837"/>
    <w:rsid w:val="00866D10"/>
    <w:rsid w:val="00895AD0"/>
    <w:rsid w:val="008A27A8"/>
    <w:rsid w:val="008B5A27"/>
    <w:rsid w:val="008C4070"/>
    <w:rsid w:val="008D058E"/>
    <w:rsid w:val="00974862"/>
    <w:rsid w:val="00986C70"/>
    <w:rsid w:val="00991FFD"/>
    <w:rsid w:val="009C4FC3"/>
    <w:rsid w:val="009F7A96"/>
    <w:rsid w:val="00A014D7"/>
    <w:rsid w:val="00A354A2"/>
    <w:rsid w:val="00A5591B"/>
    <w:rsid w:val="00A57805"/>
    <w:rsid w:val="00A60027"/>
    <w:rsid w:val="00A7679D"/>
    <w:rsid w:val="00AC1CF9"/>
    <w:rsid w:val="00AC3D3D"/>
    <w:rsid w:val="00B6275C"/>
    <w:rsid w:val="00B66E2F"/>
    <w:rsid w:val="00BC6785"/>
    <w:rsid w:val="00BF1157"/>
    <w:rsid w:val="00C07B3C"/>
    <w:rsid w:val="00C10E51"/>
    <w:rsid w:val="00C2140A"/>
    <w:rsid w:val="00C34136"/>
    <w:rsid w:val="00C45717"/>
    <w:rsid w:val="00C94D53"/>
    <w:rsid w:val="00CA2D93"/>
    <w:rsid w:val="00CC1F2D"/>
    <w:rsid w:val="00CF4CCA"/>
    <w:rsid w:val="00D03BF4"/>
    <w:rsid w:val="00D06F09"/>
    <w:rsid w:val="00D21438"/>
    <w:rsid w:val="00D545F3"/>
    <w:rsid w:val="00D63296"/>
    <w:rsid w:val="00D731C2"/>
    <w:rsid w:val="00DA2AB7"/>
    <w:rsid w:val="00DA4626"/>
    <w:rsid w:val="00DD4CAD"/>
    <w:rsid w:val="00E064B9"/>
    <w:rsid w:val="00E21B73"/>
    <w:rsid w:val="00E255FB"/>
    <w:rsid w:val="00E5363F"/>
    <w:rsid w:val="00E54CA4"/>
    <w:rsid w:val="00EB5E9B"/>
    <w:rsid w:val="00F24DF6"/>
    <w:rsid w:val="00F535D8"/>
    <w:rsid w:val="00F71359"/>
    <w:rsid w:val="00F83613"/>
    <w:rsid w:val="00F86B45"/>
    <w:rsid w:val="00F94E75"/>
    <w:rsid w:val="00FB5647"/>
    <w:rsid w:val="1CFC6652"/>
    <w:rsid w:val="2A6CAB8B"/>
    <w:rsid w:val="616F90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colormru v:ext="edit" colors="#ffd"/>
      <o:colormenu v:ext="edit" fillcolor="none [3212]"/>
    </o:shapedefaults>
    <o:shapelayout v:ext="edit">
      <o:idmap v:ext="edit" data="1"/>
    </o:shapelayout>
  </w:shapeDefaults>
  <w:decimalSymbol w:val="."/>
  <w:listSeparator w:val=","/>
  <w14:docId w14:val="616F90C1"/>
  <w15:chartTrackingRefBased/>
  <w15:docId w15:val="{90E46494-3445-4D49-8C5D-9031EF64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A67"/>
    <w:pPr>
      <w:ind w:left="720"/>
      <w:contextualSpacing/>
    </w:pPr>
  </w:style>
  <w:style w:type="paragraph" w:styleId="FootnoteText">
    <w:name w:val="footnote text"/>
    <w:basedOn w:val="Normal"/>
    <w:link w:val="FootnoteTextChar"/>
    <w:uiPriority w:val="99"/>
    <w:semiHidden/>
    <w:unhideWhenUsed/>
    <w:rsid w:val="00D545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45F3"/>
    <w:rPr>
      <w:sz w:val="20"/>
      <w:szCs w:val="20"/>
    </w:rPr>
  </w:style>
  <w:style w:type="character" w:styleId="FootnoteReference">
    <w:name w:val="footnote reference"/>
    <w:basedOn w:val="DefaultParagraphFont"/>
    <w:uiPriority w:val="99"/>
    <w:semiHidden/>
    <w:unhideWhenUsed/>
    <w:rsid w:val="00D545F3"/>
    <w:rPr>
      <w:vertAlign w:val="superscript"/>
    </w:rPr>
  </w:style>
  <w:style w:type="paragraph" w:styleId="Bibliography">
    <w:name w:val="Bibliography"/>
    <w:basedOn w:val="Normal"/>
    <w:next w:val="Normal"/>
    <w:uiPriority w:val="37"/>
    <w:unhideWhenUsed/>
    <w:rsid w:val="00D545F3"/>
  </w:style>
  <w:style w:type="table" w:styleId="TableGrid">
    <w:name w:val="Table Grid"/>
    <w:basedOn w:val="TableNormal"/>
    <w:uiPriority w:val="39"/>
    <w:rsid w:val="00DA4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11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1157"/>
  </w:style>
  <w:style w:type="paragraph" w:styleId="Footer">
    <w:name w:val="footer"/>
    <w:basedOn w:val="Normal"/>
    <w:link w:val="FooterChar"/>
    <w:uiPriority w:val="99"/>
    <w:unhideWhenUsed/>
    <w:rsid w:val="00BF11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1157"/>
  </w:style>
  <w:style w:type="paragraph" w:styleId="Revision">
    <w:name w:val="Revision"/>
    <w:hidden/>
    <w:uiPriority w:val="99"/>
    <w:semiHidden/>
    <w:rsid w:val="00BF1157"/>
    <w:pPr>
      <w:spacing w:after="0" w:line="240" w:lineRule="auto"/>
    </w:pPr>
  </w:style>
  <w:style w:type="character" w:styleId="CommentReference">
    <w:name w:val="annotation reference"/>
    <w:basedOn w:val="DefaultParagraphFont"/>
    <w:uiPriority w:val="99"/>
    <w:semiHidden/>
    <w:unhideWhenUsed/>
    <w:rsid w:val="00BF1157"/>
    <w:rPr>
      <w:sz w:val="16"/>
      <w:szCs w:val="16"/>
    </w:rPr>
  </w:style>
  <w:style w:type="paragraph" w:styleId="CommentText">
    <w:name w:val="annotation text"/>
    <w:basedOn w:val="Normal"/>
    <w:link w:val="CommentTextChar"/>
    <w:uiPriority w:val="99"/>
    <w:semiHidden/>
    <w:unhideWhenUsed/>
    <w:rsid w:val="00BF1157"/>
    <w:pPr>
      <w:spacing w:line="240" w:lineRule="auto"/>
    </w:pPr>
    <w:rPr>
      <w:sz w:val="20"/>
      <w:szCs w:val="20"/>
    </w:rPr>
  </w:style>
  <w:style w:type="character" w:customStyle="1" w:styleId="CommentTextChar">
    <w:name w:val="Comment Text Char"/>
    <w:basedOn w:val="DefaultParagraphFont"/>
    <w:link w:val="CommentText"/>
    <w:uiPriority w:val="99"/>
    <w:semiHidden/>
    <w:rsid w:val="00BF1157"/>
    <w:rPr>
      <w:sz w:val="20"/>
      <w:szCs w:val="20"/>
    </w:rPr>
  </w:style>
  <w:style w:type="paragraph" w:styleId="CommentSubject">
    <w:name w:val="annotation subject"/>
    <w:basedOn w:val="CommentText"/>
    <w:next w:val="CommentText"/>
    <w:link w:val="CommentSubjectChar"/>
    <w:uiPriority w:val="99"/>
    <w:semiHidden/>
    <w:unhideWhenUsed/>
    <w:rsid w:val="00BF1157"/>
    <w:rPr>
      <w:b/>
      <w:bCs/>
    </w:rPr>
  </w:style>
  <w:style w:type="character" w:customStyle="1" w:styleId="CommentSubjectChar">
    <w:name w:val="Comment Subject Char"/>
    <w:basedOn w:val="CommentTextChar"/>
    <w:link w:val="CommentSubject"/>
    <w:uiPriority w:val="99"/>
    <w:semiHidden/>
    <w:rsid w:val="00BF11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94528">
      <w:bodyDiv w:val="1"/>
      <w:marLeft w:val="0"/>
      <w:marRight w:val="0"/>
      <w:marTop w:val="0"/>
      <w:marBottom w:val="0"/>
      <w:divBdr>
        <w:top w:val="none" w:sz="0" w:space="0" w:color="auto"/>
        <w:left w:val="none" w:sz="0" w:space="0" w:color="auto"/>
        <w:bottom w:val="none" w:sz="0" w:space="0" w:color="auto"/>
        <w:right w:val="none" w:sz="0" w:space="0" w:color="auto"/>
      </w:divBdr>
    </w:div>
    <w:div w:id="424887009">
      <w:bodyDiv w:val="1"/>
      <w:marLeft w:val="0"/>
      <w:marRight w:val="0"/>
      <w:marTop w:val="0"/>
      <w:marBottom w:val="0"/>
      <w:divBdr>
        <w:top w:val="none" w:sz="0" w:space="0" w:color="auto"/>
        <w:left w:val="none" w:sz="0" w:space="0" w:color="auto"/>
        <w:bottom w:val="none" w:sz="0" w:space="0" w:color="auto"/>
        <w:right w:val="none" w:sz="0" w:space="0" w:color="auto"/>
      </w:divBdr>
    </w:div>
    <w:div w:id="466237967">
      <w:bodyDiv w:val="1"/>
      <w:marLeft w:val="0"/>
      <w:marRight w:val="0"/>
      <w:marTop w:val="0"/>
      <w:marBottom w:val="0"/>
      <w:divBdr>
        <w:top w:val="none" w:sz="0" w:space="0" w:color="auto"/>
        <w:left w:val="none" w:sz="0" w:space="0" w:color="auto"/>
        <w:bottom w:val="none" w:sz="0" w:space="0" w:color="auto"/>
        <w:right w:val="none" w:sz="0" w:space="0" w:color="auto"/>
      </w:divBdr>
    </w:div>
    <w:div w:id="557471173">
      <w:bodyDiv w:val="1"/>
      <w:marLeft w:val="0"/>
      <w:marRight w:val="0"/>
      <w:marTop w:val="0"/>
      <w:marBottom w:val="0"/>
      <w:divBdr>
        <w:top w:val="none" w:sz="0" w:space="0" w:color="auto"/>
        <w:left w:val="none" w:sz="0" w:space="0" w:color="auto"/>
        <w:bottom w:val="none" w:sz="0" w:space="0" w:color="auto"/>
        <w:right w:val="none" w:sz="0" w:space="0" w:color="auto"/>
      </w:divBdr>
    </w:div>
    <w:div w:id="605574922">
      <w:bodyDiv w:val="1"/>
      <w:marLeft w:val="0"/>
      <w:marRight w:val="0"/>
      <w:marTop w:val="0"/>
      <w:marBottom w:val="0"/>
      <w:divBdr>
        <w:top w:val="none" w:sz="0" w:space="0" w:color="auto"/>
        <w:left w:val="none" w:sz="0" w:space="0" w:color="auto"/>
        <w:bottom w:val="none" w:sz="0" w:space="0" w:color="auto"/>
        <w:right w:val="none" w:sz="0" w:space="0" w:color="auto"/>
      </w:divBdr>
    </w:div>
    <w:div w:id="633996053">
      <w:bodyDiv w:val="1"/>
      <w:marLeft w:val="0"/>
      <w:marRight w:val="0"/>
      <w:marTop w:val="0"/>
      <w:marBottom w:val="0"/>
      <w:divBdr>
        <w:top w:val="none" w:sz="0" w:space="0" w:color="auto"/>
        <w:left w:val="none" w:sz="0" w:space="0" w:color="auto"/>
        <w:bottom w:val="none" w:sz="0" w:space="0" w:color="auto"/>
        <w:right w:val="none" w:sz="0" w:space="0" w:color="auto"/>
      </w:divBdr>
    </w:div>
    <w:div w:id="759300740">
      <w:bodyDiv w:val="1"/>
      <w:marLeft w:val="0"/>
      <w:marRight w:val="0"/>
      <w:marTop w:val="0"/>
      <w:marBottom w:val="0"/>
      <w:divBdr>
        <w:top w:val="none" w:sz="0" w:space="0" w:color="auto"/>
        <w:left w:val="none" w:sz="0" w:space="0" w:color="auto"/>
        <w:bottom w:val="none" w:sz="0" w:space="0" w:color="auto"/>
        <w:right w:val="none" w:sz="0" w:space="0" w:color="auto"/>
      </w:divBdr>
    </w:div>
    <w:div w:id="774785954">
      <w:bodyDiv w:val="1"/>
      <w:marLeft w:val="0"/>
      <w:marRight w:val="0"/>
      <w:marTop w:val="0"/>
      <w:marBottom w:val="0"/>
      <w:divBdr>
        <w:top w:val="none" w:sz="0" w:space="0" w:color="auto"/>
        <w:left w:val="none" w:sz="0" w:space="0" w:color="auto"/>
        <w:bottom w:val="none" w:sz="0" w:space="0" w:color="auto"/>
        <w:right w:val="none" w:sz="0" w:space="0" w:color="auto"/>
      </w:divBdr>
    </w:div>
    <w:div w:id="1290936080">
      <w:bodyDiv w:val="1"/>
      <w:marLeft w:val="0"/>
      <w:marRight w:val="0"/>
      <w:marTop w:val="0"/>
      <w:marBottom w:val="0"/>
      <w:divBdr>
        <w:top w:val="none" w:sz="0" w:space="0" w:color="auto"/>
        <w:left w:val="none" w:sz="0" w:space="0" w:color="auto"/>
        <w:bottom w:val="none" w:sz="0" w:space="0" w:color="auto"/>
        <w:right w:val="none" w:sz="0" w:space="0" w:color="auto"/>
      </w:divBdr>
    </w:div>
    <w:div w:id="1320961869">
      <w:bodyDiv w:val="1"/>
      <w:marLeft w:val="0"/>
      <w:marRight w:val="0"/>
      <w:marTop w:val="0"/>
      <w:marBottom w:val="0"/>
      <w:divBdr>
        <w:top w:val="none" w:sz="0" w:space="0" w:color="auto"/>
        <w:left w:val="none" w:sz="0" w:space="0" w:color="auto"/>
        <w:bottom w:val="none" w:sz="0" w:space="0" w:color="auto"/>
        <w:right w:val="none" w:sz="0" w:space="0" w:color="auto"/>
      </w:divBdr>
    </w:div>
    <w:div w:id="1454862322">
      <w:bodyDiv w:val="1"/>
      <w:marLeft w:val="0"/>
      <w:marRight w:val="0"/>
      <w:marTop w:val="0"/>
      <w:marBottom w:val="0"/>
      <w:divBdr>
        <w:top w:val="none" w:sz="0" w:space="0" w:color="auto"/>
        <w:left w:val="none" w:sz="0" w:space="0" w:color="auto"/>
        <w:bottom w:val="none" w:sz="0" w:space="0" w:color="auto"/>
        <w:right w:val="none" w:sz="0" w:space="0" w:color="auto"/>
      </w:divBdr>
    </w:div>
    <w:div w:id="1529567919">
      <w:bodyDiv w:val="1"/>
      <w:marLeft w:val="0"/>
      <w:marRight w:val="0"/>
      <w:marTop w:val="0"/>
      <w:marBottom w:val="0"/>
      <w:divBdr>
        <w:top w:val="none" w:sz="0" w:space="0" w:color="auto"/>
        <w:left w:val="none" w:sz="0" w:space="0" w:color="auto"/>
        <w:bottom w:val="none" w:sz="0" w:space="0" w:color="auto"/>
        <w:right w:val="none" w:sz="0" w:space="0" w:color="auto"/>
      </w:divBdr>
    </w:div>
    <w:div w:id="1841307166">
      <w:bodyDiv w:val="1"/>
      <w:marLeft w:val="0"/>
      <w:marRight w:val="0"/>
      <w:marTop w:val="0"/>
      <w:marBottom w:val="0"/>
      <w:divBdr>
        <w:top w:val="none" w:sz="0" w:space="0" w:color="auto"/>
        <w:left w:val="none" w:sz="0" w:space="0" w:color="auto"/>
        <w:bottom w:val="none" w:sz="0" w:space="0" w:color="auto"/>
        <w:right w:val="none" w:sz="0" w:space="0" w:color="auto"/>
      </w:divBdr>
    </w:div>
    <w:div w:id="1861117933">
      <w:bodyDiv w:val="1"/>
      <w:marLeft w:val="0"/>
      <w:marRight w:val="0"/>
      <w:marTop w:val="0"/>
      <w:marBottom w:val="0"/>
      <w:divBdr>
        <w:top w:val="none" w:sz="0" w:space="0" w:color="auto"/>
        <w:left w:val="none" w:sz="0" w:space="0" w:color="auto"/>
        <w:bottom w:val="none" w:sz="0" w:space="0" w:color="auto"/>
        <w:right w:val="none" w:sz="0" w:space="0" w:color="auto"/>
      </w:divBdr>
    </w:div>
    <w:div w:id="1890997211">
      <w:bodyDiv w:val="1"/>
      <w:marLeft w:val="0"/>
      <w:marRight w:val="0"/>
      <w:marTop w:val="0"/>
      <w:marBottom w:val="0"/>
      <w:divBdr>
        <w:top w:val="none" w:sz="0" w:space="0" w:color="auto"/>
        <w:left w:val="none" w:sz="0" w:space="0" w:color="auto"/>
        <w:bottom w:val="none" w:sz="0" w:space="0" w:color="auto"/>
        <w:right w:val="none" w:sz="0" w:space="0" w:color="auto"/>
      </w:divBdr>
    </w:div>
    <w:div w:id="1960144117">
      <w:bodyDiv w:val="1"/>
      <w:marLeft w:val="0"/>
      <w:marRight w:val="0"/>
      <w:marTop w:val="0"/>
      <w:marBottom w:val="0"/>
      <w:divBdr>
        <w:top w:val="none" w:sz="0" w:space="0" w:color="auto"/>
        <w:left w:val="none" w:sz="0" w:space="0" w:color="auto"/>
        <w:bottom w:val="none" w:sz="0" w:space="0" w:color="auto"/>
        <w:right w:val="none" w:sz="0" w:space="0" w:color="auto"/>
      </w:divBdr>
    </w:div>
    <w:div w:id="19931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defra.sharepoint.com/sites/MST-Defra-TradeModelling-CGEBranch/Shared%20Documents/CGE%20Branch/Projections%20Comparison%20Project/Non-linked%20Pooled%20Aggregate%20Data.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oleObject" Target="https://defra.sharepoint.com/sites/MST-Defra-TradeModelling-CGEBranch/Shared%20Documents/CGE%20Branch/Projections%20Comparison%20Project/Non-linked%20Pooled%20Aggregate%20Dat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Mean Projected</a:t>
            </a:r>
            <a:r>
              <a:rPr lang="en-GB" b="1" baseline="0"/>
              <a:t> Growth </a:t>
            </a:r>
            <a:r>
              <a:rPr lang="en-GB" b="1"/>
              <a:t>in GDP</a:t>
            </a:r>
            <a:r>
              <a:rPr lang="en-GB" b="1" baseline="0"/>
              <a:t> per Capita to 2050 </a:t>
            </a:r>
            <a:endParaRPr lang="en-GB" b="1"/>
          </a:p>
        </c:rich>
      </c:tx>
      <c:layout>
        <c:manualLayout>
          <c:xMode val="edge"/>
          <c:yMode val="edge"/>
          <c:x val="0.19926943006960587"/>
          <c:y val="3.0809859154929578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'GDP per Capita Change 50'!$C$26:$AE$26</c:f>
                <c:numCache>
                  <c:formatCode>General</c:formatCode>
                  <c:ptCount val="29"/>
                  <c:pt idx="0">
                    <c:v>0.46039065454748729</c:v>
                  </c:pt>
                  <c:pt idx="1">
                    <c:v>1.8179714125715307</c:v>
                  </c:pt>
                  <c:pt idx="2">
                    <c:v>1.0575641644805218</c:v>
                  </c:pt>
                  <c:pt idx="3">
                    <c:v>0.40415794178542297</c:v>
                  </c:pt>
                  <c:pt idx="4">
                    <c:v>1.3981690199389978</c:v>
                  </c:pt>
                  <c:pt idx="5">
                    <c:v>3.6364264381981783</c:v>
                  </c:pt>
                  <c:pt idx="6">
                    <c:v>1.5402947230312591</c:v>
                  </c:pt>
                  <c:pt idx="7">
                    <c:v>1.8652458952155513</c:v>
                  </c:pt>
                  <c:pt idx="8">
                    <c:v>0.50442575835837744</c:v>
                  </c:pt>
                  <c:pt idx="9">
                    <c:v>0.70684613014140252</c:v>
                  </c:pt>
                  <c:pt idx="10">
                    <c:v>4.3026957595681008</c:v>
                  </c:pt>
                  <c:pt idx="11">
                    <c:v>8.3813116916660206</c:v>
                  </c:pt>
                  <c:pt idx="12">
                    <c:v>0.43029114452762418</c:v>
                  </c:pt>
                  <c:pt idx="13">
                    <c:v>5.5612984745297949</c:v>
                  </c:pt>
                  <c:pt idx="14">
                    <c:v>0.75136488128667778</c:v>
                  </c:pt>
                  <c:pt idx="15">
                    <c:v>6.4038758234961444</c:v>
                  </c:pt>
                  <c:pt idx="16">
                    <c:v>1.1628511570159854</c:v>
                  </c:pt>
                  <c:pt idx="17">
                    <c:v>1.1793773619613468</c:v>
                  </c:pt>
                  <c:pt idx="18">
                    <c:v>0.48759116472761888</c:v>
                  </c:pt>
                  <c:pt idx="19">
                    <c:v>2.2298973560122093</c:v>
                  </c:pt>
                  <c:pt idx="20">
                    <c:v>3.6423075466928303</c:v>
                  </c:pt>
                  <c:pt idx="21">
                    <c:v>1.0980187167058957</c:v>
                  </c:pt>
                  <c:pt idx="22">
                    <c:v>0.71755288202314094</c:v>
                  </c:pt>
                  <c:pt idx="23">
                    <c:v>2.45548875872062</c:v>
                  </c:pt>
                  <c:pt idx="24">
                    <c:v>0.67407491870842062</c:v>
                  </c:pt>
                  <c:pt idx="25">
                    <c:v>1.341083931598501</c:v>
                  </c:pt>
                  <c:pt idx="26">
                    <c:v>0.28447498920060055</c:v>
                  </c:pt>
                  <c:pt idx="27">
                    <c:v>2.6003162102989723</c:v>
                  </c:pt>
                  <c:pt idx="28">
                    <c:v>0.59495921508901917</c:v>
                  </c:pt>
                </c:numCache>
              </c:numRef>
            </c:plus>
            <c:minus>
              <c:numRef>
                <c:f>'GDP per Capita Change 50'!$C$25:$AE$25</c:f>
                <c:numCache>
                  <c:formatCode>General</c:formatCode>
                  <c:ptCount val="29"/>
                  <c:pt idx="0">
                    <c:v>0.52848173668152043</c:v>
                  </c:pt>
                  <c:pt idx="1">
                    <c:v>1.0660337965825881</c:v>
                  </c:pt>
                  <c:pt idx="2">
                    <c:v>0.59222792768007571</c:v>
                  </c:pt>
                  <c:pt idx="3">
                    <c:v>0.3453825950013808</c:v>
                  </c:pt>
                  <c:pt idx="4">
                    <c:v>0.82865641234303178</c:v>
                  </c:pt>
                  <c:pt idx="5">
                    <c:v>2.198549252949376</c:v>
                  </c:pt>
                  <c:pt idx="6">
                    <c:v>0.93824566990325609</c:v>
                  </c:pt>
                  <c:pt idx="7">
                    <c:v>1.2080566852639154</c:v>
                  </c:pt>
                  <c:pt idx="8">
                    <c:v>0.51960451290401821</c:v>
                  </c:pt>
                  <c:pt idx="9">
                    <c:v>0.50561553607831722</c:v>
                  </c:pt>
                  <c:pt idx="10">
                    <c:v>1.6289133442436139</c:v>
                  </c:pt>
                  <c:pt idx="11">
                    <c:v>3.9393459251606329</c:v>
                  </c:pt>
                  <c:pt idx="12">
                    <c:v>0.41996654577146764</c:v>
                  </c:pt>
                  <c:pt idx="13">
                    <c:v>3.3441076085646464</c:v>
                  </c:pt>
                  <c:pt idx="14">
                    <c:v>0.78974136644176962</c:v>
                  </c:pt>
                  <c:pt idx="15">
                    <c:v>3.871460229317675</c:v>
                  </c:pt>
                  <c:pt idx="16">
                    <c:v>0.84615042364445103</c:v>
                  </c:pt>
                  <c:pt idx="17">
                    <c:v>0.95166563529016224</c:v>
                  </c:pt>
                  <c:pt idx="18">
                    <c:v>0.37484606093103395</c:v>
                  </c:pt>
                  <c:pt idx="19">
                    <c:v>1.5306517865727116</c:v>
                  </c:pt>
                  <c:pt idx="20">
                    <c:v>2.1331308821556871</c:v>
                  </c:pt>
                  <c:pt idx="21">
                    <c:v>0.62469804810907181</c:v>
                  </c:pt>
                  <c:pt idx="22">
                    <c:v>0.38505557001337726</c:v>
                  </c:pt>
                  <c:pt idx="23">
                    <c:v>1.3882802535706324</c:v>
                  </c:pt>
                  <c:pt idx="24">
                    <c:v>0.56806657982432029</c:v>
                  </c:pt>
                  <c:pt idx="25">
                    <c:v>0.78953494120590684</c:v>
                  </c:pt>
                  <c:pt idx="26">
                    <c:v>0.40849093201307074</c:v>
                  </c:pt>
                  <c:pt idx="27">
                    <c:v>2.0099731243955041</c:v>
                  </c:pt>
                  <c:pt idx="28">
                    <c:v>0.44049461760937725</c:v>
                  </c:pt>
                </c:numCache>
              </c:numRef>
            </c:minus>
            <c:spPr>
              <a:noFill/>
              <a:ln w="9525" cap="flat" cmpd="sng" algn="ctr">
                <a:solidFill>
                  <a:schemeClr val="bg1">
                    <a:lumMod val="75000"/>
                  </a:schemeClr>
                </a:solidFill>
                <a:round/>
              </a:ln>
              <a:effectLst/>
            </c:spPr>
          </c:errBars>
          <c:cat>
            <c:strRef>
              <c:f>'GDP per Capita Change 50'!$C$3:$AE$3</c:f>
              <c:strCache>
                <c:ptCount val="29"/>
                <c:pt idx="0">
                  <c:v>aus</c:v>
                </c:pt>
                <c:pt idx="1">
                  <c:v>bra</c:v>
                </c:pt>
                <c:pt idx="2">
                  <c:v>brn</c:v>
                </c:pt>
                <c:pt idx="3">
                  <c:v>can</c:v>
                </c:pt>
                <c:pt idx="4">
                  <c:v>chl</c:v>
                </c:pt>
                <c:pt idx="5">
                  <c:v>chn</c:v>
                </c:pt>
                <c:pt idx="6">
                  <c:v>cri</c:v>
                </c:pt>
                <c:pt idx="7">
                  <c:v>ecu</c:v>
                </c:pt>
                <c:pt idx="8">
                  <c:v>EU_27</c:v>
                </c:pt>
                <c:pt idx="9">
                  <c:v>gbr</c:v>
                </c:pt>
                <c:pt idx="10">
                  <c:v>idn</c:v>
                </c:pt>
                <c:pt idx="11">
                  <c:v>ind</c:v>
                </c:pt>
                <c:pt idx="12">
                  <c:v>jpn</c:v>
                </c:pt>
                <c:pt idx="13">
                  <c:v>khm</c:v>
                </c:pt>
                <c:pt idx="14">
                  <c:v>kor</c:v>
                </c:pt>
                <c:pt idx="15">
                  <c:v>lao</c:v>
                </c:pt>
                <c:pt idx="16">
                  <c:v>mex</c:v>
                </c:pt>
                <c:pt idx="17">
                  <c:v>mys</c:v>
                </c:pt>
                <c:pt idx="18">
                  <c:v>nzl</c:v>
                </c:pt>
                <c:pt idx="19">
                  <c:v>per</c:v>
                </c:pt>
                <c:pt idx="20">
                  <c:v>phl</c:v>
                </c:pt>
                <c:pt idx="21">
                  <c:v>RoW</c:v>
                </c:pt>
                <c:pt idx="22">
                  <c:v>sgp</c:v>
                </c:pt>
                <c:pt idx="23">
                  <c:v>tha</c:v>
                </c:pt>
                <c:pt idx="24">
                  <c:v>twn</c:v>
                </c:pt>
                <c:pt idx="25">
                  <c:v>ury</c:v>
                </c:pt>
                <c:pt idx="26">
                  <c:v>usa</c:v>
                </c:pt>
                <c:pt idx="27">
                  <c:v>vnm</c:v>
                </c:pt>
                <c:pt idx="28">
                  <c:v>World</c:v>
                </c:pt>
              </c:strCache>
            </c:strRef>
          </c:cat>
          <c:val>
            <c:numRef>
              <c:f>'GDP per Capita Change 50'!$C$20:$AE$20</c:f>
              <c:numCache>
                <c:formatCode>General</c:formatCode>
                <c:ptCount val="29"/>
                <c:pt idx="0">
                  <c:v>0.64823507635602573</c:v>
                </c:pt>
                <c:pt idx="1">
                  <c:v>0.93201056794993109</c:v>
                </c:pt>
                <c:pt idx="2">
                  <c:v>4.0563274035658417E-2</c:v>
                </c:pt>
                <c:pt idx="3">
                  <c:v>0.58842116876009132</c:v>
                </c:pt>
                <c:pt idx="4">
                  <c:v>1.121777514757671</c:v>
                </c:pt>
                <c:pt idx="5">
                  <c:v>4.2021982766751673</c:v>
                </c:pt>
                <c:pt idx="6">
                  <c:v>1.0782907533875878</c:v>
                </c:pt>
                <c:pt idx="7">
                  <c:v>1.3614467311137934</c:v>
                </c:pt>
                <c:pt idx="8">
                  <c:v>0.70961591460145701</c:v>
                </c:pt>
                <c:pt idx="9">
                  <c:v>0.88958733973893855</c:v>
                </c:pt>
                <c:pt idx="10">
                  <c:v>3.6795575369018927</c:v>
                </c:pt>
                <c:pt idx="11">
                  <c:v>5.5677679917353533</c:v>
                </c:pt>
                <c:pt idx="12">
                  <c:v>0.63765389516846149</c:v>
                </c:pt>
                <c:pt idx="13">
                  <c:v>5.2860961403005033</c:v>
                </c:pt>
                <c:pt idx="14">
                  <c:v>0.99637972270850983</c:v>
                </c:pt>
                <c:pt idx="15">
                  <c:v>4.1339394916835159</c:v>
                </c:pt>
                <c:pt idx="16">
                  <c:v>1.2221655668887945</c:v>
                </c:pt>
                <c:pt idx="17">
                  <c:v>1.5177371669452313</c:v>
                </c:pt>
                <c:pt idx="18">
                  <c:v>0.85256000020184552</c:v>
                </c:pt>
                <c:pt idx="19">
                  <c:v>2.1686136554803639</c:v>
                </c:pt>
                <c:pt idx="20">
                  <c:v>2.7808180377860277</c:v>
                </c:pt>
                <c:pt idx="21">
                  <c:v>0.94711787635424305</c:v>
                </c:pt>
                <c:pt idx="22">
                  <c:v>0.6310455466176379</c:v>
                </c:pt>
                <c:pt idx="23">
                  <c:v>2.2848090862905743</c:v>
                </c:pt>
                <c:pt idx="24">
                  <c:v>0.77470490772597278</c:v>
                </c:pt>
                <c:pt idx="25">
                  <c:v>1.5088830881684279</c:v>
                </c:pt>
                <c:pt idx="26">
                  <c:v>0.61040438751278059</c:v>
                </c:pt>
                <c:pt idx="27">
                  <c:v>4.261931323170165</c:v>
                </c:pt>
                <c:pt idx="28">
                  <c:v>0.89198905886380053</c:v>
                </c:pt>
              </c:numCache>
            </c:numRef>
          </c:val>
          <c:extLst>
            <c:ext xmlns:c16="http://schemas.microsoft.com/office/drawing/2014/chart" uri="{C3380CC4-5D6E-409C-BE32-E72D297353CC}">
              <c16:uniqueId val="{00000000-6B81-4298-8CBD-E064E1D3ECE7}"/>
            </c:ext>
          </c:extLst>
        </c:ser>
        <c:dLbls>
          <c:showLegendKey val="0"/>
          <c:showVal val="0"/>
          <c:showCatName val="0"/>
          <c:showSerName val="0"/>
          <c:showPercent val="0"/>
          <c:showBubbleSize val="0"/>
        </c:dLbls>
        <c:gapWidth val="180"/>
        <c:overlap val="-27"/>
        <c:axId val="138369696"/>
        <c:axId val="138367616"/>
      </c:barChart>
      <c:catAx>
        <c:axId val="138369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367616"/>
        <c:crosses val="autoZero"/>
        <c:auto val="1"/>
        <c:lblAlgn val="ctr"/>
        <c:lblOffset val="100"/>
        <c:noMultiLvlLbl val="0"/>
      </c:catAx>
      <c:valAx>
        <c:axId val="138367616"/>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Percentage Change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3696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Projected Annual Growth in GDP per capita of</a:t>
            </a:r>
            <a:r>
              <a:rPr lang="en-GB" b="1" baseline="0"/>
              <a:t> India</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'India GDP'!$B$4</c:f>
              <c:strCache>
                <c:ptCount val="1"/>
                <c:pt idx="0">
                  <c:v>CEPII SSP 1</c:v>
                </c:pt>
              </c:strCache>
            </c:strRef>
          </c:tx>
          <c:spPr>
            <a:ln w="12700" cap="rnd">
              <a:solidFill>
                <a:schemeClr val="accent1">
                  <a:lumMod val="20000"/>
                  <a:lumOff val="80000"/>
                </a:schemeClr>
              </a:solidFill>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GDP'!$C$4:$AM$4</c:f>
              <c:numCache>
                <c:formatCode>General</c:formatCode>
                <c:ptCount val="37"/>
                <c:pt idx="0">
                  <c:v>6.2307226480000005E-2</c:v>
                </c:pt>
                <c:pt idx="1">
                  <c:v>6.7888948520000006E-2</c:v>
                </c:pt>
                <c:pt idx="2">
                  <c:v>7.2715485800000007E-2</c:v>
                </c:pt>
                <c:pt idx="3">
                  <c:v>6.254082183000001E-2</c:v>
                </c:pt>
                <c:pt idx="4">
                  <c:v>7.7109232659999999E-2</c:v>
                </c:pt>
                <c:pt idx="5">
                  <c:v>8.1609875509999999E-2</c:v>
                </c:pt>
                <c:pt idx="6">
                  <c:v>8.073958979000001E-2</c:v>
                </c:pt>
                <c:pt idx="7">
                  <c:v>8.1630615109999999E-2</c:v>
                </c:pt>
                <c:pt idx="8">
                  <c:v>8.0337893709999997E-2</c:v>
                </c:pt>
                <c:pt idx="9">
                  <c:v>7.878581417000001E-2</c:v>
                </c:pt>
                <c:pt idx="10">
                  <c:v>7.7165991089999997E-2</c:v>
                </c:pt>
                <c:pt idx="11">
                  <c:v>7.5665601309999997E-2</c:v>
                </c:pt>
                <c:pt idx="12">
                  <c:v>7.8379569639999994E-2</c:v>
                </c:pt>
                <c:pt idx="13">
                  <c:v>7.7345524989999997E-2</c:v>
                </c:pt>
                <c:pt idx="14">
                  <c:v>7.603865521E-2</c:v>
                </c:pt>
                <c:pt idx="15">
                  <c:v>7.4733631509999995E-2</c:v>
                </c:pt>
                <c:pt idx="16">
                  <c:v>7.3401132349999995E-2</c:v>
                </c:pt>
                <c:pt idx="17">
                  <c:v>7.6948589280000007E-2</c:v>
                </c:pt>
                <c:pt idx="18">
                  <c:v>7.59335379E-2</c:v>
                </c:pt>
                <c:pt idx="19">
                  <c:v>7.5225037480000007E-2</c:v>
                </c:pt>
                <c:pt idx="20">
                  <c:v>7.4314325610000009E-2</c:v>
                </c:pt>
                <c:pt idx="21">
                  <c:v>7.3344757930000004E-2</c:v>
                </c:pt>
                <c:pt idx="22">
                  <c:v>7.2521463160000008E-2</c:v>
                </c:pt>
                <c:pt idx="23">
                  <c:v>7.1299869599999996E-2</c:v>
                </c:pt>
                <c:pt idx="24">
                  <c:v>7.0235886770000006E-2</c:v>
                </c:pt>
                <c:pt idx="25">
                  <c:v>6.9227979669999995E-2</c:v>
                </c:pt>
                <c:pt idx="26">
                  <c:v>6.8233293890000005E-2</c:v>
                </c:pt>
                <c:pt idx="27">
                  <c:v>6.707997886E-2</c:v>
                </c:pt>
                <c:pt idx="28">
                  <c:v>6.6001650189999997E-2</c:v>
                </c:pt>
                <c:pt idx="29">
                  <c:v>6.4927969289999998E-2</c:v>
                </c:pt>
                <c:pt idx="30">
                  <c:v>6.3889974129999999E-2</c:v>
                </c:pt>
                <c:pt idx="31">
                  <c:v>6.290658298E-2</c:v>
                </c:pt>
                <c:pt idx="32">
                  <c:v>6.1920811459999996E-2</c:v>
                </c:pt>
                <c:pt idx="33">
                  <c:v>6.0759994610000007E-2</c:v>
                </c:pt>
                <c:pt idx="34">
                  <c:v>5.9715448689999999E-2</c:v>
                </c:pt>
                <c:pt idx="35">
                  <c:v>5.8717918139999999E-2</c:v>
                </c:pt>
                <c:pt idx="36">
                  <c:v>5.7702041690000004E-2</c:v>
                </c:pt>
              </c:numCache>
            </c:numRef>
          </c:val>
          <c:smooth val="0"/>
          <c:extLst>
            <c:ext xmlns:c16="http://schemas.microsoft.com/office/drawing/2014/chart" uri="{C3380CC4-5D6E-409C-BE32-E72D297353CC}">
              <c16:uniqueId val="{00000000-A27F-4D06-B6BA-7E57AACFB9FE}"/>
            </c:ext>
          </c:extLst>
        </c:ser>
        <c:ser>
          <c:idx val="1"/>
          <c:order val="1"/>
          <c:tx>
            <c:strRef>
              <c:f>'India GDP'!$B$5</c:f>
              <c:strCache>
                <c:ptCount val="1"/>
                <c:pt idx="0">
                  <c:v>CEPII SSP 2</c:v>
                </c:pt>
              </c:strCache>
            </c:strRef>
          </c:tx>
          <c:spPr>
            <a:ln w="41275" cap="rnd">
              <a:solidFill>
                <a:schemeClr val="accent1">
                  <a:lumMod val="40000"/>
                  <a:lumOff val="60000"/>
                </a:schemeClr>
              </a:solidFill>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GDP'!$C$5:$AM$5</c:f>
              <c:numCache>
                <c:formatCode>General</c:formatCode>
                <c:ptCount val="37"/>
                <c:pt idx="0">
                  <c:v>6.1896971629999999E-2</c:v>
                </c:pt>
                <c:pt idx="1">
                  <c:v>6.7501170860000001E-2</c:v>
                </c:pt>
                <c:pt idx="2">
                  <c:v>7.0742904190000011E-2</c:v>
                </c:pt>
                <c:pt idx="3">
                  <c:v>6.0668942350000005E-2</c:v>
                </c:pt>
                <c:pt idx="4">
                  <c:v>7.5462540750000001E-2</c:v>
                </c:pt>
                <c:pt idx="5">
                  <c:v>7.9998739299999996E-2</c:v>
                </c:pt>
                <c:pt idx="6">
                  <c:v>7.9034622730000004E-2</c:v>
                </c:pt>
                <c:pt idx="7">
                  <c:v>7.7597450930000006E-2</c:v>
                </c:pt>
                <c:pt idx="8">
                  <c:v>7.6141619420000001E-2</c:v>
                </c:pt>
                <c:pt idx="9">
                  <c:v>7.4491327619999992E-2</c:v>
                </c:pt>
                <c:pt idx="10">
                  <c:v>7.2778620749999995E-2</c:v>
                </c:pt>
                <c:pt idx="11">
                  <c:v>7.1190551320000003E-2</c:v>
                </c:pt>
                <c:pt idx="12">
                  <c:v>7.1530293740000001E-2</c:v>
                </c:pt>
                <c:pt idx="13">
                  <c:v>7.043842501E-2</c:v>
                </c:pt>
                <c:pt idx="14">
                  <c:v>6.9117043949999998E-2</c:v>
                </c:pt>
                <c:pt idx="15">
                  <c:v>6.7780476539999995E-2</c:v>
                </c:pt>
                <c:pt idx="16">
                  <c:v>6.6401733939999999E-2</c:v>
                </c:pt>
                <c:pt idx="17">
                  <c:v>6.9924585519999999E-2</c:v>
                </c:pt>
                <c:pt idx="18">
                  <c:v>6.8899441719999996E-2</c:v>
                </c:pt>
                <c:pt idx="19">
                  <c:v>6.8118785479999999E-2</c:v>
                </c:pt>
                <c:pt idx="20">
                  <c:v>6.7197819280000001E-2</c:v>
                </c:pt>
                <c:pt idx="21">
                  <c:v>6.6271419119999994E-2</c:v>
                </c:pt>
                <c:pt idx="22">
                  <c:v>6.5452510089999999E-2</c:v>
                </c:pt>
                <c:pt idx="23">
                  <c:v>6.4362059489999998E-2</c:v>
                </c:pt>
                <c:pt idx="24">
                  <c:v>6.3383301830000002E-2</c:v>
                </c:pt>
                <c:pt idx="25">
                  <c:v>6.245991469E-2</c:v>
                </c:pt>
                <c:pt idx="26">
                  <c:v>6.1540218400000006E-2</c:v>
                </c:pt>
                <c:pt idx="27">
                  <c:v>6.0490625649999998E-2</c:v>
                </c:pt>
                <c:pt idx="28">
                  <c:v>5.9579558720000002E-2</c:v>
                </c:pt>
                <c:pt idx="29">
                  <c:v>5.859985962E-2</c:v>
                </c:pt>
                <c:pt idx="30">
                  <c:v>5.7662319320000002E-2</c:v>
                </c:pt>
                <c:pt idx="31">
                  <c:v>5.6775412019999999E-2</c:v>
                </c:pt>
                <c:pt idx="32">
                  <c:v>5.603530894E-2</c:v>
                </c:pt>
                <c:pt idx="33">
                  <c:v>5.5073391200000002E-2</c:v>
                </c:pt>
                <c:pt idx="34">
                  <c:v>5.4160910569999998E-2</c:v>
                </c:pt>
                <c:pt idx="35">
                  <c:v>5.3286666519999998E-2</c:v>
                </c:pt>
                <c:pt idx="36">
                  <c:v>5.2381686650000002E-2</c:v>
                </c:pt>
              </c:numCache>
            </c:numRef>
          </c:val>
          <c:smooth val="0"/>
          <c:extLst>
            <c:ext xmlns:c16="http://schemas.microsoft.com/office/drawing/2014/chart" uri="{C3380CC4-5D6E-409C-BE32-E72D297353CC}">
              <c16:uniqueId val="{00000001-A27F-4D06-B6BA-7E57AACFB9FE}"/>
            </c:ext>
          </c:extLst>
        </c:ser>
        <c:ser>
          <c:idx val="2"/>
          <c:order val="2"/>
          <c:tx>
            <c:strRef>
              <c:f>'India GDP'!$B$6</c:f>
              <c:strCache>
                <c:ptCount val="1"/>
                <c:pt idx="0">
                  <c:v>CEPII SSP 3</c:v>
                </c:pt>
              </c:strCache>
            </c:strRef>
          </c:tx>
          <c:spPr>
            <a:ln w="12700" cap="rnd">
              <a:solidFill>
                <a:schemeClr val="accent1">
                  <a:lumMod val="60000"/>
                  <a:lumOff val="40000"/>
                </a:schemeClr>
              </a:solidFill>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GDP'!$C$6:$AM$6</c:f>
              <c:numCache>
                <c:formatCode>General</c:formatCode>
                <c:ptCount val="37"/>
                <c:pt idx="0">
                  <c:v>6.1579565919999996E-2</c:v>
                </c:pt>
                <c:pt idx="1">
                  <c:v>6.7197513129999997E-2</c:v>
                </c:pt>
                <c:pt idx="2">
                  <c:v>6.9047653899999992E-2</c:v>
                </c:pt>
                <c:pt idx="3">
                  <c:v>5.9024540639999998E-2</c:v>
                </c:pt>
                <c:pt idx="4">
                  <c:v>6.9460917009999998E-2</c:v>
                </c:pt>
                <c:pt idx="5">
                  <c:v>7.3721733989999996E-2</c:v>
                </c:pt>
                <c:pt idx="6">
                  <c:v>7.2372995629999992E-2</c:v>
                </c:pt>
                <c:pt idx="7">
                  <c:v>6.877910089E-2</c:v>
                </c:pt>
                <c:pt idx="8">
                  <c:v>6.6765481590000009E-2</c:v>
                </c:pt>
                <c:pt idx="9">
                  <c:v>6.4826304060000006E-2</c:v>
                </c:pt>
                <c:pt idx="10">
                  <c:v>6.2828190330000006E-2</c:v>
                </c:pt>
                <c:pt idx="11">
                  <c:v>6.0963797590000007E-2</c:v>
                </c:pt>
                <c:pt idx="12">
                  <c:v>5.9052801109999997E-2</c:v>
                </c:pt>
                <c:pt idx="13">
                  <c:v>5.7561765180000002E-2</c:v>
                </c:pt>
                <c:pt idx="14">
                  <c:v>5.5979231589999998E-2</c:v>
                </c:pt>
                <c:pt idx="15">
                  <c:v>5.4365508950000002E-2</c:v>
                </c:pt>
                <c:pt idx="16">
                  <c:v>5.269482323E-2</c:v>
                </c:pt>
                <c:pt idx="17">
                  <c:v>5.6002671709999993E-2</c:v>
                </c:pt>
                <c:pt idx="18">
                  <c:v>5.4884541179999996E-2</c:v>
                </c:pt>
                <c:pt idx="19">
                  <c:v>5.3823025409999996E-2</c:v>
                </c:pt>
                <c:pt idx="20">
                  <c:v>5.269010801E-2</c:v>
                </c:pt>
                <c:pt idx="21">
                  <c:v>5.1614859119999995E-2</c:v>
                </c:pt>
                <c:pt idx="22">
                  <c:v>5.0764481710000003E-2</c:v>
                </c:pt>
                <c:pt idx="23">
                  <c:v>4.965957285E-2</c:v>
                </c:pt>
                <c:pt idx="24">
                  <c:v>4.8622575719999998E-2</c:v>
                </c:pt>
                <c:pt idx="25">
                  <c:v>4.7636830760000005E-2</c:v>
                </c:pt>
                <c:pt idx="26">
                  <c:v>4.6651860789999999E-2</c:v>
                </c:pt>
                <c:pt idx="27">
                  <c:v>4.5560580619999999E-2</c:v>
                </c:pt>
                <c:pt idx="28">
                  <c:v>4.4670378719999994E-2</c:v>
                </c:pt>
                <c:pt idx="29">
                  <c:v>4.3669928230000002E-2</c:v>
                </c:pt>
                <c:pt idx="30">
                  <c:v>4.2722366139999995E-2</c:v>
                </c:pt>
                <c:pt idx="31">
                  <c:v>4.1829669679999994E-2</c:v>
                </c:pt>
                <c:pt idx="32">
                  <c:v>4.0894174760000006E-2</c:v>
                </c:pt>
                <c:pt idx="33">
                  <c:v>3.9999252329999999E-2</c:v>
                </c:pt>
                <c:pt idx="34">
                  <c:v>3.9131742679999998E-2</c:v>
                </c:pt>
                <c:pt idx="35">
                  <c:v>3.8302503269999996E-2</c:v>
                </c:pt>
                <c:pt idx="36">
                  <c:v>3.7439095130000002E-2</c:v>
                </c:pt>
              </c:numCache>
            </c:numRef>
          </c:val>
          <c:smooth val="0"/>
          <c:extLst>
            <c:ext xmlns:c16="http://schemas.microsoft.com/office/drawing/2014/chart" uri="{C3380CC4-5D6E-409C-BE32-E72D297353CC}">
              <c16:uniqueId val="{00000002-A27F-4D06-B6BA-7E57AACFB9FE}"/>
            </c:ext>
          </c:extLst>
        </c:ser>
        <c:ser>
          <c:idx val="3"/>
          <c:order val="3"/>
          <c:tx>
            <c:strRef>
              <c:f>'India GDP'!$B$7</c:f>
              <c:strCache>
                <c:ptCount val="1"/>
                <c:pt idx="0">
                  <c:v>CEPII SSP 4</c:v>
                </c:pt>
              </c:strCache>
            </c:strRef>
          </c:tx>
          <c:spPr>
            <a:ln w="12700" cap="rnd">
              <a:solidFill>
                <a:schemeClr val="accent1">
                  <a:lumMod val="75000"/>
                </a:schemeClr>
              </a:solidFill>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GDP'!$C$7:$AM$7</c:f>
              <c:numCache>
                <c:formatCode>General</c:formatCode>
                <c:ptCount val="37"/>
                <c:pt idx="0">
                  <c:v>6.2086188299999998E-2</c:v>
                </c:pt>
                <c:pt idx="1">
                  <c:v>6.7682851540000005E-2</c:v>
                </c:pt>
                <c:pt idx="2">
                  <c:v>7.1555853119999999E-2</c:v>
                </c:pt>
                <c:pt idx="3">
                  <c:v>6.1450448279999993E-2</c:v>
                </c:pt>
                <c:pt idx="4">
                  <c:v>7.1818201799999995E-2</c:v>
                </c:pt>
                <c:pt idx="5">
                  <c:v>7.5726930880000001E-2</c:v>
                </c:pt>
                <c:pt idx="6">
                  <c:v>7.4341929360000003E-2</c:v>
                </c:pt>
                <c:pt idx="7">
                  <c:v>7.3516203390000007E-2</c:v>
                </c:pt>
                <c:pt idx="8">
                  <c:v>7.1182705710000002E-2</c:v>
                </c:pt>
                <c:pt idx="9">
                  <c:v>6.8816455700000001E-2</c:v>
                </c:pt>
                <c:pt idx="10">
                  <c:v>6.6382210250000004E-2</c:v>
                </c:pt>
                <c:pt idx="11">
                  <c:v>6.4140494460000003E-2</c:v>
                </c:pt>
                <c:pt idx="12">
                  <c:v>6.5468694379999998E-2</c:v>
                </c:pt>
                <c:pt idx="13">
                  <c:v>6.3895024389999999E-2</c:v>
                </c:pt>
                <c:pt idx="14">
                  <c:v>6.2288764499999996E-2</c:v>
                </c:pt>
                <c:pt idx="15">
                  <c:v>6.0840213829999996E-2</c:v>
                </c:pt>
                <c:pt idx="16">
                  <c:v>5.952928239E-2</c:v>
                </c:pt>
                <c:pt idx="17">
                  <c:v>6.1382471949999996E-2</c:v>
                </c:pt>
                <c:pt idx="18">
                  <c:v>6.0210472000000001E-2</c:v>
                </c:pt>
                <c:pt idx="19">
                  <c:v>5.9126900480000001E-2</c:v>
                </c:pt>
                <c:pt idx="20">
                  <c:v>5.8090418689999999E-2</c:v>
                </c:pt>
                <c:pt idx="21">
                  <c:v>5.7107957989999993E-2</c:v>
                </c:pt>
                <c:pt idx="22">
                  <c:v>5.6247279759999998E-2</c:v>
                </c:pt>
                <c:pt idx="23">
                  <c:v>5.5198638229999999E-2</c:v>
                </c:pt>
                <c:pt idx="24">
                  <c:v>5.4213832810000001E-2</c:v>
                </c:pt>
                <c:pt idx="25">
                  <c:v>5.3237026470000004E-2</c:v>
                </c:pt>
                <c:pt idx="26">
                  <c:v>5.2269697439999999E-2</c:v>
                </c:pt>
                <c:pt idx="27">
                  <c:v>5.1406743989999996E-2</c:v>
                </c:pt>
                <c:pt idx="28">
                  <c:v>5.0311709450000006E-2</c:v>
                </c:pt>
                <c:pt idx="29">
                  <c:v>4.9360069409999999E-2</c:v>
                </c:pt>
                <c:pt idx="30">
                  <c:v>4.8419810439999995E-2</c:v>
                </c:pt>
                <c:pt idx="31">
                  <c:v>4.7498782579999996E-2</c:v>
                </c:pt>
                <c:pt idx="32">
                  <c:v>4.6828684599999996E-2</c:v>
                </c:pt>
                <c:pt idx="33">
                  <c:v>4.5862766070000005E-2</c:v>
                </c:pt>
                <c:pt idx="34">
                  <c:v>4.4922781660000001E-2</c:v>
                </c:pt>
                <c:pt idx="35">
                  <c:v>4.4000703870000005E-2</c:v>
                </c:pt>
                <c:pt idx="36">
                  <c:v>4.3059514710000003E-2</c:v>
                </c:pt>
              </c:numCache>
            </c:numRef>
          </c:val>
          <c:smooth val="0"/>
          <c:extLst>
            <c:ext xmlns:c16="http://schemas.microsoft.com/office/drawing/2014/chart" uri="{C3380CC4-5D6E-409C-BE32-E72D297353CC}">
              <c16:uniqueId val="{00000003-A27F-4D06-B6BA-7E57AACFB9FE}"/>
            </c:ext>
          </c:extLst>
        </c:ser>
        <c:ser>
          <c:idx val="4"/>
          <c:order val="4"/>
          <c:tx>
            <c:strRef>
              <c:f>'India GDP'!$B$8</c:f>
              <c:strCache>
                <c:ptCount val="1"/>
                <c:pt idx="0">
                  <c:v>CEPII SSP 5</c:v>
                </c:pt>
              </c:strCache>
            </c:strRef>
          </c:tx>
          <c:spPr>
            <a:ln w="12700" cap="rnd">
              <a:solidFill>
                <a:schemeClr val="accent1">
                  <a:lumMod val="50000"/>
                </a:schemeClr>
              </a:solidFill>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GDP'!$C$8:$AM$8</c:f>
              <c:numCache>
                <c:formatCode>General</c:formatCode>
                <c:ptCount val="37"/>
                <c:pt idx="0">
                  <c:v>6.2319708420000001E-2</c:v>
                </c:pt>
                <c:pt idx="1">
                  <c:v>6.7901506979999998E-2</c:v>
                </c:pt>
                <c:pt idx="2">
                  <c:v>7.2750271709999995E-2</c:v>
                </c:pt>
                <c:pt idx="3">
                  <c:v>6.257548285999999E-2</c:v>
                </c:pt>
                <c:pt idx="4">
                  <c:v>8.0899726239999997E-2</c:v>
                </c:pt>
                <c:pt idx="5">
                  <c:v>8.6151433589999993E-2</c:v>
                </c:pt>
                <c:pt idx="6">
                  <c:v>8.6028258579999989E-2</c:v>
                </c:pt>
                <c:pt idx="7">
                  <c:v>8.6853379410000001E-2</c:v>
                </c:pt>
                <c:pt idx="8">
                  <c:v>8.5692921759999999E-2</c:v>
                </c:pt>
                <c:pt idx="9">
                  <c:v>8.4217079710000003E-2</c:v>
                </c:pt>
                <c:pt idx="10">
                  <c:v>8.2661061270000002E-2</c:v>
                </c:pt>
                <c:pt idx="11">
                  <c:v>8.1213590010000003E-2</c:v>
                </c:pt>
                <c:pt idx="12">
                  <c:v>8.4018744810000004E-2</c:v>
                </c:pt>
                <c:pt idx="13">
                  <c:v>8.3099069110000007E-2</c:v>
                </c:pt>
                <c:pt idx="14">
                  <c:v>8.1826707780000008E-2</c:v>
                </c:pt>
                <c:pt idx="15">
                  <c:v>8.0553512230000013E-2</c:v>
                </c:pt>
                <c:pt idx="16">
                  <c:v>7.9250988270000003E-2</c:v>
                </c:pt>
                <c:pt idx="17">
                  <c:v>8.5554619130000009E-2</c:v>
                </c:pt>
                <c:pt idx="18">
                  <c:v>8.4663532030000002E-2</c:v>
                </c:pt>
                <c:pt idx="19">
                  <c:v>8.3936570739999994E-2</c:v>
                </c:pt>
                <c:pt idx="20">
                  <c:v>8.3104697010000006E-2</c:v>
                </c:pt>
                <c:pt idx="21">
                  <c:v>8.2193618859999998E-2</c:v>
                </c:pt>
                <c:pt idx="22">
                  <c:v>8.1296042380000003E-2</c:v>
                </c:pt>
                <c:pt idx="23">
                  <c:v>8.0076028019999995E-2</c:v>
                </c:pt>
                <c:pt idx="24">
                  <c:v>7.9009705400000005E-2</c:v>
                </c:pt>
                <c:pt idx="25">
                  <c:v>7.7944565950000003E-2</c:v>
                </c:pt>
                <c:pt idx="26">
                  <c:v>7.6897863969999994E-2</c:v>
                </c:pt>
                <c:pt idx="27">
                  <c:v>7.5981654980000007E-2</c:v>
                </c:pt>
                <c:pt idx="28">
                  <c:v>7.467715758E-2</c:v>
                </c:pt>
                <c:pt idx="29">
                  <c:v>7.3603014389999999E-2</c:v>
                </c:pt>
                <c:pt idx="30">
                  <c:v>7.251461377E-2</c:v>
                </c:pt>
                <c:pt idx="31">
                  <c:v>7.1435928590000003E-2</c:v>
                </c:pt>
                <c:pt idx="32">
                  <c:v>7.054028708E-2</c:v>
                </c:pt>
                <c:pt idx="33">
                  <c:v>6.9320925620000001E-2</c:v>
                </c:pt>
                <c:pt idx="34">
                  <c:v>6.8168062089999995E-2</c:v>
                </c:pt>
                <c:pt idx="35">
                  <c:v>6.7036901450000005E-2</c:v>
                </c:pt>
                <c:pt idx="36">
                  <c:v>6.5935481759999998E-2</c:v>
                </c:pt>
              </c:numCache>
            </c:numRef>
          </c:val>
          <c:smooth val="0"/>
          <c:extLst>
            <c:ext xmlns:c16="http://schemas.microsoft.com/office/drawing/2014/chart" uri="{C3380CC4-5D6E-409C-BE32-E72D297353CC}">
              <c16:uniqueId val="{00000004-A27F-4D06-B6BA-7E57AACFB9FE}"/>
            </c:ext>
          </c:extLst>
        </c:ser>
        <c:ser>
          <c:idx val="7"/>
          <c:order val="7"/>
          <c:tx>
            <c:strRef>
              <c:f>'India GDP'!$B$11</c:f>
              <c:strCache>
                <c:ptCount val="1"/>
                <c:pt idx="0">
                  <c:v>IIASA SSP 1</c:v>
                </c:pt>
              </c:strCache>
            </c:strRef>
          </c:tx>
          <c:spPr>
            <a:ln w="12700" cap="rnd">
              <a:solidFill>
                <a:schemeClr val="accent2">
                  <a:lumMod val="20000"/>
                  <a:lumOff val="80000"/>
                </a:schemeClr>
              </a:solidFill>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GDP'!$C$11:$AM$11</c:f>
              <c:numCache>
                <c:formatCode>General</c:formatCode>
                <c:ptCount val="37"/>
                <c:pt idx="0">
                  <c:v>9.1750000000000012E-2</c:v>
                </c:pt>
                <c:pt idx="1">
                  <c:v>9.2040000000000011E-2</c:v>
                </c:pt>
                <c:pt idx="2">
                  <c:v>9.3240000000000003E-2</c:v>
                </c:pt>
                <c:pt idx="3">
                  <c:v>9.330999999999999E-2</c:v>
                </c:pt>
                <c:pt idx="4">
                  <c:v>9.2170000000000002E-2</c:v>
                </c:pt>
                <c:pt idx="5">
                  <c:v>9.018000000000001E-2</c:v>
                </c:pt>
                <c:pt idx="6">
                  <c:v>8.7620000000000003E-2</c:v>
                </c:pt>
                <c:pt idx="7">
                  <c:v>8.4620000000000001E-2</c:v>
                </c:pt>
                <c:pt idx="8">
                  <c:v>8.1010000000000013E-2</c:v>
                </c:pt>
                <c:pt idx="9">
                  <c:v>7.6969999999999997E-2</c:v>
                </c:pt>
                <c:pt idx="10">
                  <c:v>7.2690000000000005E-2</c:v>
                </c:pt>
                <c:pt idx="11">
                  <c:v>6.8319999999999992E-2</c:v>
                </c:pt>
                <c:pt idx="12">
                  <c:v>6.3979999999999995E-2</c:v>
                </c:pt>
                <c:pt idx="13">
                  <c:v>5.985E-2</c:v>
                </c:pt>
                <c:pt idx="14">
                  <c:v>5.595E-2</c:v>
                </c:pt>
                <c:pt idx="15">
                  <c:v>5.2229999999999999E-2</c:v>
                </c:pt>
                <c:pt idx="16">
                  <c:v>4.8689999999999997E-2</c:v>
                </c:pt>
                <c:pt idx="17">
                  <c:v>4.5339999999999998E-2</c:v>
                </c:pt>
                <c:pt idx="18">
                  <c:v>4.233E-2</c:v>
                </c:pt>
                <c:pt idx="19">
                  <c:v>3.9660000000000001E-2</c:v>
                </c:pt>
                <c:pt idx="20">
                  <c:v>3.7269999999999998E-2</c:v>
                </c:pt>
                <c:pt idx="21">
                  <c:v>3.5139999999999998E-2</c:v>
                </c:pt>
                <c:pt idx="22">
                  <c:v>3.3230000000000003E-2</c:v>
                </c:pt>
                <c:pt idx="23">
                  <c:v>3.1509999999999996E-2</c:v>
                </c:pt>
                <c:pt idx="24">
                  <c:v>2.9960000000000001E-2</c:v>
                </c:pt>
                <c:pt idx="25">
                  <c:v>2.8549999999999999E-2</c:v>
                </c:pt>
                <c:pt idx="26">
                  <c:v>2.7269999999999999E-2</c:v>
                </c:pt>
                <c:pt idx="27">
                  <c:v>2.6099999999999998E-2</c:v>
                </c:pt>
                <c:pt idx="28">
                  <c:v>2.5059999999999999E-2</c:v>
                </c:pt>
                <c:pt idx="29">
                  <c:v>2.4140000000000002E-2</c:v>
                </c:pt>
                <c:pt idx="30">
                  <c:v>2.3319999999999997E-2</c:v>
                </c:pt>
                <c:pt idx="31">
                  <c:v>2.2599999999999999E-2</c:v>
                </c:pt>
                <c:pt idx="32">
                  <c:v>2.196E-2</c:v>
                </c:pt>
                <c:pt idx="33">
                  <c:v>2.1349999999999997E-2</c:v>
                </c:pt>
                <c:pt idx="34">
                  <c:v>2.0760000000000001E-2</c:v>
                </c:pt>
                <c:pt idx="35">
                  <c:v>2.0199999999999999E-2</c:v>
                </c:pt>
                <c:pt idx="36">
                  <c:v>1.966E-2</c:v>
                </c:pt>
              </c:numCache>
            </c:numRef>
          </c:val>
          <c:smooth val="0"/>
          <c:extLst>
            <c:ext xmlns:c16="http://schemas.microsoft.com/office/drawing/2014/chart" uri="{C3380CC4-5D6E-409C-BE32-E72D297353CC}">
              <c16:uniqueId val="{00000005-A27F-4D06-B6BA-7E57AACFB9FE}"/>
            </c:ext>
          </c:extLst>
        </c:ser>
        <c:ser>
          <c:idx val="8"/>
          <c:order val="8"/>
          <c:tx>
            <c:strRef>
              <c:f>'India GDP'!$B$12</c:f>
              <c:strCache>
                <c:ptCount val="1"/>
                <c:pt idx="0">
                  <c:v>IIASA SSP 2</c:v>
                </c:pt>
              </c:strCache>
            </c:strRef>
          </c:tx>
          <c:spPr>
            <a:ln w="41275" cap="rnd">
              <a:solidFill>
                <a:schemeClr val="accent2">
                  <a:lumMod val="40000"/>
                  <a:lumOff val="60000"/>
                </a:schemeClr>
              </a:solidFill>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GDP'!$C$12:$AM$12</c:f>
              <c:numCache>
                <c:formatCode>General</c:formatCode>
                <c:ptCount val="37"/>
                <c:pt idx="0">
                  <c:v>8.7300000000000003E-2</c:v>
                </c:pt>
                <c:pt idx="1">
                  <c:v>8.6039999999999991E-2</c:v>
                </c:pt>
                <c:pt idx="2">
                  <c:v>8.5760000000000003E-2</c:v>
                </c:pt>
                <c:pt idx="3">
                  <c:v>8.4849999999999995E-2</c:v>
                </c:pt>
                <c:pt idx="4">
                  <c:v>8.3219999999999988E-2</c:v>
                </c:pt>
                <c:pt idx="5">
                  <c:v>8.1089999999999995E-2</c:v>
                </c:pt>
                <c:pt idx="6">
                  <c:v>7.8659999999999994E-2</c:v>
                </c:pt>
                <c:pt idx="7">
                  <c:v>7.5940000000000007E-2</c:v>
                </c:pt>
                <c:pt idx="8">
                  <c:v>7.2660000000000002E-2</c:v>
                </c:pt>
                <c:pt idx="9">
                  <c:v>6.8940000000000001E-2</c:v>
                </c:pt>
                <c:pt idx="10">
                  <c:v>6.4960000000000004E-2</c:v>
                </c:pt>
                <c:pt idx="11">
                  <c:v>6.0850000000000001E-2</c:v>
                </c:pt>
                <c:pt idx="12">
                  <c:v>5.6740000000000006E-2</c:v>
                </c:pt>
                <c:pt idx="13">
                  <c:v>5.2900000000000003E-2</c:v>
                </c:pt>
                <c:pt idx="14">
                  <c:v>4.9360000000000001E-2</c:v>
                </c:pt>
                <c:pt idx="15">
                  <c:v>4.607E-2</c:v>
                </c:pt>
                <c:pt idx="16">
                  <c:v>4.2979999999999997E-2</c:v>
                </c:pt>
                <c:pt idx="17">
                  <c:v>4.0099999999999997E-2</c:v>
                </c:pt>
                <c:pt idx="18">
                  <c:v>3.746E-2</c:v>
                </c:pt>
                <c:pt idx="19">
                  <c:v>3.5049999999999998E-2</c:v>
                </c:pt>
                <c:pt idx="20">
                  <c:v>3.2840000000000001E-2</c:v>
                </c:pt>
                <c:pt idx="21">
                  <c:v>3.0810000000000001E-2</c:v>
                </c:pt>
                <c:pt idx="22">
                  <c:v>2.8929999999999997E-2</c:v>
                </c:pt>
                <c:pt idx="23">
                  <c:v>2.7200000000000002E-2</c:v>
                </c:pt>
                <c:pt idx="24">
                  <c:v>2.5600000000000001E-2</c:v>
                </c:pt>
                <c:pt idx="25">
                  <c:v>2.4119999999999999E-2</c:v>
                </c:pt>
                <c:pt idx="26">
                  <c:v>2.274E-2</c:v>
                </c:pt>
                <c:pt idx="27">
                  <c:v>2.146E-2</c:v>
                </c:pt>
                <c:pt idx="28">
                  <c:v>2.0369999999999999E-2</c:v>
                </c:pt>
                <c:pt idx="29">
                  <c:v>1.9459999999999998E-2</c:v>
                </c:pt>
                <c:pt idx="30">
                  <c:v>1.8710000000000001E-2</c:v>
                </c:pt>
                <c:pt idx="31">
                  <c:v>1.8110000000000001E-2</c:v>
                </c:pt>
                <c:pt idx="32">
                  <c:v>1.7639999999999999E-2</c:v>
                </c:pt>
                <c:pt idx="33">
                  <c:v>1.7260000000000001E-2</c:v>
                </c:pt>
                <c:pt idx="34">
                  <c:v>1.695E-2</c:v>
                </c:pt>
                <c:pt idx="35">
                  <c:v>1.67E-2</c:v>
                </c:pt>
                <c:pt idx="36">
                  <c:v>1.652E-2</c:v>
                </c:pt>
              </c:numCache>
            </c:numRef>
          </c:val>
          <c:smooth val="0"/>
          <c:extLst>
            <c:ext xmlns:c16="http://schemas.microsoft.com/office/drawing/2014/chart" uri="{C3380CC4-5D6E-409C-BE32-E72D297353CC}">
              <c16:uniqueId val="{00000006-A27F-4D06-B6BA-7E57AACFB9FE}"/>
            </c:ext>
          </c:extLst>
        </c:ser>
        <c:ser>
          <c:idx val="9"/>
          <c:order val="9"/>
          <c:tx>
            <c:strRef>
              <c:f>'India GDP'!$B$13</c:f>
              <c:strCache>
                <c:ptCount val="1"/>
                <c:pt idx="0">
                  <c:v>IIASA SSP 3</c:v>
                </c:pt>
              </c:strCache>
            </c:strRef>
          </c:tx>
          <c:spPr>
            <a:ln w="12700" cap="rnd">
              <a:solidFill>
                <a:schemeClr val="accent2">
                  <a:lumMod val="60000"/>
                  <a:lumOff val="40000"/>
                </a:schemeClr>
              </a:solidFill>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GDP'!$C$13:$AM$13</c:f>
              <c:numCache>
                <c:formatCode>General</c:formatCode>
                <c:ptCount val="37"/>
                <c:pt idx="0">
                  <c:v>8.3989999999999995E-2</c:v>
                </c:pt>
                <c:pt idx="1">
                  <c:v>8.1689999999999999E-2</c:v>
                </c:pt>
                <c:pt idx="2">
                  <c:v>8.0329999999999999E-2</c:v>
                </c:pt>
                <c:pt idx="3">
                  <c:v>7.844000000000001E-2</c:v>
                </c:pt>
                <c:pt idx="4">
                  <c:v>7.5940000000000007E-2</c:v>
                </c:pt>
                <c:pt idx="5">
                  <c:v>7.307000000000001E-2</c:v>
                </c:pt>
                <c:pt idx="6">
                  <c:v>6.9980000000000001E-2</c:v>
                </c:pt>
                <c:pt idx="7">
                  <c:v>6.6710000000000005E-2</c:v>
                </c:pt>
                <c:pt idx="8">
                  <c:v>6.2990000000000004E-2</c:v>
                </c:pt>
                <c:pt idx="9">
                  <c:v>5.892E-2</c:v>
                </c:pt>
                <c:pt idx="10">
                  <c:v>5.4619999999999995E-2</c:v>
                </c:pt>
                <c:pt idx="11">
                  <c:v>5.0189999999999999E-2</c:v>
                </c:pt>
                <c:pt idx="12">
                  <c:v>4.5780000000000001E-2</c:v>
                </c:pt>
                <c:pt idx="13">
                  <c:v>4.1749999999999995E-2</c:v>
                </c:pt>
                <c:pt idx="14">
                  <c:v>3.8130000000000004E-2</c:v>
                </c:pt>
                <c:pt idx="15">
                  <c:v>3.4860000000000002E-2</c:v>
                </c:pt>
                <c:pt idx="16">
                  <c:v>3.1879999999999999E-2</c:v>
                </c:pt>
                <c:pt idx="17">
                  <c:v>2.9149999999999999E-2</c:v>
                </c:pt>
                <c:pt idx="18">
                  <c:v>2.6619999999999998E-2</c:v>
                </c:pt>
                <c:pt idx="19">
                  <c:v>2.4249999999999997E-2</c:v>
                </c:pt>
                <c:pt idx="20">
                  <c:v>2.2029999999999998E-2</c:v>
                </c:pt>
                <c:pt idx="21">
                  <c:v>1.9910000000000001E-2</c:v>
                </c:pt>
                <c:pt idx="22">
                  <c:v>1.7920000000000002E-2</c:v>
                </c:pt>
                <c:pt idx="23">
                  <c:v>1.6120000000000002E-2</c:v>
                </c:pt>
                <c:pt idx="24">
                  <c:v>1.451E-2</c:v>
                </c:pt>
                <c:pt idx="25">
                  <c:v>1.307E-2</c:v>
                </c:pt>
                <c:pt idx="26">
                  <c:v>1.1779999999999999E-2</c:v>
                </c:pt>
                <c:pt idx="27">
                  <c:v>1.0620000000000001E-2</c:v>
                </c:pt>
                <c:pt idx="28">
                  <c:v>9.5399999999999999E-3</c:v>
                </c:pt>
                <c:pt idx="29">
                  <c:v>8.539999999999999E-3</c:v>
                </c:pt>
                <c:pt idx="30">
                  <c:v>7.5900000000000004E-3</c:v>
                </c:pt>
                <c:pt idx="31">
                  <c:v>6.7000000000000002E-3</c:v>
                </c:pt>
                <c:pt idx="32">
                  <c:v>5.8799999999999998E-3</c:v>
                </c:pt>
                <c:pt idx="33">
                  <c:v>5.1700000000000001E-3</c:v>
                </c:pt>
                <c:pt idx="34">
                  <c:v>4.5700000000000003E-3</c:v>
                </c:pt>
                <c:pt idx="35">
                  <c:v>4.0799999999999994E-3</c:v>
                </c:pt>
                <c:pt idx="36">
                  <c:v>3.7000000000000002E-3</c:v>
                </c:pt>
              </c:numCache>
            </c:numRef>
          </c:val>
          <c:smooth val="0"/>
          <c:extLst>
            <c:ext xmlns:c16="http://schemas.microsoft.com/office/drawing/2014/chart" uri="{C3380CC4-5D6E-409C-BE32-E72D297353CC}">
              <c16:uniqueId val="{00000007-A27F-4D06-B6BA-7E57AACFB9FE}"/>
            </c:ext>
          </c:extLst>
        </c:ser>
        <c:ser>
          <c:idx val="10"/>
          <c:order val="10"/>
          <c:tx>
            <c:strRef>
              <c:f>'India GDP'!$B$14</c:f>
              <c:strCache>
                <c:ptCount val="1"/>
                <c:pt idx="0">
                  <c:v>IIASA SSP 4</c:v>
                </c:pt>
              </c:strCache>
            </c:strRef>
          </c:tx>
          <c:spPr>
            <a:ln w="12700" cap="rnd">
              <a:solidFill>
                <a:schemeClr val="accent2">
                  <a:lumMod val="75000"/>
                </a:schemeClr>
              </a:solidFill>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GDP'!$C$14:$AM$14</c:f>
              <c:numCache>
                <c:formatCode>General</c:formatCode>
                <c:ptCount val="37"/>
                <c:pt idx="0">
                  <c:v>8.4070000000000006E-2</c:v>
                </c:pt>
                <c:pt idx="1">
                  <c:v>8.1809999999999994E-2</c:v>
                </c:pt>
                <c:pt idx="2">
                  <c:v>8.0519999999999994E-2</c:v>
                </c:pt>
                <c:pt idx="3">
                  <c:v>7.8659999999999994E-2</c:v>
                </c:pt>
                <c:pt idx="4">
                  <c:v>7.6159999999999992E-2</c:v>
                </c:pt>
                <c:pt idx="5">
                  <c:v>7.3249999999999996E-2</c:v>
                </c:pt>
                <c:pt idx="6">
                  <c:v>7.0099999999999996E-2</c:v>
                </c:pt>
                <c:pt idx="7">
                  <c:v>6.6750000000000004E-2</c:v>
                </c:pt>
                <c:pt idx="8">
                  <c:v>6.3E-2</c:v>
                </c:pt>
                <c:pt idx="9">
                  <c:v>5.892E-2</c:v>
                </c:pt>
                <c:pt idx="10">
                  <c:v>5.4649999999999997E-2</c:v>
                </c:pt>
                <c:pt idx="11">
                  <c:v>5.0270000000000002E-2</c:v>
                </c:pt>
                <c:pt idx="12">
                  <c:v>4.5899999999999996E-2</c:v>
                </c:pt>
                <c:pt idx="13">
                  <c:v>4.1880000000000001E-2</c:v>
                </c:pt>
                <c:pt idx="14">
                  <c:v>3.8210000000000001E-2</c:v>
                </c:pt>
                <c:pt idx="15">
                  <c:v>3.4820000000000004E-2</c:v>
                </c:pt>
                <c:pt idx="16">
                  <c:v>3.1669999999999997E-2</c:v>
                </c:pt>
                <c:pt idx="17">
                  <c:v>2.8730000000000002E-2</c:v>
                </c:pt>
                <c:pt idx="18">
                  <c:v>2.605E-2</c:v>
                </c:pt>
                <c:pt idx="19">
                  <c:v>2.3639999999999998E-2</c:v>
                </c:pt>
                <c:pt idx="20">
                  <c:v>2.1440000000000001E-2</c:v>
                </c:pt>
                <c:pt idx="21">
                  <c:v>1.9429999999999999E-2</c:v>
                </c:pt>
                <c:pt idx="22">
                  <c:v>1.7600000000000001E-2</c:v>
                </c:pt>
                <c:pt idx="23">
                  <c:v>1.5960000000000002E-2</c:v>
                </c:pt>
                <c:pt idx="24">
                  <c:v>1.451E-2</c:v>
                </c:pt>
                <c:pt idx="25">
                  <c:v>1.321E-2</c:v>
                </c:pt>
                <c:pt idx="26">
                  <c:v>1.2070000000000001E-2</c:v>
                </c:pt>
                <c:pt idx="27">
                  <c:v>1.1049999999999999E-2</c:v>
                </c:pt>
                <c:pt idx="28">
                  <c:v>1.0120000000000001E-2</c:v>
                </c:pt>
                <c:pt idx="29">
                  <c:v>9.2800000000000001E-3</c:v>
                </c:pt>
                <c:pt idx="30">
                  <c:v>8.5100000000000002E-3</c:v>
                </c:pt>
                <c:pt idx="31">
                  <c:v>7.8100000000000001E-3</c:v>
                </c:pt>
                <c:pt idx="32">
                  <c:v>7.1699999999999993E-3</c:v>
                </c:pt>
                <c:pt idx="33">
                  <c:v>6.6100000000000004E-3</c:v>
                </c:pt>
                <c:pt idx="34">
                  <c:v>6.11E-3</c:v>
                </c:pt>
                <c:pt idx="35">
                  <c:v>5.6599999999999992E-3</c:v>
                </c:pt>
                <c:pt idx="36">
                  <c:v>5.28E-3</c:v>
                </c:pt>
              </c:numCache>
            </c:numRef>
          </c:val>
          <c:smooth val="0"/>
          <c:extLst>
            <c:ext xmlns:c16="http://schemas.microsoft.com/office/drawing/2014/chart" uri="{C3380CC4-5D6E-409C-BE32-E72D297353CC}">
              <c16:uniqueId val="{00000008-A27F-4D06-B6BA-7E57AACFB9FE}"/>
            </c:ext>
          </c:extLst>
        </c:ser>
        <c:ser>
          <c:idx val="11"/>
          <c:order val="11"/>
          <c:tx>
            <c:strRef>
              <c:f>'India GDP'!$B$15</c:f>
              <c:strCache>
                <c:ptCount val="1"/>
                <c:pt idx="0">
                  <c:v>IIASA SSP 5</c:v>
                </c:pt>
              </c:strCache>
            </c:strRef>
          </c:tx>
          <c:spPr>
            <a:ln w="12700" cap="rnd">
              <a:solidFill>
                <a:schemeClr val="accent2">
                  <a:lumMod val="50000"/>
                </a:schemeClr>
              </a:solidFill>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GDP'!$C$15:$AM$15</c:f>
              <c:numCache>
                <c:formatCode>General</c:formatCode>
                <c:ptCount val="37"/>
                <c:pt idx="0">
                  <c:v>9.2230000000000006E-2</c:v>
                </c:pt>
                <c:pt idx="1">
                  <c:v>9.2769999999999991E-2</c:v>
                </c:pt>
                <c:pt idx="2">
                  <c:v>9.4229999999999994E-2</c:v>
                </c:pt>
                <c:pt idx="3">
                  <c:v>9.4629999999999992E-2</c:v>
                </c:pt>
                <c:pt idx="4">
                  <c:v>9.3870000000000009E-2</c:v>
                </c:pt>
                <c:pt idx="5">
                  <c:v>9.2280000000000001E-2</c:v>
                </c:pt>
                <c:pt idx="6">
                  <c:v>9.0130000000000002E-2</c:v>
                </c:pt>
                <c:pt idx="7">
                  <c:v>8.7520000000000001E-2</c:v>
                </c:pt>
                <c:pt idx="8">
                  <c:v>8.4290000000000004E-2</c:v>
                </c:pt>
                <c:pt idx="9">
                  <c:v>8.0610000000000001E-2</c:v>
                </c:pt>
                <c:pt idx="10">
                  <c:v>7.6700000000000004E-2</c:v>
                </c:pt>
                <c:pt idx="11">
                  <c:v>7.2700000000000001E-2</c:v>
                </c:pt>
                <c:pt idx="12">
                  <c:v>6.8710000000000007E-2</c:v>
                </c:pt>
                <c:pt idx="13">
                  <c:v>6.4869999999999997E-2</c:v>
                </c:pt>
                <c:pt idx="14">
                  <c:v>6.1210000000000007E-2</c:v>
                </c:pt>
                <c:pt idx="15">
                  <c:v>5.772E-2</c:v>
                </c:pt>
                <c:pt idx="16">
                  <c:v>5.4370000000000002E-2</c:v>
                </c:pt>
                <c:pt idx="17">
                  <c:v>5.1189999999999999E-2</c:v>
                </c:pt>
                <c:pt idx="18">
                  <c:v>4.8320000000000002E-2</c:v>
                </c:pt>
                <c:pt idx="19">
                  <c:v>4.5759999999999995E-2</c:v>
                </c:pt>
                <c:pt idx="20">
                  <c:v>4.3459999999999999E-2</c:v>
                </c:pt>
                <c:pt idx="21">
                  <c:v>4.1390000000000003E-2</c:v>
                </c:pt>
                <c:pt idx="22">
                  <c:v>3.952E-2</c:v>
                </c:pt>
                <c:pt idx="23">
                  <c:v>3.7819999999999999E-2</c:v>
                </c:pt>
                <c:pt idx="24">
                  <c:v>3.6269999999999997E-2</c:v>
                </c:pt>
                <c:pt idx="25">
                  <c:v>3.483E-2</c:v>
                </c:pt>
                <c:pt idx="26">
                  <c:v>3.3509999999999998E-2</c:v>
                </c:pt>
                <c:pt idx="27">
                  <c:v>3.2300000000000002E-2</c:v>
                </c:pt>
                <c:pt idx="28">
                  <c:v>3.1200000000000002E-2</c:v>
                </c:pt>
                <c:pt idx="29">
                  <c:v>3.0210000000000001E-2</c:v>
                </c:pt>
                <c:pt idx="30">
                  <c:v>2.9309999999999999E-2</c:v>
                </c:pt>
                <c:pt idx="31">
                  <c:v>2.8510000000000001E-2</c:v>
                </c:pt>
                <c:pt idx="32">
                  <c:v>2.7770000000000003E-2</c:v>
                </c:pt>
                <c:pt idx="33">
                  <c:v>2.7060000000000001E-2</c:v>
                </c:pt>
                <c:pt idx="34">
                  <c:v>2.6360000000000001E-2</c:v>
                </c:pt>
                <c:pt idx="35">
                  <c:v>2.5680000000000001E-2</c:v>
                </c:pt>
                <c:pt idx="36">
                  <c:v>2.5000000000000001E-2</c:v>
                </c:pt>
              </c:numCache>
            </c:numRef>
          </c:val>
          <c:smooth val="0"/>
          <c:extLst>
            <c:ext xmlns:c16="http://schemas.microsoft.com/office/drawing/2014/chart" uri="{C3380CC4-5D6E-409C-BE32-E72D297353CC}">
              <c16:uniqueId val="{00000009-A27F-4D06-B6BA-7E57AACFB9FE}"/>
            </c:ext>
          </c:extLst>
        </c:ser>
        <c:ser>
          <c:idx val="12"/>
          <c:order val="12"/>
          <c:tx>
            <c:strRef>
              <c:f>'India GDP'!$B$16</c:f>
              <c:strCache>
                <c:ptCount val="1"/>
                <c:pt idx="0">
                  <c:v>OECD SSP 1</c:v>
                </c:pt>
              </c:strCache>
            </c:strRef>
          </c:tx>
          <c:spPr>
            <a:ln w="12700" cap="rnd">
              <a:solidFill>
                <a:schemeClr val="accent3">
                  <a:lumMod val="20000"/>
                  <a:lumOff val="80000"/>
                </a:schemeClr>
              </a:solidFill>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GDP'!$C$16:$AM$16</c:f>
              <c:numCache>
                <c:formatCode>General</c:formatCode>
                <c:ptCount val="37"/>
                <c:pt idx="0">
                  <c:v>5.0380000000000001E-2</c:v>
                </c:pt>
                <c:pt idx="1">
                  <c:v>5.2260000000000001E-2</c:v>
                </c:pt>
                <c:pt idx="2">
                  <c:v>5.5050000000000002E-2</c:v>
                </c:pt>
                <c:pt idx="3">
                  <c:v>5.7340000000000002E-2</c:v>
                </c:pt>
                <c:pt idx="4">
                  <c:v>5.8909999999999997E-2</c:v>
                </c:pt>
                <c:pt idx="5">
                  <c:v>5.9880000000000003E-2</c:v>
                </c:pt>
                <c:pt idx="6">
                  <c:v>6.0339999999999998E-2</c:v>
                </c:pt>
                <c:pt idx="7">
                  <c:v>6.046E-2</c:v>
                </c:pt>
                <c:pt idx="8">
                  <c:v>6.053E-2</c:v>
                </c:pt>
                <c:pt idx="9">
                  <c:v>6.0609999999999997E-2</c:v>
                </c:pt>
                <c:pt idx="10">
                  <c:v>6.0679999999999998E-2</c:v>
                </c:pt>
                <c:pt idx="11">
                  <c:v>6.0730000000000006E-2</c:v>
                </c:pt>
                <c:pt idx="12">
                  <c:v>6.0759999999999995E-2</c:v>
                </c:pt>
                <c:pt idx="13">
                  <c:v>6.0720000000000003E-2</c:v>
                </c:pt>
                <c:pt idx="14">
                  <c:v>6.0590000000000005E-2</c:v>
                </c:pt>
                <c:pt idx="15">
                  <c:v>6.0389999999999999E-2</c:v>
                </c:pt>
                <c:pt idx="16">
                  <c:v>6.0110000000000004E-2</c:v>
                </c:pt>
                <c:pt idx="17">
                  <c:v>5.9729999999999998E-2</c:v>
                </c:pt>
                <c:pt idx="18">
                  <c:v>5.9119999999999999E-2</c:v>
                </c:pt>
                <c:pt idx="19">
                  <c:v>5.8299999999999998E-2</c:v>
                </c:pt>
                <c:pt idx="20">
                  <c:v>5.7329999999999999E-2</c:v>
                </c:pt>
                <c:pt idx="21">
                  <c:v>5.6250000000000001E-2</c:v>
                </c:pt>
                <c:pt idx="22">
                  <c:v>5.5099999999999996E-2</c:v>
                </c:pt>
                <c:pt idx="23">
                  <c:v>5.3899999999999997E-2</c:v>
                </c:pt>
                <c:pt idx="24">
                  <c:v>5.2679999999999998E-2</c:v>
                </c:pt>
                <c:pt idx="25">
                  <c:v>5.144E-2</c:v>
                </c:pt>
                <c:pt idx="26">
                  <c:v>5.0199999999999995E-2</c:v>
                </c:pt>
                <c:pt idx="27">
                  <c:v>4.8959999999999997E-2</c:v>
                </c:pt>
                <c:pt idx="28">
                  <c:v>4.7690000000000003E-2</c:v>
                </c:pt>
                <c:pt idx="29">
                  <c:v>4.6399999999999997E-2</c:v>
                </c:pt>
                <c:pt idx="30">
                  <c:v>4.5100000000000001E-2</c:v>
                </c:pt>
                <c:pt idx="31">
                  <c:v>4.3810000000000002E-2</c:v>
                </c:pt>
                <c:pt idx="32">
                  <c:v>4.2539999999999994E-2</c:v>
                </c:pt>
                <c:pt idx="33">
                  <c:v>4.1340000000000002E-2</c:v>
                </c:pt>
                <c:pt idx="34">
                  <c:v>4.0239999999999998E-2</c:v>
                </c:pt>
                <c:pt idx="35">
                  <c:v>3.9199999999999999E-2</c:v>
                </c:pt>
                <c:pt idx="36">
                  <c:v>3.8239999999999996E-2</c:v>
                </c:pt>
              </c:numCache>
            </c:numRef>
          </c:val>
          <c:smooth val="0"/>
          <c:extLst>
            <c:ext xmlns:c16="http://schemas.microsoft.com/office/drawing/2014/chart" uri="{C3380CC4-5D6E-409C-BE32-E72D297353CC}">
              <c16:uniqueId val="{0000000A-A27F-4D06-B6BA-7E57AACFB9FE}"/>
            </c:ext>
          </c:extLst>
        </c:ser>
        <c:ser>
          <c:idx val="13"/>
          <c:order val="13"/>
          <c:tx>
            <c:strRef>
              <c:f>'India GDP'!$B$17</c:f>
              <c:strCache>
                <c:ptCount val="1"/>
                <c:pt idx="0">
                  <c:v>OECD SSP 2</c:v>
                </c:pt>
              </c:strCache>
            </c:strRef>
          </c:tx>
          <c:spPr>
            <a:ln w="41275" cap="rnd">
              <a:solidFill>
                <a:schemeClr val="accent3">
                  <a:lumMod val="40000"/>
                  <a:lumOff val="60000"/>
                </a:schemeClr>
              </a:solidFill>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GDP'!$C$17:$AM$17</c:f>
              <c:numCache>
                <c:formatCode>General</c:formatCode>
                <c:ptCount val="37"/>
                <c:pt idx="0">
                  <c:v>5.0389999999999997E-2</c:v>
                </c:pt>
                <c:pt idx="1">
                  <c:v>5.2160000000000005E-2</c:v>
                </c:pt>
                <c:pt idx="2">
                  <c:v>5.4730000000000001E-2</c:v>
                </c:pt>
                <c:pt idx="3">
                  <c:v>5.638E-2</c:v>
                </c:pt>
                <c:pt idx="4">
                  <c:v>5.6929999999999994E-2</c:v>
                </c:pt>
                <c:pt idx="5">
                  <c:v>5.6609999999999994E-2</c:v>
                </c:pt>
                <c:pt idx="6">
                  <c:v>5.5620000000000003E-2</c:v>
                </c:pt>
                <c:pt idx="7">
                  <c:v>5.4199999999999998E-2</c:v>
                </c:pt>
                <c:pt idx="8">
                  <c:v>5.2720000000000003E-2</c:v>
                </c:pt>
                <c:pt idx="9">
                  <c:v>5.1249999999999997E-2</c:v>
                </c:pt>
                <c:pt idx="10">
                  <c:v>4.9820000000000003E-2</c:v>
                </c:pt>
                <c:pt idx="11">
                  <c:v>4.8419999999999998E-2</c:v>
                </c:pt>
                <c:pt idx="12">
                  <c:v>4.7070000000000001E-2</c:v>
                </c:pt>
                <c:pt idx="13">
                  <c:v>4.5780000000000001E-2</c:v>
                </c:pt>
                <c:pt idx="14">
                  <c:v>4.4549999999999999E-2</c:v>
                </c:pt>
                <c:pt idx="15">
                  <c:v>4.3369999999999999E-2</c:v>
                </c:pt>
                <c:pt idx="16">
                  <c:v>4.2229999999999997E-2</c:v>
                </c:pt>
                <c:pt idx="17">
                  <c:v>4.1169999999999998E-2</c:v>
                </c:pt>
                <c:pt idx="18">
                  <c:v>4.0239999999999998E-2</c:v>
                </c:pt>
                <c:pt idx="19">
                  <c:v>3.9449999999999999E-2</c:v>
                </c:pt>
                <c:pt idx="20">
                  <c:v>3.8780000000000002E-2</c:v>
                </c:pt>
                <c:pt idx="21">
                  <c:v>3.823E-2</c:v>
                </c:pt>
                <c:pt idx="22">
                  <c:v>3.7740000000000003E-2</c:v>
                </c:pt>
                <c:pt idx="23">
                  <c:v>3.7220000000000003E-2</c:v>
                </c:pt>
                <c:pt idx="24">
                  <c:v>3.6650000000000002E-2</c:v>
                </c:pt>
                <c:pt idx="25">
                  <c:v>3.6049999999999999E-2</c:v>
                </c:pt>
                <c:pt idx="26">
                  <c:v>3.5409999999999997E-2</c:v>
                </c:pt>
                <c:pt idx="27">
                  <c:v>3.4759999999999999E-2</c:v>
                </c:pt>
                <c:pt idx="28">
                  <c:v>3.4119999999999998E-2</c:v>
                </c:pt>
                <c:pt idx="29">
                  <c:v>3.3530000000000004E-2</c:v>
                </c:pt>
                <c:pt idx="30">
                  <c:v>3.2959999999999996E-2</c:v>
                </c:pt>
                <c:pt idx="31">
                  <c:v>3.2440000000000004E-2</c:v>
                </c:pt>
                <c:pt idx="32">
                  <c:v>3.1939999999999996E-2</c:v>
                </c:pt>
                <c:pt idx="33">
                  <c:v>3.1480000000000001E-2</c:v>
                </c:pt>
                <c:pt idx="34">
                  <c:v>3.1050000000000001E-2</c:v>
                </c:pt>
                <c:pt idx="35">
                  <c:v>3.0640000000000001E-2</c:v>
                </c:pt>
                <c:pt idx="36">
                  <c:v>3.0270000000000002E-2</c:v>
                </c:pt>
              </c:numCache>
            </c:numRef>
          </c:val>
          <c:smooth val="0"/>
          <c:extLst>
            <c:ext xmlns:c16="http://schemas.microsoft.com/office/drawing/2014/chart" uri="{C3380CC4-5D6E-409C-BE32-E72D297353CC}">
              <c16:uniqueId val="{0000000B-A27F-4D06-B6BA-7E57AACFB9FE}"/>
            </c:ext>
          </c:extLst>
        </c:ser>
        <c:ser>
          <c:idx val="14"/>
          <c:order val="14"/>
          <c:tx>
            <c:strRef>
              <c:f>'India GDP'!$B$18</c:f>
              <c:strCache>
                <c:ptCount val="1"/>
                <c:pt idx="0">
                  <c:v>OECD SSP 3</c:v>
                </c:pt>
              </c:strCache>
            </c:strRef>
          </c:tx>
          <c:spPr>
            <a:ln w="12700" cap="rnd">
              <a:solidFill>
                <a:schemeClr val="accent3">
                  <a:lumMod val="60000"/>
                  <a:lumOff val="40000"/>
                </a:schemeClr>
              </a:solidFill>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GDP'!$C$18:$AM$18</c:f>
              <c:numCache>
                <c:formatCode>General</c:formatCode>
                <c:ptCount val="37"/>
                <c:pt idx="0">
                  <c:v>5.0490000000000007E-2</c:v>
                </c:pt>
                <c:pt idx="1">
                  <c:v>5.2359999999999997E-2</c:v>
                </c:pt>
                <c:pt idx="2">
                  <c:v>5.4890000000000001E-2</c:v>
                </c:pt>
                <c:pt idx="3">
                  <c:v>5.595E-2</c:v>
                </c:pt>
                <c:pt idx="4">
                  <c:v>5.5399999999999998E-2</c:v>
                </c:pt>
                <c:pt idx="5">
                  <c:v>5.3609999999999998E-2</c:v>
                </c:pt>
                <c:pt idx="6">
                  <c:v>5.0919999999999993E-2</c:v>
                </c:pt>
                <c:pt idx="7">
                  <c:v>4.7690000000000003E-2</c:v>
                </c:pt>
                <c:pt idx="8">
                  <c:v>4.4569999999999999E-2</c:v>
                </c:pt>
                <c:pt idx="9">
                  <c:v>4.1669999999999999E-2</c:v>
                </c:pt>
                <c:pt idx="10">
                  <c:v>3.8969999999999998E-2</c:v>
                </c:pt>
                <c:pt idx="11">
                  <c:v>3.644E-2</c:v>
                </c:pt>
                <c:pt idx="12">
                  <c:v>3.4049999999999997E-2</c:v>
                </c:pt>
                <c:pt idx="13">
                  <c:v>3.1780000000000003E-2</c:v>
                </c:pt>
                <c:pt idx="14">
                  <c:v>2.9609999999999997E-2</c:v>
                </c:pt>
                <c:pt idx="15">
                  <c:v>2.7539999999999999E-2</c:v>
                </c:pt>
                <c:pt idx="16">
                  <c:v>2.5559999999999999E-2</c:v>
                </c:pt>
                <c:pt idx="17">
                  <c:v>2.3700000000000002E-2</c:v>
                </c:pt>
                <c:pt idx="18">
                  <c:v>2.214E-2</c:v>
                </c:pt>
                <c:pt idx="19">
                  <c:v>2.0879999999999999E-2</c:v>
                </c:pt>
                <c:pt idx="20">
                  <c:v>1.9879999999999998E-2</c:v>
                </c:pt>
                <c:pt idx="21">
                  <c:v>1.9110000000000002E-2</c:v>
                </c:pt>
                <c:pt idx="22">
                  <c:v>1.8509999999999999E-2</c:v>
                </c:pt>
                <c:pt idx="23">
                  <c:v>1.789E-2</c:v>
                </c:pt>
                <c:pt idx="24">
                  <c:v>1.7219999999999999E-2</c:v>
                </c:pt>
                <c:pt idx="25">
                  <c:v>1.6500000000000001E-2</c:v>
                </c:pt>
                <c:pt idx="26">
                  <c:v>1.5740000000000001E-2</c:v>
                </c:pt>
                <c:pt idx="27">
                  <c:v>1.4970000000000001E-2</c:v>
                </c:pt>
                <c:pt idx="28">
                  <c:v>1.4239999999999999E-2</c:v>
                </c:pt>
                <c:pt idx="29">
                  <c:v>1.3560000000000001E-2</c:v>
                </c:pt>
                <c:pt idx="30">
                  <c:v>1.2929999999999999E-2</c:v>
                </c:pt>
                <c:pt idx="31">
                  <c:v>1.2350000000000002E-2</c:v>
                </c:pt>
                <c:pt idx="32">
                  <c:v>1.1810000000000001E-2</c:v>
                </c:pt>
                <c:pt idx="33">
                  <c:v>1.1350000000000001E-2</c:v>
                </c:pt>
                <c:pt idx="34">
                  <c:v>1.0970000000000001E-2</c:v>
                </c:pt>
                <c:pt idx="35">
                  <c:v>1.065E-2</c:v>
                </c:pt>
                <c:pt idx="36">
                  <c:v>1.0409999999999999E-2</c:v>
                </c:pt>
              </c:numCache>
            </c:numRef>
          </c:val>
          <c:smooth val="0"/>
          <c:extLst>
            <c:ext xmlns:c16="http://schemas.microsoft.com/office/drawing/2014/chart" uri="{C3380CC4-5D6E-409C-BE32-E72D297353CC}">
              <c16:uniqueId val="{0000000C-A27F-4D06-B6BA-7E57AACFB9FE}"/>
            </c:ext>
          </c:extLst>
        </c:ser>
        <c:ser>
          <c:idx val="15"/>
          <c:order val="15"/>
          <c:tx>
            <c:strRef>
              <c:f>'India GDP'!$B$19</c:f>
              <c:strCache>
                <c:ptCount val="1"/>
                <c:pt idx="0">
                  <c:v>OECD SSP 4</c:v>
                </c:pt>
              </c:strCache>
            </c:strRef>
          </c:tx>
          <c:spPr>
            <a:ln w="12700" cap="rnd">
              <a:solidFill>
                <a:schemeClr val="accent3">
                  <a:lumMod val="75000"/>
                </a:schemeClr>
              </a:solidFill>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GDP'!$C$19:$AM$19</c:f>
              <c:numCache>
                <c:formatCode>General</c:formatCode>
                <c:ptCount val="37"/>
                <c:pt idx="0">
                  <c:v>5.04E-2</c:v>
                </c:pt>
                <c:pt idx="1">
                  <c:v>5.2260000000000001E-2</c:v>
                </c:pt>
                <c:pt idx="2">
                  <c:v>5.4870000000000002E-2</c:v>
                </c:pt>
                <c:pt idx="3">
                  <c:v>5.6390000000000003E-2</c:v>
                </c:pt>
                <c:pt idx="4">
                  <c:v>5.6639999999999996E-2</c:v>
                </c:pt>
                <c:pt idx="5">
                  <c:v>5.5910000000000001E-2</c:v>
                </c:pt>
                <c:pt idx="6">
                  <c:v>5.4440000000000002E-2</c:v>
                </c:pt>
                <c:pt idx="7">
                  <c:v>5.253E-2</c:v>
                </c:pt>
                <c:pt idx="8">
                  <c:v>5.076E-2</c:v>
                </c:pt>
                <c:pt idx="9">
                  <c:v>4.9210000000000004E-2</c:v>
                </c:pt>
                <c:pt idx="10">
                  <c:v>4.7869999999999996E-2</c:v>
                </c:pt>
                <c:pt idx="11">
                  <c:v>4.6689999999999995E-2</c:v>
                </c:pt>
                <c:pt idx="12">
                  <c:v>4.5620000000000001E-2</c:v>
                </c:pt>
                <c:pt idx="13">
                  <c:v>4.4539999999999996E-2</c:v>
                </c:pt>
                <c:pt idx="14">
                  <c:v>4.3400000000000001E-2</c:v>
                </c:pt>
                <c:pt idx="15">
                  <c:v>4.2229999999999997E-2</c:v>
                </c:pt>
                <c:pt idx="16">
                  <c:v>4.1029999999999997E-2</c:v>
                </c:pt>
                <c:pt idx="17">
                  <c:v>3.9830000000000004E-2</c:v>
                </c:pt>
                <c:pt idx="18">
                  <c:v>3.875E-2</c:v>
                </c:pt>
                <c:pt idx="19">
                  <c:v>3.7810000000000003E-2</c:v>
                </c:pt>
                <c:pt idx="20">
                  <c:v>3.6979999999999999E-2</c:v>
                </c:pt>
                <c:pt idx="21">
                  <c:v>3.6269999999999997E-2</c:v>
                </c:pt>
                <c:pt idx="22">
                  <c:v>3.5630000000000002E-2</c:v>
                </c:pt>
                <c:pt idx="23">
                  <c:v>3.4959999999999998E-2</c:v>
                </c:pt>
                <c:pt idx="24">
                  <c:v>3.424E-2</c:v>
                </c:pt>
                <c:pt idx="25">
                  <c:v>3.3489999999999999E-2</c:v>
                </c:pt>
                <c:pt idx="26">
                  <c:v>3.2709999999999996E-2</c:v>
                </c:pt>
                <c:pt idx="27">
                  <c:v>3.1910000000000001E-2</c:v>
                </c:pt>
                <c:pt idx="28">
                  <c:v>3.116E-2</c:v>
                </c:pt>
                <c:pt idx="29">
                  <c:v>3.0449999999999998E-2</c:v>
                </c:pt>
                <c:pt idx="30">
                  <c:v>2.9790000000000001E-2</c:v>
                </c:pt>
                <c:pt idx="31">
                  <c:v>2.9169999999999998E-2</c:v>
                </c:pt>
                <c:pt idx="32">
                  <c:v>2.86E-2</c:v>
                </c:pt>
                <c:pt idx="33">
                  <c:v>2.8079999999999997E-2</c:v>
                </c:pt>
                <c:pt idx="34">
                  <c:v>2.7619999999999999E-2</c:v>
                </c:pt>
                <c:pt idx="35">
                  <c:v>2.7189999999999999E-2</c:v>
                </c:pt>
                <c:pt idx="36">
                  <c:v>2.682E-2</c:v>
                </c:pt>
              </c:numCache>
            </c:numRef>
          </c:val>
          <c:smooth val="0"/>
          <c:extLst>
            <c:ext xmlns:c16="http://schemas.microsoft.com/office/drawing/2014/chart" uri="{C3380CC4-5D6E-409C-BE32-E72D297353CC}">
              <c16:uniqueId val="{0000000D-A27F-4D06-B6BA-7E57AACFB9FE}"/>
            </c:ext>
          </c:extLst>
        </c:ser>
        <c:ser>
          <c:idx val="16"/>
          <c:order val="16"/>
          <c:tx>
            <c:strRef>
              <c:f>'India GDP'!$B$20</c:f>
              <c:strCache>
                <c:ptCount val="1"/>
                <c:pt idx="0">
                  <c:v>OECD SSP 5</c:v>
                </c:pt>
              </c:strCache>
            </c:strRef>
          </c:tx>
          <c:spPr>
            <a:ln w="12700" cap="rnd">
              <a:solidFill>
                <a:schemeClr val="accent3">
                  <a:lumMod val="50000"/>
                </a:schemeClr>
              </a:solidFill>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GDP'!$C$20:$AM$20</c:f>
              <c:numCache>
                <c:formatCode>General</c:formatCode>
                <c:ptCount val="37"/>
                <c:pt idx="0">
                  <c:v>5.0320000000000004E-2</c:v>
                </c:pt>
                <c:pt idx="1">
                  <c:v>5.2080000000000001E-2</c:v>
                </c:pt>
                <c:pt idx="2">
                  <c:v>5.4820000000000001E-2</c:v>
                </c:pt>
                <c:pt idx="3">
                  <c:v>5.7450000000000001E-2</c:v>
                </c:pt>
                <c:pt idx="4">
                  <c:v>5.9740000000000001E-2</c:v>
                </c:pt>
                <c:pt idx="5">
                  <c:v>6.1679999999999999E-2</c:v>
                </c:pt>
                <c:pt idx="6">
                  <c:v>6.3289999999999999E-2</c:v>
                </c:pt>
                <c:pt idx="7">
                  <c:v>6.4649999999999999E-2</c:v>
                </c:pt>
                <c:pt idx="8">
                  <c:v>6.5890000000000004E-2</c:v>
                </c:pt>
                <c:pt idx="9">
                  <c:v>6.7040000000000002E-2</c:v>
                </c:pt>
                <c:pt idx="10">
                  <c:v>6.8070000000000006E-2</c:v>
                </c:pt>
                <c:pt idx="11">
                  <c:v>6.8970000000000004E-2</c:v>
                </c:pt>
                <c:pt idx="12">
                  <c:v>6.9720000000000004E-2</c:v>
                </c:pt>
                <c:pt idx="13">
                  <c:v>7.0300000000000001E-2</c:v>
                </c:pt>
                <c:pt idx="14">
                  <c:v>7.0690000000000003E-2</c:v>
                </c:pt>
                <c:pt idx="15">
                  <c:v>7.0910000000000001E-2</c:v>
                </c:pt>
                <c:pt idx="16">
                  <c:v>7.0970000000000005E-2</c:v>
                </c:pt>
                <c:pt idx="17">
                  <c:v>7.0789999999999992E-2</c:v>
                </c:pt>
                <c:pt idx="18">
                  <c:v>7.0140000000000008E-2</c:v>
                </c:pt>
                <c:pt idx="19">
                  <c:v>6.905E-2</c:v>
                </c:pt>
                <c:pt idx="20">
                  <c:v>6.7670000000000008E-2</c:v>
                </c:pt>
                <c:pt idx="21">
                  <c:v>6.6059999999999994E-2</c:v>
                </c:pt>
                <c:pt idx="22">
                  <c:v>6.4349999999999991E-2</c:v>
                </c:pt>
                <c:pt idx="23">
                  <c:v>6.2649999999999997E-2</c:v>
                </c:pt>
                <c:pt idx="24">
                  <c:v>6.1010000000000002E-2</c:v>
                </c:pt>
                <c:pt idx="25">
                  <c:v>5.9429999999999997E-2</c:v>
                </c:pt>
                <c:pt idx="26">
                  <c:v>5.79E-2</c:v>
                </c:pt>
                <c:pt idx="27">
                  <c:v>5.6420000000000005E-2</c:v>
                </c:pt>
                <c:pt idx="28">
                  <c:v>5.4919999999999997E-2</c:v>
                </c:pt>
                <c:pt idx="29">
                  <c:v>5.3409999999999999E-2</c:v>
                </c:pt>
                <c:pt idx="30">
                  <c:v>5.1909999999999998E-2</c:v>
                </c:pt>
                <c:pt idx="31">
                  <c:v>5.042E-2</c:v>
                </c:pt>
                <c:pt idx="32">
                  <c:v>4.897E-2</c:v>
                </c:pt>
                <c:pt idx="33">
                  <c:v>4.7629999999999999E-2</c:v>
                </c:pt>
                <c:pt idx="34">
                  <c:v>4.6390000000000001E-2</c:v>
                </c:pt>
                <c:pt idx="35">
                  <c:v>4.5240000000000002E-2</c:v>
                </c:pt>
                <c:pt idx="36">
                  <c:v>4.4180000000000004E-2</c:v>
                </c:pt>
              </c:numCache>
            </c:numRef>
          </c:val>
          <c:smooth val="0"/>
          <c:extLst>
            <c:ext xmlns:c16="http://schemas.microsoft.com/office/drawing/2014/chart" uri="{C3380CC4-5D6E-409C-BE32-E72D297353CC}">
              <c16:uniqueId val="{0000000E-A27F-4D06-B6BA-7E57AACFB9FE}"/>
            </c:ext>
          </c:extLst>
        </c:ser>
        <c:dLbls>
          <c:showLegendKey val="0"/>
          <c:showVal val="0"/>
          <c:showCatName val="0"/>
          <c:showSerName val="0"/>
          <c:showPercent val="0"/>
          <c:showBubbleSize val="0"/>
        </c:dLbls>
        <c:smooth val="0"/>
        <c:axId val="357471584"/>
        <c:axId val="357469920"/>
        <c:extLst>
          <c:ext xmlns:c15="http://schemas.microsoft.com/office/drawing/2012/chart" uri="{02D57815-91ED-43cb-92C2-25804820EDAC}">
            <c15:filteredLineSeries>
              <c15:ser>
                <c:idx val="5"/>
                <c:order val="5"/>
                <c:tx>
                  <c:strRef>
                    <c:extLst>
                      <c:ext uri="{02D57815-91ED-43cb-92C2-25804820EDAC}">
                        <c15:formulaRef>
                          <c15:sqref>'India GDP'!$B$9</c15:sqref>
                        </c15:formulaRef>
                      </c:ext>
                    </c:extLst>
                    <c:strCache>
                      <c:ptCount val="1"/>
                      <c:pt idx="0">
                        <c:v>DBT GTO 21 (observed)</c:v>
                      </c:pt>
                    </c:strCache>
                  </c:strRef>
                </c:tx>
                <c:spPr>
                  <a:ln w="41275" cap="rnd">
                    <a:solidFill>
                      <a:schemeClr val="tx1"/>
                    </a:solidFill>
                    <a:prstDash val="dash"/>
                    <a:round/>
                  </a:ln>
                  <a:effectLst/>
                </c:spPr>
                <c:marker>
                  <c:symbol val="none"/>
                </c:marker>
                <c:cat>
                  <c:numRef>
                    <c:extLst>
                      <c:ext uri="{02D57815-91ED-43cb-92C2-25804820EDAC}">
                        <c15:formulaRef>
                          <c15:sqref>'India GDP'!$C$3:$AM$3</c15:sqref>
                        </c15:formulaRef>
                      </c:ext>
                    </c:extLst>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extLst>
                      <c:ext uri="{02D57815-91ED-43cb-92C2-25804820EDAC}">
                        <c15:formulaRef>
                          <c15:sqref>'India GDP'!$C$9:$AM$9</c15:sqref>
                        </c15:formulaRef>
                      </c:ext>
                    </c:extLst>
                    <c:numCache>
                      <c:formatCode>General</c:formatCode>
                      <c:ptCount val="37"/>
                      <c:pt idx="0">
                        <c:v>6.1866410970000001E-2</c:v>
                      </c:pt>
                      <c:pt idx="1">
                        <c:v>6.7967659090000007E-2</c:v>
                      </c:pt>
                      <c:pt idx="2">
                        <c:v>7.0822300559999996E-2</c:v>
                      </c:pt>
                      <c:pt idx="3">
                        <c:v>5.665791026E-2</c:v>
                      </c:pt>
                      <c:pt idx="4">
                        <c:v>5.4331235810000003E-2</c:v>
                      </c:pt>
                      <c:pt idx="5">
                        <c:v>2.9926518459999999E-2</c:v>
                      </c:pt>
                      <c:pt idx="6">
                        <c:v>-8.8711313030000002E-2</c:v>
                      </c:pt>
                    </c:numCache>
                  </c:numRef>
                </c:val>
                <c:smooth val="0"/>
                <c:extLst>
                  <c:ext xmlns:c16="http://schemas.microsoft.com/office/drawing/2014/chart" uri="{C3380CC4-5D6E-409C-BE32-E72D297353CC}">
                    <c16:uniqueId val="{0000000F-A27F-4D06-B6BA-7E57AACFB9FE}"/>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'India GDP'!$B$10</c15:sqref>
                        </c15:formulaRef>
                      </c:ext>
                    </c:extLst>
                    <c:strCache>
                      <c:ptCount val="1"/>
                      <c:pt idx="0">
                        <c:v>DBT GTO 21 (projected)</c:v>
                      </c:pt>
                    </c:strCache>
                  </c:strRef>
                </c:tx>
                <c:spPr>
                  <a:ln w="41275" cap="rnd">
                    <a:solidFill>
                      <a:schemeClr val="tx1"/>
                    </a:solidFill>
                    <a:prstDash val="solid"/>
                    <a:round/>
                  </a:ln>
                  <a:effectLst/>
                </c:spPr>
                <c:marker>
                  <c:symbol val="none"/>
                </c:marker>
                <c:cat>
                  <c:numRef>
                    <c:extLst xmlns:c15="http://schemas.microsoft.com/office/drawing/2012/chart">
                      <c:ext xmlns:c15="http://schemas.microsoft.com/office/drawing/2012/chart" uri="{02D57815-91ED-43cb-92C2-25804820EDAC}">
                        <c15:formulaRef>
                          <c15:sqref>'India GDP'!$C$3:$AM$3</c15:sqref>
                        </c15:formulaRef>
                      </c:ext>
                    </c:extLst>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extLst xmlns:c15="http://schemas.microsoft.com/office/drawing/2012/chart">
                      <c:ext xmlns:c15="http://schemas.microsoft.com/office/drawing/2012/chart" uri="{02D57815-91ED-43cb-92C2-25804820EDAC}">
                        <c15:formulaRef>
                          <c15:sqref>'India GDP'!$C$10:$AM$10</c15:sqref>
                        </c15:formulaRef>
                      </c:ext>
                    </c:extLst>
                    <c:numCache>
                      <c:formatCode>General</c:formatCode>
                      <c:ptCount val="37"/>
                      <c:pt idx="7">
                        <c:v>0.1146331636</c:v>
                      </c:pt>
                      <c:pt idx="8">
                        <c:v>5.9268168859999998E-2</c:v>
                      </c:pt>
                      <c:pt idx="9">
                        <c:v>5.8360426120000003E-2</c:v>
                      </c:pt>
                      <c:pt idx="10">
                        <c:v>5.7376136100000003E-2</c:v>
                      </c:pt>
                      <c:pt idx="11">
                        <c:v>5.6965734330000004E-2</c:v>
                      </c:pt>
                      <c:pt idx="12">
                        <c:v>5.6360279569999998E-2</c:v>
                      </c:pt>
                      <c:pt idx="13">
                        <c:v>5.481894029E-2</c:v>
                      </c:pt>
                      <c:pt idx="14">
                        <c:v>5.3416132710000001E-2</c:v>
                      </c:pt>
                      <c:pt idx="15">
                        <c:v>5.2344203299999996E-2</c:v>
                      </c:pt>
                      <c:pt idx="16">
                        <c:v>5.1456160569999999E-2</c:v>
                      </c:pt>
                      <c:pt idx="17">
                        <c:v>5.0082816010000003E-2</c:v>
                      </c:pt>
                      <c:pt idx="18">
                        <c:v>4.9219716300000001E-2</c:v>
                      </c:pt>
                      <c:pt idx="19">
                        <c:v>4.8337266689999998E-2</c:v>
                      </c:pt>
                      <c:pt idx="20">
                        <c:v>4.7399029080000002E-2</c:v>
                      </c:pt>
                      <c:pt idx="21">
                        <c:v>4.6424928750000004E-2</c:v>
                      </c:pt>
                      <c:pt idx="22">
                        <c:v>4.5027149059999994E-2</c:v>
                      </c:pt>
                      <c:pt idx="23">
                        <c:v>4.4185778180000003E-2</c:v>
                      </c:pt>
                      <c:pt idx="24">
                        <c:v>4.3298050650000003E-2</c:v>
                      </c:pt>
                      <c:pt idx="25">
                        <c:v>4.2353604569999995E-2</c:v>
                      </c:pt>
                      <c:pt idx="26">
                        <c:v>4.1361369000000002E-2</c:v>
                      </c:pt>
                      <c:pt idx="27">
                        <c:v>4.0008424409999993E-2</c:v>
                      </c:pt>
                      <c:pt idx="28">
                        <c:v>3.9064001479999999E-2</c:v>
                      </c:pt>
                      <c:pt idx="29">
                        <c:v>3.8040446999999998E-2</c:v>
                      </c:pt>
                      <c:pt idx="30">
                        <c:v>3.691702685E-2</c:v>
                      </c:pt>
                      <c:pt idx="31">
                        <c:v>3.5712370739999999E-2</c:v>
                      </c:pt>
                      <c:pt idx="32">
                        <c:v>3.402311266E-2</c:v>
                      </c:pt>
                      <c:pt idx="33">
                        <c:v>3.2913191180000002E-2</c:v>
                      </c:pt>
                      <c:pt idx="34">
                        <c:v>3.1788314139999996E-2</c:v>
                      </c:pt>
                      <c:pt idx="35">
                        <c:v>3.0654803730000003E-2</c:v>
                      </c:pt>
                      <c:pt idx="36">
                        <c:v>2.9500644710000003E-2</c:v>
                      </c:pt>
                    </c:numCache>
                  </c:numRef>
                </c:val>
                <c:smooth val="0"/>
                <c:extLst xmlns:c15="http://schemas.microsoft.com/office/drawing/2012/chart">
                  <c:ext xmlns:c16="http://schemas.microsoft.com/office/drawing/2014/chart" uri="{C3380CC4-5D6E-409C-BE32-E72D297353CC}">
                    <c16:uniqueId val="{00000010-A27F-4D06-B6BA-7E57AACFB9FE}"/>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'India GDP'!$B$21</c15:sqref>
                        </c15:formulaRef>
                      </c:ext>
                    </c:extLst>
                    <c:strCache>
                      <c:ptCount val="1"/>
                      <c:pt idx="0">
                        <c:v>IMF (observed)</c:v>
                      </c:pt>
                    </c:strCache>
                  </c:strRef>
                </c:tx>
                <c:spPr>
                  <a:ln w="28575" cap="rnd">
                    <a:solidFill>
                      <a:schemeClr val="accent6">
                        <a:lumMod val="80000"/>
                        <a:lumOff val="20000"/>
                      </a:schemeClr>
                    </a:solidFill>
                    <a:round/>
                  </a:ln>
                  <a:effectLst/>
                </c:spPr>
                <c:marker>
                  <c:symbol val="none"/>
                </c:marker>
                <c:cat>
                  <c:numRef>
                    <c:extLst xmlns:c15="http://schemas.microsoft.com/office/drawing/2012/chart">
                      <c:ext xmlns:c15="http://schemas.microsoft.com/office/drawing/2012/chart" uri="{02D57815-91ED-43cb-92C2-25804820EDAC}">
                        <c15:formulaRef>
                          <c15:sqref>'India GDP'!$C$3:$AM$3</c15:sqref>
                        </c15:formulaRef>
                      </c:ext>
                    </c:extLst>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extLst xmlns:c15="http://schemas.microsoft.com/office/drawing/2012/chart">
                      <c:ext xmlns:c15="http://schemas.microsoft.com/office/drawing/2012/chart" uri="{02D57815-91ED-43cb-92C2-25804820EDAC}">
                        <c15:formulaRef>
                          <c15:sqref>'India GDP'!$C$21:$AM$21</c15:sqref>
                        </c15:formulaRef>
                      </c:ext>
                    </c:extLst>
                    <c:numCache>
                      <c:formatCode>General</c:formatCode>
                      <c:ptCount val="37"/>
                      <c:pt idx="0">
                        <c:v>7.9930999857198037E-2</c:v>
                      </c:pt>
                      <c:pt idx="1">
                        <c:v>7.0064643709770502E-2</c:v>
                      </c:pt>
                      <c:pt idx="2">
                        <c:v>3.8923449913909877E-2</c:v>
                      </c:pt>
                      <c:pt idx="3">
                        <c:v>-5.2843266289839871E-3</c:v>
                      </c:pt>
                      <c:pt idx="4">
                        <c:v>6.9370202652967228E-2</c:v>
                      </c:pt>
                      <c:pt idx="5">
                        <c:v>2.9748515936953213E-3</c:v>
                      </c:pt>
                      <c:pt idx="6">
                        <c:v>1.8629849943130255E-2</c:v>
                      </c:pt>
                      <c:pt idx="7">
                        <c:v>4.2994374951159126E-2</c:v>
                      </c:pt>
                      <c:pt idx="8">
                        <c:v>0.16081650085295274</c:v>
                      </c:pt>
                    </c:numCache>
                  </c:numRef>
                </c:val>
                <c:smooth val="0"/>
                <c:extLst>
                  <c:ext xmlns:c16="http://schemas.microsoft.com/office/drawing/2014/chart" uri="{C3380CC4-5D6E-409C-BE32-E72D297353CC}">
                    <c16:uniqueId val="{00000011-A27F-4D06-B6BA-7E57AACFB9FE}"/>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'India GDP'!$B$22</c15:sqref>
                        </c15:formulaRef>
                      </c:ext>
                    </c:extLst>
                    <c:strCache>
                      <c:ptCount val="1"/>
                      <c:pt idx="0">
                        <c:v>IMF (projected)</c:v>
                      </c:pt>
                    </c:strCache>
                  </c:strRef>
                </c:tx>
                <c:spPr>
                  <a:ln w="28575" cap="rnd">
                    <a:solidFill>
                      <a:schemeClr val="accent1">
                        <a:lumMod val="80000"/>
                      </a:schemeClr>
                    </a:solidFill>
                    <a:round/>
                  </a:ln>
                  <a:effectLst/>
                </c:spPr>
                <c:marker>
                  <c:symbol val="none"/>
                </c:marker>
                <c:val>
                  <c:numRef>
                    <c:extLst xmlns:c15="http://schemas.microsoft.com/office/drawing/2012/chart">
                      <c:ext xmlns:c15="http://schemas.microsoft.com/office/drawing/2012/chart" uri="{02D57815-91ED-43cb-92C2-25804820EDAC}">
                        <c15:formulaRef>
                          <c15:sqref>'India GDP'!$C$22:$AM$22</c15:sqref>
                        </c15:formulaRef>
                      </c:ext>
                    </c:extLst>
                    <c:numCache>
                      <c:formatCode>General</c:formatCode>
                      <c:ptCount val="37"/>
                      <c:pt idx="9">
                        <c:v>0.14824570294062572</c:v>
                      </c:pt>
                      <c:pt idx="10">
                        <c:v>0.13796048248127468</c:v>
                      </c:pt>
                      <c:pt idx="11">
                        <c:v>0.12027975772245172</c:v>
                      </c:pt>
                      <c:pt idx="12">
                        <c:v>0.28556223329089697</c:v>
                      </c:pt>
                      <c:pt idx="13">
                        <c:v>-2.6157032587996367E-2</c:v>
                      </c:pt>
                    </c:numCache>
                  </c:numRef>
                </c:val>
                <c:smooth val="0"/>
                <c:extLst>
                  <c:ext xmlns:c16="http://schemas.microsoft.com/office/drawing/2014/chart" uri="{C3380CC4-5D6E-409C-BE32-E72D297353CC}">
                    <c16:uniqueId val="{00000012-A27F-4D06-B6BA-7E57AACFB9FE}"/>
                  </c:ext>
                </c:extLst>
              </c15:ser>
            </c15:filteredLineSeries>
          </c:ext>
        </c:extLst>
      </c:lineChart>
      <c:catAx>
        <c:axId val="35747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357469920"/>
        <c:crosses val="autoZero"/>
        <c:auto val="1"/>
        <c:lblAlgn val="ctr"/>
        <c:lblOffset val="100"/>
        <c:noMultiLvlLbl val="0"/>
      </c:catAx>
      <c:valAx>
        <c:axId val="357469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GB" b="1"/>
                  <a:t>Annual Growth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7471584"/>
        <c:crosses val="autoZero"/>
        <c:crossBetween val="between"/>
      </c:valAx>
      <c:spPr>
        <a:noFill/>
        <a:ln>
          <a:noFill/>
        </a:ln>
        <a:effectLst/>
      </c:spPr>
    </c:plotArea>
    <c:legend>
      <c:legendPos val="r"/>
      <c:legendEntry>
        <c:idx val="1"/>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Entry>
      <c:legendEntry>
        <c:idx val="4"/>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Entry>
      <c:legendEntry>
        <c:idx val="6"/>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Entry>
      <c:legendEntry>
        <c:idx val="7"/>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Entry>
      <c:legendEntry>
        <c:idx val="11"/>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0.80940706455079681"/>
          <c:y val="0.11914453178089493"/>
          <c:w val="0.16881155899501715"/>
          <c:h val="0.838686996570055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Projected Annual Growth in GDP per capita of</a:t>
            </a:r>
            <a:r>
              <a:rPr lang="en-GB" b="1" baseline="0"/>
              <a:t> India</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520854015782926"/>
          <c:y val="0.16942311910506691"/>
          <c:w val="0.66308440205420005"/>
          <c:h val="0.78232068436060542"/>
        </c:manualLayout>
      </c:layout>
      <c:lineChart>
        <c:grouping val="standard"/>
        <c:varyColors val="0"/>
        <c:ser>
          <c:idx val="1"/>
          <c:order val="1"/>
          <c:tx>
            <c:strRef>
              <c:f>'India GDP'!$B$5</c:f>
              <c:strCache>
                <c:ptCount val="1"/>
                <c:pt idx="0">
                  <c:v>CEPII SSP 2</c:v>
                </c:pt>
              </c:strCache>
            </c:strRef>
          </c:tx>
          <c:spPr>
            <a:ln w="41275" cap="rnd">
              <a:solidFill>
                <a:schemeClr val="accent1">
                  <a:lumMod val="40000"/>
                  <a:lumOff val="60000"/>
                </a:schemeClr>
              </a:solidFill>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GDP'!$C$5:$AM$5</c:f>
              <c:numCache>
                <c:formatCode>General</c:formatCode>
                <c:ptCount val="37"/>
                <c:pt idx="0">
                  <c:v>6.1896971629999999E-2</c:v>
                </c:pt>
                <c:pt idx="1">
                  <c:v>6.7501170860000001E-2</c:v>
                </c:pt>
                <c:pt idx="2">
                  <c:v>7.0742904190000011E-2</c:v>
                </c:pt>
                <c:pt idx="3">
                  <c:v>6.0668942350000005E-2</c:v>
                </c:pt>
                <c:pt idx="4">
                  <c:v>7.5462540750000001E-2</c:v>
                </c:pt>
                <c:pt idx="5">
                  <c:v>7.9998739299999996E-2</c:v>
                </c:pt>
                <c:pt idx="6">
                  <c:v>7.9034622730000004E-2</c:v>
                </c:pt>
                <c:pt idx="7">
                  <c:v>7.7597450930000006E-2</c:v>
                </c:pt>
                <c:pt idx="8">
                  <c:v>7.6141619420000001E-2</c:v>
                </c:pt>
                <c:pt idx="9">
                  <c:v>7.4491327619999992E-2</c:v>
                </c:pt>
                <c:pt idx="10">
                  <c:v>7.2778620749999995E-2</c:v>
                </c:pt>
                <c:pt idx="11">
                  <c:v>7.1190551320000003E-2</c:v>
                </c:pt>
                <c:pt idx="12">
                  <c:v>7.1530293740000001E-2</c:v>
                </c:pt>
                <c:pt idx="13">
                  <c:v>7.043842501E-2</c:v>
                </c:pt>
                <c:pt idx="14">
                  <c:v>6.9117043949999998E-2</c:v>
                </c:pt>
                <c:pt idx="15">
                  <c:v>6.7780476539999995E-2</c:v>
                </c:pt>
                <c:pt idx="16">
                  <c:v>6.6401733939999999E-2</c:v>
                </c:pt>
                <c:pt idx="17">
                  <c:v>6.9924585519999999E-2</c:v>
                </c:pt>
                <c:pt idx="18">
                  <c:v>6.8899441719999996E-2</c:v>
                </c:pt>
                <c:pt idx="19">
                  <c:v>6.8118785479999999E-2</c:v>
                </c:pt>
                <c:pt idx="20">
                  <c:v>6.7197819280000001E-2</c:v>
                </c:pt>
                <c:pt idx="21">
                  <c:v>6.6271419119999994E-2</c:v>
                </c:pt>
                <c:pt idx="22">
                  <c:v>6.5452510089999999E-2</c:v>
                </c:pt>
                <c:pt idx="23">
                  <c:v>6.4362059489999998E-2</c:v>
                </c:pt>
                <c:pt idx="24">
                  <c:v>6.3383301830000002E-2</c:v>
                </c:pt>
                <c:pt idx="25">
                  <c:v>6.245991469E-2</c:v>
                </c:pt>
                <c:pt idx="26">
                  <c:v>6.1540218400000006E-2</c:v>
                </c:pt>
                <c:pt idx="27">
                  <c:v>6.0490625649999998E-2</c:v>
                </c:pt>
                <c:pt idx="28">
                  <c:v>5.9579558720000002E-2</c:v>
                </c:pt>
                <c:pt idx="29">
                  <c:v>5.859985962E-2</c:v>
                </c:pt>
                <c:pt idx="30">
                  <c:v>5.7662319320000002E-2</c:v>
                </c:pt>
                <c:pt idx="31">
                  <c:v>5.6775412019999999E-2</c:v>
                </c:pt>
                <c:pt idx="32">
                  <c:v>5.603530894E-2</c:v>
                </c:pt>
                <c:pt idx="33">
                  <c:v>5.5073391200000002E-2</c:v>
                </c:pt>
                <c:pt idx="34">
                  <c:v>5.4160910569999998E-2</c:v>
                </c:pt>
                <c:pt idx="35">
                  <c:v>5.3286666519999998E-2</c:v>
                </c:pt>
                <c:pt idx="36">
                  <c:v>5.2381686650000002E-2</c:v>
                </c:pt>
              </c:numCache>
            </c:numRef>
          </c:val>
          <c:smooth val="0"/>
          <c:extLst>
            <c:ext xmlns:c16="http://schemas.microsoft.com/office/drawing/2014/chart" uri="{C3380CC4-5D6E-409C-BE32-E72D297353CC}">
              <c16:uniqueId val="{00000000-1FDE-4CA8-81D1-7F2CBC3FDD06}"/>
            </c:ext>
          </c:extLst>
        </c:ser>
        <c:ser>
          <c:idx val="4"/>
          <c:order val="4"/>
          <c:tx>
            <c:strRef>
              <c:f>'India GDP'!$B$8</c:f>
              <c:strCache>
                <c:ptCount val="1"/>
                <c:pt idx="0">
                  <c:v>CEPII SSP 5</c:v>
                </c:pt>
              </c:strCache>
            </c:strRef>
          </c:tx>
          <c:spPr>
            <a:ln w="12700" cap="rnd">
              <a:solidFill>
                <a:schemeClr val="accent1">
                  <a:lumMod val="50000"/>
                </a:schemeClr>
              </a:solidFill>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GDP'!$C$8:$AM$8</c:f>
              <c:numCache>
                <c:formatCode>General</c:formatCode>
                <c:ptCount val="37"/>
                <c:pt idx="0">
                  <c:v>6.2319708420000001E-2</c:v>
                </c:pt>
                <c:pt idx="1">
                  <c:v>6.7901506979999998E-2</c:v>
                </c:pt>
                <c:pt idx="2">
                  <c:v>7.2750271709999995E-2</c:v>
                </c:pt>
                <c:pt idx="3">
                  <c:v>6.257548285999999E-2</c:v>
                </c:pt>
                <c:pt idx="4">
                  <c:v>8.0899726239999997E-2</c:v>
                </c:pt>
                <c:pt idx="5">
                  <c:v>8.6151433589999993E-2</c:v>
                </c:pt>
                <c:pt idx="6">
                  <c:v>8.6028258579999989E-2</c:v>
                </c:pt>
                <c:pt idx="7">
                  <c:v>8.6853379410000001E-2</c:v>
                </c:pt>
                <c:pt idx="8">
                  <c:v>8.5692921759999999E-2</c:v>
                </c:pt>
                <c:pt idx="9">
                  <c:v>8.4217079710000003E-2</c:v>
                </c:pt>
                <c:pt idx="10">
                  <c:v>8.2661061270000002E-2</c:v>
                </c:pt>
                <c:pt idx="11">
                  <c:v>8.1213590010000003E-2</c:v>
                </c:pt>
                <c:pt idx="12">
                  <c:v>8.4018744810000004E-2</c:v>
                </c:pt>
                <c:pt idx="13">
                  <c:v>8.3099069110000007E-2</c:v>
                </c:pt>
                <c:pt idx="14">
                  <c:v>8.1826707780000008E-2</c:v>
                </c:pt>
                <c:pt idx="15">
                  <c:v>8.0553512230000013E-2</c:v>
                </c:pt>
                <c:pt idx="16">
                  <c:v>7.9250988270000003E-2</c:v>
                </c:pt>
                <c:pt idx="17">
                  <c:v>8.5554619130000009E-2</c:v>
                </c:pt>
                <c:pt idx="18">
                  <c:v>8.4663532030000002E-2</c:v>
                </c:pt>
                <c:pt idx="19">
                  <c:v>8.3936570739999994E-2</c:v>
                </c:pt>
                <c:pt idx="20">
                  <c:v>8.3104697010000006E-2</c:v>
                </c:pt>
                <c:pt idx="21">
                  <c:v>8.2193618859999998E-2</c:v>
                </c:pt>
                <c:pt idx="22">
                  <c:v>8.1296042380000003E-2</c:v>
                </c:pt>
                <c:pt idx="23">
                  <c:v>8.0076028019999995E-2</c:v>
                </c:pt>
                <c:pt idx="24">
                  <c:v>7.9009705400000005E-2</c:v>
                </c:pt>
                <c:pt idx="25">
                  <c:v>7.7944565950000003E-2</c:v>
                </c:pt>
                <c:pt idx="26">
                  <c:v>7.6897863969999994E-2</c:v>
                </c:pt>
                <c:pt idx="27">
                  <c:v>7.5981654980000007E-2</c:v>
                </c:pt>
                <c:pt idx="28">
                  <c:v>7.467715758E-2</c:v>
                </c:pt>
                <c:pt idx="29">
                  <c:v>7.3603014389999999E-2</c:v>
                </c:pt>
                <c:pt idx="30">
                  <c:v>7.251461377E-2</c:v>
                </c:pt>
                <c:pt idx="31">
                  <c:v>7.1435928590000003E-2</c:v>
                </c:pt>
                <c:pt idx="32">
                  <c:v>7.054028708E-2</c:v>
                </c:pt>
                <c:pt idx="33">
                  <c:v>6.9320925620000001E-2</c:v>
                </c:pt>
                <c:pt idx="34">
                  <c:v>6.8168062089999995E-2</c:v>
                </c:pt>
                <c:pt idx="35">
                  <c:v>6.7036901450000005E-2</c:v>
                </c:pt>
                <c:pt idx="36">
                  <c:v>6.5935481759999998E-2</c:v>
                </c:pt>
              </c:numCache>
            </c:numRef>
          </c:val>
          <c:smooth val="0"/>
          <c:extLst>
            <c:ext xmlns:c16="http://schemas.microsoft.com/office/drawing/2014/chart" uri="{C3380CC4-5D6E-409C-BE32-E72D297353CC}">
              <c16:uniqueId val="{00000001-1FDE-4CA8-81D1-7F2CBC3FDD06}"/>
            </c:ext>
          </c:extLst>
        </c:ser>
        <c:ser>
          <c:idx val="5"/>
          <c:order val="5"/>
          <c:tx>
            <c:strRef>
              <c:f>'India GDP'!$B$9</c:f>
              <c:strCache>
                <c:ptCount val="1"/>
                <c:pt idx="0">
                  <c:v>DBT GTO 21 (observed)</c:v>
                </c:pt>
              </c:strCache>
            </c:strRef>
          </c:tx>
          <c:spPr>
            <a:ln w="41275" cap="rnd">
              <a:solidFill>
                <a:schemeClr val="tx1"/>
              </a:solidFill>
              <a:prstDash val="dash"/>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GDP'!$C$9:$AM$9</c:f>
              <c:numCache>
                <c:formatCode>General</c:formatCode>
                <c:ptCount val="37"/>
                <c:pt idx="0">
                  <c:v>6.1866410970000001E-2</c:v>
                </c:pt>
                <c:pt idx="1">
                  <c:v>6.7967659090000007E-2</c:v>
                </c:pt>
                <c:pt idx="2">
                  <c:v>7.0822300559999996E-2</c:v>
                </c:pt>
                <c:pt idx="3">
                  <c:v>5.665791026E-2</c:v>
                </c:pt>
                <c:pt idx="4">
                  <c:v>5.4331235810000003E-2</c:v>
                </c:pt>
                <c:pt idx="5">
                  <c:v>2.9926518459999999E-2</c:v>
                </c:pt>
                <c:pt idx="6">
                  <c:v>-8.8711313030000002E-2</c:v>
                </c:pt>
              </c:numCache>
            </c:numRef>
          </c:val>
          <c:smooth val="0"/>
          <c:extLst>
            <c:ext xmlns:c16="http://schemas.microsoft.com/office/drawing/2014/chart" uri="{C3380CC4-5D6E-409C-BE32-E72D297353CC}">
              <c16:uniqueId val="{00000002-1FDE-4CA8-81D1-7F2CBC3FDD06}"/>
            </c:ext>
          </c:extLst>
        </c:ser>
        <c:ser>
          <c:idx val="6"/>
          <c:order val="6"/>
          <c:tx>
            <c:strRef>
              <c:f>'India GDP'!$B$10</c:f>
              <c:strCache>
                <c:ptCount val="1"/>
                <c:pt idx="0">
                  <c:v>DBT GTO 21 (projected)</c:v>
                </c:pt>
              </c:strCache>
            </c:strRef>
          </c:tx>
          <c:spPr>
            <a:ln w="41275" cap="rnd">
              <a:solidFill>
                <a:schemeClr val="tx1"/>
              </a:solidFill>
              <a:prstDash val="solid"/>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GDP'!$C$10:$AM$10</c:f>
              <c:numCache>
                <c:formatCode>General</c:formatCode>
                <c:ptCount val="37"/>
                <c:pt idx="7">
                  <c:v>0.1146331636</c:v>
                </c:pt>
                <c:pt idx="8">
                  <c:v>5.9268168859999998E-2</c:v>
                </c:pt>
                <c:pt idx="9">
                  <c:v>5.8360426120000003E-2</c:v>
                </c:pt>
                <c:pt idx="10">
                  <c:v>5.7376136100000003E-2</c:v>
                </c:pt>
                <c:pt idx="11">
                  <c:v>5.6965734330000004E-2</c:v>
                </c:pt>
                <c:pt idx="12">
                  <c:v>5.6360279569999998E-2</c:v>
                </c:pt>
                <c:pt idx="13">
                  <c:v>5.481894029E-2</c:v>
                </c:pt>
                <c:pt idx="14">
                  <c:v>5.3416132710000001E-2</c:v>
                </c:pt>
                <c:pt idx="15">
                  <c:v>5.2344203299999996E-2</c:v>
                </c:pt>
                <c:pt idx="16">
                  <c:v>5.1456160569999999E-2</c:v>
                </c:pt>
                <c:pt idx="17">
                  <c:v>5.0082816010000003E-2</c:v>
                </c:pt>
                <c:pt idx="18">
                  <c:v>4.9219716300000001E-2</c:v>
                </c:pt>
                <c:pt idx="19">
                  <c:v>4.8337266689999998E-2</c:v>
                </c:pt>
                <c:pt idx="20">
                  <c:v>4.7399029080000002E-2</c:v>
                </c:pt>
                <c:pt idx="21">
                  <c:v>4.6424928750000004E-2</c:v>
                </c:pt>
                <c:pt idx="22">
                  <c:v>4.5027149059999994E-2</c:v>
                </c:pt>
                <c:pt idx="23">
                  <c:v>4.4185778180000003E-2</c:v>
                </c:pt>
                <c:pt idx="24">
                  <c:v>4.3298050650000003E-2</c:v>
                </c:pt>
                <c:pt idx="25">
                  <c:v>4.2353604569999995E-2</c:v>
                </c:pt>
                <c:pt idx="26">
                  <c:v>4.1361369000000002E-2</c:v>
                </c:pt>
                <c:pt idx="27">
                  <c:v>4.0008424409999993E-2</c:v>
                </c:pt>
                <c:pt idx="28">
                  <c:v>3.9064001479999999E-2</c:v>
                </c:pt>
                <c:pt idx="29">
                  <c:v>3.8040446999999998E-2</c:v>
                </c:pt>
                <c:pt idx="30">
                  <c:v>3.691702685E-2</c:v>
                </c:pt>
                <c:pt idx="31">
                  <c:v>3.5712370739999999E-2</c:v>
                </c:pt>
                <c:pt idx="32">
                  <c:v>3.402311266E-2</c:v>
                </c:pt>
                <c:pt idx="33">
                  <c:v>3.2913191180000002E-2</c:v>
                </c:pt>
                <c:pt idx="34">
                  <c:v>3.1788314139999996E-2</c:v>
                </c:pt>
                <c:pt idx="35">
                  <c:v>3.0654803730000003E-2</c:v>
                </c:pt>
                <c:pt idx="36">
                  <c:v>2.9500644710000003E-2</c:v>
                </c:pt>
              </c:numCache>
            </c:numRef>
          </c:val>
          <c:smooth val="0"/>
          <c:extLst>
            <c:ext xmlns:c16="http://schemas.microsoft.com/office/drawing/2014/chart" uri="{C3380CC4-5D6E-409C-BE32-E72D297353CC}">
              <c16:uniqueId val="{00000003-1FDE-4CA8-81D1-7F2CBC3FDD06}"/>
            </c:ext>
          </c:extLst>
        </c:ser>
        <c:ser>
          <c:idx val="8"/>
          <c:order val="8"/>
          <c:tx>
            <c:strRef>
              <c:f>'India GDP'!$B$12</c:f>
              <c:strCache>
                <c:ptCount val="1"/>
                <c:pt idx="0">
                  <c:v>IIASA SSP 2</c:v>
                </c:pt>
              </c:strCache>
            </c:strRef>
          </c:tx>
          <c:spPr>
            <a:ln w="41275" cap="rnd">
              <a:solidFill>
                <a:schemeClr val="accent2">
                  <a:lumMod val="40000"/>
                  <a:lumOff val="60000"/>
                </a:schemeClr>
              </a:solidFill>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GDP'!$C$12:$AM$12</c:f>
              <c:numCache>
                <c:formatCode>General</c:formatCode>
                <c:ptCount val="37"/>
                <c:pt idx="0">
                  <c:v>8.7300000000000003E-2</c:v>
                </c:pt>
                <c:pt idx="1">
                  <c:v>8.6039999999999991E-2</c:v>
                </c:pt>
                <c:pt idx="2">
                  <c:v>8.5760000000000003E-2</c:v>
                </c:pt>
                <c:pt idx="3">
                  <c:v>8.4849999999999995E-2</c:v>
                </c:pt>
                <c:pt idx="4">
                  <c:v>8.3219999999999988E-2</c:v>
                </c:pt>
                <c:pt idx="5">
                  <c:v>8.1089999999999995E-2</c:v>
                </c:pt>
                <c:pt idx="6">
                  <c:v>7.8659999999999994E-2</c:v>
                </c:pt>
                <c:pt idx="7">
                  <c:v>7.5940000000000007E-2</c:v>
                </c:pt>
                <c:pt idx="8">
                  <c:v>7.2660000000000002E-2</c:v>
                </c:pt>
                <c:pt idx="9">
                  <c:v>6.8940000000000001E-2</c:v>
                </c:pt>
                <c:pt idx="10">
                  <c:v>6.4960000000000004E-2</c:v>
                </c:pt>
                <c:pt idx="11">
                  <c:v>6.0850000000000001E-2</c:v>
                </c:pt>
                <c:pt idx="12">
                  <c:v>5.6740000000000006E-2</c:v>
                </c:pt>
                <c:pt idx="13">
                  <c:v>5.2900000000000003E-2</c:v>
                </c:pt>
                <c:pt idx="14">
                  <c:v>4.9360000000000001E-2</c:v>
                </c:pt>
                <c:pt idx="15">
                  <c:v>4.607E-2</c:v>
                </c:pt>
                <c:pt idx="16">
                  <c:v>4.2979999999999997E-2</c:v>
                </c:pt>
                <c:pt idx="17">
                  <c:v>4.0099999999999997E-2</c:v>
                </c:pt>
                <c:pt idx="18">
                  <c:v>3.746E-2</c:v>
                </c:pt>
                <c:pt idx="19">
                  <c:v>3.5049999999999998E-2</c:v>
                </c:pt>
                <c:pt idx="20">
                  <c:v>3.2840000000000001E-2</c:v>
                </c:pt>
                <c:pt idx="21">
                  <c:v>3.0810000000000001E-2</c:v>
                </c:pt>
                <c:pt idx="22">
                  <c:v>2.8929999999999997E-2</c:v>
                </c:pt>
                <c:pt idx="23">
                  <c:v>2.7200000000000002E-2</c:v>
                </c:pt>
                <c:pt idx="24">
                  <c:v>2.5600000000000001E-2</c:v>
                </c:pt>
                <c:pt idx="25">
                  <c:v>2.4119999999999999E-2</c:v>
                </c:pt>
                <c:pt idx="26">
                  <c:v>2.274E-2</c:v>
                </c:pt>
                <c:pt idx="27">
                  <c:v>2.146E-2</c:v>
                </c:pt>
                <c:pt idx="28">
                  <c:v>2.0369999999999999E-2</c:v>
                </c:pt>
                <c:pt idx="29">
                  <c:v>1.9459999999999998E-2</c:v>
                </c:pt>
                <c:pt idx="30">
                  <c:v>1.8710000000000001E-2</c:v>
                </c:pt>
                <c:pt idx="31">
                  <c:v>1.8110000000000001E-2</c:v>
                </c:pt>
                <c:pt idx="32">
                  <c:v>1.7639999999999999E-2</c:v>
                </c:pt>
                <c:pt idx="33">
                  <c:v>1.7260000000000001E-2</c:v>
                </c:pt>
                <c:pt idx="34">
                  <c:v>1.695E-2</c:v>
                </c:pt>
                <c:pt idx="35">
                  <c:v>1.67E-2</c:v>
                </c:pt>
                <c:pt idx="36">
                  <c:v>1.652E-2</c:v>
                </c:pt>
              </c:numCache>
            </c:numRef>
          </c:val>
          <c:smooth val="0"/>
          <c:extLst>
            <c:ext xmlns:c16="http://schemas.microsoft.com/office/drawing/2014/chart" uri="{C3380CC4-5D6E-409C-BE32-E72D297353CC}">
              <c16:uniqueId val="{00000004-1FDE-4CA8-81D1-7F2CBC3FDD06}"/>
            </c:ext>
          </c:extLst>
        </c:ser>
        <c:ser>
          <c:idx val="9"/>
          <c:order val="9"/>
          <c:tx>
            <c:strRef>
              <c:f>'India GDP'!$B$13</c:f>
              <c:strCache>
                <c:ptCount val="1"/>
                <c:pt idx="0">
                  <c:v>IIASA SSP 3</c:v>
                </c:pt>
              </c:strCache>
            </c:strRef>
          </c:tx>
          <c:spPr>
            <a:ln w="12700" cap="rnd">
              <a:solidFill>
                <a:schemeClr val="accent2">
                  <a:lumMod val="60000"/>
                  <a:lumOff val="40000"/>
                </a:schemeClr>
              </a:solidFill>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GDP'!$C$13:$AM$13</c:f>
              <c:numCache>
                <c:formatCode>General</c:formatCode>
                <c:ptCount val="37"/>
                <c:pt idx="0">
                  <c:v>8.3989999999999995E-2</c:v>
                </c:pt>
                <c:pt idx="1">
                  <c:v>8.1689999999999999E-2</c:v>
                </c:pt>
                <c:pt idx="2">
                  <c:v>8.0329999999999999E-2</c:v>
                </c:pt>
                <c:pt idx="3">
                  <c:v>7.844000000000001E-2</c:v>
                </c:pt>
                <c:pt idx="4">
                  <c:v>7.5940000000000007E-2</c:v>
                </c:pt>
                <c:pt idx="5">
                  <c:v>7.307000000000001E-2</c:v>
                </c:pt>
                <c:pt idx="6">
                  <c:v>6.9980000000000001E-2</c:v>
                </c:pt>
                <c:pt idx="7">
                  <c:v>6.6710000000000005E-2</c:v>
                </c:pt>
                <c:pt idx="8">
                  <c:v>6.2990000000000004E-2</c:v>
                </c:pt>
                <c:pt idx="9">
                  <c:v>5.892E-2</c:v>
                </c:pt>
                <c:pt idx="10">
                  <c:v>5.4619999999999995E-2</c:v>
                </c:pt>
                <c:pt idx="11">
                  <c:v>5.0189999999999999E-2</c:v>
                </c:pt>
                <c:pt idx="12">
                  <c:v>4.5780000000000001E-2</c:v>
                </c:pt>
                <c:pt idx="13">
                  <c:v>4.1749999999999995E-2</c:v>
                </c:pt>
                <c:pt idx="14">
                  <c:v>3.8130000000000004E-2</c:v>
                </c:pt>
                <c:pt idx="15">
                  <c:v>3.4860000000000002E-2</c:v>
                </c:pt>
                <c:pt idx="16">
                  <c:v>3.1879999999999999E-2</c:v>
                </c:pt>
                <c:pt idx="17">
                  <c:v>2.9149999999999999E-2</c:v>
                </c:pt>
                <c:pt idx="18">
                  <c:v>2.6619999999999998E-2</c:v>
                </c:pt>
                <c:pt idx="19">
                  <c:v>2.4249999999999997E-2</c:v>
                </c:pt>
                <c:pt idx="20">
                  <c:v>2.2029999999999998E-2</c:v>
                </c:pt>
                <c:pt idx="21">
                  <c:v>1.9910000000000001E-2</c:v>
                </c:pt>
                <c:pt idx="22">
                  <c:v>1.7920000000000002E-2</c:v>
                </c:pt>
                <c:pt idx="23">
                  <c:v>1.6120000000000002E-2</c:v>
                </c:pt>
                <c:pt idx="24">
                  <c:v>1.451E-2</c:v>
                </c:pt>
                <c:pt idx="25">
                  <c:v>1.307E-2</c:v>
                </c:pt>
                <c:pt idx="26">
                  <c:v>1.1779999999999999E-2</c:v>
                </c:pt>
                <c:pt idx="27">
                  <c:v>1.0620000000000001E-2</c:v>
                </c:pt>
                <c:pt idx="28">
                  <c:v>9.5399999999999999E-3</c:v>
                </c:pt>
                <c:pt idx="29">
                  <c:v>8.539999999999999E-3</c:v>
                </c:pt>
                <c:pt idx="30">
                  <c:v>7.5900000000000004E-3</c:v>
                </c:pt>
                <c:pt idx="31">
                  <c:v>6.7000000000000002E-3</c:v>
                </c:pt>
                <c:pt idx="32">
                  <c:v>5.8799999999999998E-3</c:v>
                </c:pt>
                <c:pt idx="33">
                  <c:v>5.1700000000000001E-3</c:v>
                </c:pt>
                <c:pt idx="34">
                  <c:v>4.5700000000000003E-3</c:v>
                </c:pt>
                <c:pt idx="35">
                  <c:v>4.0799999999999994E-3</c:v>
                </c:pt>
                <c:pt idx="36">
                  <c:v>3.7000000000000002E-3</c:v>
                </c:pt>
              </c:numCache>
            </c:numRef>
          </c:val>
          <c:smooth val="0"/>
          <c:extLst>
            <c:ext xmlns:c16="http://schemas.microsoft.com/office/drawing/2014/chart" uri="{C3380CC4-5D6E-409C-BE32-E72D297353CC}">
              <c16:uniqueId val="{00000005-1FDE-4CA8-81D1-7F2CBC3FDD06}"/>
            </c:ext>
          </c:extLst>
        </c:ser>
        <c:ser>
          <c:idx val="13"/>
          <c:order val="13"/>
          <c:tx>
            <c:strRef>
              <c:f>'India GDP'!$B$17</c:f>
              <c:strCache>
                <c:ptCount val="1"/>
                <c:pt idx="0">
                  <c:v>OECD SSP 2</c:v>
                </c:pt>
              </c:strCache>
            </c:strRef>
          </c:tx>
          <c:spPr>
            <a:ln w="41275" cap="rnd">
              <a:solidFill>
                <a:schemeClr val="accent3">
                  <a:lumMod val="40000"/>
                  <a:lumOff val="60000"/>
                </a:schemeClr>
              </a:solidFill>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GDP'!$C$17:$AM$17</c:f>
              <c:numCache>
                <c:formatCode>General</c:formatCode>
                <c:ptCount val="37"/>
                <c:pt idx="0">
                  <c:v>5.0389999999999997E-2</c:v>
                </c:pt>
                <c:pt idx="1">
                  <c:v>5.2160000000000005E-2</c:v>
                </c:pt>
                <c:pt idx="2">
                  <c:v>5.4730000000000001E-2</c:v>
                </c:pt>
                <c:pt idx="3">
                  <c:v>5.638E-2</c:v>
                </c:pt>
                <c:pt idx="4">
                  <c:v>5.6929999999999994E-2</c:v>
                </c:pt>
                <c:pt idx="5">
                  <c:v>5.6609999999999994E-2</c:v>
                </c:pt>
                <c:pt idx="6">
                  <c:v>5.5620000000000003E-2</c:v>
                </c:pt>
                <c:pt idx="7">
                  <c:v>5.4199999999999998E-2</c:v>
                </c:pt>
                <c:pt idx="8">
                  <c:v>5.2720000000000003E-2</c:v>
                </c:pt>
                <c:pt idx="9">
                  <c:v>5.1249999999999997E-2</c:v>
                </c:pt>
                <c:pt idx="10">
                  <c:v>4.9820000000000003E-2</c:v>
                </c:pt>
                <c:pt idx="11">
                  <c:v>4.8419999999999998E-2</c:v>
                </c:pt>
                <c:pt idx="12">
                  <c:v>4.7070000000000001E-2</c:v>
                </c:pt>
                <c:pt idx="13">
                  <c:v>4.5780000000000001E-2</c:v>
                </c:pt>
                <c:pt idx="14">
                  <c:v>4.4549999999999999E-2</c:v>
                </c:pt>
                <c:pt idx="15">
                  <c:v>4.3369999999999999E-2</c:v>
                </c:pt>
                <c:pt idx="16">
                  <c:v>4.2229999999999997E-2</c:v>
                </c:pt>
                <c:pt idx="17">
                  <c:v>4.1169999999999998E-2</c:v>
                </c:pt>
                <c:pt idx="18">
                  <c:v>4.0239999999999998E-2</c:v>
                </c:pt>
                <c:pt idx="19">
                  <c:v>3.9449999999999999E-2</c:v>
                </c:pt>
                <c:pt idx="20">
                  <c:v>3.8780000000000002E-2</c:v>
                </c:pt>
                <c:pt idx="21">
                  <c:v>3.823E-2</c:v>
                </c:pt>
                <c:pt idx="22">
                  <c:v>3.7740000000000003E-2</c:v>
                </c:pt>
                <c:pt idx="23">
                  <c:v>3.7220000000000003E-2</c:v>
                </c:pt>
                <c:pt idx="24">
                  <c:v>3.6650000000000002E-2</c:v>
                </c:pt>
                <c:pt idx="25">
                  <c:v>3.6049999999999999E-2</c:v>
                </c:pt>
                <c:pt idx="26">
                  <c:v>3.5409999999999997E-2</c:v>
                </c:pt>
                <c:pt idx="27">
                  <c:v>3.4759999999999999E-2</c:v>
                </c:pt>
                <c:pt idx="28">
                  <c:v>3.4119999999999998E-2</c:v>
                </c:pt>
                <c:pt idx="29">
                  <c:v>3.3530000000000004E-2</c:v>
                </c:pt>
                <c:pt idx="30">
                  <c:v>3.2959999999999996E-2</c:v>
                </c:pt>
                <c:pt idx="31">
                  <c:v>3.2440000000000004E-2</c:v>
                </c:pt>
                <c:pt idx="32">
                  <c:v>3.1939999999999996E-2</c:v>
                </c:pt>
                <c:pt idx="33">
                  <c:v>3.1480000000000001E-2</c:v>
                </c:pt>
                <c:pt idx="34">
                  <c:v>3.1050000000000001E-2</c:v>
                </c:pt>
                <c:pt idx="35">
                  <c:v>3.0640000000000001E-2</c:v>
                </c:pt>
                <c:pt idx="36">
                  <c:v>3.0270000000000002E-2</c:v>
                </c:pt>
              </c:numCache>
            </c:numRef>
          </c:val>
          <c:smooth val="0"/>
          <c:extLst>
            <c:ext xmlns:c16="http://schemas.microsoft.com/office/drawing/2014/chart" uri="{C3380CC4-5D6E-409C-BE32-E72D297353CC}">
              <c16:uniqueId val="{00000006-1FDE-4CA8-81D1-7F2CBC3FDD06}"/>
            </c:ext>
          </c:extLst>
        </c:ser>
        <c:ser>
          <c:idx val="17"/>
          <c:order val="17"/>
          <c:tx>
            <c:strRef>
              <c:f>'India GDP'!$B$21</c:f>
              <c:strCache>
                <c:ptCount val="1"/>
                <c:pt idx="0">
                  <c:v>IMF (observed)</c:v>
                </c:pt>
              </c:strCache>
            </c:strRef>
          </c:tx>
          <c:spPr>
            <a:ln w="41275" cap="rnd">
              <a:solidFill>
                <a:schemeClr val="accent5">
                  <a:lumMod val="50000"/>
                </a:schemeClr>
              </a:solidFill>
              <a:prstDash val="dash"/>
              <a:round/>
            </a:ln>
            <a:effectLst/>
          </c:spPr>
          <c:marker>
            <c:symbol val="none"/>
          </c:marker>
          <c:cat>
            <c:numRef>
              <c:f>'India GDP'!$C$3:$AM$3</c:f>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'India GDP'!$C$21:$AM$21</c:f>
              <c:numCache>
                <c:formatCode>General</c:formatCode>
                <c:ptCount val="37"/>
                <c:pt idx="0">
                  <c:v>7.9930999857198037E-2</c:v>
                </c:pt>
                <c:pt idx="1">
                  <c:v>7.0064643709770502E-2</c:v>
                </c:pt>
                <c:pt idx="2">
                  <c:v>3.8923449913909877E-2</c:v>
                </c:pt>
                <c:pt idx="3">
                  <c:v>-5.2843266289839871E-3</c:v>
                </c:pt>
                <c:pt idx="4">
                  <c:v>6.9370202652967228E-2</c:v>
                </c:pt>
                <c:pt idx="5">
                  <c:v>2.9748515936953213E-3</c:v>
                </c:pt>
                <c:pt idx="6">
                  <c:v>1.8629849943130255E-2</c:v>
                </c:pt>
                <c:pt idx="7">
                  <c:v>4.2994374951159126E-2</c:v>
                </c:pt>
                <c:pt idx="8">
                  <c:v>0.16081650085295274</c:v>
                </c:pt>
              </c:numCache>
            </c:numRef>
          </c:val>
          <c:smooth val="0"/>
          <c:extLst>
            <c:ext xmlns:c16="http://schemas.microsoft.com/office/drawing/2014/chart" uri="{C3380CC4-5D6E-409C-BE32-E72D297353CC}">
              <c16:uniqueId val="{00000007-1FDE-4CA8-81D1-7F2CBC3FDD06}"/>
            </c:ext>
          </c:extLst>
        </c:ser>
        <c:ser>
          <c:idx val="18"/>
          <c:order val="18"/>
          <c:tx>
            <c:strRef>
              <c:f>'India GDP'!$B$22</c:f>
              <c:strCache>
                <c:ptCount val="1"/>
                <c:pt idx="0">
                  <c:v>IMF (projected)</c:v>
                </c:pt>
              </c:strCache>
            </c:strRef>
          </c:tx>
          <c:spPr>
            <a:ln w="41275" cap="rnd">
              <a:solidFill>
                <a:schemeClr val="accent5">
                  <a:lumMod val="50000"/>
                </a:schemeClr>
              </a:solidFill>
              <a:round/>
            </a:ln>
            <a:effectLst/>
          </c:spPr>
          <c:marker>
            <c:symbol val="none"/>
          </c:marker>
          <c:val>
            <c:numRef>
              <c:f>'India GDP'!$C$22:$AM$22</c:f>
              <c:numCache>
                <c:formatCode>General</c:formatCode>
                <c:ptCount val="37"/>
                <c:pt idx="9">
                  <c:v>0.14824570294062572</c:v>
                </c:pt>
                <c:pt idx="10">
                  <c:v>0.13796048248127468</c:v>
                </c:pt>
                <c:pt idx="11">
                  <c:v>0.12027975772245172</c:v>
                </c:pt>
                <c:pt idx="12">
                  <c:v>0.28556223329089697</c:v>
                </c:pt>
                <c:pt idx="13">
                  <c:v>-2.6157032587996367E-2</c:v>
                </c:pt>
              </c:numCache>
            </c:numRef>
          </c:val>
          <c:smooth val="0"/>
          <c:extLst>
            <c:ext xmlns:c16="http://schemas.microsoft.com/office/drawing/2014/chart" uri="{C3380CC4-5D6E-409C-BE32-E72D297353CC}">
              <c16:uniqueId val="{00000008-1FDE-4CA8-81D1-7F2CBC3FDD06}"/>
            </c:ext>
          </c:extLst>
        </c:ser>
        <c:dLbls>
          <c:showLegendKey val="0"/>
          <c:showVal val="0"/>
          <c:showCatName val="0"/>
          <c:showSerName val="0"/>
          <c:showPercent val="0"/>
          <c:showBubbleSize val="0"/>
        </c:dLbls>
        <c:smooth val="0"/>
        <c:axId val="357471584"/>
        <c:axId val="357469920"/>
        <c:extLst>
          <c:ext xmlns:c15="http://schemas.microsoft.com/office/drawing/2012/chart" uri="{02D57815-91ED-43cb-92C2-25804820EDAC}">
            <c15:filteredLineSeries>
              <c15:ser>
                <c:idx val="0"/>
                <c:order val="0"/>
                <c:tx>
                  <c:strRef>
                    <c:extLst>
                      <c:ext uri="{02D57815-91ED-43cb-92C2-25804820EDAC}">
                        <c15:formulaRef>
                          <c15:sqref>'India GDP'!$B$4</c15:sqref>
                        </c15:formulaRef>
                      </c:ext>
                    </c:extLst>
                    <c:strCache>
                      <c:ptCount val="1"/>
                      <c:pt idx="0">
                        <c:v>CEPII SSP 1</c:v>
                      </c:pt>
                    </c:strCache>
                  </c:strRef>
                </c:tx>
                <c:spPr>
                  <a:ln w="12700" cap="rnd">
                    <a:solidFill>
                      <a:schemeClr val="accent1">
                        <a:lumMod val="20000"/>
                        <a:lumOff val="80000"/>
                      </a:schemeClr>
                    </a:solidFill>
                    <a:round/>
                  </a:ln>
                  <a:effectLst/>
                </c:spPr>
                <c:marker>
                  <c:symbol val="none"/>
                </c:marker>
                <c:cat>
                  <c:numRef>
                    <c:extLst>
                      <c:ext uri="{02D57815-91ED-43cb-92C2-25804820EDAC}">
                        <c15:formulaRef>
                          <c15:sqref>'India GDP'!$C$3:$AM$3</c15:sqref>
                        </c15:formulaRef>
                      </c:ext>
                    </c:extLst>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extLst>
                      <c:ext uri="{02D57815-91ED-43cb-92C2-25804820EDAC}">
                        <c15:formulaRef>
                          <c15:sqref>'India GDP'!$C$4:$AM$4</c15:sqref>
                        </c15:formulaRef>
                      </c:ext>
                    </c:extLst>
                    <c:numCache>
                      <c:formatCode>General</c:formatCode>
                      <c:ptCount val="37"/>
                      <c:pt idx="0">
                        <c:v>6.2307226480000005E-2</c:v>
                      </c:pt>
                      <c:pt idx="1">
                        <c:v>6.7888948520000006E-2</c:v>
                      </c:pt>
                      <c:pt idx="2">
                        <c:v>7.2715485800000007E-2</c:v>
                      </c:pt>
                      <c:pt idx="3">
                        <c:v>6.254082183000001E-2</c:v>
                      </c:pt>
                      <c:pt idx="4">
                        <c:v>7.7109232659999999E-2</c:v>
                      </c:pt>
                      <c:pt idx="5">
                        <c:v>8.1609875509999999E-2</c:v>
                      </c:pt>
                      <c:pt idx="6">
                        <c:v>8.073958979000001E-2</c:v>
                      </c:pt>
                      <c:pt idx="7">
                        <c:v>8.1630615109999999E-2</c:v>
                      </c:pt>
                      <c:pt idx="8">
                        <c:v>8.0337893709999997E-2</c:v>
                      </c:pt>
                      <c:pt idx="9">
                        <c:v>7.878581417000001E-2</c:v>
                      </c:pt>
                      <c:pt idx="10">
                        <c:v>7.7165991089999997E-2</c:v>
                      </c:pt>
                      <c:pt idx="11">
                        <c:v>7.5665601309999997E-2</c:v>
                      </c:pt>
                      <c:pt idx="12">
                        <c:v>7.8379569639999994E-2</c:v>
                      </c:pt>
                      <c:pt idx="13">
                        <c:v>7.7345524989999997E-2</c:v>
                      </c:pt>
                      <c:pt idx="14">
                        <c:v>7.603865521E-2</c:v>
                      </c:pt>
                      <c:pt idx="15">
                        <c:v>7.4733631509999995E-2</c:v>
                      </c:pt>
                      <c:pt idx="16">
                        <c:v>7.3401132349999995E-2</c:v>
                      </c:pt>
                      <c:pt idx="17">
                        <c:v>7.6948589280000007E-2</c:v>
                      </c:pt>
                      <c:pt idx="18">
                        <c:v>7.59335379E-2</c:v>
                      </c:pt>
                      <c:pt idx="19">
                        <c:v>7.5225037480000007E-2</c:v>
                      </c:pt>
                      <c:pt idx="20">
                        <c:v>7.4314325610000009E-2</c:v>
                      </c:pt>
                      <c:pt idx="21">
                        <c:v>7.3344757930000004E-2</c:v>
                      </c:pt>
                      <c:pt idx="22">
                        <c:v>7.2521463160000008E-2</c:v>
                      </c:pt>
                      <c:pt idx="23">
                        <c:v>7.1299869599999996E-2</c:v>
                      </c:pt>
                      <c:pt idx="24">
                        <c:v>7.0235886770000006E-2</c:v>
                      </c:pt>
                      <c:pt idx="25">
                        <c:v>6.9227979669999995E-2</c:v>
                      </c:pt>
                      <c:pt idx="26">
                        <c:v>6.8233293890000005E-2</c:v>
                      </c:pt>
                      <c:pt idx="27">
                        <c:v>6.707997886E-2</c:v>
                      </c:pt>
                      <c:pt idx="28">
                        <c:v>6.6001650189999997E-2</c:v>
                      </c:pt>
                      <c:pt idx="29">
                        <c:v>6.4927969289999998E-2</c:v>
                      </c:pt>
                      <c:pt idx="30">
                        <c:v>6.3889974129999999E-2</c:v>
                      </c:pt>
                      <c:pt idx="31">
                        <c:v>6.290658298E-2</c:v>
                      </c:pt>
                      <c:pt idx="32">
                        <c:v>6.1920811459999996E-2</c:v>
                      </c:pt>
                      <c:pt idx="33">
                        <c:v>6.0759994610000007E-2</c:v>
                      </c:pt>
                      <c:pt idx="34">
                        <c:v>5.9715448689999999E-2</c:v>
                      </c:pt>
                      <c:pt idx="35">
                        <c:v>5.8717918139999999E-2</c:v>
                      </c:pt>
                      <c:pt idx="36">
                        <c:v>5.7702041690000004E-2</c:v>
                      </c:pt>
                    </c:numCache>
                  </c:numRef>
                </c:val>
                <c:smooth val="0"/>
                <c:extLst>
                  <c:ext xmlns:c16="http://schemas.microsoft.com/office/drawing/2014/chart" uri="{C3380CC4-5D6E-409C-BE32-E72D297353CC}">
                    <c16:uniqueId val="{00000009-1FDE-4CA8-81D1-7F2CBC3FDD06}"/>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'India GDP'!$B$6</c15:sqref>
                        </c15:formulaRef>
                      </c:ext>
                    </c:extLst>
                    <c:strCache>
                      <c:ptCount val="1"/>
                      <c:pt idx="0">
                        <c:v>CEPII SSP 3</c:v>
                      </c:pt>
                    </c:strCache>
                  </c:strRef>
                </c:tx>
                <c:spPr>
                  <a:ln w="12700" cap="rnd">
                    <a:solidFill>
                      <a:schemeClr val="accent1">
                        <a:lumMod val="60000"/>
                        <a:lumOff val="40000"/>
                      </a:schemeClr>
                    </a:solidFill>
                    <a:round/>
                  </a:ln>
                  <a:effectLst/>
                </c:spPr>
                <c:marker>
                  <c:symbol val="none"/>
                </c:marker>
                <c:cat>
                  <c:numRef>
                    <c:extLst xmlns:c15="http://schemas.microsoft.com/office/drawing/2012/chart">
                      <c:ext xmlns:c15="http://schemas.microsoft.com/office/drawing/2012/chart" uri="{02D57815-91ED-43cb-92C2-25804820EDAC}">
                        <c15:formulaRef>
                          <c15:sqref>'India GDP'!$C$3:$AM$3</c15:sqref>
                        </c15:formulaRef>
                      </c:ext>
                    </c:extLst>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extLst xmlns:c15="http://schemas.microsoft.com/office/drawing/2012/chart">
                      <c:ext xmlns:c15="http://schemas.microsoft.com/office/drawing/2012/chart" uri="{02D57815-91ED-43cb-92C2-25804820EDAC}">
                        <c15:formulaRef>
                          <c15:sqref>'India GDP'!$C$6:$AM$6</c15:sqref>
                        </c15:formulaRef>
                      </c:ext>
                    </c:extLst>
                    <c:numCache>
                      <c:formatCode>General</c:formatCode>
                      <c:ptCount val="37"/>
                      <c:pt idx="0">
                        <c:v>6.1579565919999996E-2</c:v>
                      </c:pt>
                      <c:pt idx="1">
                        <c:v>6.7197513129999997E-2</c:v>
                      </c:pt>
                      <c:pt idx="2">
                        <c:v>6.9047653899999992E-2</c:v>
                      </c:pt>
                      <c:pt idx="3">
                        <c:v>5.9024540639999998E-2</c:v>
                      </c:pt>
                      <c:pt idx="4">
                        <c:v>6.9460917009999998E-2</c:v>
                      </c:pt>
                      <c:pt idx="5">
                        <c:v>7.3721733989999996E-2</c:v>
                      </c:pt>
                      <c:pt idx="6">
                        <c:v>7.2372995629999992E-2</c:v>
                      </c:pt>
                      <c:pt idx="7">
                        <c:v>6.877910089E-2</c:v>
                      </c:pt>
                      <c:pt idx="8">
                        <c:v>6.6765481590000009E-2</c:v>
                      </c:pt>
                      <c:pt idx="9">
                        <c:v>6.4826304060000006E-2</c:v>
                      </c:pt>
                      <c:pt idx="10">
                        <c:v>6.2828190330000006E-2</c:v>
                      </c:pt>
                      <c:pt idx="11">
                        <c:v>6.0963797590000007E-2</c:v>
                      </c:pt>
                      <c:pt idx="12">
                        <c:v>5.9052801109999997E-2</c:v>
                      </c:pt>
                      <c:pt idx="13">
                        <c:v>5.7561765180000002E-2</c:v>
                      </c:pt>
                      <c:pt idx="14">
                        <c:v>5.5979231589999998E-2</c:v>
                      </c:pt>
                      <c:pt idx="15">
                        <c:v>5.4365508950000002E-2</c:v>
                      </c:pt>
                      <c:pt idx="16">
                        <c:v>5.269482323E-2</c:v>
                      </c:pt>
                      <c:pt idx="17">
                        <c:v>5.6002671709999993E-2</c:v>
                      </c:pt>
                      <c:pt idx="18">
                        <c:v>5.4884541179999996E-2</c:v>
                      </c:pt>
                      <c:pt idx="19">
                        <c:v>5.3823025409999996E-2</c:v>
                      </c:pt>
                      <c:pt idx="20">
                        <c:v>5.269010801E-2</c:v>
                      </c:pt>
                      <c:pt idx="21">
                        <c:v>5.1614859119999995E-2</c:v>
                      </c:pt>
                      <c:pt idx="22">
                        <c:v>5.0764481710000003E-2</c:v>
                      </c:pt>
                      <c:pt idx="23">
                        <c:v>4.965957285E-2</c:v>
                      </c:pt>
                      <c:pt idx="24">
                        <c:v>4.8622575719999998E-2</c:v>
                      </c:pt>
                      <c:pt idx="25">
                        <c:v>4.7636830760000005E-2</c:v>
                      </c:pt>
                      <c:pt idx="26">
                        <c:v>4.6651860789999999E-2</c:v>
                      </c:pt>
                      <c:pt idx="27">
                        <c:v>4.5560580619999999E-2</c:v>
                      </c:pt>
                      <c:pt idx="28">
                        <c:v>4.4670378719999994E-2</c:v>
                      </c:pt>
                      <c:pt idx="29">
                        <c:v>4.3669928230000002E-2</c:v>
                      </c:pt>
                      <c:pt idx="30">
                        <c:v>4.2722366139999995E-2</c:v>
                      </c:pt>
                      <c:pt idx="31">
                        <c:v>4.1829669679999994E-2</c:v>
                      </c:pt>
                      <c:pt idx="32">
                        <c:v>4.0894174760000006E-2</c:v>
                      </c:pt>
                      <c:pt idx="33">
                        <c:v>3.9999252329999999E-2</c:v>
                      </c:pt>
                      <c:pt idx="34">
                        <c:v>3.9131742679999998E-2</c:v>
                      </c:pt>
                      <c:pt idx="35">
                        <c:v>3.8302503269999996E-2</c:v>
                      </c:pt>
                      <c:pt idx="36">
                        <c:v>3.7439095130000002E-2</c:v>
                      </c:pt>
                    </c:numCache>
                  </c:numRef>
                </c:val>
                <c:smooth val="0"/>
                <c:extLst xmlns:c15="http://schemas.microsoft.com/office/drawing/2012/chart">
                  <c:ext xmlns:c16="http://schemas.microsoft.com/office/drawing/2014/chart" uri="{C3380CC4-5D6E-409C-BE32-E72D297353CC}">
                    <c16:uniqueId val="{0000000A-1FDE-4CA8-81D1-7F2CBC3FDD06}"/>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'India GDP'!$B$7</c15:sqref>
                        </c15:formulaRef>
                      </c:ext>
                    </c:extLst>
                    <c:strCache>
                      <c:ptCount val="1"/>
                      <c:pt idx="0">
                        <c:v>CEPII SSP 4</c:v>
                      </c:pt>
                    </c:strCache>
                  </c:strRef>
                </c:tx>
                <c:spPr>
                  <a:ln w="12700" cap="rnd">
                    <a:solidFill>
                      <a:schemeClr val="accent1">
                        <a:lumMod val="75000"/>
                      </a:schemeClr>
                    </a:solidFill>
                    <a:round/>
                  </a:ln>
                  <a:effectLst/>
                </c:spPr>
                <c:marker>
                  <c:symbol val="none"/>
                </c:marker>
                <c:cat>
                  <c:numRef>
                    <c:extLst xmlns:c15="http://schemas.microsoft.com/office/drawing/2012/chart">
                      <c:ext xmlns:c15="http://schemas.microsoft.com/office/drawing/2012/chart" uri="{02D57815-91ED-43cb-92C2-25804820EDAC}">
                        <c15:formulaRef>
                          <c15:sqref>'India GDP'!$C$3:$AM$3</c15:sqref>
                        </c15:formulaRef>
                      </c:ext>
                    </c:extLst>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extLst xmlns:c15="http://schemas.microsoft.com/office/drawing/2012/chart">
                      <c:ext xmlns:c15="http://schemas.microsoft.com/office/drawing/2012/chart" uri="{02D57815-91ED-43cb-92C2-25804820EDAC}">
                        <c15:formulaRef>
                          <c15:sqref>'India GDP'!$C$7:$AM$7</c15:sqref>
                        </c15:formulaRef>
                      </c:ext>
                    </c:extLst>
                    <c:numCache>
                      <c:formatCode>General</c:formatCode>
                      <c:ptCount val="37"/>
                      <c:pt idx="0">
                        <c:v>6.2086188299999998E-2</c:v>
                      </c:pt>
                      <c:pt idx="1">
                        <c:v>6.7682851540000005E-2</c:v>
                      </c:pt>
                      <c:pt idx="2">
                        <c:v>7.1555853119999999E-2</c:v>
                      </c:pt>
                      <c:pt idx="3">
                        <c:v>6.1450448279999993E-2</c:v>
                      </c:pt>
                      <c:pt idx="4">
                        <c:v>7.1818201799999995E-2</c:v>
                      </c:pt>
                      <c:pt idx="5">
                        <c:v>7.5726930880000001E-2</c:v>
                      </c:pt>
                      <c:pt idx="6">
                        <c:v>7.4341929360000003E-2</c:v>
                      </c:pt>
                      <c:pt idx="7">
                        <c:v>7.3516203390000007E-2</c:v>
                      </c:pt>
                      <c:pt idx="8">
                        <c:v>7.1182705710000002E-2</c:v>
                      </c:pt>
                      <c:pt idx="9">
                        <c:v>6.8816455700000001E-2</c:v>
                      </c:pt>
                      <c:pt idx="10">
                        <c:v>6.6382210250000004E-2</c:v>
                      </c:pt>
                      <c:pt idx="11">
                        <c:v>6.4140494460000003E-2</c:v>
                      </c:pt>
                      <c:pt idx="12">
                        <c:v>6.5468694379999998E-2</c:v>
                      </c:pt>
                      <c:pt idx="13">
                        <c:v>6.3895024389999999E-2</c:v>
                      </c:pt>
                      <c:pt idx="14">
                        <c:v>6.2288764499999996E-2</c:v>
                      </c:pt>
                      <c:pt idx="15">
                        <c:v>6.0840213829999996E-2</c:v>
                      </c:pt>
                      <c:pt idx="16">
                        <c:v>5.952928239E-2</c:v>
                      </c:pt>
                      <c:pt idx="17">
                        <c:v>6.1382471949999996E-2</c:v>
                      </c:pt>
                      <c:pt idx="18">
                        <c:v>6.0210472000000001E-2</c:v>
                      </c:pt>
                      <c:pt idx="19">
                        <c:v>5.9126900480000001E-2</c:v>
                      </c:pt>
                      <c:pt idx="20">
                        <c:v>5.8090418689999999E-2</c:v>
                      </c:pt>
                      <c:pt idx="21">
                        <c:v>5.7107957989999993E-2</c:v>
                      </c:pt>
                      <c:pt idx="22">
                        <c:v>5.6247279759999998E-2</c:v>
                      </c:pt>
                      <c:pt idx="23">
                        <c:v>5.5198638229999999E-2</c:v>
                      </c:pt>
                      <c:pt idx="24">
                        <c:v>5.4213832810000001E-2</c:v>
                      </c:pt>
                      <c:pt idx="25">
                        <c:v>5.3237026470000004E-2</c:v>
                      </c:pt>
                      <c:pt idx="26">
                        <c:v>5.2269697439999999E-2</c:v>
                      </c:pt>
                      <c:pt idx="27">
                        <c:v>5.1406743989999996E-2</c:v>
                      </c:pt>
                      <c:pt idx="28">
                        <c:v>5.0311709450000006E-2</c:v>
                      </c:pt>
                      <c:pt idx="29">
                        <c:v>4.9360069409999999E-2</c:v>
                      </c:pt>
                      <c:pt idx="30">
                        <c:v>4.8419810439999995E-2</c:v>
                      </c:pt>
                      <c:pt idx="31">
                        <c:v>4.7498782579999996E-2</c:v>
                      </c:pt>
                      <c:pt idx="32">
                        <c:v>4.6828684599999996E-2</c:v>
                      </c:pt>
                      <c:pt idx="33">
                        <c:v>4.5862766070000005E-2</c:v>
                      </c:pt>
                      <c:pt idx="34">
                        <c:v>4.4922781660000001E-2</c:v>
                      </c:pt>
                      <c:pt idx="35">
                        <c:v>4.4000703870000005E-2</c:v>
                      </c:pt>
                      <c:pt idx="36">
                        <c:v>4.3059514710000003E-2</c:v>
                      </c:pt>
                    </c:numCache>
                  </c:numRef>
                </c:val>
                <c:smooth val="0"/>
                <c:extLst xmlns:c15="http://schemas.microsoft.com/office/drawing/2012/chart">
                  <c:ext xmlns:c16="http://schemas.microsoft.com/office/drawing/2014/chart" uri="{C3380CC4-5D6E-409C-BE32-E72D297353CC}">
                    <c16:uniqueId val="{0000000B-1FDE-4CA8-81D1-7F2CBC3FDD06}"/>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'India GDP'!$B$11</c15:sqref>
                        </c15:formulaRef>
                      </c:ext>
                    </c:extLst>
                    <c:strCache>
                      <c:ptCount val="1"/>
                      <c:pt idx="0">
                        <c:v>IIASA SSP 1</c:v>
                      </c:pt>
                    </c:strCache>
                  </c:strRef>
                </c:tx>
                <c:spPr>
                  <a:ln w="12700" cap="rnd">
                    <a:solidFill>
                      <a:schemeClr val="accent2">
                        <a:lumMod val="20000"/>
                        <a:lumOff val="80000"/>
                      </a:schemeClr>
                    </a:solidFill>
                    <a:round/>
                  </a:ln>
                  <a:effectLst/>
                </c:spPr>
                <c:marker>
                  <c:symbol val="none"/>
                </c:marker>
                <c:cat>
                  <c:numRef>
                    <c:extLst xmlns:c15="http://schemas.microsoft.com/office/drawing/2012/chart">
                      <c:ext xmlns:c15="http://schemas.microsoft.com/office/drawing/2012/chart" uri="{02D57815-91ED-43cb-92C2-25804820EDAC}">
                        <c15:formulaRef>
                          <c15:sqref>'India GDP'!$C$3:$AM$3</c15:sqref>
                        </c15:formulaRef>
                      </c:ext>
                    </c:extLst>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extLst xmlns:c15="http://schemas.microsoft.com/office/drawing/2012/chart">
                      <c:ext xmlns:c15="http://schemas.microsoft.com/office/drawing/2012/chart" uri="{02D57815-91ED-43cb-92C2-25804820EDAC}">
                        <c15:formulaRef>
                          <c15:sqref>'India GDP'!$C$11:$AM$11</c15:sqref>
                        </c15:formulaRef>
                      </c:ext>
                    </c:extLst>
                    <c:numCache>
                      <c:formatCode>General</c:formatCode>
                      <c:ptCount val="37"/>
                      <c:pt idx="0">
                        <c:v>9.1750000000000012E-2</c:v>
                      </c:pt>
                      <c:pt idx="1">
                        <c:v>9.2040000000000011E-2</c:v>
                      </c:pt>
                      <c:pt idx="2">
                        <c:v>9.3240000000000003E-2</c:v>
                      </c:pt>
                      <c:pt idx="3">
                        <c:v>9.330999999999999E-2</c:v>
                      </c:pt>
                      <c:pt idx="4">
                        <c:v>9.2170000000000002E-2</c:v>
                      </c:pt>
                      <c:pt idx="5">
                        <c:v>9.018000000000001E-2</c:v>
                      </c:pt>
                      <c:pt idx="6">
                        <c:v>8.7620000000000003E-2</c:v>
                      </c:pt>
                      <c:pt idx="7">
                        <c:v>8.4620000000000001E-2</c:v>
                      </c:pt>
                      <c:pt idx="8">
                        <c:v>8.1010000000000013E-2</c:v>
                      </c:pt>
                      <c:pt idx="9">
                        <c:v>7.6969999999999997E-2</c:v>
                      </c:pt>
                      <c:pt idx="10">
                        <c:v>7.2690000000000005E-2</c:v>
                      </c:pt>
                      <c:pt idx="11">
                        <c:v>6.8319999999999992E-2</c:v>
                      </c:pt>
                      <c:pt idx="12">
                        <c:v>6.3979999999999995E-2</c:v>
                      </c:pt>
                      <c:pt idx="13">
                        <c:v>5.985E-2</c:v>
                      </c:pt>
                      <c:pt idx="14">
                        <c:v>5.595E-2</c:v>
                      </c:pt>
                      <c:pt idx="15">
                        <c:v>5.2229999999999999E-2</c:v>
                      </c:pt>
                      <c:pt idx="16">
                        <c:v>4.8689999999999997E-2</c:v>
                      </c:pt>
                      <c:pt idx="17">
                        <c:v>4.5339999999999998E-2</c:v>
                      </c:pt>
                      <c:pt idx="18">
                        <c:v>4.233E-2</c:v>
                      </c:pt>
                      <c:pt idx="19">
                        <c:v>3.9660000000000001E-2</c:v>
                      </c:pt>
                      <c:pt idx="20">
                        <c:v>3.7269999999999998E-2</c:v>
                      </c:pt>
                      <c:pt idx="21">
                        <c:v>3.5139999999999998E-2</c:v>
                      </c:pt>
                      <c:pt idx="22">
                        <c:v>3.3230000000000003E-2</c:v>
                      </c:pt>
                      <c:pt idx="23">
                        <c:v>3.1509999999999996E-2</c:v>
                      </c:pt>
                      <c:pt idx="24">
                        <c:v>2.9960000000000001E-2</c:v>
                      </c:pt>
                      <c:pt idx="25">
                        <c:v>2.8549999999999999E-2</c:v>
                      </c:pt>
                      <c:pt idx="26">
                        <c:v>2.7269999999999999E-2</c:v>
                      </c:pt>
                      <c:pt idx="27">
                        <c:v>2.6099999999999998E-2</c:v>
                      </c:pt>
                      <c:pt idx="28">
                        <c:v>2.5059999999999999E-2</c:v>
                      </c:pt>
                      <c:pt idx="29">
                        <c:v>2.4140000000000002E-2</c:v>
                      </c:pt>
                      <c:pt idx="30">
                        <c:v>2.3319999999999997E-2</c:v>
                      </c:pt>
                      <c:pt idx="31">
                        <c:v>2.2599999999999999E-2</c:v>
                      </c:pt>
                      <c:pt idx="32">
                        <c:v>2.196E-2</c:v>
                      </c:pt>
                      <c:pt idx="33">
                        <c:v>2.1349999999999997E-2</c:v>
                      </c:pt>
                      <c:pt idx="34">
                        <c:v>2.0760000000000001E-2</c:v>
                      </c:pt>
                      <c:pt idx="35">
                        <c:v>2.0199999999999999E-2</c:v>
                      </c:pt>
                      <c:pt idx="36">
                        <c:v>1.966E-2</c:v>
                      </c:pt>
                    </c:numCache>
                  </c:numRef>
                </c:val>
                <c:smooth val="0"/>
                <c:extLst xmlns:c15="http://schemas.microsoft.com/office/drawing/2012/chart">
                  <c:ext xmlns:c16="http://schemas.microsoft.com/office/drawing/2014/chart" uri="{C3380CC4-5D6E-409C-BE32-E72D297353CC}">
                    <c16:uniqueId val="{0000000C-1FDE-4CA8-81D1-7F2CBC3FDD06}"/>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'India GDP'!$B$14</c15:sqref>
                        </c15:formulaRef>
                      </c:ext>
                    </c:extLst>
                    <c:strCache>
                      <c:ptCount val="1"/>
                      <c:pt idx="0">
                        <c:v>IIASA SSP 4</c:v>
                      </c:pt>
                    </c:strCache>
                  </c:strRef>
                </c:tx>
                <c:spPr>
                  <a:ln w="12700" cap="rnd">
                    <a:solidFill>
                      <a:schemeClr val="accent2">
                        <a:lumMod val="75000"/>
                      </a:schemeClr>
                    </a:solidFill>
                    <a:round/>
                  </a:ln>
                  <a:effectLst/>
                </c:spPr>
                <c:marker>
                  <c:symbol val="none"/>
                </c:marker>
                <c:cat>
                  <c:numRef>
                    <c:extLst xmlns:c15="http://schemas.microsoft.com/office/drawing/2012/chart">
                      <c:ext xmlns:c15="http://schemas.microsoft.com/office/drawing/2012/chart" uri="{02D57815-91ED-43cb-92C2-25804820EDAC}">
                        <c15:formulaRef>
                          <c15:sqref>'India GDP'!$C$3:$AM$3</c15:sqref>
                        </c15:formulaRef>
                      </c:ext>
                    </c:extLst>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extLst xmlns:c15="http://schemas.microsoft.com/office/drawing/2012/chart">
                      <c:ext xmlns:c15="http://schemas.microsoft.com/office/drawing/2012/chart" uri="{02D57815-91ED-43cb-92C2-25804820EDAC}">
                        <c15:formulaRef>
                          <c15:sqref>'India GDP'!$C$14:$AM$14</c15:sqref>
                        </c15:formulaRef>
                      </c:ext>
                    </c:extLst>
                    <c:numCache>
                      <c:formatCode>General</c:formatCode>
                      <c:ptCount val="37"/>
                      <c:pt idx="0">
                        <c:v>8.4070000000000006E-2</c:v>
                      </c:pt>
                      <c:pt idx="1">
                        <c:v>8.1809999999999994E-2</c:v>
                      </c:pt>
                      <c:pt idx="2">
                        <c:v>8.0519999999999994E-2</c:v>
                      </c:pt>
                      <c:pt idx="3">
                        <c:v>7.8659999999999994E-2</c:v>
                      </c:pt>
                      <c:pt idx="4">
                        <c:v>7.6159999999999992E-2</c:v>
                      </c:pt>
                      <c:pt idx="5">
                        <c:v>7.3249999999999996E-2</c:v>
                      </c:pt>
                      <c:pt idx="6">
                        <c:v>7.0099999999999996E-2</c:v>
                      </c:pt>
                      <c:pt idx="7">
                        <c:v>6.6750000000000004E-2</c:v>
                      </c:pt>
                      <c:pt idx="8">
                        <c:v>6.3E-2</c:v>
                      </c:pt>
                      <c:pt idx="9">
                        <c:v>5.892E-2</c:v>
                      </c:pt>
                      <c:pt idx="10">
                        <c:v>5.4649999999999997E-2</c:v>
                      </c:pt>
                      <c:pt idx="11">
                        <c:v>5.0270000000000002E-2</c:v>
                      </c:pt>
                      <c:pt idx="12">
                        <c:v>4.5899999999999996E-2</c:v>
                      </c:pt>
                      <c:pt idx="13">
                        <c:v>4.1880000000000001E-2</c:v>
                      </c:pt>
                      <c:pt idx="14">
                        <c:v>3.8210000000000001E-2</c:v>
                      </c:pt>
                      <c:pt idx="15">
                        <c:v>3.4820000000000004E-2</c:v>
                      </c:pt>
                      <c:pt idx="16">
                        <c:v>3.1669999999999997E-2</c:v>
                      </c:pt>
                      <c:pt idx="17">
                        <c:v>2.8730000000000002E-2</c:v>
                      </c:pt>
                      <c:pt idx="18">
                        <c:v>2.605E-2</c:v>
                      </c:pt>
                      <c:pt idx="19">
                        <c:v>2.3639999999999998E-2</c:v>
                      </c:pt>
                      <c:pt idx="20">
                        <c:v>2.1440000000000001E-2</c:v>
                      </c:pt>
                      <c:pt idx="21">
                        <c:v>1.9429999999999999E-2</c:v>
                      </c:pt>
                      <c:pt idx="22">
                        <c:v>1.7600000000000001E-2</c:v>
                      </c:pt>
                      <c:pt idx="23">
                        <c:v>1.5960000000000002E-2</c:v>
                      </c:pt>
                      <c:pt idx="24">
                        <c:v>1.451E-2</c:v>
                      </c:pt>
                      <c:pt idx="25">
                        <c:v>1.321E-2</c:v>
                      </c:pt>
                      <c:pt idx="26">
                        <c:v>1.2070000000000001E-2</c:v>
                      </c:pt>
                      <c:pt idx="27">
                        <c:v>1.1049999999999999E-2</c:v>
                      </c:pt>
                      <c:pt idx="28">
                        <c:v>1.0120000000000001E-2</c:v>
                      </c:pt>
                      <c:pt idx="29">
                        <c:v>9.2800000000000001E-3</c:v>
                      </c:pt>
                      <c:pt idx="30">
                        <c:v>8.5100000000000002E-3</c:v>
                      </c:pt>
                      <c:pt idx="31">
                        <c:v>7.8100000000000001E-3</c:v>
                      </c:pt>
                      <c:pt idx="32">
                        <c:v>7.1699999999999993E-3</c:v>
                      </c:pt>
                      <c:pt idx="33">
                        <c:v>6.6100000000000004E-3</c:v>
                      </c:pt>
                      <c:pt idx="34">
                        <c:v>6.11E-3</c:v>
                      </c:pt>
                      <c:pt idx="35">
                        <c:v>5.6599999999999992E-3</c:v>
                      </c:pt>
                      <c:pt idx="36">
                        <c:v>5.28E-3</c:v>
                      </c:pt>
                    </c:numCache>
                  </c:numRef>
                </c:val>
                <c:smooth val="0"/>
                <c:extLst xmlns:c15="http://schemas.microsoft.com/office/drawing/2012/chart">
                  <c:ext xmlns:c16="http://schemas.microsoft.com/office/drawing/2014/chart" uri="{C3380CC4-5D6E-409C-BE32-E72D297353CC}">
                    <c16:uniqueId val="{0000000D-1FDE-4CA8-81D1-7F2CBC3FDD06}"/>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'India GDP'!$B$15</c15:sqref>
                        </c15:formulaRef>
                      </c:ext>
                    </c:extLst>
                    <c:strCache>
                      <c:ptCount val="1"/>
                      <c:pt idx="0">
                        <c:v>IIASA SSP 5</c:v>
                      </c:pt>
                    </c:strCache>
                  </c:strRef>
                </c:tx>
                <c:spPr>
                  <a:ln w="12700" cap="rnd">
                    <a:solidFill>
                      <a:schemeClr val="accent2">
                        <a:lumMod val="50000"/>
                      </a:schemeClr>
                    </a:solidFill>
                    <a:round/>
                  </a:ln>
                  <a:effectLst/>
                </c:spPr>
                <c:marker>
                  <c:symbol val="none"/>
                </c:marker>
                <c:cat>
                  <c:numRef>
                    <c:extLst xmlns:c15="http://schemas.microsoft.com/office/drawing/2012/chart">
                      <c:ext xmlns:c15="http://schemas.microsoft.com/office/drawing/2012/chart" uri="{02D57815-91ED-43cb-92C2-25804820EDAC}">
                        <c15:formulaRef>
                          <c15:sqref>'India GDP'!$C$3:$AM$3</c15:sqref>
                        </c15:formulaRef>
                      </c:ext>
                    </c:extLst>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extLst xmlns:c15="http://schemas.microsoft.com/office/drawing/2012/chart">
                      <c:ext xmlns:c15="http://schemas.microsoft.com/office/drawing/2012/chart" uri="{02D57815-91ED-43cb-92C2-25804820EDAC}">
                        <c15:formulaRef>
                          <c15:sqref>'India GDP'!$C$15:$AM$15</c15:sqref>
                        </c15:formulaRef>
                      </c:ext>
                    </c:extLst>
                    <c:numCache>
                      <c:formatCode>General</c:formatCode>
                      <c:ptCount val="37"/>
                      <c:pt idx="0">
                        <c:v>9.2230000000000006E-2</c:v>
                      </c:pt>
                      <c:pt idx="1">
                        <c:v>9.2769999999999991E-2</c:v>
                      </c:pt>
                      <c:pt idx="2">
                        <c:v>9.4229999999999994E-2</c:v>
                      </c:pt>
                      <c:pt idx="3">
                        <c:v>9.4629999999999992E-2</c:v>
                      </c:pt>
                      <c:pt idx="4">
                        <c:v>9.3870000000000009E-2</c:v>
                      </c:pt>
                      <c:pt idx="5">
                        <c:v>9.2280000000000001E-2</c:v>
                      </c:pt>
                      <c:pt idx="6">
                        <c:v>9.0130000000000002E-2</c:v>
                      </c:pt>
                      <c:pt idx="7">
                        <c:v>8.7520000000000001E-2</c:v>
                      </c:pt>
                      <c:pt idx="8">
                        <c:v>8.4290000000000004E-2</c:v>
                      </c:pt>
                      <c:pt idx="9">
                        <c:v>8.0610000000000001E-2</c:v>
                      </c:pt>
                      <c:pt idx="10">
                        <c:v>7.6700000000000004E-2</c:v>
                      </c:pt>
                      <c:pt idx="11">
                        <c:v>7.2700000000000001E-2</c:v>
                      </c:pt>
                      <c:pt idx="12">
                        <c:v>6.8710000000000007E-2</c:v>
                      </c:pt>
                      <c:pt idx="13">
                        <c:v>6.4869999999999997E-2</c:v>
                      </c:pt>
                      <c:pt idx="14">
                        <c:v>6.1210000000000007E-2</c:v>
                      </c:pt>
                      <c:pt idx="15">
                        <c:v>5.772E-2</c:v>
                      </c:pt>
                      <c:pt idx="16">
                        <c:v>5.4370000000000002E-2</c:v>
                      </c:pt>
                      <c:pt idx="17">
                        <c:v>5.1189999999999999E-2</c:v>
                      </c:pt>
                      <c:pt idx="18">
                        <c:v>4.8320000000000002E-2</c:v>
                      </c:pt>
                      <c:pt idx="19">
                        <c:v>4.5759999999999995E-2</c:v>
                      </c:pt>
                      <c:pt idx="20">
                        <c:v>4.3459999999999999E-2</c:v>
                      </c:pt>
                      <c:pt idx="21">
                        <c:v>4.1390000000000003E-2</c:v>
                      </c:pt>
                      <c:pt idx="22">
                        <c:v>3.952E-2</c:v>
                      </c:pt>
                      <c:pt idx="23">
                        <c:v>3.7819999999999999E-2</c:v>
                      </c:pt>
                      <c:pt idx="24">
                        <c:v>3.6269999999999997E-2</c:v>
                      </c:pt>
                      <c:pt idx="25">
                        <c:v>3.483E-2</c:v>
                      </c:pt>
                      <c:pt idx="26">
                        <c:v>3.3509999999999998E-2</c:v>
                      </c:pt>
                      <c:pt idx="27">
                        <c:v>3.2300000000000002E-2</c:v>
                      </c:pt>
                      <c:pt idx="28">
                        <c:v>3.1200000000000002E-2</c:v>
                      </c:pt>
                      <c:pt idx="29">
                        <c:v>3.0210000000000001E-2</c:v>
                      </c:pt>
                      <c:pt idx="30">
                        <c:v>2.9309999999999999E-2</c:v>
                      </c:pt>
                      <c:pt idx="31">
                        <c:v>2.8510000000000001E-2</c:v>
                      </c:pt>
                      <c:pt idx="32">
                        <c:v>2.7770000000000003E-2</c:v>
                      </c:pt>
                      <c:pt idx="33">
                        <c:v>2.7060000000000001E-2</c:v>
                      </c:pt>
                      <c:pt idx="34">
                        <c:v>2.6360000000000001E-2</c:v>
                      </c:pt>
                      <c:pt idx="35">
                        <c:v>2.5680000000000001E-2</c:v>
                      </c:pt>
                      <c:pt idx="36">
                        <c:v>2.5000000000000001E-2</c:v>
                      </c:pt>
                    </c:numCache>
                  </c:numRef>
                </c:val>
                <c:smooth val="0"/>
                <c:extLst xmlns:c15="http://schemas.microsoft.com/office/drawing/2012/chart">
                  <c:ext xmlns:c16="http://schemas.microsoft.com/office/drawing/2014/chart" uri="{C3380CC4-5D6E-409C-BE32-E72D297353CC}">
                    <c16:uniqueId val="{0000000E-1FDE-4CA8-81D1-7F2CBC3FDD06}"/>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'India GDP'!$B$16</c15:sqref>
                        </c15:formulaRef>
                      </c:ext>
                    </c:extLst>
                    <c:strCache>
                      <c:ptCount val="1"/>
                      <c:pt idx="0">
                        <c:v>OECD SSP 1</c:v>
                      </c:pt>
                    </c:strCache>
                  </c:strRef>
                </c:tx>
                <c:spPr>
                  <a:ln w="12700" cap="rnd">
                    <a:solidFill>
                      <a:schemeClr val="accent3">
                        <a:lumMod val="20000"/>
                        <a:lumOff val="80000"/>
                      </a:schemeClr>
                    </a:solidFill>
                    <a:round/>
                  </a:ln>
                  <a:effectLst/>
                </c:spPr>
                <c:marker>
                  <c:symbol val="none"/>
                </c:marker>
                <c:cat>
                  <c:numRef>
                    <c:extLst xmlns:c15="http://schemas.microsoft.com/office/drawing/2012/chart">
                      <c:ext xmlns:c15="http://schemas.microsoft.com/office/drawing/2012/chart" uri="{02D57815-91ED-43cb-92C2-25804820EDAC}">
                        <c15:formulaRef>
                          <c15:sqref>'India GDP'!$C$3:$AM$3</c15:sqref>
                        </c15:formulaRef>
                      </c:ext>
                    </c:extLst>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extLst xmlns:c15="http://schemas.microsoft.com/office/drawing/2012/chart">
                      <c:ext xmlns:c15="http://schemas.microsoft.com/office/drawing/2012/chart" uri="{02D57815-91ED-43cb-92C2-25804820EDAC}">
                        <c15:formulaRef>
                          <c15:sqref>'India GDP'!$C$16:$AM$16</c15:sqref>
                        </c15:formulaRef>
                      </c:ext>
                    </c:extLst>
                    <c:numCache>
                      <c:formatCode>General</c:formatCode>
                      <c:ptCount val="37"/>
                      <c:pt idx="0">
                        <c:v>5.0380000000000001E-2</c:v>
                      </c:pt>
                      <c:pt idx="1">
                        <c:v>5.2260000000000001E-2</c:v>
                      </c:pt>
                      <c:pt idx="2">
                        <c:v>5.5050000000000002E-2</c:v>
                      </c:pt>
                      <c:pt idx="3">
                        <c:v>5.7340000000000002E-2</c:v>
                      </c:pt>
                      <c:pt idx="4">
                        <c:v>5.8909999999999997E-2</c:v>
                      </c:pt>
                      <c:pt idx="5">
                        <c:v>5.9880000000000003E-2</c:v>
                      </c:pt>
                      <c:pt idx="6">
                        <c:v>6.0339999999999998E-2</c:v>
                      </c:pt>
                      <c:pt idx="7">
                        <c:v>6.046E-2</c:v>
                      </c:pt>
                      <c:pt idx="8">
                        <c:v>6.053E-2</c:v>
                      </c:pt>
                      <c:pt idx="9">
                        <c:v>6.0609999999999997E-2</c:v>
                      </c:pt>
                      <c:pt idx="10">
                        <c:v>6.0679999999999998E-2</c:v>
                      </c:pt>
                      <c:pt idx="11">
                        <c:v>6.0730000000000006E-2</c:v>
                      </c:pt>
                      <c:pt idx="12">
                        <c:v>6.0759999999999995E-2</c:v>
                      </c:pt>
                      <c:pt idx="13">
                        <c:v>6.0720000000000003E-2</c:v>
                      </c:pt>
                      <c:pt idx="14">
                        <c:v>6.0590000000000005E-2</c:v>
                      </c:pt>
                      <c:pt idx="15">
                        <c:v>6.0389999999999999E-2</c:v>
                      </c:pt>
                      <c:pt idx="16">
                        <c:v>6.0110000000000004E-2</c:v>
                      </c:pt>
                      <c:pt idx="17">
                        <c:v>5.9729999999999998E-2</c:v>
                      </c:pt>
                      <c:pt idx="18">
                        <c:v>5.9119999999999999E-2</c:v>
                      </c:pt>
                      <c:pt idx="19">
                        <c:v>5.8299999999999998E-2</c:v>
                      </c:pt>
                      <c:pt idx="20">
                        <c:v>5.7329999999999999E-2</c:v>
                      </c:pt>
                      <c:pt idx="21">
                        <c:v>5.6250000000000001E-2</c:v>
                      </c:pt>
                      <c:pt idx="22">
                        <c:v>5.5099999999999996E-2</c:v>
                      </c:pt>
                      <c:pt idx="23">
                        <c:v>5.3899999999999997E-2</c:v>
                      </c:pt>
                      <c:pt idx="24">
                        <c:v>5.2679999999999998E-2</c:v>
                      </c:pt>
                      <c:pt idx="25">
                        <c:v>5.144E-2</c:v>
                      </c:pt>
                      <c:pt idx="26">
                        <c:v>5.0199999999999995E-2</c:v>
                      </c:pt>
                      <c:pt idx="27">
                        <c:v>4.8959999999999997E-2</c:v>
                      </c:pt>
                      <c:pt idx="28">
                        <c:v>4.7690000000000003E-2</c:v>
                      </c:pt>
                      <c:pt idx="29">
                        <c:v>4.6399999999999997E-2</c:v>
                      </c:pt>
                      <c:pt idx="30">
                        <c:v>4.5100000000000001E-2</c:v>
                      </c:pt>
                      <c:pt idx="31">
                        <c:v>4.3810000000000002E-2</c:v>
                      </c:pt>
                      <c:pt idx="32">
                        <c:v>4.2539999999999994E-2</c:v>
                      </c:pt>
                      <c:pt idx="33">
                        <c:v>4.1340000000000002E-2</c:v>
                      </c:pt>
                      <c:pt idx="34">
                        <c:v>4.0239999999999998E-2</c:v>
                      </c:pt>
                      <c:pt idx="35">
                        <c:v>3.9199999999999999E-2</c:v>
                      </c:pt>
                      <c:pt idx="36">
                        <c:v>3.8239999999999996E-2</c:v>
                      </c:pt>
                    </c:numCache>
                  </c:numRef>
                </c:val>
                <c:smooth val="0"/>
                <c:extLst xmlns:c15="http://schemas.microsoft.com/office/drawing/2012/chart">
                  <c:ext xmlns:c16="http://schemas.microsoft.com/office/drawing/2014/chart" uri="{C3380CC4-5D6E-409C-BE32-E72D297353CC}">
                    <c16:uniqueId val="{0000000F-1FDE-4CA8-81D1-7F2CBC3FDD06}"/>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'India GDP'!$B$18</c15:sqref>
                        </c15:formulaRef>
                      </c:ext>
                    </c:extLst>
                    <c:strCache>
                      <c:ptCount val="1"/>
                      <c:pt idx="0">
                        <c:v>OECD SSP 3</c:v>
                      </c:pt>
                    </c:strCache>
                  </c:strRef>
                </c:tx>
                <c:spPr>
                  <a:ln w="12700" cap="rnd">
                    <a:solidFill>
                      <a:schemeClr val="accent3">
                        <a:lumMod val="60000"/>
                        <a:lumOff val="40000"/>
                      </a:schemeClr>
                    </a:solidFill>
                    <a:round/>
                  </a:ln>
                  <a:effectLst/>
                </c:spPr>
                <c:marker>
                  <c:symbol val="none"/>
                </c:marker>
                <c:cat>
                  <c:numRef>
                    <c:extLst xmlns:c15="http://schemas.microsoft.com/office/drawing/2012/chart">
                      <c:ext xmlns:c15="http://schemas.microsoft.com/office/drawing/2012/chart" uri="{02D57815-91ED-43cb-92C2-25804820EDAC}">
                        <c15:formulaRef>
                          <c15:sqref>'India GDP'!$C$3:$AM$3</c15:sqref>
                        </c15:formulaRef>
                      </c:ext>
                    </c:extLst>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extLst xmlns:c15="http://schemas.microsoft.com/office/drawing/2012/chart">
                      <c:ext xmlns:c15="http://schemas.microsoft.com/office/drawing/2012/chart" uri="{02D57815-91ED-43cb-92C2-25804820EDAC}">
                        <c15:formulaRef>
                          <c15:sqref>'India GDP'!$C$18:$AM$18</c15:sqref>
                        </c15:formulaRef>
                      </c:ext>
                    </c:extLst>
                    <c:numCache>
                      <c:formatCode>General</c:formatCode>
                      <c:ptCount val="37"/>
                      <c:pt idx="0">
                        <c:v>5.0490000000000007E-2</c:v>
                      </c:pt>
                      <c:pt idx="1">
                        <c:v>5.2359999999999997E-2</c:v>
                      </c:pt>
                      <c:pt idx="2">
                        <c:v>5.4890000000000001E-2</c:v>
                      </c:pt>
                      <c:pt idx="3">
                        <c:v>5.595E-2</c:v>
                      </c:pt>
                      <c:pt idx="4">
                        <c:v>5.5399999999999998E-2</c:v>
                      </c:pt>
                      <c:pt idx="5">
                        <c:v>5.3609999999999998E-2</c:v>
                      </c:pt>
                      <c:pt idx="6">
                        <c:v>5.0919999999999993E-2</c:v>
                      </c:pt>
                      <c:pt idx="7">
                        <c:v>4.7690000000000003E-2</c:v>
                      </c:pt>
                      <c:pt idx="8">
                        <c:v>4.4569999999999999E-2</c:v>
                      </c:pt>
                      <c:pt idx="9">
                        <c:v>4.1669999999999999E-2</c:v>
                      </c:pt>
                      <c:pt idx="10">
                        <c:v>3.8969999999999998E-2</c:v>
                      </c:pt>
                      <c:pt idx="11">
                        <c:v>3.644E-2</c:v>
                      </c:pt>
                      <c:pt idx="12">
                        <c:v>3.4049999999999997E-2</c:v>
                      </c:pt>
                      <c:pt idx="13">
                        <c:v>3.1780000000000003E-2</c:v>
                      </c:pt>
                      <c:pt idx="14">
                        <c:v>2.9609999999999997E-2</c:v>
                      </c:pt>
                      <c:pt idx="15">
                        <c:v>2.7539999999999999E-2</c:v>
                      </c:pt>
                      <c:pt idx="16">
                        <c:v>2.5559999999999999E-2</c:v>
                      </c:pt>
                      <c:pt idx="17">
                        <c:v>2.3700000000000002E-2</c:v>
                      </c:pt>
                      <c:pt idx="18">
                        <c:v>2.214E-2</c:v>
                      </c:pt>
                      <c:pt idx="19">
                        <c:v>2.0879999999999999E-2</c:v>
                      </c:pt>
                      <c:pt idx="20">
                        <c:v>1.9879999999999998E-2</c:v>
                      </c:pt>
                      <c:pt idx="21">
                        <c:v>1.9110000000000002E-2</c:v>
                      </c:pt>
                      <c:pt idx="22">
                        <c:v>1.8509999999999999E-2</c:v>
                      </c:pt>
                      <c:pt idx="23">
                        <c:v>1.789E-2</c:v>
                      </c:pt>
                      <c:pt idx="24">
                        <c:v>1.7219999999999999E-2</c:v>
                      </c:pt>
                      <c:pt idx="25">
                        <c:v>1.6500000000000001E-2</c:v>
                      </c:pt>
                      <c:pt idx="26">
                        <c:v>1.5740000000000001E-2</c:v>
                      </c:pt>
                      <c:pt idx="27">
                        <c:v>1.4970000000000001E-2</c:v>
                      </c:pt>
                      <c:pt idx="28">
                        <c:v>1.4239999999999999E-2</c:v>
                      </c:pt>
                      <c:pt idx="29">
                        <c:v>1.3560000000000001E-2</c:v>
                      </c:pt>
                      <c:pt idx="30">
                        <c:v>1.2929999999999999E-2</c:v>
                      </c:pt>
                      <c:pt idx="31">
                        <c:v>1.2350000000000002E-2</c:v>
                      </c:pt>
                      <c:pt idx="32">
                        <c:v>1.1810000000000001E-2</c:v>
                      </c:pt>
                      <c:pt idx="33">
                        <c:v>1.1350000000000001E-2</c:v>
                      </c:pt>
                      <c:pt idx="34">
                        <c:v>1.0970000000000001E-2</c:v>
                      </c:pt>
                      <c:pt idx="35">
                        <c:v>1.065E-2</c:v>
                      </c:pt>
                      <c:pt idx="36">
                        <c:v>1.0409999999999999E-2</c:v>
                      </c:pt>
                    </c:numCache>
                  </c:numRef>
                </c:val>
                <c:smooth val="0"/>
                <c:extLst xmlns:c15="http://schemas.microsoft.com/office/drawing/2012/chart">
                  <c:ext xmlns:c16="http://schemas.microsoft.com/office/drawing/2014/chart" uri="{C3380CC4-5D6E-409C-BE32-E72D297353CC}">
                    <c16:uniqueId val="{00000010-1FDE-4CA8-81D1-7F2CBC3FDD06}"/>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'India GDP'!$B$19</c15:sqref>
                        </c15:formulaRef>
                      </c:ext>
                    </c:extLst>
                    <c:strCache>
                      <c:ptCount val="1"/>
                      <c:pt idx="0">
                        <c:v>OECD SSP 4</c:v>
                      </c:pt>
                    </c:strCache>
                  </c:strRef>
                </c:tx>
                <c:spPr>
                  <a:ln w="12700" cap="rnd">
                    <a:solidFill>
                      <a:schemeClr val="accent3">
                        <a:lumMod val="75000"/>
                      </a:schemeClr>
                    </a:solidFill>
                    <a:round/>
                  </a:ln>
                  <a:effectLst/>
                </c:spPr>
                <c:marker>
                  <c:symbol val="none"/>
                </c:marker>
                <c:cat>
                  <c:numRef>
                    <c:extLst xmlns:c15="http://schemas.microsoft.com/office/drawing/2012/chart">
                      <c:ext xmlns:c15="http://schemas.microsoft.com/office/drawing/2012/chart" uri="{02D57815-91ED-43cb-92C2-25804820EDAC}">
                        <c15:formulaRef>
                          <c15:sqref>'India GDP'!$C$3:$AM$3</c15:sqref>
                        </c15:formulaRef>
                      </c:ext>
                    </c:extLst>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extLst xmlns:c15="http://schemas.microsoft.com/office/drawing/2012/chart">
                      <c:ext xmlns:c15="http://schemas.microsoft.com/office/drawing/2012/chart" uri="{02D57815-91ED-43cb-92C2-25804820EDAC}">
                        <c15:formulaRef>
                          <c15:sqref>'India GDP'!$C$19:$AM$19</c15:sqref>
                        </c15:formulaRef>
                      </c:ext>
                    </c:extLst>
                    <c:numCache>
                      <c:formatCode>General</c:formatCode>
                      <c:ptCount val="37"/>
                      <c:pt idx="0">
                        <c:v>5.04E-2</c:v>
                      </c:pt>
                      <c:pt idx="1">
                        <c:v>5.2260000000000001E-2</c:v>
                      </c:pt>
                      <c:pt idx="2">
                        <c:v>5.4870000000000002E-2</c:v>
                      </c:pt>
                      <c:pt idx="3">
                        <c:v>5.6390000000000003E-2</c:v>
                      </c:pt>
                      <c:pt idx="4">
                        <c:v>5.6639999999999996E-2</c:v>
                      </c:pt>
                      <c:pt idx="5">
                        <c:v>5.5910000000000001E-2</c:v>
                      </c:pt>
                      <c:pt idx="6">
                        <c:v>5.4440000000000002E-2</c:v>
                      </c:pt>
                      <c:pt idx="7">
                        <c:v>5.253E-2</c:v>
                      </c:pt>
                      <c:pt idx="8">
                        <c:v>5.076E-2</c:v>
                      </c:pt>
                      <c:pt idx="9">
                        <c:v>4.9210000000000004E-2</c:v>
                      </c:pt>
                      <c:pt idx="10">
                        <c:v>4.7869999999999996E-2</c:v>
                      </c:pt>
                      <c:pt idx="11">
                        <c:v>4.6689999999999995E-2</c:v>
                      </c:pt>
                      <c:pt idx="12">
                        <c:v>4.5620000000000001E-2</c:v>
                      </c:pt>
                      <c:pt idx="13">
                        <c:v>4.4539999999999996E-2</c:v>
                      </c:pt>
                      <c:pt idx="14">
                        <c:v>4.3400000000000001E-2</c:v>
                      </c:pt>
                      <c:pt idx="15">
                        <c:v>4.2229999999999997E-2</c:v>
                      </c:pt>
                      <c:pt idx="16">
                        <c:v>4.1029999999999997E-2</c:v>
                      </c:pt>
                      <c:pt idx="17">
                        <c:v>3.9830000000000004E-2</c:v>
                      </c:pt>
                      <c:pt idx="18">
                        <c:v>3.875E-2</c:v>
                      </c:pt>
                      <c:pt idx="19">
                        <c:v>3.7810000000000003E-2</c:v>
                      </c:pt>
                      <c:pt idx="20">
                        <c:v>3.6979999999999999E-2</c:v>
                      </c:pt>
                      <c:pt idx="21">
                        <c:v>3.6269999999999997E-2</c:v>
                      </c:pt>
                      <c:pt idx="22">
                        <c:v>3.5630000000000002E-2</c:v>
                      </c:pt>
                      <c:pt idx="23">
                        <c:v>3.4959999999999998E-2</c:v>
                      </c:pt>
                      <c:pt idx="24">
                        <c:v>3.424E-2</c:v>
                      </c:pt>
                      <c:pt idx="25">
                        <c:v>3.3489999999999999E-2</c:v>
                      </c:pt>
                      <c:pt idx="26">
                        <c:v>3.2709999999999996E-2</c:v>
                      </c:pt>
                      <c:pt idx="27">
                        <c:v>3.1910000000000001E-2</c:v>
                      </c:pt>
                      <c:pt idx="28">
                        <c:v>3.116E-2</c:v>
                      </c:pt>
                      <c:pt idx="29">
                        <c:v>3.0449999999999998E-2</c:v>
                      </c:pt>
                      <c:pt idx="30">
                        <c:v>2.9790000000000001E-2</c:v>
                      </c:pt>
                      <c:pt idx="31">
                        <c:v>2.9169999999999998E-2</c:v>
                      </c:pt>
                      <c:pt idx="32">
                        <c:v>2.86E-2</c:v>
                      </c:pt>
                      <c:pt idx="33">
                        <c:v>2.8079999999999997E-2</c:v>
                      </c:pt>
                      <c:pt idx="34">
                        <c:v>2.7619999999999999E-2</c:v>
                      </c:pt>
                      <c:pt idx="35">
                        <c:v>2.7189999999999999E-2</c:v>
                      </c:pt>
                      <c:pt idx="36">
                        <c:v>2.682E-2</c:v>
                      </c:pt>
                    </c:numCache>
                  </c:numRef>
                </c:val>
                <c:smooth val="0"/>
                <c:extLst xmlns:c15="http://schemas.microsoft.com/office/drawing/2012/chart">
                  <c:ext xmlns:c16="http://schemas.microsoft.com/office/drawing/2014/chart" uri="{C3380CC4-5D6E-409C-BE32-E72D297353CC}">
                    <c16:uniqueId val="{00000011-1FDE-4CA8-81D1-7F2CBC3FDD06}"/>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'India GDP'!$B$20</c15:sqref>
                        </c15:formulaRef>
                      </c:ext>
                    </c:extLst>
                    <c:strCache>
                      <c:ptCount val="1"/>
                      <c:pt idx="0">
                        <c:v>OECD SSP 5</c:v>
                      </c:pt>
                    </c:strCache>
                  </c:strRef>
                </c:tx>
                <c:spPr>
                  <a:ln w="12700" cap="rnd">
                    <a:solidFill>
                      <a:schemeClr val="accent3">
                        <a:lumMod val="50000"/>
                      </a:schemeClr>
                    </a:solidFill>
                    <a:round/>
                  </a:ln>
                  <a:effectLst/>
                </c:spPr>
                <c:marker>
                  <c:symbol val="none"/>
                </c:marker>
                <c:cat>
                  <c:numRef>
                    <c:extLst xmlns:c15="http://schemas.microsoft.com/office/drawing/2012/chart">
                      <c:ext xmlns:c15="http://schemas.microsoft.com/office/drawing/2012/chart" uri="{02D57815-91ED-43cb-92C2-25804820EDAC}">
                        <c15:formulaRef>
                          <c15:sqref>'India GDP'!$C$3:$AM$3</c15:sqref>
                        </c15:formulaRef>
                      </c:ext>
                    </c:extLst>
                    <c:numCache>
                      <c:formatCode>General</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extLst xmlns:c15="http://schemas.microsoft.com/office/drawing/2012/chart">
                      <c:ext xmlns:c15="http://schemas.microsoft.com/office/drawing/2012/chart" uri="{02D57815-91ED-43cb-92C2-25804820EDAC}">
                        <c15:formulaRef>
                          <c15:sqref>'India GDP'!$C$20:$AM$20</c15:sqref>
                        </c15:formulaRef>
                      </c:ext>
                    </c:extLst>
                    <c:numCache>
                      <c:formatCode>General</c:formatCode>
                      <c:ptCount val="37"/>
                      <c:pt idx="0">
                        <c:v>5.0320000000000004E-2</c:v>
                      </c:pt>
                      <c:pt idx="1">
                        <c:v>5.2080000000000001E-2</c:v>
                      </c:pt>
                      <c:pt idx="2">
                        <c:v>5.4820000000000001E-2</c:v>
                      </c:pt>
                      <c:pt idx="3">
                        <c:v>5.7450000000000001E-2</c:v>
                      </c:pt>
                      <c:pt idx="4">
                        <c:v>5.9740000000000001E-2</c:v>
                      </c:pt>
                      <c:pt idx="5">
                        <c:v>6.1679999999999999E-2</c:v>
                      </c:pt>
                      <c:pt idx="6">
                        <c:v>6.3289999999999999E-2</c:v>
                      </c:pt>
                      <c:pt idx="7">
                        <c:v>6.4649999999999999E-2</c:v>
                      </c:pt>
                      <c:pt idx="8">
                        <c:v>6.5890000000000004E-2</c:v>
                      </c:pt>
                      <c:pt idx="9">
                        <c:v>6.7040000000000002E-2</c:v>
                      </c:pt>
                      <c:pt idx="10">
                        <c:v>6.8070000000000006E-2</c:v>
                      </c:pt>
                      <c:pt idx="11">
                        <c:v>6.8970000000000004E-2</c:v>
                      </c:pt>
                      <c:pt idx="12">
                        <c:v>6.9720000000000004E-2</c:v>
                      </c:pt>
                      <c:pt idx="13">
                        <c:v>7.0300000000000001E-2</c:v>
                      </c:pt>
                      <c:pt idx="14">
                        <c:v>7.0690000000000003E-2</c:v>
                      </c:pt>
                      <c:pt idx="15">
                        <c:v>7.0910000000000001E-2</c:v>
                      </c:pt>
                      <c:pt idx="16">
                        <c:v>7.0970000000000005E-2</c:v>
                      </c:pt>
                      <c:pt idx="17">
                        <c:v>7.0789999999999992E-2</c:v>
                      </c:pt>
                      <c:pt idx="18">
                        <c:v>7.0140000000000008E-2</c:v>
                      </c:pt>
                      <c:pt idx="19">
                        <c:v>6.905E-2</c:v>
                      </c:pt>
                      <c:pt idx="20">
                        <c:v>6.7670000000000008E-2</c:v>
                      </c:pt>
                      <c:pt idx="21">
                        <c:v>6.6059999999999994E-2</c:v>
                      </c:pt>
                      <c:pt idx="22">
                        <c:v>6.4349999999999991E-2</c:v>
                      </c:pt>
                      <c:pt idx="23">
                        <c:v>6.2649999999999997E-2</c:v>
                      </c:pt>
                      <c:pt idx="24">
                        <c:v>6.1010000000000002E-2</c:v>
                      </c:pt>
                      <c:pt idx="25">
                        <c:v>5.9429999999999997E-2</c:v>
                      </c:pt>
                      <c:pt idx="26">
                        <c:v>5.79E-2</c:v>
                      </c:pt>
                      <c:pt idx="27">
                        <c:v>5.6420000000000005E-2</c:v>
                      </c:pt>
                      <c:pt idx="28">
                        <c:v>5.4919999999999997E-2</c:v>
                      </c:pt>
                      <c:pt idx="29">
                        <c:v>5.3409999999999999E-2</c:v>
                      </c:pt>
                      <c:pt idx="30">
                        <c:v>5.1909999999999998E-2</c:v>
                      </c:pt>
                      <c:pt idx="31">
                        <c:v>5.042E-2</c:v>
                      </c:pt>
                      <c:pt idx="32">
                        <c:v>4.897E-2</c:v>
                      </c:pt>
                      <c:pt idx="33">
                        <c:v>4.7629999999999999E-2</c:v>
                      </c:pt>
                      <c:pt idx="34">
                        <c:v>4.6390000000000001E-2</c:v>
                      </c:pt>
                      <c:pt idx="35">
                        <c:v>4.5240000000000002E-2</c:v>
                      </c:pt>
                      <c:pt idx="36">
                        <c:v>4.4180000000000004E-2</c:v>
                      </c:pt>
                    </c:numCache>
                  </c:numRef>
                </c:val>
                <c:smooth val="0"/>
                <c:extLst xmlns:c15="http://schemas.microsoft.com/office/drawing/2012/chart">
                  <c:ext xmlns:c16="http://schemas.microsoft.com/office/drawing/2014/chart" uri="{C3380CC4-5D6E-409C-BE32-E72D297353CC}">
                    <c16:uniqueId val="{00000012-1FDE-4CA8-81D1-7F2CBC3FDD06}"/>
                  </c:ext>
                </c:extLst>
              </c15:ser>
            </c15:filteredLineSeries>
          </c:ext>
        </c:extLst>
      </c:lineChart>
      <c:catAx>
        <c:axId val="357471584"/>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357469920"/>
        <c:crosses val="autoZero"/>
        <c:auto val="1"/>
        <c:lblAlgn val="ctr"/>
        <c:lblOffset val="100"/>
        <c:noMultiLvlLbl val="0"/>
      </c:catAx>
      <c:valAx>
        <c:axId val="357469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GB" b="1"/>
                  <a:t>Annual Growth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7471584"/>
        <c:crosses val="autoZero"/>
        <c:crossBetween val="between"/>
      </c:valAx>
      <c:spPr>
        <a:noFill/>
        <a:ln>
          <a:noFill/>
        </a:ln>
        <a:effectLst/>
      </c:spPr>
    </c:plotArea>
    <c:legend>
      <c:legendPos val="r"/>
      <c:legendEntry>
        <c:idx val="3"/>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Entry>
      <c:legendEntry>
        <c:idx val="8"/>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0.80990769259692119"/>
          <c:y val="0.15555559393636884"/>
          <c:w val="0.19009230740307878"/>
          <c:h val="0.8407638779743451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a:t>Labour Force and Population Projections to 2050 for India</a:t>
            </a:r>
          </a:p>
        </c:rich>
      </c:tx>
      <c:layout>
        <c:manualLayout>
          <c:xMode val="edge"/>
          <c:yMode val="edge"/>
          <c:x val="0.19946665143657158"/>
          <c:y val="3.699420618298441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'India Population'!$D$3</c:f>
              <c:strCache>
                <c:ptCount val="1"/>
                <c:pt idx="0">
                  <c:v>Labour Force </c:v>
                </c:pt>
              </c:strCache>
            </c:strRef>
          </c:tx>
          <c:spPr>
            <a:solidFill>
              <a:schemeClr val="accent2"/>
            </a:solidFill>
            <a:ln>
              <a:noFill/>
            </a:ln>
            <a:effectLst/>
          </c:spPr>
          <c:invertIfNegative val="0"/>
          <c:cat>
            <c:strRef>
              <c:f>'India Population'!$C$4:$C$9</c:f>
              <c:strCache>
                <c:ptCount val="6"/>
                <c:pt idx="0">
                  <c:v>CEPII SSP 1</c:v>
                </c:pt>
                <c:pt idx="1">
                  <c:v>CEPII SSP 2</c:v>
                </c:pt>
                <c:pt idx="2">
                  <c:v>CEPII SSP 3</c:v>
                </c:pt>
                <c:pt idx="3">
                  <c:v>CEPII SSP 4</c:v>
                </c:pt>
                <c:pt idx="4">
                  <c:v>CEPII SSP 5</c:v>
                </c:pt>
                <c:pt idx="5">
                  <c:v>DBT GTO 21</c:v>
                </c:pt>
              </c:strCache>
            </c:strRef>
          </c:cat>
          <c:val>
            <c:numRef>
              <c:f>'India Population'!$D$4:$D$9</c:f>
              <c:numCache>
                <c:formatCode>0%</c:formatCode>
                <c:ptCount val="6"/>
                <c:pt idx="0">
                  <c:v>0.36276651850577102</c:v>
                </c:pt>
                <c:pt idx="1">
                  <c:v>0.41165232709073984</c:v>
                </c:pt>
                <c:pt idx="2">
                  <c:v>0.43283516421969126</c:v>
                </c:pt>
                <c:pt idx="3">
                  <c:v>0.32232151513840074</c:v>
                </c:pt>
                <c:pt idx="4">
                  <c:v>0.44870790874739441</c:v>
                </c:pt>
                <c:pt idx="5">
                  <c:v>0.3075207918868505</c:v>
                </c:pt>
              </c:numCache>
            </c:numRef>
          </c:val>
          <c:extLst>
            <c:ext xmlns:c16="http://schemas.microsoft.com/office/drawing/2014/chart" uri="{C3380CC4-5D6E-409C-BE32-E72D297353CC}">
              <c16:uniqueId val="{00000000-6B99-42E2-8363-2D8DACFBC7BD}"/>
            </c:ext>
          </c:extLst>
        </c:ser>
        <c:ser>
          <c:idx val="1"/>
          <c:order val="1"/>
          <c:tx>
            <c:strRef>
              <c:f>'India Population'!$E$3</c:f>
              <c:strCache>
                <c:ptCount val="1"/>
                <c:pt idx="0">
                  <c:v>Population</c:v>
                </c:pt>
              </c:strCache>
            </c:strRef>
          </c:tx>
          <c:spPr>
            <a:solidFill>
              <a:schemeClr val="accent4"/>
            </a:solidFill>
            <a:ln>
              <a:noFill/>
            </a:ln>
            <a:effectLst/>
          </c:spPr>
          <c:invertIfNegative val="0"/>
          <c:cat>
            <c:strRef>
              <c:f>'India Population'!$C$4:$C$9</c:f>
              <c:strCache>
                <c:ptCount val="6"/>
                <c:pt idx="0">
                  <c:v>CEPII SSP 1</c:v>
                </c:pt>
                <c:pt idx="1">
                  <c:v>CEPII SSP 2</c:v>
                </c:pt>
                <c:pt idx="2">
                  <c:v>CEPII SSP 3</c:v>
                </c:pt>
                <c:pt idx="3">
                  <c:v>CEPII SSP 4</c:v>
                </c:pt>
                <c:pt idx="4">
                  <c:v>CEPII SSP 5</c:v>
                </c:pt>
                <c:pt idx="5">
                  <c:v>DBT GTO 21</c:v>
                </c:pt>
              </c:strCache>
            </c:strRef>
          </c:cat>
          <c:val>
            <c:numRef>
              <c:f>'India Population'!$E$4:$E$9</c:f>
              <c:numCache>
                <c:formatCode>0%</c:formatCode>
                <c:ptCount val="6"/>
                <c:pt idx="0">
                  <c:v>0.16927551047279035</c:v>
                </c:pt>
                <c:pt idx="1">
                  <c:v>0.31551466243761161</c:v>
                </c:pt>
                <c:pt idx="2">
                  <c:v>0.50181506056295611</c:v>
                </c:pt>
                <c:pt idx="3">
                  <c:v>0.21350261113197747</c:v>
                </c:pt>
                <c:pt idx="4">
                  <c:v>0.16671190956801016</c:v>
                </c:pt>
                <c:pt idx="5">
                  <c:v>0.26518605763844044</c:v>
                </c:pt>
              </c:numCache>
            </c:numRef>
          </c:val>
          <c:extLst>
            <c:ext xmlns:c16="http://schemas.microsoft.com/office/drawing/2014/chart" uri="{C3380CC4-5D6E-409C-BE32-E72D297353CC}">
              <c16:uniqueId val="{00000001-6B99-42E2-8363-2D8DACFBC7BD}"/>
            </c:ext>
          </c:extLst>
        </c:ser>
        <c:dLbls>
          <c:showLegendKey val="0"/>
          <c:showVal val="0"/>
          <c:showCatName val="0"/>
          <c:showSerName val="0"/>
          <c:showPercent val="0"/>
          <c:showBubbleSize val="0"/>
        </c:dLbls>
        <c:gapWidth val="219"/>
        <c:overlap val="-27"/>
        <c:axId val="289419952"/>
        <c:axId val="289420368"/>
      </c:barChart>
      <c:catAx>
        <c:axId val="289419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289420368"/>
        <c:crosses val="autoZero"/>
        <c:auto val="1"/>
        <c:lblAlgn val="ctr"/>
        <c:lblOffset val="100"/>
        <c:noMultiLvlLbl val="0"/>
      </c:catAx>
      <c:valAx>
        <c:axId val="289420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GB"/>
                  <a:t>Percentage Change</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289419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0.62372</cdr:x>
      <cdr:y>0.09179</cdr:y>
    </cdr:from>
    <cdr:to>
      <cdr:x>1</cdr:x>
      <cdr:y>0.18808</cdr:y>
    </cdr:to>
    <cdr:sp macro="" textlink="">
      <cdr:nvSpPr>
        <cdr:cNvPr id="2" name="TextBox 1">
          <a:extLst xmlns:a="http://schemas.openxmlformats.org/drawingml/2006/main">
            <a:ext uri="{FF2B5EF4-FFF2-40B4-BE49-F238E27FC236}">
              <a16:creationId xmlns:a16="http://schemas.microsoft.com/office/drawing/2014/main" id="{9EB8B9BC-3155-CA6E-8314-032931A4FFB1}"/>
            </a:ext>
          </a:extLst>
        </cdr:cNvPr>
        <cdr:cNvSpPr txBox="1"/>
      </cdr:nvSpPr>
      <cdr:spPr>
        <a:xfrm xmlns:a="http://schemas.openxmlformats.org/drawingml/2006/main">
          <a:off x="3632682" y="264844"/>
          <a:ext cx="2191538" cy="27783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900" i="1"/>
            <a:t>Error bars show range of projections</a:t>
          </a:r>
        </a:p>
      </cdr:txBody>
    </cdr:sp>
  </cdr:relSizeAnchor>
</c:userShapes>
</file>

<file path=word/theme/theme1.xml><?xml version="1.0" encoding="utf-8"?>
<a:theme xmlns:a="http://schemas.openxmlformats.org/drawingml/2006/main" name="Office Theme">
  <a:themeElements>
    <a:clrScheme name="Professional">
      <a:dk1>
        <a:sysClr val="windowText" lastClr="000000"/>
      </a:dk1>
      <a:lt1>
        <a:sysClr val="window" lastClr="FFFFFF"/>
      </a:lt1>
      <a:dk2>
        <a:srgbClr val="44546A"/>
      </a:dk2>
      <a:lt2>
        <a:srgbClr val="E7E6E6"/>
      </a:lt2>
      <a:accent1>
        <a:srgbClr val="002060"/>
      </a:accent1>
      <a:accent2>
        <a:srgbClr val="0000FF"/>
      </a:accent2>
      <a:accent3>
        <a:srgbClr val="0070C0"/>
      </a:accent3>
      <a:accent4>
        <a:srgbClr val="00B0F0"/>
      </a:accent4>
      <a:accent5>
        <a:srgbClr val="26D9E2"/>
      </a:accent5>
      <a:accent6>
        <a:srgbClr val="00F4B4"/>
      </a:accent6>
      <a:hlink>
        <a:srgbClr val="0563C1"/>
      </a:hlink>
      <a:folHlink>
        <a:srgbClr val="954F72"/>
      </a:folHlink>
    </a:clrScheme>
    <a:fontScheme name="Professional">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hristmas">
    <a:dk1>
      <a:sysClr val="windowText" lastClr="000000"/>
    </a:dk1>
    <a:lt1>
      <a:sysClr val="window" lastClr="FFFFFF"/>
    </a:lt1>
    <a:dk2>
      <a:srgbClr val="212121"/>
    </a:dk2>
    <a:lt2>
      <a:srgbClr val="CDD0D1"/>
    </a:lt2>
    <a:accent1>
      <a:srgbClr val="FF0000"/>
    </a:accent1>
    <a:accent2>
      <a:srgbClr val="80C34F"/>
    </a:accent2>
    <a:accent3>
      <a:srgbClr val="30ACEC"/>
    </a:accent3>
    <a:accent4>
      <a:srgbClr val="D64787"/>
    </a:accent4>
    <a:accent5>
      <a:srgbClr val="A666E1"/>
    </a:accent5>
    <a:accent6>
      <a:srgbClr val="008000"/>
    </a:accent6>
    <a:hlink>
      <a:srgbClr val="3085ED"/>
    </a:hlink>
    <a:folHlink>
      <a:srgbClr val="82B6F4"/>
    </a:folHlink>
  </a:clrScheme>
  <a:fontScheme name="Study">
    <a:majorFont>
      <a:latin typeface="Segoe UI Light"/>
      <a:ea typeface=""/>
      <a:cs typeface=""/>
    </a:majorFont>
    <a:minorFont>
      <a:latin typeface="Segoe U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Christmas">
    <a:dk1>
      <a:sysClr val="windowText" lastClr="000000"/>
    </a:dk1>
    <a:lt1>
      <a:sysClr val="window" lastClr="FFFFFF"/>
    </a:lt1>
    <a:dk2>
      <a:srgbClr val="212121"/>
    </a:dk2>
    <a:lt2>
      <a:srgbClr val="CDD0D1"/>
    </a:lt2>
    <a:accent1>
      <a:srgbClr val="FF0000"/>
    </a:accent1>
    <a:accent2>
      <a:srgbClr val="80C34F"/>
    </a:accent2>
    <a:accent3>
      <a:srgbClr val="30ACEC"/>
    </a:accent3>
    <a:accent4>
      <a:srgbClr val="D64787"/>
    </a:accent4>
    <a:accent5>
      <a:srgbClr val="A666E1"/>
    </a:accent5>
    <a:accent6>
      <a:srgbClr val="008000"/>
    </a:accent6>
    <a:hlink>
      <a:srgbClr val="3085ED"/>
    </a:hlink>
    <a:folHlink>
      <a:srgbClr val="82B6F4"/>
    </a:folHlink>
  </a:clrScheme>
  <a:fontScheme name="Study">
    <a:majorFont>
      <a:latin typeface="Segoe UI Light"/>
      <a:ea typeface=""/>
      <a:cs typeface=""/>
    </a:majorFont>
    <a:minorFont>
      <a:latin typeface="Segoe U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29C728871AEC4D8D760E9DD95A643B" ma:contentTypeVersion="2" ma:contentTypeDescription="Create a new document." ma:contentTypeScope="" ma:versionID="2b6b28173acb831e7833938f5ad762ce">
  <xsd:schema xmlns:xsd="http://www.w3.org/2001/XMLSchema" xmlns:xs="http://www.w3.org/2001/XMLSchema" xmlns:p="http://schemas.microsoft.com/office/2006/metadata/properties" xmlns:ns2="5c27e0de-6a1d-49f0-b2c1-94e82e9fa842" targetNamespace="http://schemas.microsoft.com/office/2006/metadata/properties" ma:root="true" ma:fieldsID="9feceaf44218204bcd546ea5a5c7281f" ns2:_="">
    <xsd:import namespace="5c27e0de-6a1d-49f0-b2c1-94e82e9fa84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7e0de-6a1d-49f0-b2c1-94e82e9fa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Rob20</b:Tag>
    <b:SourceType>JournalArticle</b:SourceType>
    <b:Guid>{5E6D35C6-5B5E-4576-9B64-97B1226D3C5B}</b:Guid>
    <b:Title>Shaping Baseline Scenarios of Economic Activity with CGE Models: Introduction to the Special Issue</b:Title>
    <b:Year>2020</b:Year>
    <b:Author>
      <b:Author>
        <b:NameList>
          <b:Person>
            <b:Last>Dellink</b:Last>
            <b:First>Rob</b:First>
          </b:Person>
          <b:Person>
            <b:Last>Mensbrugghe</b:Last>
            <b:First>Dominique</b:First>
            <b:Middle>van der</b:Middle>
          </b:Person>
          <b:Person>
            <b:Last>Saveyn</b:Last>
            <b:First>Bert</b:First>
          </b:Person>
        </b:NameList>
      </b:Author>
    </b:Author>
    <b:JournalName>Journal of Global Economic Analysis</b:JournalName>
    <b:Pages>1-27</b:Pages>
    <b:Volume>5</b:Volume>
    <b:Issue>1</b:Issue>
    <b:RefOrder>1</b:RefOrder>
  </b:Source>
  <b:Source>
    <b:Tag>Tom23</b:Tag>
    <b:SourceType>InternetSite</b:SourceType>
    <b:Guid>{5F20230D-87BF-4EEF-A804-C4D50F7E5C6D}</b:Guid>
    <b:Title>UK-Asia trade deal to boost UK economy by 0.08%</b:Title>
    <b:Year>2023</b:Year>
    <b:Month>03</b:Month>
    <b:Day>31</b:Day>
    <b:InternetSiteTitle>BBC News</b:InternetSiteTitle>
    <b:URL>https://www.bbc.co.uk/news/business-65124741</b:URL>
    <b:Author>
      <b:Author>
        <b:NameList>
          <b:Person>
            <b:Last>Espiner</b:Last>
            <b:First>Tom</b:First>
          </b:Person>
        </b:NameList>
      </b:Author>
    </b:Author>
    <b:RefOrder>6</b:RefOrder>
  </b:Source>
  <b:Source>
    <b:Tag>Lio221</b:Tag>
    <b:SourceType>JournalArticle</b:SourceType>
    <b:Guid>{FD77819C-E0EF-416C-9D8D-B5CED9029F70}</b:Guid>
    <b:Title>MaGE 3.1: Long-term macroeconomic projections of the World economy</b:Title>
    <b:Year>2022</b:Year>
    <b:Author>
      <b:Author>
        <b:NameList>
          <b:Person>
            <b:Last>Fontagné</b:Last>
            <b:First>Lionel</b:First>
          </b:Person>
          <b:Person>
            <b:Last>Perego</b:Last>
            <b:First>Erica</b:First>
          </b:Person>
          <b:Person>
            <b:Last>Santoni</b:Last>
            <b:First>Gianluca</b:First>
          </b:Person>
        </b:NameList>
      </b:Author>
    </b:Author>
    <b:JournalName>International Economics</b:JournalName>
    <b:Pages>168-189</b:Pages>
    <b:RefOrder>2</b:RefOrder>
  </b:Source>
  <b:Source>
    <b:Tag>Bri16</b:Tag>
    <b:SourceType>ConferenceProceedings</b:SourceType>
    <b:Guid>{89199495-CEFD-4C18-8C4B-4387D5F93D7B}</b:Guid>
    <b:Title>The Shared Socioeconomic Pathways (SSPs) and their extension and use in impact, adaptation and vulnerability studies</b:Title>
    <b:Year>2016</b:Year>
    <b:Author>
      <b:Author>
        <b:NameList>
          <b:Person>
            <b:Last>O’Neill</b:Last>
            <b:First>Brian</b:First>
          </b:Person>
        </b:NameList>
      </b:Author>
    </b:Author>
    <b:RefOrder>3</b:RefOrder>
  </b:Source>
  <b:Source>
    <b:Tag>DBT23</b:Tag>
    <b:SourceType>Report</b:SourceType>
    <b:Guid>{19444513-7864-4175-ABF3-8E657CE195B7}</b:Guid>
    <b:Title>Global trade outlook - February 2023 report</b:Title>
    <b:Year>2023</b:Year>
    <b:City>London</b:City>
    <b:Publisher>Crown</b:Publisher>
    <b:Author>
      <b:Author>
        <b:Corporate>DBT</b:Corporate>
      </b:Author>
    </b:Author>
    <b:RefOrder>4</b:RefOrder>
  </b:Source>
  <b:Source>
    <b:Tag>Jam97</b:Tag>
    <b:SourceType>Report</b:SourceType>
    <b:Guid>{FC763599-F0E5-44FC-9E49-287CC4D30A28}</b:Guid>
    <b:Title>Modeling the WOrld Economic Outlook at the IMF: A Historical Review: Working Paper of the International Monetary Fund</b:Title>
    <b:Year>1997</b:Year>
    <b:Publisher>IMF</b:Publisher>
    <b:Author>
      <b:Author>
        <b:NameList>
          <b:Person>
            <b:Last>Boughton</b:Last>
            <b:First>James</b:First>
            <b:Middle>M.</b:Middle>
          </b:Person>
        </b:NameList>
      </b:Author>
    </b:Author>
    <b:RefOrder>5</b:RefOrder>
  </b:Source>
</b:Sources>
</file>

<file path=customXml/itemProps1.xml><?xml version="1.0" encoding="utf-8"?>
<ds:datastoreItem xmlns:ds="http://schemas.openxmlformats.org/officeDocument/2006/customXml" ds:itemID="{F73D0891-4CFC-433F-AE1D-1076A6CBBCA8}">
  <ds:schemaRefs>
    <ds:schemaRef ds:uri="http://schemas.microsoft.com/sharepoint/v3/contenttype/forms"/>
  </ds:schemaRefs>
</ds:datastoreItem>
</file>

<file path=customXml/itemProps2.xml><?xml version="1.0" encoding="utf-8"?>
<ds:datastoreItem xmlns:ds="http://schemas.openxmlformats.org/officeDocument/2006/customXml" ds:itemID="{B0CE7973-9111-47E5-AFAA-42DC2ED18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7e0de-6a1d-49f0-b2c1-94e82e9fa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100661-6AE5-485B-A44C-6714597093B3}">
  <ds:schemaRefs>
    <ds:schemaRef ds:uri="5c27e0de-6a1d-49f0-b2c1-94e82e9fa842"/>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 ds:uri="http://purl.org/dc/term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6F1CCB47-7733-4C44-9DF4-018B8AD3C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3309</TotalTime>
  <Pages>8</Pages>
  <Words>2119</Words>
  <Characters>12081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Cunningham, Teale</dc:creator>
  <cp:keywords/>
  <dc:description/>
  <cp:lastModifiedBy>Cunningham, Teale</cp:lastModifiedBy>
  <cp:revision>49</cp:revision>
  <dcterms:created xsi:type="dcterms:W3CDTF">2023-04-11T14:49:00Z</dcterms:created>
  <dcterms:modified xsi:type="dcterms:W3CDTF">2023-04-14T17:53:00Z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0x0101008329C728871AEC4D8D760E9DD95A643B</vt:lpwstr>
  </property>
</Properties>
</file>