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000000" w:space="1" w:sz="12" w:val="single"/>
        </w:pBdr>
        <w:spacing w:line="360" w:lineRule="auto"/>
        <w:jc w:val="center"/>
        <w:rPr>
          <w:rFonts w:ascii="Times New Roman" w:cs="Times New Roman" w:eastAsia="Times New Roman" w:hAnsi="Times New Roman"/>
          <w:b w:val="1"/>
          <w:sz w:val="28"/>
          <w:szCs w:val="28"/>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bottom w:color="000000" w:space="1" w:sz="12" w:val="single"/>
        </w:pBd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Socioeconomic impacts of Public Health Spending and social programs (2021-2025) in Morocco: a recursive dynamic computable general equilibrium analysis</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EL BAOUCHARI Nabil (presenter)</w:t>
      </w:r>
      <w:r w:rsidDel="00000000" w:rsidR="00000000" w:rsidRPr="00000000">
        <w:rPr>
          <w:rFonts w:ascii="Times New Roman" w:cs="Times New Roman" w:eastAsia="Times New Roman" w:hAnsi="Times New Roman"/>
          <w:sz w:val="24"/>
          <w:szCs w:val="24"/>
          <w:rtl w:val="0"/>
        </w:rPr>
        <w:t xml:space="preserve">, PhD student, Laboratory of Economic Analysis and Modelling (LEAM), Department of Economics, Faculty of Economics, Law and Social Sciences Mohammed V University in Rabat (Morocco)</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RAOUF Radouane, P</w:t>
      </w:r>
      <w:r w:rsidDel="00000000" w:rsidR="00000000" w:rsidRPr="00000000">
        <w:rPr>
          <w:rFonts w:ascii="Times New Roman" w:cs="Times New Roman" w:eastAsia="Times New Roman" w:hAnsi="Times New Roman"/>
          <w:sz w:val="24"/>
          <w:szCs w:val="24"/>
          <w:rtl w:val="0"/>
        </w:rPr>
        <w:t xml:space="preserve">rofessor of Economics, Laboratory of Economic Analysis and Modelling (LEAM), Department of Economics, Faculty of Economics, Law and Social Sciences, Mohammed V University in Rabat (Morocco).</w:t>
      </w:r>
    </w:p>
    <w:p w:rsidR="00000000" w:rsidDel="00000000" w:rsidP="00000000" w:rsidRDefault="00000000" w:rsidRPr="00000000" w14:paraId="00000005">
      <w:pPr>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Abstract</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COVID-19 has caused an unprecedented global crisis, which is characterized by a double shock on demand and supply, showing weakened health systems, and disproportionately affecting the most vulnerable people. In response to this crisis, a number of countries have implemented and strengthened the health system through economic and social policies represented by direct aid to individuals and families, as well as the provision of free vaccines and basic medical services.</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contributions of health to human capital development and economic simulation draw attention to the involvement of governments in improving this sector, especially in developing countries (Wu et al., 2021). Considering the importance of economic growth, governments try to invest more and more in human capital, in particular in the health and education sectors, which leads to an increase in productivity and positively affects the economic outlook (Lucas, 1988; Mankiw et al., 1992; Arrow et al., 1995 ). In Morocco, the health system faces huge resource gaps, especially in human resources. Despite an increased budget in recent years, investment in health remains relatively low (</w:t>
      </w:r>
      <w:r w:rsidDel="00000000" w:rsidR="00000000" w:rsidRPr="00000000">
        <w:rPr>
          <w:rFonts w:ascii="Times New Roman" w:cs="Times New Roman" w:eastAsia="Times New Roman" w:hAnsi="Times New Roman"/>
          <w:i w:val="1"/>
          <w:sz w:val="24"/>
          <w:szCs w:val="24"/>
          <w:rtl w:val="0"/>
        </w:rPr>
        <w:t xml:space="preserve">between 4% and 6% of GDP over 2000-2019</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Moroccan government has several multi-year plans to strengthen the current healthcare system by developing new hospitals, increasing the number of doctors and nurses in training, and opening the market to private investment. To accelerate sector reform, the government launched 2021, an ambitious project to generalize social protection and allocated $2.4 billion to the healthcare sector in 2022. </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national project will be implemented along four lines. Firstly, the generalization of the basic compulsory health insurance during the years 2021 and 2022. Secondly, the generalization of family allowances during the years 2023 and 2024. The third point concerns the expansion, in 2025, of the base of members of the pension scheme to those who are employed and do not receive any pension. The fourth point concerns the generalization of the job loss indemnity in 2025 (Finance Act for the fiscal year 2021).</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In this context, the present study focuses on a simulation through the computable general equilibrium (CGE) model based on the Partnership for Economic Policy standard (PEP-1-t) (Decaluwé et al., 2013) to analyze the effects of increased health expenditures on economic growth and household welfare in Morocco. Indeed, the main objective is to make an ex-ante assessment of this plan (National project 2021-2025) and to see its socioeconomic impacts. </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model has been calibrated using SAM (2019) data on the Moroccan economy.</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The SAM counts three categories of labor disaggregated by the level of education and degrees held by each individual in the household (Unskilled work (USK), Skilled work (SK), and Medium skilled work (MSK)). In addition, we have disaggregated the Education, Health, and Social Action (MNO) accounts into three sub-accounts, namely non-market education (ENM) - Market education (EM) - Health and social action (SN). Finally, the representative household account was disaggregated into three sub-counts using data from the National Survey on Household Consumption and Expenditure 2014 (NSHCE-2014, HCP) namely: poor households (HP), medium households (HM) and rich households (HR) which will allow us to calculate indicators that are related to income inequalities like the GINI index (1921), the Atkinson index (1970) and welfare.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other words, to respond to the objective of this study, we made some modifications to the basic PEP 1-t  model. Firstly, to capture the existence of unemployment in the Moroccan labor market, we adapted the wage curve which consists in assuming a negatively sloped relationship between the unemployment rate and the wage rate in each labor market (Blanchflower &amp; Oswald, 1995). Secondly, we have broken down the government expenditures into two types, governmental expenditures in health and governmental expenditures in goods other than health.</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a dynamic CGEM, we are trying to gradually introduce the implementation of the 2021-2025 plan, which consists of generalizing social protection and the implementation of other direct aids. Simulation scenarios are related to the increase in public spending on health and the various transfers to poor households. The objective is to capture the impact of these reforms on the economic and social levels.</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Keywords – </w:t>
      </w:r>
      <w:r w:rsidDel="00000000" w:rsidR="00000000" w:rsidRPr="00000000">
        <w:rPr>
          <w:rFonts w:ascii="Times New Roman" w:cs="Times New Roman" w:eastAsia="Times New Roman" w:hAnsi="Times New Roman"/>
          <w:sz w:val="24"/>
          <w:szCs w:val="24"/>
          <w:rtl w:val="0"/>
        </w:rPr>
        <w:t xml:space="preserve">Human capital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Calibri" w:cs="Calibri" w:eastAsia="Calibri" w:hAnsi="Calibri"/>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Healthcare, Dynamic Computable General Equilibrium Model, Poverty, Socioeconomic impacts, Public policy, Morocco, Inequality, Welfare </w:t>
      </w: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JEL classification – </w:t>
      </w:r>
      <w:r w:rsidDel="00000000" w:rsidR="00000000" w:rsidRPr="00000000">
        <w:rPr>
          <w:rFonts w:ascii="Times New Roman" w:cs="Times New Roman" w:eastAsia="Times New Roman" w:hAnsi="Times New Roman"/>
          <w:sz w:val="24"/>
          <w:szCs w:val="24"/>
          <w:rtl w:val="0"/>
        </w:rPr>
        <w:t xml:space="preserve">J24</w:t>
      </w:r>
      <w:r w:rsidDel="00000000" w:rsidR="00000000" w:rsidRPr="00000000">
        <w:rPr>
          <w:rFonts w:ascii="Arial" w:cs="Arial" w:eastAsia="Arial" w:hAnsi="Arial"/>
          <w:color w:val="4d5156"/>
          <w:sz w:val="21"/>
          <w:szCs w:val="21"/>
          <w:highlight w:val="white"/>
          <w:rtl w:val="0"/>
        </w:rPr>
        <w:t xml:space="preser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C68, D63, E62, H31.</w:t>
      </w:r>
    </w:p>
    <w:sectPr>
      <w:pgSz w:h="15840" w:w="12240" w:orient="portrait"/>
      <w:pgMar w:bottom="1440" w:top="1135"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hyperlink r:id="rId1">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https://data.worldbank.org/indicator/SH.XPD.CHEX.GD.ZS?locations=MA</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670FF"/>
    <w:pPr>
      <w:spacing w:after="160" w:line="259" w:lineRule="auto"/>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A326E"/>
    <w:pPr>
      <w:ind w:left="720"/>
      <w:contextualSpacing w:val="1"/>
    </w:pPr>
  </w:style>
  <w:style w:type="paragraph" w:styleId="FootnoteText">
    <w:name w:val="footnote text"/>
    <w:basedOn w:val="Normal"/>
    <w:link w:val="FootnoteTextChar"/>
    <w:uiPriority w:val="99"/>
    <w:semiHidden w:val="1"/>
    <w:unhideWhenUsed w:val="1"/>
    <w:rsid w:val="00A60478"/>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A60478"/>
    <w:rPr>
      <w:sz w:val="20"/>
      <w:szCs w:val="20"/>
    </w:rPr>
  </w:style>
  <w:style w:type="character" w:styleId="FootnoteReference">
    <w:name w:val="footnote reference"/>
    <w:basedOn w:val="DefaultParagraphFont"/>
    <w:uiPriority w:val="99"/>
    <w:semiHidden w:val="1"/>
    <w:unhideWhenUsed w:val="1"/>
    <w:rsid w:val="00A60478"/>
    <w:rPr>
      <w:vertAlign w:val="superscript"/>
    </w:rPr>
  </w:style>
  <w:style w:type="character" w:styleId="Hyperlink">
    <w:name w:val="Hyperlink"/>
    <w:basedOn w:val="DefaultParagraphFont"/>
    <w:uiPriority w:val="99"/>
    <w:unhideWhenUsed w:val="1"/>
    <w:rsid w:val="00A60478"/>
    <w:rPr>
      <w:color w:val="0563c1" w:themeColor="hyperlink"/>
      <w:u w:val="single"/>
    </w:rPr>
  </w:style>
  <w:style w:type="character" w:styleId="UnresolvedMention" w:customStyle="1">
    <w:name w:val="Unresolved Mention"/>
    <w:basedOn w:val="DefaultParagraphFont"/>
    <w:uiPriority w:val="99"/>
    <w:semiHidden w:val="1"/>
    <w:unhideWhenUsed w:val="1"/>
    <w:rsid w:val="00A60478"/>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data.worldbank.org/indicator/SH.XPD.CHEX.GD.ZS?locations=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5PFbHfaVubuQ+9Kifsb2a43xNSA==">AMUW2mXX/SsZRjmSFTOPT3tDEEM444eAn4wXJyqpTBNzVJqx7KlLzeaHvudqLPKeqEmrENAL4rri4nIu9zp85wtn8JqxYdv1vltXBq7CzRcC/DvqfQXlc+4QJ018U5fEARTqZqYYBU1N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2023-01-12T13:01:00Z</dcterms:created>
  <dc:creator>Zakaria CHTOUKI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id="dXXNfuRE"/&gt;&lt;style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