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3.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B04C9" w14:textId="0C2FCD6F" w:rsidR="00A846BA" w:rsidRPr="00A846BA" w:rsidRDefault="00A846BA" w:rsidP="00A846BA">
      <w:pPr>
        <w:spacing w:after="0"/>
        <w:jc w:val="center"/>
        <w:rPr>
          <w:rFonts w:ascii="Times New Roman" w:eastAsia="Times New Roman" w:hAnsi="Times New Roman" w:cs="Times New Roman"/>
          <w:b/>
          <w:i/>
          <w:iCs/>
          <w:color w:val="000000"/>
          <w:sz w:val="24"/>
          <w:szCs w:val="24"/>
        </w:rPr>
      </w:pPr>
      <w:r w:rsidRPr="00A846BA">
        <w:rPr>
          <w:rFonts w:ascii="Times New Roman" w:eastAsia="Times New Roman" w:hAnsi="Times New Roman" w:cs="Times New Roman"/>
          <w:b/>
          <w:i/>
          <w:iCs/>
          <w:color w:val="000000"/>
          <w:sz w:val="24"/>
          <w:szCs w:val="24"/>
        </w:rPr>
        <w:t>27</w:t>
      </w:r>
      <w:r w:rsidRPr="00A846BA">
        <w:rPr>
          <w:rFonts w:ascii="Times New Roman" w:eastAsia="Times New Roman" w:hAnsi="Times New Roman" w:cs="Times New Roman"/>
          <w:b/>
          <w:i/>
          <w:iCs/>
          <w:color w:val="000000"/>
          <w:sz w:val="24"/>
          <w:szCs w:val="24"/>
          <w:vertAlign w:val="superscript"/>
        </w:rPr>
        <w:t>TH</w:t>
      </w:r>
      <w:r w:rsidRPr="00A846BA">
        <w:rPr>
          <w:rFonts w:ascii="Times New Roman" w:eastAsia="Times New Roman" w:hAnsi="Times New Roman" w:cs="Times New Roman"/>
          <w:b/>
          <w:i/>
          <w:iCs/>
          <w:color w:val="000000"/>
          <w:sz w:val="24"/>
          <w:szCs w:val="24"/>
        </w:rPr>
        <w:t xml:space="preserve"> ANNUAL CONFERENCE ON GLOBAL ECONOMIC ANALYSIS</w:t>
      </w:r>
    </w:p>
    <w:p w14:paraId="19E3D407" w14:textId="77777777" w:rsidR="00A846BA" w:rsidRDefault="00A846BA" w:rsidP="00A846BA">
      <w:pPr>
        <w:spacing w:after="0"/>
        <w:jc w:val="center"/>
        <w:rPr>
          <w:rFonts w:ascii="Times New Roman" w:eastAsia="Times New Roman" w:hAnsi="Times New Roman" w:cs="Times New Roman"/>
          <w:b/>
          <w:smallCaps/>
          <w:color w:val="000000"/>
          <w:sz w:val="24"/>
          <w:szCs w:val="24"/>
        </w:rPr>
      </w:pPr>
    </w:p>
    <w:p w14:paraId="65D48E80" w14:textId="3586E380" w:rsidR="00986E57" w:rsidRPr="002552EB" w:rsidRDefault="00A846BA" w:rsidP="00A846BA">
      <w:pPr>
        <w:spacing w:after="0"/>
        <w:jc w:val="center"/>
        <w:rPr>
          <w:rFonts w:ascii="Times New Roman" w:eastAsia="Times New Roman" w:hAnsi="Times New Roman" w:cs="Times New Roman"/>
          <w:b/>
          <w:color w:val="000000"/>
          <w:sz w:val="24"/>
          <w:szCs w:val="24"/>
        </w:rPr>
      </w:pPr>
      <w:r w:rsidRPr="00A846BA">
        <w:rPr>
          <w:rFonts w:ascii="Times New Roman" w:eastAsia="Times New Roman" w:hAnsi="Times New Roman" w:cs="Times New Roman"/>
          <w:b/>
          <w:smallCaps/>
          <w:color w:val="000000"/>
          <w:sz w:val="24"/>
          <w:szCs w:val="24"/>
        </w:rPr>
        <w:t xml:space="preserve">Sustainability and </w:t>
      </w:r>
      <w:r>
        <w:rPr>
          <w:rFonts w:ascii="Times New Roman" w:eastAsia="Times New Roman" w:hAnsi="Times New Roman" w:cs="Times New Roman"/>
          <w:b/>
          <w:smallCaps/>
          <w:color w:val="000000"/>
          <w:sz w:val="24"/>
          <w:szCs w:val="24"/>
        </w:rPr>
        <w:t>A</w:t>
      </w:r>
      <w:r w:rsidRPr="00A846BA">
        <w:rPr>
          <w:rFonts w:ascii="Times New Roman" w:eastAsia="Times New Roman" w:hAnsi="Times New Roman" w:cs="Times New Roman"/>
          <w:b/>
          <w:smallCaps/>
          <w:color w:val="000000"/>
          <w:sz w:val="24"/>
          <w:szCs w:val="24"/>
        </w:rPr>
        <w:t xml:space="preserve">griculture </w:t>
      </w:r>
      <w:r>
        <w:rPr>
          <w:rFonts w:ascii="Times New Roman" w:eastAsia="Times New Roman" w:hAnsi="Times New Roman" w:cs="Times New Roman"/>
          <w:b/>
          <w:smallCaps/>
          <w:color w:val="000000"/>
          <w:sz w:val="24"/>
          <w:szCs w:val="24"/>
        </w:rPr>
        <w:t>S</w:t>
      </w:r>
      <w:r w:rsidRPr="00A846BA">
        <w:rPr>
          <w:rFonts w:ascii="Times New Roman" w:eastAsia="Times New Roman" w:hAnsi="Times New Roman" w:cs="Times New Roman"/>
          <w:b/>
          <w:smallCaps/>
          <w:color w:val="000000"/>
          <w:sz w:val="24"/>
          <w:szCs w:val="24"/>
        </w:rPr>
        <w:t xml:space="preserve">ubsidies </w:t>
      </w:r>
      <w:r>
        <w:rPr>
          <w:rFonts w:ascii="Times New Roman" w:eastAsia="Times New Roman" w:hAnsi="Times New Roman" w:cs="Times New Roman"/>
          <w:b/>
          <w:smallCaps/>
          <w:color w:val="000000"/>
          <w:sz w:val="24"/>
          <w:szCs w:val="24"/>
        </w:rPr>
        <w:t>N</w:t>
      </w:r>
      <w:r w:rsidRPr="00A846BA">
        <w:rPr>
          <w:rFonts w:ascii="Times New Roman" w:eastAsia="Times New Roman" w:hAnsi="Times New Roman" w:cs="Times New Roman"/>
          <w:b/>
          <w:smallCaps/>
          <w:color w:val="000000"/>
          <w:sz w:val="24"/>
          <w:szCs w:val="24"/>
        </w:rPr>
        <w:t xml:space="preserve">egotiations: </w:t>
      </w:r>
      <w:r>
        <w:rPr>
          <w:rFonts w:ascii="Times New Roman" w:eastAsia="Times New Roman" w:hAnsi="Times New Roman" w:cs="Times New Roman"/>
          <w:b/>
          <w:smallCaps/>
          <w:color w:val="000000"/>
          <w:sz w:val="24"/>
          <w:szCs w:val="24"/>
        </w:rPr>
        <w:t>N</w:t>
      </w:r>
      <w:r w:rsidRPr="00A846BA">
        <w:rPr>
          <w:rFonts w:ascii="Times New Roman" w:eastAsia="Times New Roman" w:hAnsi="Times New Roman" w:cs="Times New Roman"/>
          <w:b/>
          <w:smallCaps/>
          <w:color w:val="000000"/>
          <w:sz w:val="24"/>
          <w:szCs w:val="24"/>
        </w:rPr>
        <w:t xml:space="preserve">avigating </w:t>
      </w:r>
      <w:r>
        <w:rPr>
          <w:rFonts w:ascii="Times New Roman" w:eastAsia="Times New Roman" w:hAnsi="Times New Roman" w:cs="Times New Roman"/>
          <w:b/>
          <w:smallCaps/>
          <w:color w:val="000000"/>
          <w:sz w:val="24"/>
          <w:szCs w:val="24"/>
        </w:rPr>
        <w:t>t</w:t>
      </w:r>
      <w:r w:rsidRPr="00A846BA">
        <w:rPr>
          <w:rFonts w:ascii="Times New Roman" w:eastAsia="Times New Roman" w:hAnsi="Times New Roman" w:cs="Times New Roman"/>
          <w:b/>
          <w:smallCaps/>
          <w:color w:val="000000"/>
          <w:sz w:val="24"/>
          <w:szCs w:val="24"/>
        </w:rPr>
        <w:t xml:space="preserve">he </w:t>
      </w:r>
      <w:r>
        <w:rPr>
          <w:rFonts w:ascii="Times New Roman" w:eastAsia="Times New Roman" w:hAnsi="Times New Roman" w:cs="Times New Roman"/>
          <w:b/>
          <w:smallCaps/>
          <w:color w:val="000000"/>
          <w:sz w:val="24"/>
          <w:szCs w:val="24"/>
        </w:rPr>
        <w:t>C</w:t>
      </w:r>
      <w:r w:rsidRPr="00A846BA">
        <w:rPr>
          <w:rFonts w:ascii="Times New Roman" w:eastAsia="Times New Roman" w:hAnsi="Times New Roman" w:cs="Times New Roman"/>
          <w:b/>
          <w:smallCaps/>
          <w:color w:val="000000"/>
          <w:sz w:val="24"/>
          <w:szCs w:val="24"/>
        </w:rPr>
        <w:t>rossroads</w:t>
      </w:r>
    </w:p>
    <w:p w14:paraId="7B8A680E" w14:textId="77777777" w:rsidR="00F96821" w:rsidRDefault="00F96821" w:rsidP="002552EB">
      <w:pPr>
        <w:jc w:val="center"/>
        <w:rPr>
          <w:rFonts w:ascii="Times New Roman" w:eastAsia="Times New Roman" w:hAnsi="Times New Roman" w:cs="Times New Roman"/>
          <w:b/>
          <w:color w:val="000000"/>
          <w:sz w:val="18"/>
          <w:szCs w:val="18"/>
        </w:rPr>
      </w:pPr>
    </w:p>
    <w:p w14:paraId="3BF41626" w14:textId="2DCC98AD" w:rsidR="00234C15" w:rsidRPr="002552EB" w:rsidRDefault="00DB2188" w:rsidP="00A1206E">
      <w:pPr>
        <w:jc w:val="center"/>
      </w:pPr>
      <w:r w:rsidRPr="00640CB0">
        <w:rPr>
          <w:rFonts w:ascii="Times New Roman" w:eastAsia="Times New Roman" w:hAnsi="Times New Roman" w:cs="Times New Roman"/>
          <w:b/>
          <w:color w:val="000000"/>
          <w:sz w:val="18"/>
          <w:szCs w:val="18"/>
        </w:rPr>
        <w:t>Sachin Kumar Sharma</w:t>
      </w:r>
      <w:r w:rsidRPr="002552EB">
        <w:rPr>
          <w:rStyle w:val="FootnoteReference"/>
          <w:rFonts w:ascii="Times New Roman" w:eastAsia="Times New Roman" w:hAnsi="Times New Roman" w:cs="Times New Roman"/>
          <w:b/>
          <w:color w:val="000000"/>
          <w:sz w:val="18"/>
          <w:szCs w:val="18"/>
        </w:rPr>
        <w:footnoteReference w:id="1"/>
      </w:r>
      <w:r w:rsidRPr="00640CB0">
        <w:rPr>
          <w:rFonts w:ascii="Times New Roman" w:eastAsia="Times New Roman" w:hAnsi="Times New Roman" w:cs="Times New Roman"/>
          <w:b/>
          <w:color w:val="000000"/>
          <w:sz w:val="18"/>
          <w:szCs w:val="18"/>
        </w:rPr>
        <w:t xml:space="preserve">, </w:t>
      </w:r>
      <w:proofErr w:type="spellStart"/>
      <w:r w:rsidRPr="00640CB0">
        <w:rPr>
          <w:rFonts w:ascii="Times New Roman" w:eastAsia="Times New Roman" w:hAnsi="Times New Roman" w:cs="Times New Roman"/>
          <w:b/>
          <w:color w:val="000000"/>
          <w:sz w:val="18"/>
          <w:szCs w:val="18"/>
        </w:rPr>
        <w:t>Paavni</w:t>
      </w:r>
      <w:proofErr w:type="spellEnd"/>
      <w:r w:rsidRPr="00640CB0">
        <w:rPr>
          <w:rFonts w:ascii="Times New Roman" w:eastAsia="Times New Roman" w:hAnsi="Times New Roman" w:cs="Times New Roman"/>
          <w:b/>
          <w:color w:val="000000"/>
          <w:sz w:val="18"/>
          <w:szCs w:val="18"/>
        </w:rPr>
        <w:t xml:space="preserve"> Mathur, </w:t>
      </w:r>
      <w:r w:rsidR="00A1206E" w:rsidRPr="00640CB0">
        <w:rPr>
          <w:rFonts w:ascii="Times New Roman" w:eastAsia="Times New Roman" w:hAnsi="Times New Roman" w:cs="Times New Roman"/>
          <w:b/>
          <w:color w:val="000000"/>
          <w:sz w:val="18"/>
          <w:szCs w:val="18"/>
        </w:rPr>
        <w:t xml:space="preserve">Lakshmi Swathi </w:t>
      </w:r>
      <w:proofErr w:type="spellStart"/>
      <w:r w:rsidR="00A1206E" w:rsidRPr="00640CB0">
        <w:rPr>
          <w:rFonts w:ascii="Times New Roman" w:eastAsia="Times New Roman" w:hAnsi="Times New Roman" w:cs="Times New Roman"/>
          <w:b/>
          <w:color w:val="000000"/>
          <w:sz w:val="18"/>
          <w:szCs w:val="18"/>
        </w:rPr>
        <w:t>Ganti</w:t>
      </w:r>
      <w:proofErr w:type="spellEnd"/>
      <w:r w:rsidR="00A1206E">
        <w:rPr>
          <w:rFonts w:ascii="Times New Roman" w:eastAsia="Times New Roman" w:hAnsi="Times New Roman" w:cs="Times New Roman"/>
          <w:b/>
          <w:color w:val="000000"/>
          <w:sz w:val="18"/>
          <w:szCs w:val="18"/>
        </w:rPr>
        <w:t>,</w:t>
      </w:r>
      <w:r w:rsidR="00A1206E" w:rsidRPr="00640CB0">
        <w:rPr>
          <w:rFonts w:ascii="Times New Roman" w:eastAsia="Times New Roman" w:hAnsi="Times New Roman" w:cs="Times New Roman"/>
          <w:b/>
          <w:color w:val="000000"/>
          <w:sz w:val="18"/>
          <w:szCs w:val="18"/>
        </w:rPr>
        <w:t xml:space="preserve"> </w:t>
      </w:r>
      <w:r w:rsidR="00A1206E" w:rsidRPr="00640CB0">
        <w:rPr>
          <w:rFonts w:ascii="Times New Roman" w:eastAsia="Times New Roman" w:hAnsi="Times New Roman" w:cs="Times New Roman"/>
          <w:b/>
          <w:color w:val="000000"/>
          <w:sz w:val="18"/>
          <w:szCs w:val="18"/>
        </w:rPr>
        <w:t>Alisha Goswami</w:t>
      </w:r>
      <w:r w:rsidR="00A1206E">
        <w:rPr>
          <w:rFonts w:ascii="Times New Roman" w:eastAsia="Times New Roman" w:hAnsi="Times New Roman" w:cs="Times New Roman"/>
          <w:b/>
          <w:color w:val="000000"/>
          <w:sz w:val="18"/>
          <w:szCs w:val="18"/>
        </w:rPr>
        <w:t>, and</w:t>
      </w:r>
      <w:r w:rsidR="00A1206E" w:rsidRPr="00640CB0">
        <w:rPr>
          <w:rFonts w:ascii="Times New Roman" w:eastAsia="Times New Roman" w:hAnsi="Times New Roman" w:cs="Times New Roman"/>
          <w:b/>
          <w:color w:val="000000"/>
          <w:sz w:val="18"/>
          <w:szCs w:val="18"/>
        </w:rPr>
        <w:t xml:space="preserve"> </w:t>
      </w:r>
      <w:r w:rsidRPr="00640CB0">
        <w:rPr>
          <w:rFonts w:ascii="Times New Roman" w:eastAsia="Times New Roman" w:hAnsi="Times New Roman" w:cs="Times New Roman"/>
          <w:b/>
          <w:color w:val="000000"/>
          <w:sz w:val="18"/>
          <w:szCs w:val="18"/>
        </w:rPr>
        <w:t xml:space="preserve">Ahamed Ashiq </w:t>
      </w:r>
      <w:proofErr w:type="spellStart"/>
      <w:r w:rsidRPr="00640CB0">
        <w:rPr>
          <w:rFonts w:ascii="Times New Roman" w:eastAsia="Times New Roman" w:hAnsi="Times New Roman" w:cs="Times New Roman"/>
          <w:b/>
          <w:color w:val="000000"/>
          <w:sz w:val="18"/>
          <w:szCs w:val="18"/>
        </w:rPr>
        <w:t>Shajahan</w:t>
      </w:r>
      <w:bookmarkStart w:id="0" w:name="_Toc147322991"/>
      <w:proofErr w:type="spellEnd"/>
      <w:r w:rsidR="00A1206E">
        <w:rPr>
          <w:rFonts w:ascii="Times New Roman" w:eastAsia="Times New Roman" w:hAnsi="Times New Roman" w:cs="Times New Roman"/>
          <w:b/>
          <w:color w:val="000000"/>
          <w:sz w:val="18"/>
          <w:szCs w:val="18"/>
        </w:rPr>
        <w:t xml:space="preserve"> </w:t>
      </w:r>
      <w:r w:rsidRPr="00640CB0">
        <w:t>ABSTRACT</w:t>
      </w:r>
      <w:bookmarkEnd w:id="0"/>
    </w:p>
    <w:p w14:paraId="3EEC9032" w14:textId="3B30BD81" w:rsidR="005D0001" w:rsidRPr="002552EB" w:rsidRDefault="005D0001" w:rsidP="002552EB">
      <w:pPr>
        <w:spacing w:line="360" w:lineRule="auto"/>
        <w:jc w:val="both"/>
        <w:rPr>
          <w:rFonts w:ascii="Times New Roman" w:eastAsia="Times New Roman" w:hAnsi="Times New Roman" w:cs="Times New Roman"/>
          <w:bCs/>
          <w:color w:val="000000"/>
          <w:sz w:val="24"/>
          <w:szCs w:val="24"/>
        </w:rPr>
      </w:pPr>
      <w:r w:rsidRPr="002552EB">
        <w:rPr>
          <w:rFonts w:ascii="Times New Roman" w:eastAsia="Times New Roman" w:hAnsi="Times New Roman" w:cs="Times New Roman"/>
          <w:bCs/>
          <w:color w:val="000000"/>
          <w:sz w:val="24"/>
          <w:szCs w:val="24"/>
        </w:rPr>
        <w:t xml:space="preserve">Agriculture subsidies </w:t>
      </w:r>
      <w:r w:rsidR="00BD09CF" w:rsidRPr="002552EB">
        <w:rPr>
          <w:rFonts w:ascii="Times New Roman" w:eastAsia="Times New Roman" w:hAnsi="Times New Roman" w:cs="Times New Roman"/>
          <w:bCs/>
          <w:color w:val="000000"/>
          <w:sz w:val="24"/>
          <w:szCs w:val="24"/>
        </w:rPr>
        <w:t>are</w:t>
      </w:r>
      <w:r w:rsidRPr="002552EB">
        <w:rPr>
          <w:rFonts w:ascii="Times New Roman" w:eastAsia="Times New Roman" w:hAnsi="Times New Roman" w:cs="Times New Roman"/>
          <w:bCs/>
          <w:color w:val="000000"/>
          <w:sz w:val="24"/>
          <w:szCs w:val="24"/>
        </w:rPr>
        <w:t xml:space="preserve"> estimated to increase by US$ 2 trillion in 2030 and many countries are critical of policies such as market price support and input subsidies due to their adverse impacts on the environment such as climate change and biodiversity loss among others. Recently, in addition to trade distortion, </w:t>
      </w:r>
      <w:r w:rsidR="002508A2">
        <w:rPr>
          <w:rFonts w:ascii="Times New Roman" w:eastAsia="Times New Roman" w:hAnsi="Times New Roman" w:cs="Times New Roman"/>
          <w:bCs/>
          <w:color w:val="000000"/>
          <w:sz w:val="24"/>
          <w:szCs w:val="24"/>
        </w:rPr>
        <w:t xml:space="preserve">the </w:t>
      </w:r>
      <w:r w:rsidRPr="002552EB">
        <w:rPr>
          <w:rFonts w:ascii="Times New Roman" w:eastAsia="Times New Roman" w:hAnsi="Times New Roman" w:cs="Times New Roman"/>
          <w:bCs/>
          <w:color w:val="000000"/>
          <w:sz w:val="24"/>
          <w:szCs w:val="24"/>
        </w:rPr>
        <w:t xml:space="preserve">environmental impact criterion is playing a crucial role in disciplining agriculture subsidies at the WTO. Many members </w:t>
      </w:r>
      <w:r w:rsidR="00730A21" w:rsidRPr="002552EB">
        <w:rPr>
          <w:rFonts w:ascii="Times New Roman" w:eastAsia="Times New Roman" w:hAnsi="Times New Roman" w:cs="Times New Roman"/>
          <w:bCs/>
          <w:color w:val="000000"/>
          <w:sz w:val="24"/>
          <w:szCs w:val="24"/>
        </w:rPr>
        <w:t>and international organisations</w:t>
      </w:r>
      <w:r w:rsidRPr="002552EB">
        <w:rPr>
          <w:rFonts w:ascii="Times New Roman" w:eastAsia="Times New Roman" w:hAnsi="Times New Roman" w:cs="Times New Roman"/>
          <w:bCs/>
          <w:color w:val="000000"/>
          <w:sz w:val="24"/>
          <w:szCs w:val="24"/>
        </w:rPr>
        <w:t xml:space="preserve"> have called for a substantial reduction in the subsidy entitlement of individual members to address the </w:t>
      </w:r>
      <w:r w:rsidR="00302082" w:rsidRPr="002552EB">
        <w:rPr>
          <w:rFonts w:ascii="Times New Roman" w:eastAsia="Times New Roman" w:hAnsi="Times New Roman" w:cs="Times New Roman"/>
          <w:bCs/>
          <w:color w:val="000000"/>
          <w:sz w:val="24"/>
          <w:szCs w:val="24"/>
        </w:rPr>
        <w:t>adverse impact of high level</w:t>
      </w:r>
      <w:r w:rsidR="009D694E" w:rsidRPr="002552EB">
        <w:rPr>
          <w:rFonts w:ascii="Times New Roman" w:eastAsia="Times New Roman" w:hAnsi="Times New Roman" w:cs="Times New Roman"/>
          <w:bCs/>
          <w:color w:val="000000"/>
          <w:sz w:val="24"/>
          <w:szCs w:val="24"/>
        </w:rPr>
        <w:t>s</w:t>
      </w:r>
      <w:r w:rsidR="00302082" w:rsidRPr="002552EB">
        <w:rPr>
          <w:rFonts w:ascii="Times New Roman" w:eastAsia="Times New Roman" w:hAnsi="Times New Roman" w:cs="Times New Roman"/>
          <w:bCs/>
          <w:color w:val="000000"/>
          <w:sz w:val="24"/>
          <w:szCs w:val="24"/>
        </w:rPr>
        <w:t xml:space="preserve"> of agricultural subsidies on </w:t>
      </w:r>
      <w:r w:rsidR="002508A2">
        <w:rPr>
          <w:rFonts w:ascii="Times New Roman" w:eastAsia="Times New Roman" w:hAnsi="Times New Roman" w:cs="Times New Roman"/>
          <w:bCs/>
          <w:color w:val="000000"/>
          <w:sz w:val="24"/>
          <w:szCs w:val="24"/>
        </w:rPr>
        <w:t xml:space="preserve">the </w:t>
      </w:r>
      <w:r w:rsidR="00302082" w:rsidRPr="002552EB">
        <w:rPr>
          <w:rFonts w:ascii="Times New Roman" w:eastAsia="Times New Roman" w:hAnsi="Times New Roman" w:cs="Times New Roman"/>
          <w:bCs/>
          <w:color w:val="000000"/>
          <w:sz w:val="24"/>
          <w:szCs w:val="24"/>
        </w:rPr>
        <w:t>environment</w:t>
      </w:r>
      <w:r w:rsidR="00730A21" w:rsidRPr="002552EB">
        <w:rPr>
          <w:rFonts w:ascii="Times New Roman" w:eastAsia="Times New Roman" w:hAnsi="Times New Roman" w:cs="Times New Roman"/>
          <w:bCs/>
          <w:color w:val="000000"/>
          <w:sz w:val="24"/>
          <w:szCs w:val="24"/>
        </w:rPr>
        <w:t xml:space="preserve"> and </w:t>
      </w:r>
      <w:r w:rsidR="00302082" w:rsidRPr="002552EB">
        <w:rPr>
          <w:rFonts w:ascii="Times New Roman" w:eastAsia="Times New Roman" w:hAnsi="Times New Roman" w:cs="Times New Roman"/>
          <w:bCs/>
          <w:color w:val="000000"/>
          <w:sz w:val="24"/>
          <w:szCs w:val="24"/>
        </w:rPr>
        <w:t xml:space="preserve">international trade. </w:t>
      </w:r>
      <w:r w:rsidRPr="002552EB">
        <w:rPr>
          <w:rFonts w:ascii="Times New Roman" w:eastAsia="Times New Roman" w:hAnsi="Times New Roman" w:cs="Times New Roman"/>
          <w:bCs/>
          <w:color w:val="000000"/>
          <w:sz w:val="24"/>
          <w:szCs w:val="24"/>
        </w:rPr>
        <w:t xml:space="preserve">The reduction is proposed to be proportionate to the size of the members’ current and future trade distorting entitlements. </w:t>
      </w:r>
      <w:r w:rsidR="00150AC4" w:rsidRPr="00C9490F">
        <w:rPr>
          <w:rFonts w:ascii="Times New Roman" w:eastAsia="Times New Roman" w:hAnsi="Times New Roman" w:cs="Times New Roman"/>
          <w:bCs/>
          <w:color w:val="000000"/>
          <w:sz w:val="24"/>
          <w:szCs w:val="24"/>
        </w:rPr>
        <w:t>The paper examines whether the proposed methodology to discipline agriculture subsidies promotes agriculture sustainability from the perspective of social, economic and environmental concerns</w:t>
      </w:r>
      <w:r w:rsidR="00150AC4">
        <w:rPr>
          <w:rFonts w:ascii="Times New Roman" w:eastAsia="Times New Roman" w:hAnsi="Times New Roman" w:cs="Times New Roman"/>
          <w:bCs/>
          <w:color w:val="000000"/>
          <w:sz w:val="24"/>
          <w:szCs w:val="24"/>
        </w:rPr>
        <w:t xml:space="preserve">. </w:t>
      </w:r>
      <w:r w:rsidRPr="002552EB">
        <w:rPr>
          <w:rFonts w:ascii="Times New Roman" w:eastAsia="Times New Roman" w:hAnsi="Times New Roman" w:cs="Times New Roman"/>
          <w:bCs/>
          <w:color w:val="000000"/>
          <w:sz w:val="24"/>
          <w:szCs w:val="24"/>
        </w:rPr>
        <w:t xml:space="preserve">The results suggest that the </w:t>
      </w:r>
      <w:r w:rsidR="00302082" w:rsidRPr="002552EB">
        <w:rPr>
          <w:rFonts w:ascii="Times New Roman" w:eastAsia="Times New Roman" w:hAnsi="Times New Roman" w:cs="Times New Roman"/>
          <w:bCs/>
          <w:color w:val="000000"/>
          <w:sz w:val="24"/>
          <w:szCs w:val="24"/>
        </w:rPr>
        <w:t xml:space="preserve">proposals based on </w:t>
      </w:r>
      <w:r w:rsidRPr="002552EB">
        <w:rPr>
          <w:rFonts w:ascii="Times New Roman" w:eastAsia="Times New Roman" w:hAnsi="Times New Roman" w:cs="Times New Roman"/>
          <w:bCs/>
          <w:color w:val="000000"/>
          <w:sz w:val="24"/>
          <w:szCs w:val="24"/>
        </w:rPr>
        <w:t xml:space="preserve">proportionate methodology </w:t>
      </w:r>
      <w:r w:rsidR="002508A2">
        <w:rPr>
          <w:rFonts w:ascii="Times New Roman" w:eastAsia="Times New Roman" w:hAnsi="Times New Roman" w:cs="Times New Roman"/>
          <w:bCs/>
          <w:color w:val="000000"/>
          <w:sz w:val="24"/>
          <w:szCs w:val="24"/>
        </w:rPr>
        <w:t>undermine</w:t>
      </w:r>
      <w:r w:rsidRPr="002552EB">
        <w:rPr>
          <w:rFonts w:ascii="Times New Roman" w:eastAsia="Times New Roman" w:hAnsi="Times New Roman" w:cs="Times New Roman"/>
          <w:bCs/>
          <w:color w:val="000000"/>
          <w:sz w:val="24"/>
          <w:szCs w:val="24"/>
        </w:rPr>
        <w:t xml:space="preserve"> not only social and economic sustainability but also leave the existing imbalances in the AoA unaddressed, disregard special and differential treatment for developing countries, and moreover, negate the decade-long efforts made by developing members in finding a permanent solution for public stockholding for food security.</w:t>
      </w:r>
    </w:p>
    <w:p w14:paraId="0A29CD31" w14:textId="77777777" w:rsidR="00203176" w:rsidRPr="002552EB" w:rsidRDefault="00203176">
      <w:pPr>
        <w:rPr>
          <w:rFonts w:ascii="Times New Roman" w:eastAsia="Times New Roman" w:hAnsi="Times New Roman" w:cs="Times New Roman"/>
          <w:b/>
          <w:color w:val="000000"/>
          <w:sz w:val="24"/>
          <w:szCs w:val="24"/>
        </w:rPr>
      </w:pPr>
    </w:p>
    <w:p w14:paraId="6D8F48E6" w14:textId="1CD891A3" w:rsidR="00234C15" w:rsidRPr="002552EB" w:rsidRDefault="00234C15" w:rsidP="007061E8">
      <w:pPr>
        <w:spacing w:line="360" w:lineRule="auto"/>
        <w:jc w:val="both"/>
        <w:rPr>
          <w:rFonts w:ascii="Times New Roman" w:eastAsia="Times New Roman" w:hAnsi="Times New Roman" w:cs="Times New Roman"/>
          <w:bCs/>
          <w:color w:val="000000"/>
          <w:sz w:val="24"/>
          <w:szCs w:val="24"/>
        </w:rPr>
      </w:pPr>
      <w:r w:rsidRPr="007061E8">
        <w:rPr>
          <w:rFonts w:ascii="Times New Roman" w:eastAsia="Times New Roman" w:hAnsi="Times New Roman" w:cs="Times New Roman"/>
          <w:b/>
          <w:color w:val="000000"/>
          <w:sz w:val="24"/>
          <w:szCs w:val="24"/>
        </w:rPr>
        <w:t>Keywords:</w:t>
      </w:r>
      <w:r w:rsidR="00ED4219" w:rsidRPr="007061E8">
        <w:rPr>
          <w:rFonts w:ascii="Times New Roman" w:eastAsia="Times New Roman" w:hAnsi="Times New Roman" w:cs="Times New Roman"/>
          <w:bCs/>
          <w:color w:val="000000"/>
          <w:sz w:val="24"/>
          <w:szCs w:val="24"/>
        </w:rPr>
        <w:t xml:space="preserve"> </w:t>
      </w:r>
      <w:r w:rsidR="00ED4219" w:rsidRPr="002552EB">
        <w:rPr>
          <w:rFonts w:ascii="Times New Roman" w:eastAsia="Times New Roman" w:hAnsi="Times New Roman" w:cs="Times New Roman"/>
          <w:bCs/>
          <w:color w:val="000000"/>
          <w:sz w:val="24"/>
          <w:szCs w:val="24"/>
        </w:rPr>
        <w:t>WTO, Agriculture, Sustainability, Subsidies, Negotiations</w:t>
      </w:r>
      <w:r w:rsidR="008042BA">
        <w:rPr>
          <w:rFonts w:ascii="Times New Roman" w:eastAsia="Times New Roman" w:hAnsi="Times New Roman" w:cs="Times New Roman"/>
          <w:bCs/>
          <w:color w:val="000000"/>
          <w:sz w:val="24"/>
          <w:szCs w:val="24"/>
        </w:rPr>
        <w:t xml:space="preserve">, Agreement on Agriculture, </w:t>
      </w:r>
      <w:r w:rsidR="0062524E">
        <w:rPr>
          <w:rFonts w:ascii="Times New Roman" w:eastAsia="Times New Roman" w:hAnsi="Times New Roman" w:cs="Times New Roman"/>
          <w:bCs/>
          <w:color w:val="000000"/>
          <w:sz w:val="24"/>
          <w:szCs w:val="24"/>
        </w:rPr>
        <w:t>Environment, Climate Change</w:t>
      </w:r>
      <w:r w:rsidR="00F07A42">
        <w:rPr>
          <w:rFonts w:ascii="Times New Roman" w:eastAsia="Times New Roman" w:hAnsi="Times New Roman" w:cs="Times New Roman"/>
          <w:bCs/>
          <w:color w:val="000000"/>
          <w:sz w:val="24"/>
          <w:szCs w:val="24"/>
        </w:rPr>
        <w:t>.</w:t>
      </w:r>
    </w:p>
    <w:p w14:paraId="36011FE5" w14:textId="77777777" w:rsidR="00203176" w:rsidRPr="00640CB0" w:rsidRDefault="00203176">
      <w:pPr>
        <w:rPr>
          <w:rFonts w:ascii="Times New Roman" w:eastAsia="Times New Roman" w:hAnsi="Times New Roman" w:cs="Times New Roman"/>
          <w:bCs/>
          <w:color w:val="000000"/>
          <w:sz w:val="20"/>
          <w:szCs w:val="20"/>
        </w:rPr>
      </w:pPr>
    </w:p>
    <w:p w14:paraId="5C2C23C2" w14:textId="359881B2" w:rsidR="00A645FC" w:rsidRPr="00640CB0" w:rsidRDefault="00A645FC" w:rsidP="002552EB">
      <w:pPr>
        <w:jc w:val="both"/>
        <w:rPr>
          <w:rFonts w:ascii="Times New Roman" w:eastAsia="Times New Roman" w:hAnsi="Times New Roman" w:cs="Times New Roman"/>
          <w:bCs/>
          <w:color w:val="000000"/>
          <w:sz w:val="20"/>
          <w:szCs w:val="20"/>
        </w:rPr>
      </w:pPr>
      <w:r w:rsidRPr="00640CB0">
        <w:rPr>
          <w:rFonts w:ascii="Times New Roman" w:eastAsia="Times New Roman" w:hAnsi="Times New Roman" w:cs="Times New Roman"/>
          <w:bCs/>
          <w:color w:val="000000"/>
          <w:sz w:val="20"/>
          <w:szCs w:val="20"/>
        </w:rPr>
        <w:br w:type="page"/>
      </w:r>
    </w:p>
    <w:p w14:paraId="233CEA51" w14:textId="53D2C385" w:rsidR="00BA5FEA" w:rsidRPr="00A846BA" w:rsidRDefault="00A846BA" w:rsidP="002552EB">
      <w:pPr>
        <w:spacing w:line="360" w:lineRule="auto"/>
        <w:jc w:val="center"/>
        <w:rPr>
          <w:rFonts w:ascii="Times New Roman" w:eastAsia="Times New Roman" w:hAnsi="Times New Roman" w:cs="Times New Roman"/>
          <w:b/>
          <w:smallCaps/>
          <w:color w:val="000000"/>
          <w:sz w:val="24"/>
          <w:szCs w:val="24"/>
        </w:rPr>
      </w:pPr>
      <w:r w:rsidRPr="00A846BA">
        <w:rPr>
          <w:rFonts w:ascii="Times New Roman" w:eastAsia="Times New Roman" w:hAnsi="Times New Roman" w:cs="Times New Roman"/>
          <w:b/>
          <w:smallCaps/>
          <w:color w:val="000000"/>
          <w:sz w:val="24"/>
          <w:szCs w:val="24"/>
        </w:rPr>
        <w:lastRenderedPageBreak/>
        <w:t xml:space="preserve">Sustainability </w:t>
      </w:r>
      <w:r>
        <w:rPr>
          <w:rFonts w:ascii="Times New Roman" w:eastAsia="Times New Roman" w:hAnsi="Times New Roman" w:cs="Times New Roman"/>
          <w:b/>
          <w:smallCaps/>
          <w:color w:val="000000"/>
          <w:sz w:val="24"/>
          <w:szCs w:val="24"/>
        </w:rPr>
        <w:t>a</w:t>
      </w:r>
      <w:r w:rsidRPr="00A846BA">
        <w:rPr>
          <w:rFonts w:ascii="Times New Roman" w:eastAsia="Times New Roman" w:hAnsi="Times New Roman" w:cs="Times New Roman"/>
          <w:b/>
          <w:smallCaps/>
          <w:color w:val="000000"/>
          <w:sz w:val="24"/>
          <w:szCs w:val="24"/>
        </w:rPr>
        <w:t xml:space="preserve">nd Agriculture Subsidies Negotiations: Navigating </w:t>
      </w:r>
      <w:r>
        <w:rPr>
          <w:rFonts w:ascii="Times New Roman" w:eastAsia="Times New Roman" w:hAnsi="Times New Roman" w:cs="Times New Roman"/>
          <w:b/>
          <w:smallCaps/>
          <w:color w:val="000000"/>
          <w:sz w:val="24"/>
          <w:szCs w:val="24"/>
        </w:rPr>
        <w:t>t</w:t>
      </w:r>
      <w:r w:rsidRPr="00A846BA">
        <w:rPr>
          <w:rFonts w:ascii="Times New Roman" w:eastAsia="Times New Roman" w:hAnsi="Times New Roman" w:cs="Times New Roman"/>
          <w:b/>
          <w:smallCaps/>
          <w:color w:val="000000"/>
          <w:sz w:val="24"/>
          <w:szCs w:val="24"/>
        </w:rPr>
        <w:t xml:space="preserve">he Cross-Roads </w:t>
      </w:r>
    </w:p>
    <w:p w14:paraId="47B46246" w14:textId="1479E041" w:rsidR="00A1206E" w:rsidRPr="00BB1191" w:rsidRDefault="00A1206E" w:rsidP="002552EB">
      <w:pPr>
        <w:spacing w:line="360" w:lineRule="auto"/>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18"/>
          <w:szCs w:val="18"/>
        </w:rPr>
        <w:t xml:space="preserve">Sachin Kumar Sharma, </w:t>
      </w:r>
      <w:proofErr w:type="spellStart"/>
      <w:r w:rsidRPr="00640CB0">
        <w:rPr>
          <w:rFonts w:ascii="Times New Roman" w:eastAsia="Times New Roman" w:hAnsi="Times New Roman" w:cs="Times New Roman"/>
          <w:b/>
          <w:color w:val="000000"/>
          <w:sz w:val="18"/>
          <w:szCs w:val="18"/>
        </w:rPr>
        <w:t>Paavni</w:t>
      </w:r>
      <w:proofErr w:type="spellEnd"/>
      <w:r w:rsidRPr="00640CB0">
        <w:rPr>
          <w:rFonts w:ascii="Times New Roman" w:eastAsia="Times New Roman" w:hAnsi="Times New Roman" w:cs="Times New Roman"/>
          <w:b/>
          <w:color w:val="000000"/>
          <w:sz w:val="18"/>
          <w:szCs w:val="18"/>
        </w:rPr>
        <w:t xml:space="preserve"> Mathur, Lakshmi Swathi </w:t>
      </w:r>
      <w:proofErr w:type="spellStart"/>
      <w:r w:rsidRPr="00640CB0">
        <w:rPr>
          <w:rFonts w:ascii="Times New Roman" w:eastAsia="Times New Roman" w:hAnsi="Times New Roman" w:cs="Times New Roman"/>
          <w:b/>
          <w:color w:val="000000"/>
          <w:sz w:val="18"/>
          <w:szCs w:val="18"/>
        </w:rPr>
        <w:t>Ganti</w:t>
      </w:r>
      <w:proofErr w:type="spellEnd"/>
      <w:r>
        <w:rPr>
          <w:rFonts w:ascii="Times New Roman" w:eastAsia="Times New Roman" w:hAnsi="Times New Roman" w:cs="Times New Roman"/>
          <w:b/>
          <w:color w:val="000000"/>
          <w:sz w:val="18"/>
          <w:szCs w:val="18"/>
        </w:rPr>
        <w:t>,</w:t>
      </w:r>
      <w:r w:rsidRPr="00640CB0">
        <w:rPr>
          <w:rFonts w:ascii="Times New Roman" w:eastAsia="Times New Roman" w:hAnsi="Times New Roman" w:cs="Times New Roman"/>
          <w:b/>
          <w:color w:val="000000"/>
          <w:sz w:val="18"/>
          <w:szCs w:val="18"/>
        </w:rPr>
        <w:t xml:space="preserve"> Alisha Goswami</w:t>
      </w:r>
      <w:r>
        <w:rPr>
          <w:rFonts w:ascii="Times New Roman" w:eastAsia="Times New Roman" w:hAnsi="Times New Roman" w:cs="Times New Roman"/>
          <w:b/>
          <w:color w:val="000000"/>
          <w:sz w:val="18"/>
          <w:szCs w:val="18"/>
        </w:rPr>
        <w:t>, and</w:t>
      </w:r>
      <w:r w:rsidRPr="00640CB0">
        <w:rPr>
          <w:rFonts w:ascii="Times New Roman" w:eastAsia="Times New Roman" w:hAnsi="Times New Roman" w:cs="Times New Roman"/>
          <w:b/>
          <w:color w:val="000000"/>
          <w:sz w:val="18"/>
          <w:szCs w:val="18"/>
        </w:rPr>
        <w:t xml:space="preserve"> Ahamed Ashiq </w:t>
      </w:r>
      <w:proofErr w:type="spellStart"/>
      <w:r w:rsidRPr="00640CB0">
        <w:rPr>
          <w:rFonts w:ascii="Times New Roman" w:eastAsia="Times New Roman" w:hAnsi="Times New Roman" w:cs="Times New Roman"/>
          <w:b/>
          <w:color w:val="000000"/>
          <w:sz w:val="18"/>
          <w:szCs w:val="18"/>
        </w:rPr>
        <w:t>Shajahan</w:t>
      </w:r>
      <w:proofErr w:type="spellEnd"/>
    </w:p>
    <w:p w14:paraId="00000007" w14:textId="52117C28" w:rsidR="007F7F72" w:rsidRPr="002552EB" w:rsidRDefault="00D01ECA" w:rsidP="002552EB">
      <w:pPr>
        <w:pStyle w:val="Heading1"/>
        <w:numPr>
          <w:ilvl w:val="0"/>
          <w:numId w:val="12"/>
        </w:numPr>
        <w:jc w:val="left"/>
        <w:rPr>
          <w:szCs w:val="24"/>
        </w:rPr>
      </w:pPr>
      <w:bookmarkStart w:id="1" w:name="_Toc147322992"/>
      <w:r w:rsidRPr="002552EB">
        <w:rPr>
          <w:szCs w:val="24"/>
        </w:rPr>
        <w:t>Introduction</w:t>
      </w:r>
      <w:bookmarkStart w:id="2" w:name="_GoBack"/>
      <w:bookmarkEnd w:id="1"/>
      <w:bookmarkEnd w:id="2"/>
    </w:p>
    <w:p w14:paraId="00000008" w14:textId="1EF44EF7" w:rsidR="007F7F72" w:rsidRPr="002552EB" w:rsidRDefault="00E33EB3" w:rsidP="00702BCE">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Sustainability issues related</w:t>
      </w:r>
      <w:r w:rsidR="00F32C47" w:rsidRPr="002552EB">
        <w:rPr>
          <w:rFonts w:ascii="Times New Roman" w:eastAsia="Times New Roman" w:hAnsi="Times New Roman" w:cs="Times New Roman"/>
          <w:color w:val="000000"/>
          <w:sz w:val="24"/>
          <w:szCs w:val="24"/>
        </w:rPr>
        <w:t xml:space="preserve"> to</w:t>
      </w:r>
      <w:r w:rsidRPr="002552EB">
        <w:rPr>
          <w:rFonts w:ascii="Times New Roman" w:eastAsia="Times New Roman" w:hAnsi="Times New Roman" w:cs="Times New Roman"/>
          <w:color w:val="000000"/>
          <w:sz w:val="24"/>
          <w:szCs w:val="24"/>
        </w:rPr>
        <w:t xml:space="preserve"> trade and agriculture subsidies have been intensely discussed in the context </w:t>
      </w:r>
      <w:r w:rsidR="005A5F22" w:rsidRPr="002552EB">
        <w:rPr>
          <w:rFonts w:ascii="Times New Roman" w:eastAsia="Times New Roman" w:hAnsi="Times New Roman" w:cs="Times New Roman"/>
          <w:color w:val="000000"/>
          <w:sz w:val="24"/>
          <w:szCs w:val="24"/>
        </w:rPr>
        <w:t xml:space="preserve">of </w:t>
      </w:r>
      <w:r w:rsidRPr="002552EB">
        <w:rPr>
          <w:rFonts w:ascii="Times New Roman" w:eastAsia="Times New Roman" w:hAnsi="Times New Roman" w:cs="Times New Roman"/>
          <w:color w:val="000000"/>
          <w:sz w:val="24"/>
          <w:szCs w:val="24"/>
        </w:rPr>
        <w:t xml:space="preserve">climate change and other environmental concerns at various multilateral and regional forums including WTO, FAO, and OECD. </w:t>
      </w:r>
      <w:r w:rsidR="004568CE" w:rsidRPr="002552EB">
        <w:rPr>
          <w:rFonts w:ascii="Times New Roman" w:eastAsia="Times New Roman" w:hAnsi="Times New Roman" w:cs="Times New Roman"/>
          <w:color w:val="000000"/>
          <w:sz w:val="24"/>
          <w:szCs w:val="24"/>
        </w:rPr>
        <w:t>It is reported that</w:t>
      </w:r>
      <w:r w:rsidR="000E36BE" w:rsidRPr="002552EB">
        <w:rPr>
          <w:rFonts w:ascii="Times New Roman" w:eastAsia="Times New Roman" w:hAnsi="Times New Roman" w:cs="Times New Roman"/>
          <w:color w:val="000000"/>
          <w:sz w:val="24"/>
          <w:szCs w:val="24"/>
        </w:rPr>
        <w:t xml:space="preserve"> producer support for agriculture is expected to be US$ 1.80 trillion globally by 2030, and a significant share of it can be attributed to trade-distorting subsidies (FAO, UNDP and UNEP, 2021). </w:t>
      </w:r>
      <w:r w:rsidR="004568CE" w:rsidRPr="002552EB">
        <w:rPr>
          <w:rFonts w:ascii="Times New Roman" w:eastAsia="Times New Roman" w:hAnsi="Times New Roman" w:cs="Times New Roman"/>
          <w:color w:val="000000"/>
          <w:sz w:val="24"/>
          <w:szCs w:val="24"/>
        </w:rPr>
        <w:t>Notably,</w:t>
      </w:r>
      <w:r w:rsidR="003205BF" w:rsidRPr="002552EB">
        <w:rPr>
          <w:rFonts w:ascii="Times New Roman" w:eastAsia="Times New Roman" w:hAnsi="Times New Roman" w:cs="Times New Roman"/>
          <w:color w:val="000000"/>
          <w:sz w:val="24"/>
          <w:szCs w:val="24"/>
        </w:rPr>
        <w:t xml:space="preserve"> agri-food systems represented 31 percent of global greenhouse gas emissions in 2019 and thus contributed to environmental degradation (</w:t>
      </w:r>
      <w:proofErr w:type="spellStart"/>
      <w:r w:rsidR="003205BF" w:rsidRPr="002552EB">
        <w:rPr>
          <w:rFonts w:ascii="Times New Roman" w:eastAsia="Times New Roman" w:hAnsi="Times New Roman" w:cs="Times New Roman"/>
          <w:color w:val="000000"/>
          <w:sz w:val="24"/>
          <w:szCs w:val="24"/>
        </w:rPr>
        <w:t>Bellmann</w:t>
      </w:r>
      <w:proofErr w:type="spellEnd"/>
      <w:r w:rsidR="003205BF" w:rsidRPr="002552EB">
        <w:rPr>
          <w:rFonts w:ascii="Times New Roman" w:eastAsia="Times New Roman" w:hAnsi="Times New Roman" w:cs="Times New Roman"/>
          <w:color w:val="000000"/>
          <w:sz w:val="24"/>
          <w:szCs w:val="24"/>
        </w:rPr>
        <w:t xml:space="preserve">, 2022). </w:t>
      </w:r>
      <w:r w:rsidR="00CC0B20" w:rsidRPr="002552EB">
        <w:rPr>
          <w:rFonts w:ascii="Times New Roman" w:eastAsia="Times New Roman" w:hAnsi="Times New Roman" w:cs="Times New Roman"/>
          <w:color w:val="000000"/>
          <w:sz w:val="24"/>
          <w:szCs w:val="24"/>
        </w:rPr>
        <w:t>As a result, many countries are critical of a</w:t>
      </w:r>
      <w:r w:rsidR="00D01ECA" w:rsidRPr="002552EB">
        <w:rPr>
          <w:rFonts w:ascii="Times New Roman" w:eastAsia="Times New Roman" w:hAnsi="Times New Roman" w:cs="Times New Roman"/>
          <w:color w:val="000000"/>
          <w:sz w:val="24"/>
          <w:szCs w:val="24"/>
        </w:rPr>
        <w:t xml:space="preserve">gricultural subsidies such as market price support and input subsidies </w:t>
      </w:r>
      <w:r w:rsidR="00CC0B20" w:rsidRPr="002552EB">
        <w:rPr>
          <w:rFonts w:ascii="Times New Roman" w:eastAsia="Times New Roman" w:hAnsi="Times New Roman" w:cs="Times New Roman"/>
          <w:color w:val="000000"/>
          <w:sz w:val="24"/>
          <w:szCs w:val="24"/>
        </w:rPr>
        <w:t>citing their</w:t>
      </w:r>
      <w:r w:rsidR="00D01ECA" w:rsidRPr="002552EB">
        <w:rPr>
          <w:rFonts w:ascii="Times New Roman" w:eastAsia="Times New Roman" w:hAnsi="Times New Roman" w:cs="Times New Roman"/>
          <w:color w:val="000000"/>
          <w:sz w:val="24"/>
          <w:szCs w:val="24"/>
        </w:rPr>
        <w:t xml:space="preserve"> adverse impacts on the environment such as soil erosion, salinity, water depletion, and biodiversity loss</w:t>
      </w:r>
      <w:r w:rsidR="00EF528C" w:rsidRPr="002552EB">
        <w:rPr>
          <w:rFonts w:ascii="Times New Roman" w:eastAsia="Times New Roman" w:hAnsi="Times New Roman" w:cs="Times New Roman"/>
          <w:color w:val="000000"/>
          <w:sz w:val="24"/>
          <w:szCs w:val="24"/>
        </w:rPr>
        <w:t xml:space="preserve"> (IMF, OECD, World Bank, &amp; WTO, 2022)</w:t>
      </w:r>
      <w:r w:rsidR="00D01ECA" w:rsidRPr="002552EB">
        <w:rPr>
          <w:rFonts w:ascii="Times New Roman" w:eastAsia="Times New Roman" w:hAnsi="Times New Roman" w:cs="Times New Roman"/>
          <w:color w:val="000000"/>
          <w:sz w:val="24"/>
          <w:szCs w:val="24"/>
        </w:rPr>
        <w:t>.</w:t>
      </w:r>
      <w:r w:rsidR="00D01ECA" w:rsidRPr="002552EB">
        <w:rPr>
          <w:rFonts w:ascii="Times New Roman" w:hAnsi="Times New Roman" w:cs="Times New Roman"/>
          <w:sz w:val="24"/>
          <w:szCs w:val="24"/>
        </w:rPr>
        <w:t xml:space="preserve"> </w:t>
      </w:r>
      <w:r w:rsidR="0055552D" w:rsidRPr="002552EB">
        <w:rPr>
          <w:rFonts w:ascii="Times New Roman" w:hAnsi="Times New Roman" w:cs="Times New Roman"/>
          <w:sz w:val="24"/>
          <w:szCs w:val="24"/>
        </w:rPr>
        <w:t>Moreover</w:t>
      </w:r>
      <w:r w:rsidR="000F35BC" w:rsidRPr="002552EB">
        <w:rPr>
          <w:rFonts w:ascii="Times New Roman" w:hAnsi="Times New Roman" w:cs="Times New Roman"/>
          <w:sz w:val="24"/>
          <w:szCs w:val="24"/>
        </w:rPr>
        <w:t>,</w:t>
      </w:r>
      <w:r w:rsidR="0085170D" w:rsidRPr="002552EB">
        <w:rPr>
          <w:rFonts w:ascii="Times New Roman" w:hAnsi="Times New Roman" w:cs="Times New Roman"/>
          <w:sz w:val="24"/>
          <w:szCs w:val="24"/>
        </w:rPr>
        <w:t xml:space="preserve"> the</w:t>
      </w:r>
      <w:r w:rsidR="000F35BC" w:rsidRPr="002552EB">
        <w:rPr>
          <w:rFonts w:ascii="Times New Roman" w:hAnsi="Times New Roman" w:cs="Times New Roman"/>
          <w:sz w:val="24"/>
          <w:szCs w:val="24"/>
        </w:rPr>
        <w:t xml:space="preserve"> 2019 WTO report on </w:t>
      </w:r>
      <w:r w:rsidR="0085170D" w:rsidRPr="002552EB">
        <w:rPr>
          <w:rFonts w:ascii="Times New Roman" w:hAnsi="Times New Roman" w:cs="Times New Roman"/>
          <w:sz w:val="24"/>
          <w:szCs w:val="24"/>
        </w:rPr>
        <w:t>‘</w:t>
      </w:r>
      <w:r w:rsidR="000F35BC" w:rsidRPr="002552EB">
        <w:rPr>
          <w:rFonts w:ascii="Times New Roman" w:hAnsi="Times New Roman" w:cs="Times New Roman"/>
          <w:sz w:val="24"/>
          <w:szCs w:val="24"/>
        </w:rPr>
        <w:t>climate change and international trade</w:t>
      </w:r>
      <w:r w:rsidR="0085170D" w:rsidRPr="002552EB">
        <w:rPr>
          <w:rFonts w:ascii="Times New Roman" w:hAnsi="Times New Roman" w:cs="Times New Roman"/>
          <w:sz w:val="24"/>
          <w:szCs w:val="24"/>
        </w:rPr>
        <w:t>’</w:t>
      </w:r>
      <w:r w:rsidR="000F35BC" w:rsidRPr="002552EB">
        <w:rPr>
          <w:rFonts w:ascii="Times New Roman" w:hAnsi="Times New Roman" w:cs="Times New Roman"/>
          <w:sz w:val="24"/>
          <w:szCs w:val="24"/>
        </w:rPr>
        <w:t xml:space="preserve"> </w:t>
      </w:r>
      <w:r w:rsidR="0096355C" w:rsidRPr="002552EB">
        <w:rPr>
          <w:rFonts w:ascii="Times New Roman" w:hAnsi="Times New Roman" w:cs="Times New Roman"/>
          <w:sz w:val="24"/>
          <w:szCs w:val="24"/>
        </w:rPr>
        <w:t xml:space="preserve">encourages increased support in </w:t>
      </w:r>
      <w:r w:rsidR="0096355C" w:rsidRPr="002552EB">
        <w:rPr>
          <w:rStyle w:val="ui-provider"/>
          <w:rFonts w:ascii="Times New Roman" w:hAnsi="Times New Roman" w:cs="Times New Roman"/>
          <w:sz w:val="24"/>
          <w:szCs w:val="24"/>
        </w:rPr>
        <w:t>programmes improving the delivery of public goods and transition away from price and production-linked subsidies</w:t>
      </w:r>
      <w:r w:rsidR="003C41CD" w:rsidRPr="002552EB">
        <w:rPr>
          <w:rStyle w:val="ui-provider"/>
          <w:rFonts w:ascii="Times New Roman" w:hAnsi="Times New Roman" w:cs="Times New Roman"/>
          <w:sz w:val="24"/>
          <w:szCs w:val="24"/>
        </w:rPr>
        <w:t xml:space="preserve"> (WTO, 2019c)</w:t>
      </w:r>
      <w:r w:rsidR="00857567" w:rsidRPr="002552EB">
        <w:rPr>
          <w:rStyle w:val="ui-provider"/>
          <w:rFonts w:ascii="Times New Roman" w:hAnsi="Times New Roman" w:cs="Times New Roman"/>
          <w:sz w:val="24"/>
          <w:szCs w:val="24"/>
        </w:rPr>
        <w:t xml:space="preserve">. </w:t>
      </w:r>
      <w:r w:rsidR="00D01ECA" w:rsidRPr="002552EB">
        <w:rPr>
          <w:rFonts w:ascii="Times New Roman" w:eastAsia="Times New Roman" w:hAnsi="Times New Roman" w:cs="Times New Roman"/>
          <w:color w:val="000000"/>
          <w:sz w:val="24"/>
          <w:szCs w:val="24"/>
        </w:rPr>
        <w:t xml:space="preserve">Hence, there is a call for amendments in multilateral </w:t>
      </w:r>
      <w:r w:rsidR="000A676D" w:rsidRPr="002552EB">
        <w:rPr>
          <w:rFonts w:ascii="Times New Roman" w:eastAsia="Times New Roman" w:hAnsi="Times New Roman" w:cs="Times New Roman"/>
          <w:color w:val="000000"/>
          <w:sz w:val="24"/>
          <w:szCs w:val="24"/>
        </w:rPr>
        <w:t xml:space="preserve">trade </w:t>
      </w:r>
      <w:r w:rsidR="00D01ECA" w:rsidRPr="002552EB">
        <w:rPr>
          <w:rFonts w:ascii="Times New Roman" w:eastAsia="Times New Roman" w:hAnsi="Times New Roman" w:cs="Times New Roman"/>
          <w:color w:val="000000"/>
          <w:sz w:val="24"/>
          <w:szCs w:val="24"/>
        </w:rPr>
        <w:t>rules, and repurposing agricultural subsidies to promote sustainable agriculture practices</w:t>
      </w:r>
      <w:r w:rsidR="004E6186" w:rsidRPr="002552EB">
        <w:rPr>
          <w:rFonts w:ascii="Times New Roman" w:eastAsia="Times New Roman" w:hAnsi="Times New Roman" w:cs="Times New Roman"/>
          <w:color w:val="000000"/>
          <w:sz w:val="24"/>
          <w:szCs w:val="24"/>
        </w:rPr>
        <w:t xml:space="preserve"> (FAO, UNDP and UNEP, 2021; </w:t>
      </w:r>
      <w:r w:rsidR="00F47466" w:rsidRPr="002552EB">
        <w:rPr>
          <w:rFonts w:ascii="Times New Roman" w:eastAsia="Times New Roman" w:hAnsi="Times New Roman" w:cs="Times New Roman"/>
          <w:color w:val="000000"/>
          <w:sz w:val="24"/>
          <w:szCs w:val="24"/>
        </w:rPr>
        <w:t>Ash &amp; Cox</w:t>
      </w:r>
      <w:r w:rsidR="009B0F56" w:rsidRPr="002552EB">
        <w:rPr>
          <w:rFonts w:ascii="Times New Roman" w:eastAsia="Times New Roman" w:hAnsi="Times New Roman" w:cs="Times New Roman"/>
          <w:color w:val="000000"/>
          <w:sz w:val="24"/>
          <w:szCs w:val="24"/>
        </w:rPr>
        <w:t>,</w:t>
      </w:r>
      <w:r w:rsidR="00F47466" w:rsidRPr="002552EB">
        <w:rPr>
          <w:rFonts w:ascii="Times New Roman" w:eastAsia="Times New Roman" w:hAnsi="Times New Roman" w:cs="Times New Roman"/>
          <w:color w:val="000000"/>
          <w:sz w:val="24"/>
          <w:szCs w:val="24"/>
        </w:rPr>
        <w:t xml:space="preserve"> 2022</w:t>
      </w:r>
      <w:r w:rsidR="004E6186" w:rsidRPr="002552EB">
        <w:rPr>
          <w:rFonts w:ascii="Times New Roman" w:eastAsia="Times New Roman" w:hAnsi="Times New Roman" w:cs="Times New Roman"/>
          <w:color w:val="000000"/>
          <w:sz w:val="24"/>
          <w:szCs w:val="24"/>
        </w:rPr>
        <w:t>)</w:t>
      </w:r>
      <w:r w:rsidR="00D01ECA" w:rsidRPr="002552EB">
        <w:rPr>
          <w:rFonts w:ascii="Times New Roman" w:eastAsia="Times New Roman" w:hAnsi="Times New Roman" w:cs="Times New Roman"/>
          <w:color w:val="000000"/>
          <w:sz w:val="24"/>
          <w:szCs w:val="24"/>
        </w:rPr>
        <w:t xml:space="preserve">. </w:t>
      </w:r>
    </w:p>
    <w:p w14:paraId="36060C36" w14:textId="77777777" w:rsidR="002F25B3" w:rsidRPr="002552EB" w:rsidRDefault="002F25B3" w:rsidP="002552EB">
      <w:pPr>
        <w:spacing w:after="0" w:line="360" w:lineRule="auto"/>
        <w:jc w:val="both"/>
        <w:rPr>
          <w:rFonts w:ascii="Times New Roman" w:hAnsi="Times New Roman" w:cs="Times New Roman"/>
          <w:sz w:val="24"/>
          <w:szCs w:val="24"/>
        </w:rPr>
      </w:pPr>
    </w:p>
    <w:p w14:paraId="464C07D1" w14:textId="26AF2613" w:rsidR="004126C8" w:rsidRPr="002552EB" w:rsidRDefault="00D01ECA" w:rsidP="00702BCE">
      <w:pPr>
        <w:spacing w:after="0" w:line="360" w:lineRule="auto"/>
        <w:jc w:val="both"/>
        <w:rPr>
          <w:rFonts w:ascii="Times New Roman" w:eastAsia="Times New Roman" w:hAnsi="Times New Roman" w:cs="Times New Roman"/>
          <w:color w:val="000000"/>
          <w:sz w:val="24"/>
          <w:szCs w:val="24"/>
        </w:rPr>
      </w:pPr>
      <w:bookmarkStart w:id="3" w:name="_heading=h.gjdgxs" w:colFirst="0" w:colLast="0"/>
      <w:bookmarkEnd w:id="3"/>
      <w:r w:rsidRPr="002552EB">
        <w:rPr>
          <w:rFonts w:ascii="Times New Roman" w:eastAsia="Times New Roman" w:hAnsi="Times New Roman" w:cs="Times New Roman"/>
          <w:color w:val="000000"/>
          <w:sz w:val="24"/>
          <w:szCs w:val="24"/>
        </w:rPr>
        <w:t xml:space="preserve">Generally, </w:t>
      </w:r>
      <w:r w:rsidR="00ED25B8"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sustainability</w:t>
      </w:r>
      <w:r w:rsidR="00ED25B8"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xml:space="preserve"> in agriculture is discussed from the prism of environmental concerns. </w:t>
      </w:r>
      <w:r w:rsidR="00ED25B8" w:rsidRPr="002552EB">
        <w:rPr>
          <w:rFonts w:ascii="Times New Roman" w:eastAsia="Times New Roman" w:hAnsi="Times New Roman" w:cs="Times New Roman"/>
          <w:color w:val="000000"/>
          <w:sz w:val="24"/>
          <w:szCs w:val="24"/>
        </w:rPr>
        <w:t>‘</w:t>
      </w:r>
      <w:r w:rsidR="004126C8" w:rsidRPr="002552EB">
        <w:rPr>
          <w:rFonts w:ascii="Times New Roman" w:hAnsi="Times New Roman" w:cs="Times New Roman"/>
          <w:sz w:val="24"/>
          <w:szCs w:val="24"/>
        </w:rPr>
        <w:t xml:space="preserve">Sustainable </w:t>
      </w:r>
      <w:r w:rsidR="00ED25B8" w:rsidRPr="002552EB">
        <w:rPr>
          <w:rFonts w:ascii="Times New Roman" w:hAnsi="Times New Roman" w:cs="Times New Roman"/>
          <w:sz w:val="24"/>
          <w:szCs w:val="24"/>
        </w:rPr>
        <w:t>d</w:t>
      </w:r>
      <w:r w:rsidR="004126C8" w:rsidRPr="002552EB">
        <w:rPr>
          <w:rFonts w:ascii="Times New Roman" w:hAnsi="Times New Roman" w:cs="Times New Roman"/>
          <w:sz w:val="24"/>
          <w:szCs w:val="24"/>
        </w:rPr>
        <w:t>evelopment</w:t>
      </w:r>
      <w:r w:rsidR="00ED25B8" w:rsidRPr="002552EB">
        <w:rPr>
          <w:rFonts w:ascii="Times New Roman" w:hAnsi="Times New Roman" w:cs="Times New Roman"/>
          <w:sz w:val="24"/>
          <w:szCs w:val="24"/>
        </w:rPr>
        <w:t>’</w:t>
      </w:r>
      <w:r w:rsidR="004126C8" w:rsidRPr="002552EB">
        <w:rPr>
          <w:rFonts w:ascii="Times New Roman" w:hAnsi="Times New Roman" w:cs="Times New Roman"/>
          <w:sz w:val="24"/>
          <w:szCs w:val="24"/>
        </w:rPr>
        <w:t xml:space="preserve"> emphasizes the importance of integrating environmental protection, social equity and economic prosperity while aiming to create a more resilient, equitable, and prosperous future for people and the planet (WTO, 2023</w:t>
      </w:r>
      <w:r w:rsidR="00CF251A" w:rsidRPr="002552EB">
        <w:rPr>
          <w:rFonts w:ascii="Times New Roman" w:hAnsi="Times New Roman" w:cs="Times New Roman"/>
          <w:sz w:val="24"/>
          <w:szCs w:val="24"/>
        </w:rPr>
        <w:t>b</w:t>
      </w:r>
      <w:r w:rsidR="004126C8" w:rsidRPr="002552EB">
        <w:rPr>
          <w:rFonts w:ascii="Times New Roman" w:hAnsi="Times New Roman" w:cs="Times New Roman"/>
          <w:sz w:val="24"/>
          <w:szCs w:val="24"/>
        </w:rPr>
        <w:t xml:space="preserve">). </w:t>
      </w:r>
      <w:r w:rsidR="00E55C33" w:rsidRPr="002552EB">
        <w:rPr>
          <w:rFonts w:ascii="Times New Roman" w:eastAsia="Times New Roman" w:hAnsi="Times New Roman" w:cs="Times New Roman"/>
          <w:color w:val="000000"/>
          <w:sz w:val="24"/>
          <w:szCs w:val="24"/>
        </w:rPr>
        <w:t>T</w:t>
      </w:r>
      <w:r w:rsidRPr="002552EB">
        <w:rPr>
          <w:rFonts w:ascii="Times New Roman" w:eastAsia="Times New Roman" w:hAnsi="Times New Roman" w:cs="Times New Roman"/>
          <w:color w:val="000000"/>
          <w:sz w:val="24"/>
          <w:szCs w:val="24"/>
        </w:rPr>
        <w:t>he economic and social dimensions with a farmer-centric approach are also equally important as emphasised under the Sustainable Development Goals (SDGs).  For instance, SDG 2 seeks to end hunger and malnutrition and double the agricultural productivity and income of small-scale farmers. Agriculture that fails to protect and improve rural livelihoods, equity, and social well-being will ultimately be unsustainable</w:t>
      </w:r>
      <w:r w:rsidR="00F10127" w:rsidRPr="002552EB">
        <w:rPr>
          <w:rFonts w:ascii="Times New Roman" w:eastAsia="Times New Roman" w:hAnsi="Times New Roman" w:cs="Times New Roman"/>
          <w:color w:val="000000"/>
          <w:sz w:val="24"/>
          <w:szCs w:val="24"/>
        </w:rPr>
        <w:t xml:space="preserve"> (FAO, 2014)</w:t>
      </w:r>
      <w:r w:rsidRPr="002552EB">
        <w:rPr>
          <w:rFonts w:ascii="Times New Roman" w:eastAsia="Times New Roman" w:hAnsi="Times New Roman" w:cs="Times New Roman"/>
          <w:color w:val="000000"/>
          <w:sz w:val="24"/>
          <w:szCs w:val="24"/>
        </w:rPr>
        <w:t xml:space="preserve">. Given the multiple economic and social challenges faced by poor farmers such as small landholding, inadequate institutional infrastructure, and market failures, any reform process for disciplining agricultural subsidies must consider a holistic understanding of ‘sustainability’ which includes the economic and social in addition to </w:t>
      </w:r>
      <w:r w:rsidRPr="002552EB">
        <w:rPr>
          <w:rFonts w:ascii="Times New Roman" w:eastAsia="Times New Roman" w:hAnsi="Times New Roman" w:cs="Times New Roman"/>
          <w:color w:val="000000"/>
          <w:sz w:val="24"/>
          <w:szCs w:val="24"/>
        </w:rPr>
        <w:lastRenderedPageBreak/>
        <w:t xml:space="preserve">the environmental concerns. </w:t>
      </w:r>
      <w:r w:rsidR="00696E25" w:rsidRPr="002552EB">
        <w:rPr>
          <w:rFonts w:ascii="Times New Roman" w:eastAsia="Times New Roman" w:hAnsi="Times New Roman" w:cs="Times New Roman"/>
          <w:color w:val="000000"/>
          <w:sz w:val="24"/>
          <w:szCs w:val="24"/>
        </w:rPr>
        <w:t>Moreover, s</w:t>
      </w:r>
      <w:r w:rsidRPr="002552EB">
        <w:rPr>
          <w:rFonts w:ascii="Times New Roman" w:eastAsia="Times New Roman" w:hAnsi="Times New Roman" w:cs="Times New Roman"/>
          <w:color w:val="000000"/>
          <w:sz w:val="24"/>
          <w:szCs w:val="24"/>
        </w:rPr>
        <w:t>ustainability should not</w:t>
      </w:r>
      <w:r w:rsidR="00696E25" w:rsidRPr="002552EB">
        <w:rPr>
          <w:rFonts w:ascii="Times New Roman" w:eastAsia="Times New Roman" w:hAnsi="Times New Roman" w:cs="Times New Roman"/>
          <w:color w:val="000000"/>
          <w:sz w:val="24"/>
          <w:szCs w:val="24"/>
        </w:rPr>
        <w:t xml:space="preserve"> be realised</w:t>
      </w:r>
      <w:r w:rsidRPr="002552EB">
        <w:rPr>
          <w:rFonts w:ascii="Times New Roman" w:eastAsia="Times New Roman" w:hAnsi="Times New Roman" w:cs="Times New Roman"/>
          <w:color w:val="000000"/>
          <w:sz w:val="24"/>
          <w:szCs w:val="24"/>
        </w:rPr>
        <w:t xml:space="preserve"> at the cost of the livelihood of farmers and the viability of agriculture. In this perspective, concerns </w:t>
      </w:r>
      <w:r w:rsidR="00C72811" w:rsidRPr="002552EB">
        <w:rPr>
          <w:rFonts w:ascii="Times New Roman" w:eastAsia="Times New Roman" w:hAnsi="Times New Roman" w:cs="Times New Roman"/>
          <w:color w:val="000000"/>
          <w:sz w:val="24"/>
          <w:szCs w:val="24"/>
        </w:rPr>
        <w:t>regarding</w:t>
      </w:r>
      <w:r w:rsidRPr="002552EB">
        <w:rPr>
          <w:rFonts w:ascii="Times New Roman" w:eastAsia="Times New Roman" w:hAnsi="Times New Roman" w:cs="Times New Roman"/>
          <w:color w:val="000000"/>
          <w:sz w:val="24"/>
          <w:szCs w:val="24"/>
        </w:rPr>
        <w:t xml:space="preserve"> food security and poverty are equally important as those of soil health and farm returns </w:t>
      </w:r>
      <w:r w:rsidRPr="002552EB">
        <w:rPr>
          <w:rFonts w:ascii="Times New Roman" w:eastAsia="Times New Roman" w:hAnsi="Times New Roman" w:cs="Times New Roman"/>
          <w:sz w:val="24"/>
          <w:szCs w:val="24"/>
        </w:rPr>
        <w:t>for sustainable</w:t>
      </w:r>
      <w:r w:rsidRPr="002552EB">
        <w:rPr>
          <w:rFonts w:ascii="Times New Roman" w:eastAsia="Times New Roman" w:hAnsi="Times New Roman" w:cs="Times New Roman"/>
          <w:color w:val="000000"/>
          <w:sz w:val="24"/>
          <w:szCs w:val="24"/>
        </w:rPr>
        <w:t xml:space="preserve"> agriculture</w:t>
      </w:r>
      <w:r w:rsidR="00F10127" w:rsidRPr="002552EB">
        <w:rPr>
          <w:rFonts w:ascii="Times New Roman" w:eastAsia="Times New Roman" w:hAnsi="Times New Roman" w:cs="Times New Roman"/>
          <w:color w:val="000000"/>
          <w:sz w:val="24"/>
          <w:szCs w:val="24"/>
        </w:rPr>
        <w:t xml:space="preserve"> (Allen et al., 1991)</w:t>
      </w:r>
      <w:r w:rsidRPr="002552EB">
        <w:rPr>
          <w:rFonts w:ascii="Times New Roman" w:eastAsia="Times New Roman" w:hAnsi="Times New Roman" w:cs="Times New Roman"/>
          <w:color w:val="000000"/>
          <w:sz w:val="24"/>
          <w:szCs w:val="24"/>
        </w:rPr>
        <w:t xml:space="preserve">. </w:t>
      </w:r>
    </w:p>
    <w:p w14:paraId="02651042" w14:textId="77777777" w:rsidR="002F25B3" w:rsidRPr="002552EB" w:rsidRDefault="002F25B3" w:rsidP="002552EB">
      <w:pPr>
        <w:spacing w:after="0" w:line="360" w:lineRule="auto"/>
        <w:jc w:val="both"/>
        <w:rPr>
          <w:rFonts w:ascii="Times New Roman" w:eastAsia="Times New Roman" w:hAnsi="Times New Roman" w:cs="Times New Roman"/>
          <w:color w:val="000000"/>
          <w:sz w:val="24"/>
          <w:szCs w:val="24"/>
        </w:rPr>
      </w:pPr>
    </w:p>
    <w:p w14:paraId="0000000A" w14:textId="00BA26D0" w:rsidR="007F7F72" w:rsidRPr="002552EB" w:rsidRDefault="00D01ECA"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The most critical step in disciplining agriculture subsidies is the methodology to estimate trade-distorting support. The WTO </w:t>
      </w:r>
      <w:r w:rsidRPr="002552EB">
        <w:rPr>
          <w:rFonts w:ascii="Times New Roman" w:eastAsia="Times New Roman" w:hAnsi="Times New Roman" w:cs="Times New Roman"/>
          <w:iCs/>
          <w:color w:val="000000"/>
          <w:sz w:val="24"/>
          <w:szCs w:val="24"/>
        </w:rPr>
        <w:t>Agreement on Agriculture</w:t>
      </w:r>
      <w:r w:rsidRPr="002552EB">
        <w:rPr>
          <w:rFonts w:ascii="Times New Roman" w:eastAsia="Times New Roman" w:hAnsi="Times New Roman" w:cs="Times New Roman"/>
          <w:color w:val="000000"/>
          <w:sz w:val="24"/>
          <w:szCs w:val="24"/>
        </w:rPr>
        <w:t xml:space="preserve"> (AoA) and </w:t>
      </w:r>
      <w:r w:rsidRPr="002552EB">
        <w:rPr>
          <w:rFonts w:ascii="Times New Roman" w:eastAsia="Times New Roman" w:hAnsi="Times New Roman" w:cs="Times New Roman"/>
          <w:iCs/>
          <w:color w:val="000000"/>
          <w:sz w:val="24"/>
          <w:szCs w:val="24"/>
        </w:rPr>
        <w:t xml:space="preserve">Producer Support Estimate </w:t>
      </w:r>
      <w:r w:rsidRPr="002552EB">
        <w:rPr>
          <w:rFonts w:ascii="Times New Roman" w:eastAsia="Times New Roman" w:hAnsi="Times New Roman" w:cs="Times New Roman"/>
          <w:color w:val="000000"/>
          <w:sz w:val="24"/>
          <w:szCs w:val="24"/>
        </w:rPr>
        <w:t>(PSE) of the OECD are widely used domestic support measurement systems which categorise support measures differently. The OECD system facilitates policy dialogue through its monitoring and evaluation reports by measuring PSE based on implementation criteria such as current or non-current production parameters</w:t>
      </w:r>
      <w:r w:rsidR="00FB3D33" w:rsidRPr="002552EB">
        <w:rPr>
          <w:rFonts w:ascii="Times New Roman" w:eastAsia="Times New Roman" w:hAnsi="Times New Roman" w:cs="Times New Roman"/>
          <w:color w:val="000000"/>
          <w:sz w:val="24"/>
          <w:szCs w:val="24"/>
        </w:rPr>
        <w:t xml:space="preserve"> (OECD, 2016)</w:t>
      </w:r>
      <w:r w:rsidRPr="002552EB">
        <w:rPr>
          <w:rFonts w:ascii="Times New Roman" w:eastAsia="Times New Roman" w:hAnsi="Times New Roman" w:cs="Times New Roman"/>
          <w:color w:val="000000"/>
          <w:sz w:val="24"/>
          <w:szCs w:val="24"/>
        </w:rPr>
        <w:t xml:space="preserve">. On the other hand, </w:t>
      </w:r>
      <w:r w:rsidR="008A582D" w:rsidRPr="002552EB">
        <w:rPr>
          <w:rFonts w:ascii="Times New Roman" w:hAnsi="Times New Roman" w:cs="Times New Roman"/>
          <w:sz w:val="24"/>
          <w:szCs w:val="24"/>
        </w:rPr>
        <w:t xml:space="preserve">under the AoA system, </w:t>
      </w:r>
      <w:r w:rsidRPr="002552EB">
        <w:rPr>
          <w:rFonts w:ascii="Times New Roman" w:eastAsia="Times New Roman" w:hAnsi="Times New Roman" w:cs="Times New Roman"/>
          <w:color w:val="000000"/>
          <w:sz w:val="24"/>
          <w:szCs w:val="24"/>
        </w:rPr>
        <w:t xml:space="preserve">the support is measured based on </w:t>
      </w:r>
      <w:r w:rsidR="008A582D" w:rsidRPr="002552EB">
        <w:rPr>
          <w:rFonts w:ascii="Times New Roman" w:eastAsia="Times New Roman" w:hAnsi="Times New Roman" w:cs="Times New Roman"/>
          <w:color w:val="000000"/>
          <w:sz w:val="24"/>
          <w:szCs w:val="24"/>
        </w:rPr>
        <w:t xml:space="preserve">the </w:t>
      </w:r>
      <w:r w:rsidRPr="002552EB">
        <w:rPr>
          <w:rFonts w:ascii="Times New Roman" w:eastAsia="Times New Roman" w:hAnsi="Times New Roman" w:cs="Times New Roman"/>
          <w:color w:val="000000"/>
          <w:sz w:val="24"/>
          <w:szCs w:val="24"/>
        </w:rPr>
        <w:t>expected trade impacts and evaluated against the legal commitments of a concerned member</w:t>
      </w:r>
      <w:r w:rsidR="00234B03" w:rsidRPr="002552EB">
        <w:rPr>
          <w:rFonts w:ascii="Times New Roman" w:eastAsia="Times New Roman" w:hAnsi="Times New Roman" w:cs="Times New Roman"/>
          <w:color w:val="000000"/>
          <w:sz w:val="24"/>
          <w:szCs w:val="24"/>
        </w:rPr>
        <w:t xml:space="preserve"> (</w:t>
      </w:r>
      <w:proofErr w:type="spellStart"/>
      <w:r w:rsidR="00234B03" w:rsidRPr="002552EB">
        <w:rPr>
          <w:rFonts w:ascii="Times New Roman" w:eastAsia="Times New Roman" w:hAnsi="Times New Roman" w:cs="Times New Roman"/>
          <w:color w:val="000000"/>
          <w:sz w:val="24"/>
          <w:szCs w:val="24"/>
        </w:rPr>
        <w:t>Effland</w:t>
      </w:r>
      <w:proofErr w:type="spellEnd"/>
      <w:r w:rsidR="00234B03" w:rsidRPr="002552EB">
        <w:rPr>
          <w:rFonts w:ascii="Times New Roman" w:eastAsia="Times New Roman" w:hAnsi="Times New Roman" w:cs="Times New Roman"/>
          <w:color w:val="000000"/>
          <w:sz w:val="24"/>
          <w:szCs w:val="24"/>
        </w:rPr>
        <w:t>, 2011</w:t>
      </w:r>
      <w:r w:rsidR="006B3A04" w:rsidRPr="002552EB">
        <w:rPr>
          <w:rFonts w:ascii="Times New Roman" w:eastAsia="Times New Roman" w:hAnsi="Times New Roman" w:cs="Times New Roman"/>
          <w:color w:val="000000"/>
          <w:sz w:val="24"/>
          <w:szCs w:val="24"/>
        </w:rPr>
        <w:t>; Brink &amp; Orden, 2023</w:t>
      </w:r>
      <w:r w:rsidR="00234B03"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xml:space="preserve">. </w:t>
      </w:r>
    </w:p>
    <w:p w14:paraId="446F206B" w14:textId="4C11545F" w:rsidR="00FE17FE" w:rsidRPr="002552EB" w:rsidRDefault="00FE17FE" w:rsidP="00702BCE">
      <w:pPr>
        <w:spacing w:after="0" w:line="360" w:lineRule="auto"/>
        <w:jc w:val="both"/>
        <w:rPr>
          <w:rFonts w:ascii="Times New Roman" w:eastAsia="Times New Roman" w:hAnsi="Times New Roman" w:cs="Times New Roman"/>
          <w:color w:val="000000"/>
          <w:sz w:val="24"/>
          <w:szCs w:val="24"/>
        </w:rPr>
      </w:pPr>
    </w:p>
    <w:p w14:paraId="0000000B" w14:textId="32633E1E" w:rsidR="007F7F72" w:rsidRPr="002552EB" w:rsidRDefault="00D01ECA"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The WTO provides a multilateral forum where members negotiate legally binding commitments to curtail the flexibilities to provide agricultural subsidies. </w:t>
      </w:r>
      <w:r w:rsidR="00177AB8" w:rsidRPr="002552EB">
        <w:rPr>
          <w:rFonts w:ascii="Times New Roman" w:eastAsia="Times New Roman" w:hAnsi="Times New Roman" w:cs="Times New Roman"/>
          <w:color w:val="000000"/>
          <w:sz w:val="24"/>
          <w:szCs w:val="24"/>
        </w:rPr>
        <w:t>At the 12</w:t>
      </w:r>
      <w:r w:rsidR="00177AB8" w:rsidRPr="002552EB">
        <w:rPr>
          <w:rFonts w:ascii="Times New Roman" w:eastAsia="Times New Roman" w:hAnsi="Times New Roman" w:cs="Times New Roman"/>
          <w:color w:val="000000"/>
          <w:sz w:val="24"/>
          <w:szCs w:val="24"/>
          <w:vertAlign w:val="superscript"/>
        </w:rPr>
        <w:t>th</w:t>
      </w:r>
      <w:r w:rsidR="00177AB8" w:rsidRPr="002552EB">
        <w:rPr>
          <w:rFonts w:ascii="Times New Roman" w:eastAsia="Times New Roman" w:hAnsi="Times New Roman" w:cs="Times New Roman"/>
          <w:color w:val="000000"/>
          <w:sz w:val="24"/>
          <w:szCs w:val="24"/>
        </w:rPr>
        <w:t xml:space="preserve"> Ministerial Conference (MC12), WTO members declared to make progress towards the promotion of sustainable agriculture and food systems, and resilient agriculture practices (</w:t>
      </w:r>
      <w:r w:rsidR="00465C1F" w:rsidRPr="002552EB">
        <w:rPr>
          <w:rFonts w:ascii="Times New Roman" w:eastAsia="Times New Roman" w:hAnsi="Times New Roman" w:cs="Times New Roman"/>
          <w:color w:val="000000"/>
          <w:sz w:val="24"/>
          <w:szCs w:val="24"/>
        </w:rPr>
        <w:t>WTO, 2022</w:t>
      </w:r>
      <w:r w:rsidR="00233D8A" w:rsidRPr="002552EB">
        <w:rPr>
          <w:rFonts w:ascii="Times New Roman" w:eastAsia="Times New Roman" w:hAnsi="Times New Roman" w:cs="Times New Roman"/>
          <w:color w:val="000000"/>
          <w:sz w:val="24"/>
          <w:szCs w:val="24"/>
        </w:rPr>
        <w:t>b</w:t>
      </w:r>
      <w:r w:rsidR="00177AB8" w:rsidRPr="002552EB">
        <w:rPr>
          <w:rFonts w:ascii="Times New Roman" w:eastAsia="Times New Roman" w:hAnsi="Times New Roman" w:cs="Times New Roman"/>
          <w:color w:val="000000"/>
          <w:sz w:val="24"/>
          <w:szCs w:val="24"/>
        </w:rPr>
        <w:t>). The sustainability issue related to agriculture has been discussed in different committees of the WTO in both multilateral and plurilateral</w:t>
      </w:r>
      <w:r w:rsidR="006B3A04" w:rsidRPr="002552EB">
        <w:rPr>
          <w:rStyle w:val="FootnoteReference"/>
          <w:rFonts w:ascii="Times New Roman" w:eastAsia="Times New Roman" w:hAnsi="Times New Roman" w:cs="Times New Roman"/>
          <w:color w:val="000000"/>
          <w:sz w:val="24"/>
          <w:szCs w:val="24"/>
        </w:rPr>
        <w:footnoteReference w:id="2"/>
      </w:r>
      <w:r w:rsidR="00177AB8" w:rsidRPr="002552EB">
        <w:rPr>
          <w:rFonts w:ascii="Times New Roman" w:eastAsia="Times New Roman" w:hAnsi="Times New Roman" w:cs="Times New Roman"/>
          <w:color w:val="000000"/>
          <w:sz w:val="24"/>
          <w:szCs w:val="24"/>
        </w:rPr>
        <w:t xml:space="preserve"> manner. Issues related to sustainable food system </w:t>
      </w:r>
      <w:r w:rsidR="002508A2">
        <w:rPr>
          <w:rFonts w:ascii="Times New Roman" w:eastAsia="Times New Roman" w:hAnsi="Times New Roman" w:cs="Times New Roman"/>
          <w:color w:val="000000"/>
          <w:sz w:val="24"/>
          <w:szCs w:val="24"/>
        </w:rPr>
        <w:t>have</w:t>
      </w:r>
      <w:r w:rsidR="00177AB8" w:rsidRPr="002552EB">
        <w:rPr>
          <w:rFonts w:ascii="Times New Roman" w:eastAsia="Times New Roman" w:hAnsi="Times New Roman" w:cs="Times New Roman"/>
          <w:color w:val="000000"/>
          <w:sz w:val="24"/>
          <w:szCs w:val="24"/>
        </w:rPr>
        <w:t xml:space="preserve"> been discussed in the Sanitary and Phytosanitary (SPS</w:t>
      </w:r>
      <w:r w:rsidR="006B3A04" w:rsidRPr="002552EB">
        <w:rPr>
          <w:rFonts w:ascii="Times New Roman" w:eastAsia="Times New Roman" w:hAnsi="Times New Roman" w:cs="Times New Roman"/>
          <w:color w:val="000000"/>
          <w:sz w:val="24"/>
          <w:szCs w:val="24"/>
        </w:rPr>
        <w:t>) Committee</w:t>
      </w:r>
      <w:r w:rsidR="00177AB8" w:rsidRPr="002552EB">
        <w:rPr>
          <w:rFonts w:ascii="Times New Roman" w:eastAsia="Times New Roman" w:hAnsi="Times New Roman" w:cs="Times New Roman"/>
          <w:color w:val="000000"/>
          <w:sz w:val="24"/>
          <w:szCs w:val="24"/>
        </w:rPr>
        <w:t xml:space="preserve">. Interested members in the Committee on Trade and Environment (CTE) are engaged in plurilateral discussions under Trade and Environmental Sustainability Structured Discussions (TESSD) where, among others, the environmental effects of agriculture subsidies are examined in an effort to reduce carbon emissions </w:t>
      </w:r>
      <w:r w:rsidR="006B3A04" w:rsidRPr="002552EB">
        <w:rPr>
          <w:rFonts w:ascii="Times New Roman" w:eastAsia="Times New Roman" w:hAnsi="Times New Roman" w:cs="Times New Roman"/>
          <w:color w:val="000000"/>
          <w:sz w:val="24"/>
          <w:szCs w:val="24"/>
        </w:rPr>
        <w:t xml:space="preserve">to </w:t>
      </w:r>
      <w:r w:rsidR="00177AB8" w:rsidRPr="002552EB">
        <w:rPr>
          <w:rFonts w:ascii="Times New Roman" w:eastAsia="Times New Roman" w:hAnsi="Times New Roman" w:cs="Times New Roman"/>
          <w:color w:val="000000"/>
          <w:sz w:val="24"/>
          <w:szCs w:val="24"/>
        </w:rPr>
        <w:t>achiev</w:t>
      </w:r>
      <w:r w:rsidR="007B12E0" w:rsidRPr="002552EB">
        <w:rPr>
          <w:rFonts w:ascii="Times New Roman" w:eastAsia="Times New Roman" w:hAnsi="Times New Roman" w:cs="Times New Roman"/>
          <w:color w:val="000000"/>
          <w:sz w:val="24"/>
          <w:szCs w:val="24"/>
        </w:rPr>
        <w:t>e</w:t>
      </w:r>
      <w:r w:rsidR="00177AB8" w:rsidRPr="002552EB">
        <w:rPr>
          <w:rFonts w:ascii="Times New Roman" w:eastAsia="Times New Roman" w:hAnsi="Times New Roman" w:cs="Times New Roman"/>
          <w:color w:val="000000"/>
          <w:sz w:val="24"/>
          <w:szCs w:val="24"/>
        </w:rPr>
        <w:t xml:space="preserve"> </w:t>
      </w:r>
      <w:r w:rsidR="00B76C9D" w:rsidRPr="002552EB">
        <w:rPr>
          <w:rFonts w:ascii="Times New Roman" w:eastAsia="Times New Roman" w:hAnsi="Times New Roman" w:cs="Times New Roman"/>
          <w:color w:val="000000"/>
          <w:sz w:val="24"/>
          <w:szCs w:val="24"/>
        </w:rPr>
        <w:t>climate goals</w:t>
      </w:r>
      <w:r w:rsidR="00177AB8" w:rsidRPr="002552EB">
        <w:rPr>
          <w:rFonts w:ascii="Times New Roman" w:eastAsia="Times New Roman" w:hAnsi="Times New Roman" w:cs="Times New Roman"/>
          <w:color w:val="000000"/>
          <w:sz w:val="24"/>
          <w:szCs w:val="24"/>
        </w:rPr>
        <w:t xml:space="preserve"> under the </w:t>
      </w:r>
      <w:r w:rsidR="006B3A04" w:rsidRPr="002552EB">
        <w:rPr>
          <w:rFonts w:ascii="Times New Roman" w:eastAsia="Times New Roman" w:hAnsi="Times New Roman" w:cs="Times New Roman"/>
          <w:color w:val="000000"/>
          <w:sz w:val="24"/>
          <w:szCs w:val="24"/>
        </w:rPr>
        <w:t>United Nations Framework Convention on Climate Change (</w:t>
      </w:r>
      <w:r w:rsidR="00177AB8" w:rsidRPr="002552EB">
        <w:rPr>
          <w:rFonts w:ascii="Times New Roman" w:eastAsia="Times New Roman" w:hAnsi="Times New Roman" w:cs="Times New Roman"/>
          <w:color w:val="000000"/>
          <w:sz w:val="24"/>
          <w:szCs w:val="24"/>
        </w:rPr>
        <w:t>UNFCCC</w:t>
      </w:r>
      <w:r w:rsidR="006B3A04" w:rsidRPr="002552EB">
        <w:rPr>
          <w:rFonts w:ascii="Times New Roman" w:eastAsia="Times New Roman" w:hAnsi="Times New Roman" w:cs="Times New Roman"/>
          <w:color w:val="000000"/>
          <w:sz w:val="24"/>
          <w:szCs w:val="24"/>
        </w:rPr>
        <w:t>)</w:t>
      </w:r>
      <w:r w:rsidR="000B20D5" w:rsidRPr="002552EB">
        <w:rPr>
          <w:rFonts w:ascii="Times New Roman" w:eastAsia="Times New Roman" w:hAnsi="Times New Roman" w:cs="Times New Roman"/>
          <w:color w:val="000000"/>
          <w:sz w:val="24"/>
          <w:szCs w:val="24"/>
        </w:rPr>
        <w:t xml:space="preserve"> (Bacchus, 2023)</w:t>
      </w:r>
      <w:r w:rsidR="00177AB8" w:rsidRPr="002552EB">
        <w:rPr>
          <w:rFonts w:ascii="Times New Roman" w:eastAsia="Times New Roman" w:hAnsi="Times New Roman" w:cs="Times New Roman"/>
          <w:color w:val="000000"/>
          <w:sz w:val="24"/>
          <w:szCs w:val="24"/>
        </w:rPr>
        <w:t xml:space="preserve">. </w:t>
      </w:r>
      <w:r w:rsidR="007B12E0" w:rsidRPr="002552EB">
        <w:rPr>
          <w:rFonts w:ascii="Times New Roman" w:eastAsia="Times New Roman" w:hAnsi="Times New Roman" w:cs="Times New Roman"/>
          <w:color w:val="000000"/>
          <w:sz w:val="24"/>
          <w:szCs w:val="24"/>
        </w:rPr>
        <w:t>Concurrently</w:t>
      </w:r>
      <w:r w:rsidR="00177AB8" w:rsidRPr="002552EB">
        <w:rPr>
          <w:rFonts w:ascii="Times New Roman" w:eastAsia="Times New Roman" w:hAnsi="Times New Roman" w:cs="Times New Roman"/>
          <w:color w:val="000000"/>
          <w:sz w:val="24"/>
          <w:szCs w:val="24"/>
        </w:rPr>
        <w:t xml:space="preserve">, the WTO members are negotiating </w:t>
      </w:r>
      <w:r w:rsidR="00B53999" w:rsidRPr="002552EB">
        <w:rPr>
          <w:rFonts w:ascii="Times New Roman" w:eastAsia="Times New Roman" w:hAnsi="Times New Roman" w:cs="Times New Roman"/>
          <w:color w:val="000000"/>
          <w:sz w:val="24"/>
          <w:szCs w:val="24"/>
        </w:rPr>
        <w:t xml:space="preserve">the disciplines on agriculture subsidies under the </w:t>
      </w:r>
      <w:r w:rsidR="008D5A73" w:rsidRPr="002552EB">
        <w:rPr>
          <w:rFonts w:ascii="Times New Roman" w:eastAsia="Times New Roman" w:hAnsi="Times New Roman" w:cs="Times New Roman"/>
          <w:color w:val="000000"/>
          <w:sz w:val="24"/>
          <w:szCs w:val="24"/>
        </w:rPr>
        <w:t>Committee on Agriculture Special Session (</w:t>
      </w:r>
      <w:proofErr w:type="spellStart"/>
      <w:r w:rsidR="008D5A73" w:rsidRPr="002552EB">
        <w:rPr>
          <w:rFonts w:ascii="Times New Roman" w:eastAsia="Times New Roman" w:hAnsi="Times New Roman" w:cs="Times New Roman"/>
          <w:color w:val="000000"/>
          <w:sz w:val="24"/>
          <w:szCs w:val="24"/>
        </w:rPr>
        <w:t>CoASS</w:t>
      </w:r>
      <w:proofErr w:type="spellEnd"/>
      <w:r w:rsidR="008D5A73" w:rsidRPr="002552EB">
        <w:rPr>
          <w:rFonts w:ascii="Times New Roman" w:eastAsia="Times New Roman" w:hAnsi="Times New Roman" w:cs="Times New Roman"/>
          <w:color w:val="000000"/>
          <w:sz w:val="24"/>
          <w:szCs w:val="24"/>
        </w:rPr>
        <w:t>)</w:t>
      </w:r>
      <w:r w:rsidR="00BD7C8C" w:rsidRPr="002552EB">
        <w:rPr>
          <w:rFonts w:ascii="Times New Roman" w:eastAsia="Times New Roman" w:hAnsi="Times New Roman" w:cs="Times New Roman"/>
          <w:color w:val="000000"/>
          <w:sz w:val="24"/>
          <w:szCs w:val="24"/>
        </w:rPr>
        <w:t>.</w:t>
      </w:r>
      <w:r w:rsidR="00B76C9D">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sz w:val="24"/>
          <w:szCs w:val="24"/>
        </w:rPr>
        <w:t xml:space="preserve">The relevant question is, how can the </w:t>
      </w:r>
      <w:r w:rsidR="00177AB8" w:rsidRPr="002552EB">
        <w:rPr>
          <w:rFonts w:ascii="Times New Roman" w:eastAsia="Times New Roman" w:hAnsi="Times New Roman" w:cs="Times New Roman"/>
          <w:color w:val="000000"/>
          <w:sz w:val="24"/>
          <w:szCs w:val="24"/>
        </w:rPr>
        <w:t xml:space="preserve">agriculture negotiations </w:t>
      </w:r>
      <w:r w:rsidRPr="002552EB">
        <w:rPr>
          <w:rFonts w:ascii="Times New Roman" w:eastAsia="Times New Roman" w:hAnsi="Times New Roman" w:cs="Times New Roman"/>
          <w:color w:val="000000"/>
          <w:sz w:val="24"/>
          <w:szCs w:val="24"/>
        </w:rPr>
        <w:t xml:space="preserve">facilitate economic, social, and environmental sustainability in a comprehensive manner? The </w:t>
      </w:r>
      <w:r w:rsidR="006B3A04" w:rsidRPr="002552EB">
        <w:rPr>
          <w:rFonts w:ascii="Times New Roman" w:eastAsia="Times New Roman" w:hAnsi="Times New Roman" w:cs="Times New Roman"/>
          <w:color w:val="000000"/>
          <w:sz w:val="24"/>
          <w:szCs w:val="24"/>
        </w:rPr>
        <w:t>Agreement on Agriculture (</w:t>
      </w:r>
      <w:r w:rsidRPr="002552EB">
        <w:rPr>
          <w:rFonts w:ascii="Times New Roman" w:eastAsia="Times New Roman" w:hAnsi="Times New Roman" w:cs="Times New Roman"/>
          <w:color w:val="000000"/>
          <w:sz w:val="24"/>
          <w:szCs w:val="24"/>
        </w:rPr>
        <w:t>AoA</w:t>
      </w:r>
      <w:r w:rsidR="006B3A04"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xml:space="preserve"> provides detailed provisions on domestic support, and reduction in trade-distorting support is one of the objectives of the reform programme through agriculture </w:t>
      </w:r>
      <w:r w:rsidRPr="002552EB">
        <w:rPr>
          <w:rFonts w:ascii="Times New Roman" w:eastAsia="Times New Roman" w:hAnsi="Times New Roman" w:cs="Times New Roman"/>
          <w:color w:val="000000"/>
          <w:sz w:val="24"/>
          <w:szCs w:val="24"/>
        </w:rPr>
        <w:lastRenderedPageBreak/>
        <w:t xml:space="preserve">negotiations under Article 20. Importantly, the preamble of the AoA requires the reform programme to be made in an equitable way and address the issues related to food security and environmental protection. Additionally, it makes the Special and Differential Treatment (S&amp;DT), an integral element of the negotiations. </w:t>
      </w:r>
    </w:p>
    <w:p w14:paraId="145CED27" w14:textId="77777777" w:rsidR="00FE17FE" w:rsidRPr="002552EB" w:rsidRDefault="00D01ECA" w:rsidP="00702BCE">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ab/>
      </w:r>
    </w:p>
    <w:p w14:paraId="6E418C8B" w14:textId="4F6B9915" w:rsidR="00C8322F" w:rsidRPr="002552EB" w:rsidRDefault="00D01ECA"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The WTO members recognised the need for updating the rules to address the challenges of the 21</w:t>
      </w:r>
      <w:r w:rsidRPr="002552EB">
        <w:rPr>
          <w:rFonts w:ascii="Times New Roman" w:eastAsia="Times New Roman" w:hAnsi="Times New Roman" w:cs="Times New Roman"/>
          <w:color w:val="000000"/>
          <w:sz w:val="24"/>
          <w:szCs w:val="24"/>
          <w:vertAlign w:val="superscript"/>
        </w:rPr>
        <w:t>st</w:t>
      </w:r>
      <w:r w:rsidRPr="002552EB">
        <w:rPr>
          <w:rFonts w:ascii="Times New Roman" w:eastAsia="Times New Roman" w:hAnsi="Times New Roman" w:cs="Times New Roman"/>
          <w:color w:val="000000"/>
          <w:sz w:val="24"/>
          <w:szCs w:val="24"/>
        </w:rPr>
        <w:t xml:space="preserve"> century such as food security, environmental protection, and reduction in trade-distorting support. For more than 22 years, members have been negotiating rules to limit the policy space to provide</w:t>
      </w:r>
      <w:sdt>
        <w:sdtPr>
          <w:rPr>
            <w:rFonts w:ascii="Times New Roman" w:hAnsi="Times New Roman" w:cs="Times New Roman"/>
            <w:sz w:val="24"/>
            <w:szCs w:val="24"/>
          </w:rPr>
          <w:tag w:val="goog_rdk_10"/>
          <w:id w:val="1608695799"/>
        </w:sdtPr>
        <w:sdtEndPr/>
        <w:sdtContent>
          <w:r w:rsidRPr="002552EB">
            <w:rPr>
              <w:rFonts w:ascii="Times New Roman" w:eastAsia="Times New Roman" w:hAnsi="Times New Roman" w:cs="Times New Roman"/>
              <w:color w:val="000000"/>
              <w:sz w:val="24"/>
              <w:szCs w:val="24"/>
            </w:rPr>
            <w:t xml:space="preserve"> </w:t>
          </w:r>
        </w:sdtContent>
      </w:sdt>
      <w:r w:rsidR="000B20D5" w:rsidRPr="002552EB">
        <w:rPr>
          <w:rFonts w:ascii="Times New Roman" w:hAnsi="Times New Roman" w:cs="Times New Roman"/>
          <w:sz w:val="24"/>
          <w:szCs w:val="24"/>
        </w:rPr>
        <w:t>trade-distorting</w:t>
      </w:r>
      <w:r w:rsidRPr="002552EB">
        <w:rPr>
          <w:rFonts w:ascii="Times New Roman" w:eastAsia="Times New Roman" w:hAnsi="Times New Roman" w:cs="Times New Roman"/>
          <w:color w:val="000000"/>
          <w:sz w:val="24"/>
          <w:szCs w:val="24"/>
        </w:rPr>
        <w:t xml:space="preserve"> agricultural subsidies. Despite the intense engagement of members since the Doha Ministerial Declaration in 2001, consensus remains elusive due to divergence in members’ positions</w:t>
      </w:r>
      <w:r w:rsidR="00234B03" w:rsidRPr="002552EB">
        <w:rPr>
          <w:rFonts w:ascii="Times New Roman" w:eastAsia="Times New Roman" w:hAnsi="Times New Roman" w:cs="Times New Roman"/>
          <w:color w:val="000000"/>
          <w:sz w:val="24"/>
          <w:szCs w:val="24"/>
        </w:rPr>
        <w:t xml:space="preserve"> (Sharma et al.</w:t>
      </w:r>
      <w:r w:rsidR="00B64323" w:rsidRPr="002552EB">
        <w:rPr>
          <w:rFonts w:ascii="Times New Roman" w:eastAsia="Times New Roman" w:hAnsi="Times New Roman" w:cs="Times New Roman"/>
          <w:color w:val="000000"/>
          <w:sz w:val="24"/>
          <w:szCs w:val="24"/>
        </w:rPr>
        <w:t>, 2021</w:t>
      </w:r>
      <w:r w:rsidR="000B20D5" w:rsidRPr="002552EB">
        <w:rPr>
          <w:rFonts w:ascii="Times New Roman" w:eastAsia="Times New Roman" w:hAnsi="Times New Roman" w:cs="Times New Roman"/>
          <w:color w:val="000000"/>
          <w:sz w:val="24"/>
          <w:szCs w:val="24"/>
        </w:rPr>
        <w:t>; WTO, 2021</w:t>
      </w:r>
      <w:r w:rsidR="007673C8" w:rsidRPr="002552EB">
        <w:rPr>
          <w:rFonts w:ascii="Times New Roman" w:eastAsia="Times New Roman" w:hAnsi="Times New Roman" w:cs="Times New Roman"/>
          <w:color w:val="000000"/>
          <w:sz w:val="24"/>
          <w:szCs w:val="24"/>
        </w:rPr>
        <w:t>b</w:t>
      </w:r>
      <w:r w:rsidR="00B64323"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xml:space="preserve">. </w:t>
      </w:r>
      <w:r w:rsidR="007E7F92" w:rsidRPr="002552EB">
        <w:rPr>
          <w:rFonts w:ascii="Times New Roman" w:eastAsia="Times New Roman" w:hAnsi="Times New Roman" w:cs="Times New Roman"/>
          <w:color w:val="000000"/>
          <w:sz w:val="24"/>
          <w:szCs w:val="24"/>
        </w:rPr>
        <w:t>Many developing country members wh</w:t>
      </w:r>
      <w:r w:rsidR="002B7B57" w:rsidRPr="002552EB">
        <w:rPr>
          <w:rFonts w:ascii="Times New Roman" w:eastAsia="Times New Roman" w:hAnsi="Times New Roman" w:cs="Times New Roman"/>
          <w:color w:val="000000"/>
          <w:sz w:val="24"/>
          <w:szCs w:val="24"/>
        </w:rPr>
        <w:t>ose farmers are mostly low-income and resource</w:t>
      </w:r>
      <w:r w:rsidR="00BD7C8C" w:rsidRPr="002552EB">
        <w:rPr>
          <w:rFonts w:ascii="Times New Roman" w:eastAsia="Times New Roman" w:hAnsi="Times New Roman" w:cs="Times New Roman"/>
          <w:color w:val="000000"/>
          <w:sz w:val="24"/>
          <w:szCs w:val="24"/>
        </w:rPr>
        <w:t>-</w:t>
      </w:r>
      <w:r w:rsidR="002B7B57" w:rsidRPr="002552EB">
        <w:rPr>
          <w:rFonts w:ascii="Times New Roman" w:eastAsia="Times New Roman" w:hAnsi="Times New Roman" w:cs="Times New Roman"/>
          <w:color w:val="000000"/>
          <w:sz w:val="24"/>
          <w:szCs w:val="24"/>
        </w:rPr>
        <w:t>poor seek reforms to address inequalities and imbalances in the AoA</w:t>
      </w:r>
      <w:r w:rsidR="002D50E7" w:rsidRPr="002552EB">
        <w:rPr>
          <w:rFonts w:ascii="Times New Roman" w:eastAsia="Times New Roman" w:hAnsi="Times New Roman" w:cs="Times New Roman"/>
          <w:color w:val="000000"/>
          <w:sz w:val="24"/>
          <w:szCs w:val="24"/>
        </w:rPr>
        <w:t>,</w:t>
      </w:r>
      <w:r w:rsidR="002B7B57" w:rsidRPr="002552EB">
        <w:rPr>
          <w:rFonts w:ascii="Times New Roman" w:eastAsia="Times New Roman" w:hAnsi="Times New Roman" w:cs="Times New Roman"/>
          <w:color w:val="000000"/>
          <w:sz w:val="24"/>
          <w:szCs w:val="24"/>
        </w:rPr>
        <w:t xml:space="preserve"> and provide a level playing field for their farmers. </w:t>
      </w:r>
      <w:r w:rsidR="005817DB" w:rsidRPr="002552EB">
        <w:rPr>
          <w:rFonts w:ascii="Times New Roman" w:eastAsia="Times New Roman" w:hAnsi="Times New Roman" w:cs="Times New Roman"/>
          <w:color w:val="000000"/>
          <w:sz w:val="24"/>
          <w:szCs w:val="24"/>
        </w:rPr>
        <w:t>They argue that w</w:t>
      </w:r>
      <w:r w:rsidR="002E3A9A" w:rsidRPr="002552EB">
        <w:rPr>
          <w:rFonts w:ascii="Times New Roman" w:eastAsia="Times New Roman" w:hAnsi="Times New Roman" w:cs="Times New Roman"/>
          <w:color w:val="000000"/>
          <w:sz w:val="24"/>
          <w:szCs w:val="24"/>
        </w:rPr>
        <w:t xml:space="preserve">hile the AoA allows many developed members to provide a </w:t>
      </w:r>
      <w:r w:rsidR="00B76C9D" w:rsidRPr="002552EB">
        <w:rPr>
          <w:rFonts w:ascii="Times New Roman" w:eastAsia="Times New Roman" w:hAnsi="Times New Roman" w:cs="Times New Roman"/>
          <w:color w:val="000000"/>
          <w:sz w:val="24"/>
          <w:szCs w:val="24"/>
        </w:rPr>
        <w:t>high level of agricultural support</w:t>
      </w:r>
      <w:r w:rsidR="002E3A9A" w:rsidRPr="002552EB">
        <w:rPr>
          <w:rFonts w:ascii="Times New Roman" w:eastAsia="Times New Roman" w:hAnsi="Times New Roman" w:cs="Times New Roman"/>
          <w:color w:val="000000"/>
          <w:sz w:val="24"/>
          <w:szCs w:val="24"/>
        </w:rPr>
        <w:t xml:space="preserve">, the </w:t>
      </w:r>
      <w:r w:rsidR="003B1156" w:rsidRPr="002552EB">
        <w:rPr>
          <w:rFonts w:ascii="Times New Roman" w:eastAsia="Times New Roman" w:hAnsi="Times New Roman" w:cs="Times New Roman"/>
          <w:color w:val="000000"/>
          <w:sz w:val="24"/>
          <w:szCs w:val="24"/>
        </w:rPr>
        <w:t>policy space of most developing members to implement domestic support measures is shrinking</w:t>
      </w:r>
      <w:r w:rsidR="00F17A04">
        <w:rPr>
          <w:rFonts w:ascii="Times New Roman" w:eastAsia="Times New Roman" w:hAnsi="Times New Roman" w:cs="Times New Roman"/>
          <w:color w:val="000000"/>
          <w:sz w:val="24"/>
          <w:szCs w:val="24"/>
        </w:rPr>
        <w:t xml:space="preserve"> </w:t>
      </w:r>
      <w:r w:rsidR="00647458" w:rsidRPr="002552EB">
        <w:rPr>
          <w:rFonts w:ascii="Times New Roman" w:eastAsia="Times New Roman" w:hAnsi="Times New Roman" w:cs="Times New Roman"/>
          <w:color w:val="000000"/>
          <w:sz w:val="24"/>
          <w:szCs w:val="24"/>
        </w:rPr>
        <w:t>(</w:t>
      </w:r>
      <w:r w:rsidR="000E63D9" w:rsidRPr="002552EB">
        <w:rPr>
          <w:rFonts w:ascii="Times New Roman" w:eastAsia="Times New Roman" w:hAnsi="Times New Roman" w:cs="Times New Roman"/>
          <w:color w:val="000000"/>
          <w:sz w:val="24"/>
          <w:szCs w:val="24"/>
        </w:rPr>
        <w:t>WTO, 2023d</w:t>
      </w:r>
      <w:r w:rsidR="009404DF" w:rsidRPr="002552EB">
        <w:rPr>
          <w:rFonts w:ascii="Times New Roman" w:eastAsia="Times New Roman" w:hAnsi="Times New Roman" w:cs="Times New Roman"/>
          <w:color w:val="000000"/>
          <w:sz w:val="24"/>
          <w:szCs w:val="24"/>
        </w:rPr>
        <w:t>;</w:t>
      </w:r>
      <w:r w:rsidR="00BD7C8C" w:rsidRPr="002552EB">
        <w:rPr>
          <w:rFonts w:ascii="Times New Roman" w:eastAsia="Times New Roman" w:hAnsi="Times New Roman" w:cs="Times New Roman"/>
          <w:color w:val="000000"/>
          <w:sz w:val="24"/>
          <w:szCs w:val="24"/>
        </w:rPr>
        <w:t xml:space="preserve"> </w:t>
      </w:r>
      <w:r w:rsidR="00647458" w:rsidRPr="002552EB">
        <w:rPr>
          <w:rFonts w:ascii="Times New Roman" w:eastAsia="Times New Roman" w:hAnsi="Times New Roman" w:cs="Times New Roman"/>
          <w:color w:val="000000"/>
          <w:sz w:val="24"/>
          <w:szCs w:val="24"/>
        </w:rPr>
        <w:t>Sharma et al., 2022).</w:t>
      </w:r>
      <w:r w:rsidR="00B64323" w:rsidRPr="002552EB">
        <w:rPr>
          <w:rFonts w:ascii="Times New Roman" w:eastAsia="Times New Roman" w:hAnsi="Times New Roman" w:cs="Times New Roman"/>
          <w:color w:val="000000"/>
          <w:sz w:val="24"/>
          <w:szCs w:val="24"/>
        </w:rPr>
        <w:t xml:space="preserve"> </w:t>
      </w:r>
    </w:p>
    <w:p w14:paraId="02CAB013" w14:textId="77777777" w:rsidR="00FE17FE" w:rsidRPr="002552EB" w:rsidRDefault="00FE17FE" w:rsidP="00FE17FE">
      <w:pPr>
        <w:spacing w:after="0" w:line="360" w:lineRule="auto"/>
        <w:jc w:val="both"/>
        <w:rPr>
          <w:rFonts w:ascii="Times New Roman" w:eastAsia="Times New Roman" w:hAnsi="Times New Roman" w:cs="Times New Roman"/>
          <w:color w:val="000000"/>
          <w:sz w:val="24"/>
          <w:szCs w:val="24"/>
        </w:rPr>
      </w:pPr>
    </w:p>
    <w:p w14:paraId="7B4A5671" w14:textId="39FA395B" w:rsidR="00FE17FE" w:rsidRPr="002552EB" w:rsidRDefault="000677BD" w:rsidP="00FE17FE">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Regardless of such concerns, so</w:t>
      </w:r>
      <w:r w:rsidR="00DB13CE" w:rsidRPr="002552EB">
        <w:rPr>
          <w:rFonts w:ascii="Times New Roman" w:eastAsia="Times New Roman" w:hAnsi="Times New Roman" w:cs="Times New Roman"/>
          <w:color w:val="000000"/>
          <w:sz w:val="24"/>
          <w:szCs w:val="24"/>
        </w:rPr>
        <w:t>m</w:t>
      </w:r>
      <w:r w:rsidRPr="002552EB">
        <w:rPr>
          <w:rFonts w:ascii="Times New Roman" w:eastAsia="Times New Roman" w:hAnsi="Times New Roman" w:cs="Times New Roman"/>
          <w:color w:val="000000"/>
          <w:sz w:val="24"/>
          <w:szCs w:val="24"/>
        </w:rPr>
        <w:t xml:space="preserve">e </w:t>
      </w:r>
      <w:r w:rsidR="00C8322F" w:rsidRPr="002552EB">
        <w:rPr>
          <w:rFonts w:ascii="Times New Roman" w:eastAsia="Times New Roman" w:hAnsi="Times New Roman" w:cs="Times New Roman"/>
          <w:color w:val="000000"/>
          <w:sz w:val="24"/>
          <w:szCs w:val="24"/>
        </w:rPr>
        <w:t>members</w:t>
      </w:r>
      <w:r w:rsidR="00D573EF" w:rsidRPr="002552EB">
        <w:rPr>
          <w:rFonts w:ascii="Times New Roman" w:eastAsia="Times New Roman" w:hAnsi="Times New Roman" w:cs="Times New Roman"/>
          <w:color w:val="000000"/>
          <w:sz w:val="24"/>
          <w:szCs w:val="24"/>
        </w:rPr>
        <w:t xml:space="preserve"> of Cairns Group</w:t>
      </w:r>
      <w:r w:rsidR="00D573EF" w:rsidRPr="002552EB">
        <w:rPr>
          <w:rStyle w:val="FootnoteReference"/>
          <w:rFonts w:ascii="Times New Roman" w:eastAsia="Times New Roman" w:hAnsi="Times New Roman" w:cs="Times New Roman"/>
          <w:color w:val="000000"/>
          <w:sz w:val="24"/>
          <w:szCs w:val="24"/>
        </w:rPr>
        <w:footnoteReference w:id="3"/>
      </w:r>
      <w:r w:rsidR="00C8322F" w:rsidRPr="002552EB">
        <w:rPr>
          <w:rFonts w:ascii="Times New Roman" w:eastAsia="Times New Roman" w:hAnsi="Times New Roman" w:cs="Times New Roman"/>
          <w:color w:val="000000"/>
          <w:sz w:val="24"/>
          <w:szCs w:val="24"/>
        </w:rPr>
        <w:t xml:space="preserve"> </w:t>
      </w:r>
      <w:r w:rsidR="00834943" w:rsidRPr="002552EB">
        <w:rPr>
          <w:rFonts w:ascii="Times New Roman" w:eastAsia="Times New Roman" w:hAnsi="Times New Roman" w:cs="Times New Roman"/>
          <w:color w:val="000000"/>
          <w:sz w:val="24"/>
          <w:szCs w:val="24"/>
        </w:rPr>
        <w:t>including Australia, New Zealand, Canada</w:t>
      </w:r>
      <w:r w:rsidR="00D573EF" w:rsidRPr="002552EB">
        <w:rPr>
          <w:rFonts w:ascii="Times New Roman" w:eastAsia="Times New Roman" w:hAnsi="Times New Roman" w:cs="Times New Roman"/>
          <w:color w:val="000000"/>
          <w:sz w:val="24"/>
          <w:szCs w:val="24"/>
        </w:rPr>
        <w:t>,</w:t>
      </w:r>
      <w:r w:rsidR="007F6FC0" w:rsidRPr="002552EB">
        <w:rPr>
          <w:rFonts w:ascii="Times New Roman" w:eastAsia="Times New Roman" w:hAnsi="Times New Roman" w:cs="Times New Roman"/>
          <w:color w:val="000000"/>
          <w:sz w:val="24"/>
          <w:szCs w:val="24"/>
        </w:rPr>
        <w:t xml:space="preserve"> and Costa Rica among others</w:t>
      </w:r>
      <w:r w:rsidR="00834943" w:rsidRPr="002552EB">
        <w:rPr>
          <w:rFonts w:ascii="Times New Roman" w:eastAsia="Times New Roman" w:hAnsi="Times New Roman" w:cs="Times New Roman"/>
          <w:color w:val="000000"/>
          <w:sz w:val="24"/>
          <w:szCs w:val="24"/>
        </w:rPr>
        <w:t xml:space="preserve"> </w:t>
      </w:r>
      <w:r w:rsidR="0005259A" w:rsidRPr="002552EB">
        <w:rPr>
          <w:rFonts w:ascii="Times New Roman" w:eastAsia="Times New Roman" w:hAnsi="Times New Roman" w:cs="Times New Roman"/>
          <w:color w:val="000000"/>
          <w:sz w:val="24"/>
          <w:szCs w:val="24"/>
        </w:rPr>
        <w:t>call for a comprehensive overhaul of the</w:t>
      </w:r>
      <w:r w:rsidR="00DB13CE" w:rsidRPr="002552EB">
        <w:rPr>
          <w:rFonts w:ascii="Times New Roman" w:eastAsia="Times New Roman" w:hAnsi="Times New Roman" w:cs="Times New Roman"/>
          <w:color w:val="000000"/>
          <w:sz w:val="24"/>
          <w:szCs w:val="24"/>
        </w:rPr>
        <w:t xml:space="preserve"> domestic support principles</w:t>
      </w:r>
      <w:r w:rsidR="00B041D8" w:rsidRPr="002552EB">
        <w:rPr>
          <w:rFonts w:ascii="Times New Roman" w:eastAsia="Times New Roman" w:hAnsi="Times New Roman" w:cs="Times New Roman"/>
          <w:color w:val="000000"/>
          <w:sz w:val="24"/>
          <w:szCs w:val="24"/>
        </w:rPr>
        <w:t xml:space="preserve"> to address the rising levels of </w:t>
      </w:r>
      <w:r w:rsidR="00120A9A" w:rsidRPr="002552EB">
        <w:rPr>
          <w:rFonts w:ascii="Times New Roman" w:eastAsia="Times New Roman" w:hAnsi="Times New Roman" w:cs="Times New Roman"/>
          <w:color w:val="000000"/>
          <w:sz w:val="24"/>
          <w:szCs w:val="24"/>
        </w:rPr>
        <w:t xml:space="preserve">global Total </w:t>
      </w:r>
      <w:r w:rsidR="00ED0737" w:rsidRPr="002552EB">
        <w:rPr>
          <w:rFonts w:ascii="Times New Roman" w:eastAsia="Times New Roman" w:hAnsi="Times New Roman" w:cs="Times New Roman"/>
          <w:color w:val="000000"/>
          <w:sz w:val="24"/>
          <w:szCs w:val="24"/>
        </w:rPr>
        <w:t>T</w:t>
      </w:r>
      <w:r w:rsidR="00B041D8" w:rsidRPr="002552EB">
        <w:rPr>
          <w:rFonts w:ascii="Times New Roman" w:eastAsia="Times New Roman" w:hAnsi="Times New Roman" w:cs="Times New Roman"/>
          <w:color w:val="000000"/>
          <w:sz w:val="24"/>
          <w:szCs w:val="24"/>
        </w:rPr>
        <w:t xml:space="preserve">rade </w:t>
      </w:r>
      <w:r w:rsidR="00ED0737" w:rsidRPr="002552EB">
        <w:rPr>
          <w:rFonts w:ascii="Times New Roman" w:eastAsia="Times New Roman" w:hAnsi="Times New Roman" w:cs="Times New Roman"/>
          <w:color w:val="000000"/>
          <w:sz w:val="24"/>
          <w:szCs w:val="24"/>
        </w:rPr>
        <w:t>d</w:t>
      </w:r>
      <w:r w:rsidR="00B041D8" w:rsidRPr="002552EB">
        <w:rPr>
          <w:rFonts w:ascii="Times New Roman" w:eastAsia="Times New Roman" w:hAnsi="Times New Roman" w:cs="Times New Roman"/>
          <w:color w:val="000000"/>
          <w:sz w:val="24"/>
          <w:szCs w:val="24"/>
        </w:rPr>
        <w:t xml:space="preserve">istorting </w:t>
      </w:r>
      <w:r w:rsidR="00120A9A" w:rsidRPr="002552EB">
        <w:rPr>
          <w:rFonts w:ascii="Times New Roman" w:eastAsia="Times New Roman" w:hAnsi="Times New Roman" w:cs="Times New Roman"/>
          <w:color w:val="000000"/>
          <w:sz w:val="24"/>
          <w:szCs w:val="24"/>
        </w:rPr>
        <w:t>Domestic Support (TTDS)</w:t>
      </w:r>
      <w:r w:rsidR="00FF1F73" w:rsidRPr="002552EB">
        <w:rPr>
          <w:rFonts w:ascii="Times New Roman" w:eastAsia="Times New Roman" w:hAnsi="Times New Roman" w:cs="Times New Roman"/>
          <w:color w:val="000000"/>
          <w:sz w:val="24"/>
          <w:szCs w:val="24"/>
        </w:rPr>
        <w:t xml:space="preserve"> (WTO, 2021c)</w:t>
      </w:r>
      <w:r w:rsidR="00834943" w:rsidRPr="002552EB">
        <w:rPr>
          <w:rFonts w:ascii="Times New Roman" w:eastAsia="Times New Roman" w:hAnsi="Times New Roman" w:cs="Times New Roman"/>
          <w:color w:val="000000"/>
          <w:sz w:val="24"/>
          <w:szCs w:val="24"/>
        </w:rPr>
        <w:t>.</w:t>
      </w:r>
      <w:r w:rsidR="00B041D8" w:rsidRPr="002552EB">
        <w:rPr>
          <w:rFonts w:ascii="Times New Roman" w:eastAsia="Times New Roman" w:hAnsi="Times New Roman" w:cs="Times New Roman"/>
          <w:color w:val="000000"/>
          <w:sz w:val="24"/>
          <w:szCs w:val="24"/>
        </w:rPr>
        <w:t xml:space="preserve"> </w:t>
      </w:r>
      <w:r w:rsidR="00300FF1" w:rsidRPr="002552EB">
        <w:rPr>
          <w:rFonts w:ascii="Times New Roman" w:eastAsia="Times New Roman" w:hAnsi="Times New Roman" w:cs="Times New Roman"/>
          <w:color w:val="000000"/>
          <w:sz w:val="24"/>
          <w:szCs w:val="24"/>
        </w:rPr>
        <w:t>It is</w:t>
      </w:r>
      <w:r w:rsidR="008D5D48" w:rsidRPr="002552EB">
        <w:rPr>
          <w:rFonts w:ascii="Times New Roman" w:eastAsia="Times New Roman" w:hAnsi="Times New Roman" w:cs="Times New Roman"/>
          <w:color w:val="000000"/>
          <w:sz w:val="24"/>
          <w:szCs w:val="24"/>
        </w:rPr>
        <w:t xml:space="preserve"> argue</w:t>
      </w:r>
      <w:r w:rsidR="00300FF1" w:rsidRPr="002552EB">
        <w:rPr>
          <w:rFonts w:ascii="Times New Roman" w:eastAsia="Times New Roman" w:hAnsi="Times New Roman" w:cs="Times New Roman"/>
          <w:color w:val="000000"/>
          <w:sz w:val="24"/>
          <w:szCs w:val="24"/>
        </w:rPr>
        <w:t>d</w:t>
      </w:r>
      <w:r w:rsidR="008D5D48" w:rsidRPr="002552EB">
        <w:rPr>
          <w:rFonts w:ascii="Times New Roman" w:eastAsia="Times New Roman" w:hAnsi="Times New Roman" w:cs="Times New Roman"/>
          <w:color w:val="000000"/>
          <w:sz w:val="24"/>
          <w:szCs w:val="24"/>
        </w:rPr>
        <w:t xml:space="preserve"> that</w:t>
      </w:r>
      <w:r w:rsidR="00120A9A" w:rsidRPr="002552EB">
        <w:rPr>
          <w:rFonts w:ascii="Times New Roman" w:eastAsia="Times New Roman" w:hAnsi="Times New Roman" w:cs="Times New Roman"/>
          <w:color w:val="000000"/>
          <w:sz w:val="24"/>
          <w:szCs w:val="24"/>
        </w:rPr>
        <w:t xml:space="preserve"> the trade distorting domestic support</w:t>
      </w:r>
      <w:r w:rsidR="008D5D48" w:rsidRPr="002552EB">
        <w:rPr>
          <w:rFonts w:ascii="Times New Roman" w:eastAsia="Times New Roman" w:hAnsi="Times New Roman" w:cs="Times New Roman"/>
          <w:color w:val="000000"/>
          <w:sz w:val="24"/>
          <w:szCs w:val="24"/>
        </w:rPr>
        <w:t xml:space="preserve"> </w:t>
      </w:r>
      <w:r w:rsidR="008D5D48" w:rsidRPr="003279E6">
        <w:rPr>
          <w:rFonts w:ascii="Times New Roman" w:eastAsia="Times New Roman" w:hAnsi="Times New Roman" w:cs="Times New Roman"/>
          <w:color w:val="000000"/>
          <w:sz w:val="24"/>
          <w:szCs w:val="24"/>
        </w:rPr>
        <w:t>entitlement of all members</w:t>
      </w:r>
      <w:r w:rsidR="00E2197C" w:rsidRPr="003279E6">
        <w:rPr>
          <w:rFonts w:ascii="Times New Roman" w:eastAsia="Times New Roman" w:hAnsi="Times New Roman" w:cs="Times New Roman"/>
          <w:color w:val="000000"/>
          <w:sz w:val="24"/>
          <w:szCs w:val="24"/>
        </w:rPr>
        <w:t xml:space="preserve">, </w:t>
      </w:r>
      <w:r w:rsidR="008D5D48" w:rsidRPr="003279E6">
        <w:rPr>
          <w:rFonts w:ascii="Times New Roman" w:eastAsia="Times New Roman" w:hAnsi="Times New Roman" w:cs="Times New Roman"/>
          <w:color w:val="000000"/>
          <w:sz w:val="24"/>
          <w:szCs w:val="24"/>
        </w:rPr>
        <w:t>especially</w:t>
      </w:r>
      <w:r w:rsidR="008D5D48" w:rsidRPr="002552EB">
        <w:rPr>
          <w:rFonts w:ascii="Times New Roman" w:eastAsia="Times New Roman" w:hAnsi="Times New Roman" w:cs="Times New Roman"/>
          <w:color w:val="000000"/>
          <w:sz w:val="24"/>
          <w:szCs w:val="24"/>
        </w:rPr>
        <w:t xml:space="preserve"> </w:t>
      </w:r>
      <w:r w:rsidR="00E2197C" w:rsidRPr="002552EB">
        <w:rPr>
          <w:rFonts w:ascii="Times New Roman" w:eastAsia="Times New Roman" w:hAnsi="Times New Roman" w:cs="Times New Roman"/>
          <w:color w:val="000000"/>
          <w:sz w:val="24"/>
          <w:szCs w:val="24"/>
        </w:rPr>
        <w:t>the</w:t>
      </w:r>
      <w:r w:rsidR="008D5D48" w:rsidRPr="002552EB">
        <w:rPr>
          <w:rFonts w:ascii="Times New Roman" w:eastAsia="Times New Roman" w:hAnsi="Times New Roman" w:cs="Times New Roman"/>
          <w:color w:val="000000"/>
          <w:sz w:val="24"/>
          <w:szCs w:val="24"/>
        </w:rPr>
        <w:t xml:space="preserve"> developing countries</w:t>
      </w:r>
      <w:r w:rsidR="00E2197C" w:rsidRPr="002552EB">
        <w:rPr>
          <w:rFonts w:ascii="Times New Roman" w:eastAsia="Times New Roman" w:hAnsi="Times New Roman" w:cs="Times New Roman"/>
          <w:color w:val="000000"/>
          <w:sz w:val="24"/>
          <w:szCs w:val="24"/>
        </w:rPr>
        <w:t>,</w:t>
      </w:r>
      <w:r w:rsidR="00BA77B3" w:rsidRPr="002552EB">
        <w:rPr>
          <w:rFonts w:ascii="Times New Roman" w:eastAsia="Times New Roman" w:hAnsi="Times New Roman" w:cs="Times New Roman"/>
          <w:color w:val="000000"/>
          <w:sz w:val="24"/>
          <w:szCs w:val="24"/>
        </w:rPr>
        <w:t xml:space="preserve"> </w:t>
      </w:r>
      <w:r w:rsidR="002508A2">
        <w:rPr>
          <w:rFonts w:ascii="Times New Roman" w:eastAsia="Times New Roman" w:hAnsi="Times New Roman" w:cs="Times New Roman"/>
          <w:color w:val="000000"/>
          <w:sz w:val="24"/>
          <w:szCs w:val="24"/>
        </w:rPr>
        <w:t>has</w:t>
      </w:r>
      <w:r w:rsidR="00BA77B3" w:rsidRPr="002552EB">
        <w:rPr>
          <w:rFonts w:ascii="Times New Roman" w:eastAsia="Times New Roman" w:hAnsi="Times New Roman" w:cs="Times New Roman"/>
          <w:color w:val="000000"/>
          <w:sz w:val="24"/>
          <w:szCs w:val="24"/>
        </w:rPr>
        <w:t xml:space="preserve"> increased substantially from US$ 322 billion to US$ 740 billion between 2001 </w:t>
      </w:r>
      <w:r w:rsidR="00E2197C" w:rsidRPr="002552EB">
        <w:rPr>
          <w:rFonts w:ascii="Times New Roman" w:eastAsia="Times New Roman" w:hAnsi="Times New Roman" w:cs="Times New Roman"/>
          <w:color w:val="000000"/>
          <w:sz w:val="24"/>
          <w:szCs w:val="24"/>
        </w:rPr>
        <w:t>and</w:t>
      </w:r>
      <w:r w:rsidR="00BA77B3" w:rsidRPr="002552EB">
        <w:rPr>
          <w:rFonts w:ascii="Times New Roman" w:eastAsia="Times New Roman" w:hAnsi="Times New Roman" w:cs="Times New Roman"/>
          <w:color w:val="000000"/>
          <w:sz w:val="24"/>
          <w:szCs w:val="24"/>
        </w:rPr>
        <w:t xml:space="preserve"> 2016</w:t>
      </w:r>
      <w:r w:rsidR="00E2197C" w:rsidRPr="002552EB">
        <w:rPr>
          <w:rFonts w:ascii="Times New Roman" w:eastAsia="Times New Roman" w:hAnsi="Times New Roman" w:cs="Times New Roman"/>
          <w:color w:val="000000"/>
          <w:sz w:val="24"/>
          <w:szCs w:val="24"/>
        </w:rPr>
        <w:t>,</w:t>
      </w:r>
      <w:r w:rsidR="00BA77B3" w:rsidRPr="002552EB">
        <w:rPr>
          <w:rFonts w:ascii="Times New Roman" w:eastAsia="Times New Roman" w:hAnsi="Times New Roman" w:cs="Times New Roman"/>
          <w:color w:val="000000"/>
          <w:sz w:val="24"/>
          <w:szCs w:val="24"/>
        </w:rPr>
        <w:t xml:space="preserve"> and is projected to be US$ 2 trillion by 2030</w:t>
      </w:r>
      <w:r w:rsidR="00B64323" w:rsidRPr="002552EB">
        <w:rPr>
          <w:rFonts w:ascii="Times New Roman" w:eastAsia="Times New Roman" w:hAnsi="Times New Roman" w:cs="Times New Roman"/>
          <w:color w:val="000000"/>
          <w:sz w:val="24"/>
          <w:szCs w:val="24"/>
        </w:rPr>
        <w:t xml:space="preserve"> (WTO, 2019a)</w:t>
      </w:r>
      <w:r w:rsidR="00D01ECA" w:rsidRPr="002552EB">
        <w:rPr>
          <w:rFonts w:ascii="Times New Roman" w:eastAsia="Times New Roman" w:hAnsi="Times New Roman" w:cs="Times New Roman"/>
          <w:color w:val="000000"/>
          <w:sz w:val="24"/>
          <w:szCs w:val="24"/>
        </w:rPr>
        <w:t xml:space="preserve">. </w:t>
      </w:r>
      <w:r w:rsidR="00ED0737" w:rsidRPr="002552EB">
        <w:rPr>
          <w:rFonts w:ascii="Times New Roman" w:eastAsia="Times New Roman" w:hAnsi="Times New Roman" w:cs="Times New Roman"/>
          <w:color w:val="000000"/>
          <w:sz w:val="24"/>
          <w:szCs w:val="24"/>
        </w:rPr>
        <w:t xml:space="preserve">In addition, </w:t>
      </w:r>
      <w:r w:rsidR="00D01ECA" w:rsidRPr="002552EB">
        <w:rPr>
          <w:rFonts w:ascii="Times New Roman" w:eastAsia="Times New Roman" w:hAnsi="Times New Roman" w:cs="Times New Roman"/>
          <w:color w:val="000000"/>
          <w:sz w:val="24"/>
          <w:szCs w:val="24"/>
        </w:rPr>
        <w:t>Canada has pointed out that the top 10</w:t>
      </w:r>
      <w:r w:rsidR="00985EBD" w:rsidRPr="002552EB">
        <w:rPr>
          <w:rFonts w:ascii="Times New Roman" w:eastAsia="Times New Roman" w:hAnsi="Times New Roman" w:cs="Times New Roman"/>
          <w:color w:val="000000"/>
          <w:sz w:val="24"/>
          <w:szCs w:val="24"/>
        </w:rPr>
        <w:t xml:space="preserve"> countries in</w:t>
      </w:r>
      <w:r w:rsidR="00D01ECA" w:rsidRPr="002552EB">
        <w:rPr>
          <w:rFonts w:ascii="Times New Roman" w:eastAsia="Times New Roman" w:hAnsi="Times New Roman" w:cs="Times New Roman"/>
          <w:color w:val="000000"/>
          <w:sz w:val="24"/>
          <w:szCs w:val="24"/>
        </w:rPr>
        <w:t xml:space="preserve"> agriculture trade accounted for 78.6 percent of TTDS entitlement</w:t>
      </w:r>
      <w:r w:rsidR="00277C70" w:rsidRPr="002552EB">
        <w:rPr>
          <w:rFonts w:ascii="Times New Roman" w:eastAsia="Times New Roman" w:hAnsi="Times New Roman" w:cs="Times New Roman"/>
          <w:color w:val="000000"/>
          <w:sz w:val="24"/>
          <w:szCs w:val="24"/>
        </w:rPr>
        <w:t xml:space="preserve">, wherein </w:t>
      </w:r>
      <w:r w:rsidR="00D01ECA" w:rsidRPr="002552EB">
        <w:rPr>
          <w:rFonts w:ascii="Times New Roman" w:eastAsia="Times New Roman" w:hAnsi="Times New Roman" w:cs="Times New Roman"/>
          <w:color w:val="000000"/>
          <w:sz w:val="24"/>
          <w:szCs w:val="24"/>
        </w:rPr>
        <w:t>China, th</w:t>
      </w:r>
      <w:r w:rsidR="00277C70" w:rsidRPr="002552EB">
        <w:rPr>
          <w:rFonts w:ascii="Times New Roman" w:eastAsia="Times New Roman" w:hAnsi="Times New Roman" w:cs="Times New Roman"/>
          <w:color w:val="000000"/>
          <w:sz w:val="24"/>
          <w:szCs w:val="24"/>
        </w:rPr>
        <w:t>e EU</w:t>
      </w:r>
      <w:r w:rsidR="00D01ECA" w:rsidRPr="002552EB">
        <w:rPr>
          <w:rFonts w:ascii="Times New Roman" w:eastAsia="Times New Roman" w:hAnsi="Times New Roman" w:cs="Times New Roman"/>
          <w:color w:val="000000"/>
          <w:sz w:val="24"/>
          <w:szCs w:val="24"/>
        </w:rPr>
        <w:t>, and India topped the list of countries with the largest entitlement in 2018</w:t>
      </w:r>
      <w:r w:rsidR="00B64323" w:rsidRPr="002552EB">
        <w:rPr>
          <w:rFonts w:ascii="Times New Roman" w:eastAsia="Times New Roman" w:hAnsi="Times New Roman" w:cs="Times New Roman"/>
          <w:color w:val="000000"/>
          <w:sz w:val="24"/>
          <w:szCs w:val="24"/>
        </w:rPr>
        <w:t xml:space="preserve"> (WTO, 2023</w:t>
      </w:r>
      <w:r w:rsidR="00CF251A" w:rsidRPr="002552EB">
        <w:rPr>
          <w:rFonts w:ascii="Times New Roman" w:eastAsia="Times New Roman" w:hAnsi="Times New Roman" w:cs="Times New Roman"/>
          <w:color w:val="000000"/>
          <w:sz w:val="24"/>
          <w:szCs w:val="24"/>
        </w:rPr>
        <w:t>a</w:t>
      </w:r>
      <w:r w:rsidR="00B64323" w:rsidRPr="002552EB">
        <w:rPr>
          <w:rFonts w:ascii="Times New Roman" w:eastAsia="Times New Roman" w:hAnsi="Times New Roman" w:cs="Times New Roman"/>
          <w:color w:val="000000"/>
          <w:sz w:val="24"/>
          <w:szCs w:val="24"/>
        </w:rPr>
        <w:t>)</w:t>
      </w:r>
      <w:r w:rsidR="00D01ECA" w:rsidRPr="002552EB">
        <w:rPr>
          <w:rFonts w:ascii="Times New Roman" w:eastAsia="Times New Roman" w:hAnsi="Times New Roman" w:cs="Times New Roman"/>
          <w:color w:val="000000"/>
          <w:sz w:val="24"/>
          <w:szCs w:val="24"/>
        </w:rPr>
        <w:t xml:space="preserve">. There is an apprehension that these ballooning </w:t>
      </w:r>
      <w:r w:rsidR="00926FD9" w:rsidRPr="002552EB">
        <w:rPr>
          <w:rFonts w:ascii="Times New Roman" w:eastAsia="Times New Roman" w:hAnsi="Times New Roman" w:cs="Times New Roman"/>
          <w:color w:val="000000"/>
          <w:sz w:val="24"/>
          <w:szCs w:val="24"/>
        </w:rPr>
        <w:t xml:space="preserve">subsidy </w:t>
      </w:r>
      <w:r w:rsidR="00D01ECA" w:rsidRPr="002552EB">
        <w:rPr>
          <w:rFonts w:ascii="Times New Roman" w:eastAsia="Times New Roman" w:hAnsi="Times New Roman" w:cs="Times New Roman"/>
          <w:color w:val="000000"/>
          <w:sz w:val="24"/>
          <w:szCs w:val="24"/>
        </w:rPr>
        <w:t xml:space="preserve">entitlements would distort </w:t>
      </w:r>
      <w:r w:rsidR="002508A2">
        <w:rPr>
          <w:rFonts w:ascii="Times New Roman" w:eastAsia="Times New Roman" w:hAnsi="Times New Roman" w:cs="Times New Roman"/>
          <w:color w:val="000000"/>
          <w:sz w:val="24"/>
          <w:szCs w:val="24"/>
        </w:rPr>
        <w:t xml:space="preserve">the </w:t>
      </w:r>
      <w:r w:rsidR="00D01ECA" w:rsidRPr="002552EB">
        <w:rPr>
          <w:rFonts w:ascii="Times New Roman" w:eastAsia="Times New Roman" w:hAnsi="Times New Roman" w:cs="Times New Roman"/>
          <w:color w:val="000000"/>
          <w:sz w:val="24"/>
          <w:szCs w:val="24"/>
        </w:rPr>
        <w:t>agriculture market by amplifying uncertainty</w:t>
      </w:r>
      <w:r w:rsidR="00BB7FA4" w:rsidRPr="002552EB">
        <w:rPr>
          <w:rFonts w:ascii="Times New Roman" w:eastAsia="Times New Roman" w:hAnsi="Times New Roman" w:cs="Times New Roman"/>
          <w:color w:val="000000"/>
          <w:sz w:val="24"/>
          <w:szCs w:val="24"/>
        </w:rPr>
        <w:t xml:space="preserve">, </w:t>
      </w:r>
      <w:r w:rsidR="00D01ECA" w:rsidRPr="002552EB">
        <w:rPr>
          <w:rFonts w:ascii="Times New Roman" w:eastAsia="Times New Roman" w:hAnsi="Times New Roman" w:cs="Times New Roman"/>
          <w:color w:val="000000"/>
          <w:sz w:val="24"/>
          <w:szCs w:val="24"/>
        </w:rPr>
        <w:t xml:space="preserve">instability, </w:t>
      </w:r>
      <w:r w:rsidR="00E17644" w:rsidRPr="002552EB">
        <w:rPr>
          <w:rFonts w:ascii="Times New Roman" w:eastAsia="Times New Roman" w:hAnsi="Times New Roman" w:cs="Times New Roman"/>
          <w:color w:val="000000"/>
          <w:sz w:val="24"/>
          <w:szCs w:val="24"/>
        </w:rPr>
        <w:t>and</w:t>
      </w:r>
      <w:r w:rsidR="00D01ECA" w:rsidRPr="002552EB">
        <w:rPr>
          <w:rFonts w:ascii="Times New Roman" w:eastAsia="Times New Roman" w:hAnsi="Times New Roman" w:cs="Times New Roman"/>
          <w:color w:val="000000"/>
          <w:sz w:val="24"/>
          <w:szCs w:val="24"/>
        </w:rPr>
        <w:t xml:space="preserve"> undermin</w:t>
      </w:r>
      <w:r w:rsidR="002B6B48" w:rsidRPr="002552EB">
        <w:rPr>
          <w:rFonts w:ascii="Times New Roman" w:eastAsia="Times New Roman" w:hAnsi="Times New Roman" w:cs="Times New Roman"/>
          <w:color w:val="000000"/>
          <w:sz w:val="24"/>
          <w:szCs w:val="24"/>
        </w:rPr>
        <w:t>e</w:t>
      </w:r>
      <w:r w:rsidR="00D01ECA" w:rsidRPr="002552EB">
        <w:rPr>
          <w:rFonts w:ascii="Times New Roman" w:eastAsia="Times New Roman" w:hAnsi="Times New Roman" w:cs="Times New Roman"/>
          <w:color w:val="000000"/>
          <w:sz w:val="24"/>
          <w:szCs w:val="24"/>
        </w:rPr>
        <w:t xml:space="preserve"> sustainability</w:t>
      </w:r>
      <w:r w:rsidR="00BB7FA4" w:rsidRPr="002552EB">
        <w:rPr>
          <w:rFonts w:ascii="Times New Roman" w:eastAsia="Times New Roman" w:hAnsi="Times New Roman" w:cs="Times New Roman"/>
          <w:color w:val="000000"/>
          <w:sz w:val="24"/>
          <w:szCs w:val="24"/>
        </w:rPr>
        <w:t xml:space="preserve"> and climate goals</w:t>
      </w:r>
      <w:r w:rsidR="00D01ECA" w:rsidRPr="002552EB">
        <w:rPr>
          <w:rFonts w:ascii="Times New Roman" w:eastAsia="Times New Roman" w:hAnsi="Times New Roman" w:cs="Times New Roman"/>
          <w:color w:val="000000"/>
          <w:sz w:val="24"/>
          <w:szCs w:val="24"/>
        </w:rPr>
        <w:t>.</w:t>
      </w:r>
      <w:r w:rsidR="00C14FE8" w:rsidRPr="002552EB">
        <w:rPr>
          <w:rFonts w:ascii="Times New Roman" w:eastAsia="Times New Roman" w:hAnsi="Times New Roman" w:cs="Times New Roman"/>
          <w:color w:val="000000"/>
          <w:sz w:val="24"/>
          <w:szCs w:val="24"/>
        </w:rPr>
        <w:t xml:space="preserve"> </w:t>
      </w:r>
      <w:r w:rsidR="002150E8" w:rsidRPr="002552EB">
        <w:rPr>
          <w:rFonts w:ascii="Times New Roman" w:eastAsia="Times New Roman" w:hAnsi="Times New Roman" w:cs="Times New Roman"/>
          <w:color w:val="000000"/>
          <w:sz w:val="24"/>
          <w:szCs w:val="24"/>
        </w:rPr>
        <w:t xml:space="preserve">In the run up </w:t>
      </w:r>
      <w:r w:rsidR="00BD6821" w:rsidRPr="002552EB">
        <w:rPr>
          <w:rFonts w:ascii="Times New Roman" w:eastAsia="Times New Roman" w:hAnsi="Times New Roman" w:cs="Times New Roman"/>
          <w:color w:val="000000"/>
          <w:sz w:val="24"/>
          <w:szCs w:val="24"/>
        </w:rPr>
        <w:t xml:space="preserve">to </w:t>
      </w:r>
      <w:r w:rsidR="002508A2">
        <w:rPr>
          <w:rFonts w:ascii="Times New Roman" w:eastAsia="Times New Roman" w:hAnsi="Times New Roman" w:cs="Times New Roman"/>
          <w:color w:val="000000"/>
          <w:sz w:val="24"/>
          <w:szCs w:val="24"/>
        </w:rPr>
        <w:t xml:space="preserve">the </w:t>
      </w:r>
      <w:r w:rsidR="00BB7FA4" w:rsidRPr="002552EB">
        <w:rPr>
          <w:rFonts w:ascii="Times New Roman" w:eastAsia="Times New Roman" w:hAnsi="Times New Roman" w:cs="Times New Roman"/>
          <w:color w:val="000000"/>
          <w:sz w:val="24"/>
          <w:szCs w:val="24"/>
        </w:rPr>
        <w:t>12</w:t>
      </w:r>
      <w:r w:rsidR="00BB7FA4" w:rsidRPr="002552EB">
        <w:rPr>
          <w:rFonts w:ascii="Times New Roman" w:eastAsia="Times New Roman" w:hAnsi="Times New Roman" w:cs="Times New Roman"/>
          <w:color w:val="000000"/>
          <w:sz w:val="24"/>
          <w:szCs w:val="24"/>
          <w:vertAlign w:val="superscript"/>
        </w:rPr>
        <w:t>th</w:t>
      </w:r>
      <w:r w:rsidR="00BB7FA4" w:rsidRPr="002552EB">
        <w:rPr>
          <w:rFonts w:ascii="Times New Roman" w:eastAsia="Times New Roman" w:hAnsi="Times New Roman" w:cs="Times New Roman"/>
          <w:color w:val="000000"/>
          <w:sz w:val="24"/>
          <w:szCs w:val="24"/>
        </w:rPr>
        <w:t xml:space="preserve"> Ministerial Conference</w:t>
      </w:r>
      <w:r w:rsidR="00BB7FA4" w:rsidRPr="002552EB">
        <w:rPr>
          <w:rStyle w:val="FootnoteReference"/>
          <w:rFonts w:ascii="Times New Roman" w:eastAsia="Times New Roman" w:hAnsi="Times New Roman" w:cs="Times New Roman"/>
          <w:color w:val="000000"/>
          <w:sz w:val="24"/>
          <w:szCs w:val="24"/>
        </w:rPr>
        <w:footnoteReference w:id="4"/>
      </w:r>
      <w:r w:rsidR="00BB7FA4" w:rsidRPr="002552EB">
        <w:rPr>
          <w:rFonts w:ascii="Times New Roman" w:eastAsia="Times New Roman" w:hAnsi="Times New Roman" w:cs="Times New Roman"/>
          <w:color w:val="000000"/>
          <w:sz w:val="24"/>
          <w:szCs w:val="24"/>
        </w:rPr>
        <w:t xml:space="preserve"> (</w:t>
      </w:r>
      <w:r w:rsidR="00BD6821" w:rsidRPr="002552EB">
        <w:rPr>
          <w:rFonts w:ascii="Times New Roman" w:eastAsia="Times New Roman" w:hAnsi="Times New Roman" w:cs="Times New Roman"/>
          <w:color w:val="000000"/>
          <w:sz w:val="24"/>
          <w:szCs w:val="24"/>
        </w:rPr>
        <w:t>MC12</w:t>
      </w:r>
      <w:r w:rsidR="00BB7FA4" w:rsidRPr="002552EB">
        <w:rPr>
          <w:rFonts w:ascii="Times New Roman" w:eastAsia="Times New Roman" w:hAnsi="Times New Roman" w:cs="Times New Roman"/>
          <w:color w:val="000000"/>
          <w:sz w:val="24"/>
          <w:szCs w:val="24"/>
        </w:rPr>
        <w:t>)</w:t>
      </w:r>
      <w:r w:rsidR="009331F0" w:rsidRPr="002552EB">
        <w:rPr>
          <w:rFonts w:ascii="Times New Roman" w:eastAsia="Times New Roman" w:hAnsi="Times New Roman" w:cs="Times New Roman"/>
          <w:color w:val="000000"/>
          <w:sz w:val="24"/>
          <w:szCs w:val="24"/>
        </w:rPr>
        <w:t xml:space="preserve"> held in 2022</w:t>
      </w:r>
      <w:r w:rsidR="00BD6821" w:rsidRPr="002552EB">
        <w:rPr>
          <w:rFonts w:ascii="Times New Roman" w:eastAsia="Times New Roman" w:hAnsi="Times New Roman" w:cs="Times New Roman"/>
          <w:color w:val="000000"/>
          <w:sz w:val="24"/>
          <w:szCs w:val="24"/>
        </w:rPr>
        <w:t>, the Chair</w:t>
      </w:r>
      <w:r w:rsidR="00310440" w:rsidRPr="002552EB">
        <w:rPr>
          <w:rFonts w:ascii="Times New Roman" w:eastAsia="Times New Roman" w:hAnsi="Times New Roman" w:cs="Times New Roman"/>
          <w:color w:val="000000"/>
          <w:sz w:val="24"/>
          <w:szCs w:val="24"/>
        </w:rPr>
        <w:t>person</w:t>
      </w:r>
      <w:r w:rsidR="00BD6821" w:rsidRPr="002552EB">
        <w:rPr>
          <w:rFonts w:ascii="Times New Roman" w:eastAsia="Times New Roman" w:hAnsi="Times New Roman" w:cs="Times New Roman"/>
          <w:color w:val="000000"/>
          <w:sz w:val="24"/>
          <w:szCs w:val="24"/>
        </w:rPr>
        <w:t xml:space="preserve"> of the </w:t>
      </w:r>
      <w:proofErr w:type="spellStart"/>
      <w:r w:rsidR="00BD6821" w:rsidRPr="002552EB">
        <w:rPr>
          <w:rFonts w:ascii="Times New Roman" w:eastAsia="Times New Roman" w:hAnsi="Times New Roman" w:cs="Times New Roman"/>
          <w:color w:val="000000"/>
          <w:sz w:val="24"/>
          <w:szCs w:val="24"/>
        </w:rPr>
        <w:t>CoASS</w:t>
      </w:r>
      <w:proofErr w:type="spellEnd"/>
      <w:r w:rsidR="00BD6821" w:rsidRPr="002552EB">
        <w:rPr>
          <w:rFonts w:ascii="Times New Roman" w:eastAsia="Times New Roman" w:hAnsi="Times New Roman" w:cs="Times New Roman"/>
          <w:color w:val="000000"/>
          <w:sz w:val="24"/>
          <w:szCs w:val="24"/>
        </w:rPr>
        <w:t xml:space="preserve"> published a </w:t>
      </w:r>
      <w:r w:rsidR="009512EF" w:rsidRPr="002552EB">
        <w:rPr>
          <w:rFonts w:ascii="Times New Roman" w:eastAsia="Times New Roman" w:hAnsi="Times New Roman" w:cs="Times New Roman"/>
          <w:color w:val="000000"/>
          <w:sz w:val="24"/>
          <w:szCs w:val="24"/>
        </w:rPr>
        <w:t>draft text (Chair’ text) which echoed concerns</w:t>
      </w:r>
      <w:r w:rsidR="009331F0" w:rsidRPr="002552EB">
        <w:rPr>
          <w:rFonts w:ascii="Times New Roman" w:eastAsia="Times New Roman" w:hAnsi="Times New Roman" w:cs="Times New Roman"/>
          <w:color w:val="000000"/>
          <w:sz w:val="24"/>
          <w:szCs w:val="24"/>
        </w:rPr>
        <w:t xml:space="preserve"> similar to those raised by the Cairns group,</w:t>
      </w:r>
      <w:r w:rsidR="009512EF" w:rsidRPr="002552EB">
        <w:rPr>
          <w:rFonts w:ascii="Times New Roman" w:eastAsia="Times New Roman" w:hAnsi="Times New Roman" w:cs="Times New Roman"/>
          <w:color w:val="000000"/>
          <w:sz w:val="24"/>
          <w:szCs w:val="24"/>
        </w:rPr>
        <w:t xml:space="preserve"> and </w:t>
      </w:r>
      <w:r w:rsidR="002150E8" w:rsidRPr="002552EB">
        <w:rPr>
          <w:rFonts w:ascii="Times New Roman" w:eastAsia="Times New Roman" w:hAnsi="Times New Roman" w:cs="Times New Roman"/>
          <w:color w:val="000000"/>
          <w:sz w:val="24"/>
          <w:szCs w:val="24"/>
        </w:rPr>
        <w:t xml:space="preserve">proposed to cap and reduce the sum of current global trade and production distorting </w:t>
      </w:r>
      <w:r w:rsidR="002150E8" w:rsidRPr="002552EB">
        <w:rPr>
          <w:rFonts w:ascii="Times New Roman" w:eastAsia="Times New Roman" w:hAnsi="Times New Roman" w:cs="Times New Roman"/>
          <w:color w:val="000000"/>
          <w:sz w:val="24"/>
          <w:szCs w:val="24"/>
        </w:rPr>
        <w:lastRenderedPageBreak/>
        <w:t>domestic support entitlements by at least half by 2030 (WTO, 2021</w:t>
      </w:r>
      <w:r w:rsidR="007673C8" w:rsidRPr="002552EB">
        <w:rPr>
          <w:rFonts w:ascii="Times New Roman" w:eastAsia="Times New Roman" w:hAnsi="Times New Roman" w:cs="Times New Roman"/>
          <w:color w:val="000000"/>
          <w:sz w:val="24"/>
          <w:szCs w:val="24"/>
        </w:rPr>
        <w:t>b</w:t>
      </w:r>
      <w:r w:rsidR="009331F0" w:rsidRPr="002552EB">
        <w:rPr>
          <w:rFonts w:ascii="Times New Roman" w:eastAsia="Times New Roman" w:hAnsi="Times New Roman" w:cs="Times New Roman"/>
          <w:color w:val="000000"/>
          <w:sz w:val="24"/>
          <w:szCs w:val="24"/>
        </w:rPr>
        <w:t>; 2021c</w:t>
      </w:r>
      <w:r w:rsidR="002150E8" w:rsidRPr="002552EB">
        <w:rPr>
          <w:rFonts w:ascii="Times New Roman" w:eastAsia="Times New Roman" w:hAnsi="Times New Roman" w:cs="Times New Roman"/>
          <w:color w:val="000000"/>
          <w:sz w:val="24"/>
          <w:szCs w:val="24"/>
        </w:rPr>
        <w:t>).</w:t>
      </w:r>
      <w:r w:rsidR="00DA77E1" w:rsidRPr="002552EB">
        <w:rPr>
          <w:rFonts w:ascii="Times New Roman" w:eastAsia="Times New Roman" w:hAnsi="Times New Roman" w:cs="Times New Roman"/>
          <w:color w:val="000000"/>
          <w:sz w:val="24"/>
          <w:szCs w:val="24"/>
        </w:rPr>
        <w:t xml:space="preserve"> </w:t>
      </w:r>
      <w:r w:rsidR="002508A2">
        <w:rPr>
          <w:rFonts w:ascii="Times New Roman" w:eastAsia="Times New Roman" w:hAnsi="Times New Roman" w:cs="Times New Roman"/>
          <w:color w:val="000000"/>
          <w:sz w:val="24"/>
          <w:szCs w:val="24"/>
        </w:rPr>
        <w:t>A similar</w:t>
      </w:r>
      <w:r w:rsidR="00316E20" w:rsidRPr="002552EB">
        <w:rPr>
          <w:rFonts w:ascii="Times New Roman" w:eastAsia="Times New Roman" w:hAnsi="Times New Roman" w:cs="Times New Roman"/>
          <w:color w:val="000000"/>
          <w:sz w:val="24"/>
          <w:szCs w:val="24"/>
        </w:rPr>
        <w:t xml:space="preserve"> approach to discipline the trade-distorting support has been proposed by Costa Rica in 2021 and 2023 (WTO, 2021</w:t>
      </w:r>
      <w:r w:rsidR="007673C8" w:rsidRPr="002552EB">
        <w:rPr>
          <w:rFonts w:ascii="Times New Roman" w:eastAsia="Times New Roman" w:hAnsi="Times New Roman" w:cs="Times New Roman"/>
          <w:color w:val="000000"/>
          <w:sz w:val="24"/>
          <w:szCs w:val="24"/>
        </w:rPr>
        <w:t>a</w:t>
      </w:r>
      <w:r w:rsidR="00316E20" w:rsidRPr="002552EB">
        <w:rPr>
          <w:rFonts w:ascii="Times New Roman" w:eastAsia="Times New Roman" w:hAnsi="Times New Roman" w:cs="Times New Roman"/>
          <w:color w:val="000000"/>
          <w:sz w:val="24"/>
          <w:szCs w:val="24"/>
        </w:rPr>
        <w:t xml:space="preserve">; 2023c) which </w:t>
      </w:r>
      <w:r w:rsidR="00F17A04">
        <w:rPr>
          <w:rFonts w:ascii="Times New Roman" w:eastAsia="Times New Roman" w:hAnsi="Times New Roman" w:cs="Times New Roman"/>
          <w:color w:val="000000"/>
          <w:sz w:val="24"/>
          <w:szCs w:val="24"/>
        </w:rPr>
        <w:t>is</w:t>
      </w:r>
      <w:r w:rsidR="00F17A04" w:rsidRPr="002552EB">
        <w:rPr>
          <w:rFonts w:ascii="Times New Roman" w:eastAsia="Times New Roman" w:hAnsi="Times New Roman" w:cs="Times New Roman"/>
          <w:color w:val="000000"/>
          <w:sz w:val="24"/>
          <w:szCs w:val="24"/>
        </w:rPr>
        <w:t xml:space="preserve"> </w:t>
      </w:r>
      <w:r w:rsidR="00316E20" w:rsidRPr="002552EB">
        <w:rPr>
          <w:rFonts w:ascii="Times New Roman" w:eastAsia="Times New Roman" w:hAnsi="Times New Roman" w:cs="Times New Roman"/>
          <w:color w:val="000000"/>
          <w:sz w:val="24"/>
          <w:szCs w:val="24"/>
        </w:rPr>
        <w:t xml:space="preserve">currently under negotiations.  </w:t>
      </w:r>
    </w:p>
    <w:p w14:paraId="3F4BFDA9" w14:textId="77777777" w:rsidR="00FE17FE" w:rsidRPr="002552EB" w:rsidRDefault="00FE17FE" w:rsidP="002552EB">
      <w:pPr>
        <w:spacing w:after="0" w:line="360" w:lineRule="auto"/>
        <w:jc w:val="both"/>
        <w:rPr>
          <w:rFonts w:ascii="Times New Roman" w:eastAsia="Times New Roman" w:hAnsi="Times New Roman" w:cs="Times New Roman"/>
          <w:color w:val="000000"/>
          <w:sz w:val="24"/>
          <w:szCs w:val="24"/>
        </w:rPr>
      </w:pPr>
    </w:p>
    <w:p w14:paraId="7DC89C11" w14:textId="2AF9BE90" w:rsidR="00FF63F2" w:rsidRPr="002552EB" w:rsidRDefault="00FA6DD0" w:rsidP="002552EB">
      <w:pPr>
        <w:spacing w:after="0" w:line="360" w:lineRule="auto"/>
        <w:jc w:val="both"/>
        <w:rPr>
          <w:rStyle w:val="ui-provider"/>
          <w:sz w:val="24"/>
          <w:szCs w:val="24"/>
        </w:rPr>
      </w:pPr>
      <w:r w:rsidRPr="002552EB">
        <w:rPr>
          <w:rFonts w:ascii="Times New Roman" w:eastAsia="Times New Roman" w:hAnsi="Times New Roman" w:cs="Times New Roman"/>
          <w:color w:val="000000"/>
          <w:sz w:val="24"/>
          <w:szCs w:val="24"/>
        </w:rPr>
        <w:t xml:space="preserve">In simple words, the </w:t>
      </w:r>
      <w:r w:rsidR="00F17A04">
        <w:rPr>
          <w:rFonts w:ascii="Times New Roman" w:eastAsia="Times New Roman" w:hAnsi="Times New Roman" w:cs="Times New Roman"/>
          <w:color w:val="000000"/>
          <w:sz w:val="24"/>
          <w:szCs w:val="24"/>
        </w:rPr>
        <w:t xml:space="preserve">members of </w:t>
      </w:r>
      <w:r w:rsidRPr="002552EB">
        <w:rPr>
          <w:rFonts w:ascii="Times New Roman" w:eastAsia="Times New Roman" w:hAnsi="Times New Roman" w:cs="Times New Roman"/>
          <w:color w:val="000000"/>
          <w:sz w:val="24"/>
          <w:szCs w:val="24"/>
        </w:rPr>
        <w:t xml:space="preserve">Cairns Group and the Chair text have suggested the following steps to discipline agricultural subsidies for sustainable agriculture. </w:t>
      </w:r>
      <w:r w:rsidR="00F42D5C" w:rsidRPr="002552EB">
        <w:rPr>
          <w:rFonts w:ascii="Times New Roman" w:eastAsia="Times New Roman" w:hAnsi="Times New Roman" w:cs="Times New Roman"/>
          <w:color w:val="000000"/>
          <w:sz w:val="24"/>
          <w:szCs w:val="24"/>
        </w:rPr>
        <w:t>First, the</w:t>
      </w:r>
      <w:r w:rsidR="00987ECE" w:rsidRPr="002552EB">
        <w:rPr>
          <w:rFonts w:ascii="Times New Roman" w:eastAsia="Times New Roman" w:hAnsi="Times New Roman" w:cs="Times New Roman"/>
          <w:color w:val="000000"/>
          <w:sz w:val="24"/>
          <w:szCs w:val="24"/>
        </w:rPr>
        <w:t xml:space="preserve"> global</w:t>
      </w:r>
      <w:r w:rsidR="00F42D5C" w:rsidRPr="002552EB">
        <w:rPr>
          <w:rFonts w:ascii="Times New Roman" w:eastAsia="Times New Roman" w:hAnsi="Times New Roman" w:cs="Times New Roman"/>
          <w:color w:val="000000"/>
          <w:sz w:val="24"/>
          <w:szCs w:val="24"/>
        </w:rPr>
        <w:t xml:space="preserve"> TTDS, which is the sum of trade</w:t>
      </w:r>
      <w:r w:rsidR="00321F88" w:rsidRPr="002552EB">
        <w:rPr>
          <w:rFonts w:ascii="Times New Roman" w:eastAsia="Times New Roman" w:hAnsi="Times New Roman" w:cs="Times New Roman"/>
          <w:color w:val="000000"/>
          <w:sz w:val="24"/>
          <w:szCs w:val="24"/>
        </w:rPr>
        <w:t>-</w:t>
      </w:r>
      <w:r w:rsidR="00F42D5C" w:rsidRPr="002552EB">
        <w:rPr>
          <w:rFonts w:ascii="Times New Roman" w:eastAsia="Times New Roman" w:hAnsi="Times New Roman" w:cs="Times New Roman"/>
          <w:color w:val="000000"/>
          <w:sz w:val="24"/>
          <w:szCs w:val="24"/>
        </w:rPr>
        <w:t>distorting domestic support currently provided by all WTO members should be estimated</w:t>
      </w:r>
      <w:r w:rsidR="00225A07" w:rsidRPr="002552EB">
        <w:rPr>
          <w:rFonts w:ascii="Times New Roman" w:eastAsia="Times New Roman" w:hAnsi="Times New Roman" w:cs="Times New Roman"/>
          <w:color w:val="000000"/>
          <w:sz w:val="24"/>
          <w:szCs w:val="24"/>
        </w:rPr>
        <w:t xml:space="preserve"> in monetary terms</w:t>
      </w:r>
      <w:r w:rsidR="00F42D5C" w:rsidRPr="002552EB">
        <w:rPr>
          <w:rFonts w:ascii="Times New Roman" w:eastAsia="Times New Roman" w:hAnsi="Times New Roman" w:cs="Times New Roman"/>
          <w:color w:val="000000"/>
          <w:sz w:val="24"/>
          <w:szCs w:val="24"/>
        </w:rPr>
        <w:t xml:space="preserve"> for a base year. </w:t>
      </w:r>
      <w:r w:rsidR="00987ECE" w:rsidRPr="002552EB">
        <w:rPr>
          <w:rFonts w:ascii="Times New Roman" w:eastAsia="Times New Roman" w:hAnsi="Times New Roman" w:cs="Times New Roman"/>
          <w:color w:val="000000"/>
          <w:sz w:val="24"/>
          <w:szCs w:val="24"/>
        </w:rPr>
        <w:t>Second, the base global entitlement needs to be halved by 2030. Third,</w:t>
      </w:r>
      <w:r w:rsidR="008D7AAA" w:rsidRPr="002552EB">
        <w:rPr>
          <w:rFonts w:ascii="Times New Roman" w:eastAsia="Times New Roman" w:hAnsi="Times New Roman" w:cs="Times New Roman"/>
          <w:color w:val="000000"/>
          <w:sz w:val="24"/>
          <w:szCs w:val="24"/>
        </w:rPr>
        <w:t xml:space="preserve"> in order to achieve it, all WTO members except Least Developed Countries (LDCs) shall reduce their individual TTDS entitlements proportional to the size of their respective current entitlements in the base year. Fourth, the reduced TTDS entitlement</w:t>
      </w:r>
      <w:r w:rsidR="00225A07" w:rsidRPr="002552EB">
        <w:rPr>
          <w:rFonts w:ascii="Times New Roman" w:eastAsia="Times New Roman" w:hAnsi="Times New Roman" w:cs="Times New Roman"/>
          <w:color w:val="000000"/>
          <w:sz w:val="24"/>
          <w:szCs w:val="24"/>
        </w:rPr>
        <w:t xml:space="preserve"> which is fixed in monetary terms</w:t>
      </w:r>
      <w:r w:rsidR="008D7AAA" w:rsidRPr="002552EB">
        <w:rPr>
          <w:rFonts w:ascii="Times New Roman" w:eastAsia="Times New Roman" w:hAnsi="Times New Roman" w:cs="Times New Roman"/>
          <w:color w:val="000000"/>
          <w:sz w:val="24"/>
          <w:szCs w:val="24"/>
        </w:rPr>
        <w:t xml:space="preserve"> would serve as the upper limit for the countries to provide trade-distorting agricultural subsidies.</w:t>
      </w:r>
      <w:r w:rsidR="007E6E49" w:rsidRPr="002552EB">
        <w:rPr>
          <w:rFonts w:ascii="Times New Roman" w:eastAsia="Times New Roman" w:hAnsi="Times New Roman" w:cs="Times New Roman"/>
          <w:color w:val="000000"/>
          <w:sz w:val="24"/>
          <w:szCs w:val="24"/>
        </w:rPr>
        <w:t xml:space="preserve"> </w:t>
      </w:r>
      <w:r w:rsidR="00463729" w:rsidRPr="002552EB">
        <w:rPr>
          <w:rFonts w:ascii="Times New Roman" w:eastAsia="Times New Roman" w:hAnsi="Times New Roman" w:cs="Times New Roman"/>
          <w:color w:val="000000"/>
          <w:sz w:val="24"/>
          <w:szCs w:val="24"/>
        </w:rPr>
        <w:t xml:space="preserve">Fifth, </w:t>
      </w:r>
      <w:r w:rsidR="002C0BC0" w:rsidRPr="002552EB">
        <w:rPr>
          <w:rFonts w:ascii="Times New Roman" w:eastAsia="Times New Roman" w:hAnsi="Times New Roman" w:cs="Times New Roman"/>
          <w:color w:val="000000"/>
          <w:sz w:val="24"/>
          <w:szCs w:val="24"/>
        </w:rPr>
        <w:t>by constraining policy space to provide trade-distorting support under this approach, members are encouraged to provide environmentally friendly and non-trade distorting domestic support measures to facilitate achieving SDGs.</w:t>
      </w:r>
      <w:r w:rsidR="00316E20" w:rsidRPr="002552EB">
        <w:rPr>
          <w:rFonts w:ascii="Times New Roman" w:eastAsia="Times New Roman" w:hAnsi="Times New Roman" w:cs="Times New Roman"/>
          <w:color w:val="000000"/>
          <w:sz w:val="24"/>
          <w:szCs w:val="24"/>
        </w:rPr>
        <w:t xml:space="preserve"> </w:t>
      </w:r>
    </w:p>
    <w:p w14:paraId="3023A498" w14:textId="77777777" w:rsidR="00FE17FE" w:rsidRPr="002552EB" w:rsidRDefault="00FE17FE" w:rsidP="00FE17FE">
      <w:pPr>
        <w:spacing w:after="0" w:line="360" w:lineRule="auto"/>
        <w:jc w:val="both"/>
        <w:rPr>
          <w:rFonts w:ascii="Times New Roman" w:eastAsia="Times New Roman" w:hAnsi="Times New Roman" w:cs="Times New Roman"/>
          <w:color w:val="000000"/>
          <w:sz w:val="24"/>
          <w:szCs w:val="24"/>
        </w:rPr>
      </w:pPr>
    </w:p>
    <w:p w14:paraId="40851556" w14:textId="67548862" w:rsidR="00FE17FE" w:rsidRPr="002552EB" w:rsidRDefault="009419A5" w:rsidP="00FE17FE">
      <w:pPr>
        <w:spacing w:after="0" w:line="360" w:lineRule="auto"/>
        <w:jc w:val="both"/>
        <w:rPr>
          <w:rStyle w:val="ui-provider"/>
          <w:rFonts w:ascii="Times New Roman" w:hAnsi="Times New Roman" w:cs="Times New Roman"/>
          <w:sz w:val="24"/>
          <w:szCs w:val="24"/>
        </w:rPr>
      </w:pPr>
      <w:r w:rsidRPr="002552EB">
        <w:rPr>
          <w:rFonts w:ascii="Times New Roman" w:eastAsia="Times New Roman" w:hAnsi="Times New Roman" w:cs="Times New Roman"/>
          <w:color w:val="000000"/>
          <w:sz w:val="24"/>
          <w:szCs w:val="24"/>
        </w:rPr>
        <w:t xml:space="preserve">Despite intense engagement on disciplining agricultural subsidies, members failed to converge on the modalities at the 12th Ministerial Conference in 2022. The members of G33, ACP, LDCs, and the African Group representing </w:t>
      </w:r>
      <w:r w:rsidR="002508A2">
        <w:rPr>
          <w:rFonts w:ascii="Times New Roman" w:eastAsia="Times New Roman" w:hAnsi="Times New Roman" w:cs="Times New Roman"/>
          <w:color w:val="000000"/>
          <w:sz w:val="24"/>
          <w:szCs w:val="24"/>
        </w:rPr>
        <w:t xml:space="preserve">a </w:t>
      </w:r>
      <w:r w:rsidRPr="002552EB">
        <w:rPr>
          <w:rFonts w:ascii="Times New Roman" w:eastAsia="Times New Roman" w:hAnsi="Times New Roman" w:cs="Times New Roman"/>
          <w:color w:val="000000"/>
          <w:sz w:val="24"/>
          <w:szCs w:val="24"/>
        </w:rPr>
        <w:t xml:space="preserve">majority of the WTO membership have </w:t>
      </w:r>
      <w:r w:rsidR="00133F64" w:rsidRPr="002552EB">
        <w:rPr>
          <w:rFonts w:ascii="Times New Roman" w:eastAsia="Times New Roman" w:hAnsi="Times New Roman" w:cs="Times New Roman"/>
          <w:color w:val="000000"/>
          <w:sz w:val="24"/>
          <w:szCs w:val="24"/>
        </w:rPr>
        <w:t xml:space="preserve">demanded the elimination of special entitlements available to developed countries to provide massive product-specific trade-distorting support to level the playing field </w:t>
      </w:r>
      <w:r w:rsidR="00133F64" w:rsidRPr="002552EB">
        <w:rPr>
          <w:rFonts w:ascii="Times New Roman" w:eastAsia="Times New Roman" w:hAnsi="Times New Roman" w:cs="Times New Roman"/>
          <w:color w:val="000000" w:themeColor="text1"/>
          <w:sz w:val="24"/>
          <w:szCs w:val="24"/>
        </w:rPr>
        <w:t>(</w:t>
      </w:r>
      <w:r w:rsidR="00AD666B" w:rsidRPr="002552EB">
        <w:rPr>
          <w:rFonts w:ascii="Times New Roman" w:eastAsia="Times New Roman" w:hAnsi="Times New Roman" w:cs="Times New Roman"/>
          <w:color w:val="000000" w:themeColor="text1"/>
          <w:sz w:val="24"/>
          <w:szCs w:val="24"/>
        </w:rPr>
        <w:t xml:space="preserve">WTO, </w:t>
      </w:r>
      <w:r w:rsidR="00866787" w:rsidRPr="002552EB">
        <w:rPr>
          <w:rFonts w:ascii="Times New Roman" w:eastAsia="Times New Roman" w:hAnsi="Times New Roman" w:cs="Times New Roman"/>
          <w:color w:val="000000" w:themeColor="text1"/>
          <w:sz w:val="24"/>
          <w:szCs w:val="24"/>
        </w:rPr>
        <w:t>2018</w:t>
      </w:r>
      <w:r w:rsidR="00BA2193" w:rsidRPr="002552EB">
        <w:rPr>
          <w:rFonts w:ascii="Times New Roman" w:eastAsia="Times New Roman" w:hAnsi="Times New Roman" w:cs="Times New Roman"/>
          <w:color w:val="000000" w:themeColor="text1"/>
          <w:sz w:val="24"/>
          <w:szCs w:val="24"/>
        </w:rPr>
        <w:t>a</w:t>
      </w:r>
      <w:r w:rsidR="0045789E" w:rsidRPr="002552EB">
        <w:rPr>
          <w:rFonts w:ascii="Times New Roman" w:eastAsia="Times New Roman" w:hAnsi="Times New Roman" w:cs="Times New Roman"/>
          <w:color w:val="000000" w:themeColor="text1"/>
          <w:sz w:val="24"/>
          <w:szCs w:val="24"/>
        </w:rPr>
        <w:t>; 2021c; 2023d</w:t>
      </w:r>
      <w:r w:rsidR="00133F64" w:rsidRPr="002552EB">
        <w:rPr>
          <w:rFonts w:ascii="Times New Roman" w:eastAsia="Times New Roman" w:hAnsi="Times New Roman" w:cs="Times New Roman"/>
          <w:color w:val="000000" w:themeColor="text1"/>
          <w:sz w:val="24"/>
          <w:szCs w:val="24"/>
        </w:rPr>
        <w:t xml:space="preserve">). </w:t>
      </w:r>
      <w:r w:rsidR="00133F64" w:rsidRPr="002552EB">
        <w:rPr>
          <w:rFonts w:ascii="Times New Roman" w:eastAsia="Times New Roman" w:hAnsi="Times New Roman" w:cs="Times New Roman"/>
          <w:color w:val="000000"/>
          <w:sz w:val="24"/>
          <w:szCs w:val="24"/>
        </w:rPr>
        <w:t>Additionally, developing countries are also concerned about the constraining impact of the outdated rules of the AoA on implementing support measures compatible with their prevailing socio-economic conditions.</w:t>
      </w:r>
      <w:r w:rsidR="00464DB5" w:rsidRPr="002552EB">
        <w:rPr>
          <w:rFonts w:ascii="Times New Roman" w:eastAsia="Times New Roman" w:hAnsi="Times New Roman" w:cs="Times New Roman"/>
          <w:color w:val="000000"/>
          <w:sz w:val="24"/>
          <w:szCs w:val="24"/>
        </w:rPr>
        <w:t xml:space="preserve"> </w:t>
      </w:r>
    </w:p>
    <w:p w14:paraId="16576463" w14:textId="77777777" w:rsidR="00FE17FE" w:rsidRPr="002552EB" w:rsidRDefault="00FE17FE" w:rsidP="002552EB">
      <w:pPr>
        <w:spacing w:after="0" w:line="360" w:lineRule="auto"/>
        <w:jc w:val="both"/>
        <w:rPr>
          <w:rStyle w:val="ui-provider"/>
          <w:sz w:val="24"/>
          <w:szCs w:val="24"/>
        </w:rPr>
      </w:pPr>
    </w:p>
    <w:p w14:paraId="50681970" w14:textId="5DD09EA6" w:rsidR="002146B2" w:rsidRPr="002552EB" w:rsidRDefault="00C57D7A" w:rsidP="002552EB">
      <w:pPr>
        <w:spacing w:after="0" w:line="360" w:lineRule="auto"/>
        <w:jc w:val="both"/>
        <w:rPr>
          <w:rStyle w:val="ui-provider"/>
          <w:rFonts w:ascii="Times New Roman" w:hAnsi="Times New Roman" w:cs="Times New Roman"/>
          <w:sz w:val="24"/>
          <w:szCs w:val="24"/>
        </w:rPr>
      </w:pPr>
      <w:r w:rsidRPr="002552EB">
        <w:rPr>
          <w:rStyle w:val="ui-provider"/>
          <w:rFonts w:ascii="Times New Roman" w:hAnsi="Times New Roman" w:cs="Times New Roman"/>
          <w:sz w:val="24"/>
          <w:szCs w:val="24"/>
        </w:rPr>
        <w:t>D</w:t>
      </w:r>
      <w:r w:rsidR="001D2C85" w:rsidRPr="002552EB">
        <w:rPr>
          <w:rStyle w:val="ui-provider"/>
          <w:rFonts w:ascii="Times New Roman" w:hAnsi="Times New Roman" w:cs="Times New Roman"/>
          <w:sz w:val="24"/>
          <w:szCs w:val="24"/>
        </w:rPr>
        <w:t xml:space="preserve">isciplining agricultural subsidies </w:t>
      </w:r>
      <w:r w:rsidR="002508A2">
        <w:rPr>
          <w:rStyle w:val="ui-provider"/>
          <w:rFonts w:ascii="Times New Roman" w:hAnsi="Times New Roman" w:cs="Times New Roman"/>
          <w:sz w:val="24"/>
          <w:szCs w:val="24"/>
        </w:rPr>
        <w:t>is</w:t>
      </w:r>
      <w:r w:rsidR="00082EE9" w:rsidRPr="002552EB">
        <w:rPr>
          <w:rStyle w:val="ui-provider"/>
          <w:rFonts w:ascii="Times New Roman" w:hAnsi="Times New Roman" w:cs="Times New Roman"/>
          <w:sz w:val="24"/>
          <w:szCs w:val="24"/>
        </w:rPr>
        <w:t xml:space="preserve"> increasingly</w:t>
      </w:r>
      <w:r w:rsidR="001D2C85" w:rsidRPr="002552EB">
        <w:rPr>
          <w:rStyle w:val="ui-provider"/>
          <w:rFonts w:ascii="Times New Roman" w:hAnsi="Times New Roman" w:cs="Times New Roman"/>
          <w:sz w:val="24"/>
          <w:szCs w:val="24"/>
        </w:rPr>
        <w:t xml:space="preserve"> influenced by the climate negotiations </w:t>
      </w:r>
      <w:r w:rsidR="006D3B55" w:rsidRPr="002552EB">
        <w:rPr>
          <w:rStyle w:val="ui-provider"/>
          <w:rFonts w:ascii="Times New Roman" w:hAnsi="Times New Roman" w:cs="Times New Roman"/>
          <w:sz w:val="24"/>
          <w:szCs w:val="24"/>
        </w:rPr>
        <w:t xml:space="preserve">which are </w:t>
      </w:r>
      <w:r w:rsidR="001D2C85" w:rsidRPr="002552EB">
        <w:rPr>
          <w:rStyle w:val="ui-provider"/>
          <w:rFonts w:ascii="Times New Roman" w:hAnsi="Times New Roman" w:cs="Times New Roman"/>
          <w:sz w:val="24"/>
          <w:szCs w:val="24"/>
        </w:rPr>
        <w:t>aimed at</w:t>
      </w:r>
      <w:r w:rsidR="00082EE9" w:rsidRPr="002552EB">
        <w:rPr>
          <w:rStyle w:val="ui-provider"/>
          <w:rFonts w:ascii="Times New Roman" w:hAnsi="Times New Roman" w:cs="Times New Roman"/>
          <w:sz w:val="24"/>
          <w:szCs w:val="24"/>
        </w:rPr>
        <w:t xml:space="preserve"> alleviating environmental concerns</w:t>
      </w:r>
      <w:r w:rsidR="001D2C85" w:rsidRPr="002552EB">
        <w:rPr>
          <w:rStyle w:val="ui-provider"/>
          <w:rFonts w:ascii="Times New Roman" w:hAnsi="Times New Roman" w:cs="Times New Roman"/>
          <w:sz w:val="24"/>
          <w:szCs w:val="24"/>
        </w:rPr>
        <w:t xml:space="preserve">. </w:t>
      </w:r>
      <w:r w:rsidR="00005BF4" w:rsidRPr="002552EB">
        <w:rPr>
          <w:rStyle w:val="ui-provider"/>
          <w:rFonts w:ascii="Times New Roman" w:hAnsi="Times New Roman" w:cs="Times New Roman"/>
          <w:sz w:val="24"/>
          <w:szCs w:val="24"/>
        </w:rPr>
        <w:t>Th</w:t>
      </w:r>
      <w:r w:rsidR="00245260" w:rsidRPr="002552EB">
        <w:rPr>
          <w:rStyle w:val="ui-provider"/>
          <w:rFonts w:ascii="Times New Roman" w:hAnsi="Times New Roman" w:cs="Times New Roman"/>
          <w:sz w:val="24"/>
          <w:szCs w:val="24"/>
        </w:rPr>
        <w:t>is is evident from the active participation of WTO in</w:t>
      </w:r>
      <w:r w:rsidR="008324F7" w:rsidRPr="002552EB">
        <w:rPr>
          <w:rStyle w:val="ui-provider"/>
          <w:rFonts w:ascii="Times New Roman" w:hAnsi="Times New Roman" w:cs="Times New Roman"/>
          <w:sz w:val="24"/>
          <w:szCs w:val="24"/>
        </w:rPr>
        <w:t xml:space="preserve"> the United Nations Climate Change Conference (C</w:t>
      </w:r>
      <w:r w:rsidR="00555EEA" w:rsidRPr="002552EB">
        <w:rPr>
          <w:rStyle w:val="ui-provider"/>
          <w:rFonts w:ascii="Times New Roman" w:hAnsi="Times New Roman" w:cs="Times New Roman"/>
          <w:sz w:val="24"/>
          <w:szCs w:val="24"/>
        </w:rPr>
        <w:t>OP</w:t>
      </w:r>
      <w:r w:rsidR="00082EE9" w:rsidRPr="002552EB">
        <w:rPr>
          <w:rStyle w:val="ui-provider"/>
          <w:rFonts w:ascii="Times New Roman" w:hAnsi="Times New Roman" w:cs="Times New Roman"/>
          <w:sz w:val="24"/>
          <w:szCs w:val="24"/>
        </w:rPr>
        <w:t>26</w:t>
      </w:r>
      <w:r w:rsidR="008324F7" w:rsidRPr="002552EB">
        <w:rPr>
          <w:rStyle w:val="ui-provider"/>
          <w:rFonts w:ascii="Times New Roman" w:hAnsi="Times New Roman" w:cs="Times New Roman"/>
          <w:sz w:val="24"/>
          <w:szCs w:val="24"/>
        </w:rPr>
        <w:t>)</w:t>
      </w:r>
      <w:r w:rsidR="00082EE9" w:rsidRPr="002552EB">
        <w:rPr>
          <w:rStyle w:val="ui-provider"/>
          <w:rFonts w:ascii="Times New Roman" w:hAnsi="Times New Roman" w:cs="Times New Roman"/>
          <w:sz w:val="24"/>
          <w:szCs w:val="24"/>
        </w:rPr>
        <w:t xml:space="preserve"> which was </w:t>
      </w:r>
      <w:r w:rsidR="00E65D14" w:rsidRPr="002552EB">
        <w:rPr>
          <w:rStyle w:val="ui-provider"/>
          <w:rFonts w:ascii="Times New Roman" w:hAnsi="Times New Roman" w:cs="Times New Roman"/>
          <w:sz w:val="24"/>
          <w:szCs w:val="24"/>
        </w:rPr>
        <w:t>held in November 2021</w:t>
      </w:r>
      <w:r w:rsidR="006D3B55" w:rsidRPr="002552EB">
        <w:rPr>
          <w:rStyle w:val="ui-provider"/>
          <w:rFonts w:ascii="Times New Roman" w:hAnsi="Times New Roman" w:cs="Times New Roman"/>
          <w:sz w:val="24"/>
          <w:szCs w:val="24"/>
        </w:rPr>
        <w:t xml:space="preserve">, </w:t>
      </w:r>
      <w:r w:rsidR="002508A2">
        <w:rPr>
          <w:rStyle w:val="ui-provider"/>
          <w:rFonts w:ascii="Times New Roman" w:hAnsi="Times New Roman" w:cs="Times New Roman"/>
          <w:sz w:val="24"/>
          <w:szCs w:val="24"/>
        </w:rPr>
        <w:t xml:space="preserve">a </w:t>
      </w:r>
      <w:r w:rsidR="006D3B55" w:rsidRPr="002552EB">
        <w:rPr>
          <w:rStyle w:val="ui-provider"/>
          <w:rFonts w:ascii="Times New Roman" w:hAnsi="Times New Roman" w:cs="Times New Roman"/>
          <w:sz w:val="24"/>
          <w:szCs w:val="24"/>
        </w:rPr>
        <w:t>few months</w:t>
      </w:r>
      <w:r w:rsidR="00E65D14" w:rsidRPr="002552EB">
        <w:rPr>
          <w:rStyle w:val="ui-provider"/>
          <w:rFonts w:ascii="Times New Roman" w:hAnsi="Times New Roman" w:cs="Times New Roman"/>
          <w:sz w:val="24"/>
          <w:szCs w:val="24"/>
        </w:rPr>
        <w:t xml:space="preserve"> before the</w:t>
      </w:r>
      <w:r w:rsidR="006D3B55" w:rsidRPr="002552EB">
        <w:rPr>
          <w:rStyle w:val="ui-provider"/>
          <w:rFonts w:ascii="Times New Roman" w:hAnsi="Times New Roman" w:cs="Times New Roman"/>
          <w:sz w:val="24"/>
          <w:szCs w:val="24"/>
        </w:rPr>
        <w:t xml:space="preserve"> </w:t>
      </w:r>
      <w:r w:rsidR="005E2AE8" w:rsidRPr="002552EB">
        <w:rPr>
          <w:rStyle w:val="ui-provider"/>
          <w:rFonts w:ascii="Times New Roman" w:hAnsi="Times New Roman" w:cs="Times New Roman"/>
          <w:sz w:val="24"/>
          <w:szCs w:val="24"/>
        </w:rPr>
        <w:t xml:space="preserve">conclusion of </w:t>
      </w:r>
      <w:r w:rsidR="006D3B55" w:rsidRPr="002552EB">
        <w:rPr>
          <w:rStyle w:val="ui-provider"/>
          <w:rFonts w:ascii="Times New Roman" w:hAnsi="Times New Roman" w:cs="Times New Roman"/>
          <w:sz w:val="24"/>
          <w:szCs w:val="24"/>
        </w:rPr>
        <w:t>WTO’s</w:t>
      </w:r>
      <w:r w:rsidR="00E65D14" w:rsidRPr="002552EB">
        <w:rPr>
          <w:rStyle w:val="ui-provider"/>
          <w:rFonts w:ascii="Times New Roman" w:hAnsi="Times New Roman" w:cs="Times New Roman"/>
          <w:sz w:val="24"/>
          <w:szCs w:val="24"/>
        </w:rPr>
        <w:t xml:space="preserve"> MC 12</w:t>
      </w:r>
      <w:r w:rsidR="00AA5596" w:rsidRPr="002552EB">
        <w:rPr>
          <w:rStyle w:val="ui-provider"/>
          <w:rFonts w:ascii="Times New Roman" w:hAnsi="Times New Roman" w:cs="Times New Roman"/>
          <w:sz w:val="24"/>
          <w:szCs w:val="24"/>
        </w:rPr>
        <w:t xml:space="preserve">. </w:t>
      </w:r>
      <w:r w:rsidR="00BD2B39" w:rsidRPr="002552EB">
        <w:rPr>
          <w:rStyle w:val="ui-provider"/>
          <w:rFonts w:ascii="Times New Roman" w:hAnsi="Times New Roman" w:cs="Times New Roman"/>
          <w:sz w:val="24"/>
          <w:szCs w:val="24"/>
        </w:rPr>
        <w:t xml:space="preserve">Furthermore, </w:t>
      </w:r>
      <w:r w:rsidR="00BD2B39" w:rsidRPr="002552EB">
        <w:rPr>
          <w:rStyle w:val="ui-provider"/>
          <w:rFonts w:ascii="Times New Roman" w:hAnsi="Times New Roman" w:cs="Times New Roman"/>
          <w:color w:val="000000" w:themeColor="text1"/>
          <w:sz w:val="24"/>
          <w:szCs w:val="24"/>
        </w:rPr>
        <w:t>t</w:t>
      </w:r>
      <w:r w:rsidR="00AA5596" w:rsidRPr="002552EB">
        <w:rPr>
          <w:rStyle w:val="ui-provider"/>
          <w:rFonts w:ascii="Times New Roman" w:hAnsi="Times New Roman" w:cs="Times New Roman"/>
          <w:color w:val="000000" w:themeColor="text1"/>
          <w:sz w:val="24"/>
          <w:szCs w:val="24"/>
        </w:rPr>
        <w:t>he D</w:t>
      </w:r>
      <w:r w:rsidR="005E2AE8" w:rsidRPr="002552EB">
        <w:rPr>
          <w:rStyle w:val="ui-provider"/>
          <w:rFonts w:ascii="Times New Roman" w:hAnsi="Times New Roman" w:cs="Times New Roman"/>
          <w:color w:val="000000" w:themeColor="text1"/>
          <w:sz w:val="24"/>
          <w:szCs w:val="24"/>
        </w:rPr>
        <w:t xml:space="preserve">irectorate </w:t>
      </w:r>
      <w:r w:rsidR="00AA5596" w:rsidRPr="002552EB">
        <w:rPr>
          <w:rStyle w:val="ui-provider"/>
          <w:rFonts w:ascii="Times New Roman" w:hAnsi="Times New Roman" w:cs="Times New Roman"/>
          <w:color w:val="000000" w:themeColor="text1"/>
          <w:sz w:val="24"/>
          <w:szCs w:val="24"/>
        </w:rPr>
        <w:t>G</w:t>
      </w:r>
      <w:r w:rsidR="005E2AE8" w:rsidRPr="002552EB">
        <w:rPr>
          <w:rStyle w:val="ui-provider"/>
          <w:rFonts w:ascii="Times New Roman" w:hAnsi="Times New Roman" w:cs="Times New Roman"/>
          <w:color w:val="000000" w:themeColor="text1"/>
          <w:sz w:val="24"/>
          <w:szCs w:val="24"/>
        </w:rPr>
        <w:t>eneral</w:t>
      </w:r>
      <w:r w:rsidR="00AA5596" w:rsidRPr="002552EB">
        <w:rPr>
          <w:rStyle w:val="ui-provider"/>
          <w:rFonts w:ascii="Times New Roman" w:hAnsi="Times New Roman" w:cs="Times New Roman"/>
          <w:color w:val="000000" w:themeColor="text1"/>
          <w:sz w:val="24"/>
          <w:szCs w:val="24"/>
        </w:rPr>
        <w:t xml:space="preserve"> </w:t>
      </w:r>
      <w:r w:rsidR="003218A6" w:rsidRPr="002552EB">
        <w:rPr>
          <w:rStyle w:val="ui-provider"/>
          <w:rFonts w:ascii="Times New Roman" w:hAnsi="Times New Roman" w:cs="Times New Roman"/>
          <w:color w:val="000000" w:themeColor="text1"/>
          <w:sz w:val="24"/>
          <w:szCs w:val="24"/>
        </w:rPr>
        <w:t xml:space="preserve">(DG) </w:t>
      </w:r>
      <w:r w:rsidR="00AA5596" w:rsidRPr="002552EB">
        <w:rPr>
          <w:rStyle w:val="ui-provider"/>
          <w:rFonts w:ascii="Times New Roman" w:hAnsi="Times New Roman" w:cs="Times New Roman"/>
          <w:color w:val="000000" w:themeColor="text1"/>
          <w:sz w:val="24"/>
          <w:szCs w:val="24"/>
        </w:rPr>
        <w:t>of the WTO recently</w:t>
      </w:r>
      <w:r w:rsidR="00502051" w:rsidRPr="002552EB">
        <w:rPr>
          <w:rStyle w:val="ui-provider"/>
          <w:rFonts w:ascii="Times New Roman" w:hAnsi="Times New Roman" w:cs="Times New Roman"/>
          <w:color w:val="000000" w:themeColor="text1"/>
          <w:sz w:val="24"/>
          <w:szCs w:val="24"/>
        </w:rPr>
        <w:t xml:space="preserve"> stated that trade has an important role in helping countries </w:t>
      </w:r>
      <w:r w:rsidR="008A7D3D" w:rsidRPr="002552EB">
        <w:rPr>
          <w:rStyle w:val="ui-provider"/>
          <w:rFonts w:ascii="Times New Roman" w:hAnsi="Times New Roman" w:cs="Times New Roman"/>
          <w:color w:val="000000" w:themeColor="text1"/>
          <w:sz w:val="24"/>
          <w:szCs w:val="24"/>
        </w:rPr>
        <w:t xml:space="preserve">to adjust </w:t>
      </w:r>
      <w:r w:rsidR="00A85F72" w:rsidRPr="002552EB">
        <w:rPr>
          <w:rStyle w:val="ui-provider"/>
          <w:rFonts w:ascii="Times New Roman" w:hAnsi="Times New Roman" w:cs="Times New Roman"/>
          <w:color w:val="000000" w:themeColor="text1"/>
          <w:sz w:val="24"/>
          <w:szCs w:val="24"/>
        </w:rPr>
        <w:t xml:space="preserve">the shift in agriculture productivity </w:t>
      </w:r>
      <w:r w:rsidR="0081695E" w:rsidRPr="002552EB">
        <w:rPr>
          <w:rStyle w:val="ui-provider"/>
          <w:rFonts w:ascii="Times New Roman" w:hAnsi="Times New Roman" w:cs="Times New Roman"/>
          <w:color w:val="000000" w:themeColor="text1"/>
          <w:sz w:val="24"/>
          <w:szCs w:val="24"/>
        </w:rPr>
        <w:t>for</w:t>
      </w:r>
      <w:r w:rsidR="00A85F72" w:rsidRPr="002552EB">
        <w:rPr>
          <w:rStyle w:val="ui-provider"/>
          <w:rFonts w:ascii="Times New Roman" w:hAnsi="Times New Roman" w:cs="Times New Roman"/>
          <w:color w:val="000000" w:themeColor="text1"/>
          <w:sz w:val="24"/>
          <w:szCs w:val="24"/>
        </w:rPr>
        <w:t xml:space="preserve"> climate change </w:t>
      </w:r>
      <w:r w:rsidR="002508A2">
        <w:rPr>
          <w:rStyle w:val="ui-provider"/>
          <w:rFonts w:ascii="Times New Roman" w:hAnsi="Times New Roman" w:cs="Times New Roman"/>
          <w:color w:val="000000" w:themeColor="text1"/>
          <w:sz w:val="24"/>
          <w:szCs w:val="24"/>
        </w:rPr>
        <w:t>adaptation</w:t>
      </w:r>
      <w:r w:rsidR="00AC2636" w:rsidRPr="002552EB">
        <w:rPr>
          <w:rStyle w:val="ui-provider"/>
          <w:rFonts w:ascii="Times New Roman" w:hAnsi="Times New Roman" w:cs="Times New Roman"/>
          <w:color w:val="000000" w:themeColor="text1"/>
          <w:sz w:val="24"/>
          <w:szCs w:val="24"/>
        </w:rPr>
        <w:t xml:space="preserve"> (</w:t>
      </w:r>
      <w:r w:rsidR="00105FEA" w:rsidRPr="002552EB">
        <w:rPr>
          <w:rStyle w:val="ui-provider"/>
          <w:rFonts w:ascii="Times New Roman" w:hAnsi="Times New Roman" w:cs="Times New Roman"/>
          <w:color w:val="000000" w:themeColor="text1"/>
          <w:sz w:val="24"/>
          <w:szCs w:val="24"/>
        </w:rPr>
        <w:t>WTO, 2022c</w:t>
      </w:r>
      <w:r w:rsidR="00AC2636" w:rsidRPr="002552EB">
        <w:rPr>
          <w:rStyle w:val="ui-provider"/>
          <w:rFonts w:ascii="Times New Roman" w:hAnsi="Times New Roman" w:cs="Times New Roman"/>
          <w:color w:val="000000" w:themeColor="text1"/>
          <w:sz w:val="24"/>
          <w:szCs w:val="24"/>
        </w:rPr>
        <w:t>)</w:t>
      </w:r>
      <w:r w:rsidR="00A85F72" w:rsidRPr="002552EB">
        <w:rPr>
          <w:rStyle w:val="ui-provider"/>
          <w:rFonts w:ascii="Times New Roman" w:hAnsi="Times New Roman" w:cs="Times New Roman"/>
          <w:color w:val="000000" w:themeColor="text1"/>
          <w:sz w:val="24"/>
          <w:szCs w:val="24"/>
        </w:rPr>
        <w:t xml:space="preserve">. </w:t>
      </w:r>
      <w:r w:rsidR="00ED2190" w:rsidRPr="002552EB">
        <w:rPr>
          <w:rStyle w:val="ui-provider"/>
          <w:rFonts w:ascii="Times New Roman" w:hAnsi="Times New Roman" w:cs="Times New Roman"/>
          <w:color w:val="000000" w:themeColor="text1"/>
          <w:sz w:val="24"/>
          <w:szCs w:val="24"/>
        </w:rPr>
        <w:t>Give</w:t>
      </w:r>
      <w:r w:rsidR="00BD4DD6" w:rsidRPr="002552EB">
        <w:rPr>
          <w:rStyle w:val="ui-provider"/>
          <w:rFonts w:ascii="Times New Roman" w:hAnsi="Times New Roman" w:cs="Times New Roman"/>
          <w:color w:val="000000" w:themeColor="text1"/>
          <w:sz w:val="24"/>
          <w:szCs w:val="24"/>
        </w:rPr>
        <w:t>n</w:t>
      </w:r>
      <w:r w:rsidR="00ED2190" w:rsidRPr="002552EB">
        <w:rPr>
          <w:rStyle w:val="ui-provider"/>
          <w:rFonts w:ascii="Times New Roman" w:hAnsi="Times New Roman" w:cs="Times New Roman"/>
          <w:color w:val="000000" w:themeColor="text1"/>
          <w:sz w:val="24"/>
          <w:szCs w:val="24"/>
        </w:rPr>
        <w:t xml:space="preserve"> the DG’s express interest, </w:t>
      </w:r>
      <w:r w:rsidR="00536E22" w:rsidRPr="002552EB">
        <w:rPr>
          <w:rStyle w:val="ui-provider"/>
          <w:rFonts w:ascii="Times New Roman" w:hAnsi="Times New Roman" w:cs="Times New Roman"/>
          <w:color w:val="000000" w:themeColor="text1"/>
          <w:sz w:val="24"/>
          <w:szCs w:val="24"/>
        </w:rPr>
        <w:t xml:space="preserve">an </w:t>
      </w:r>
      <w:r w:rsidR="00536E22" w:rsidRPr="002552EB">
        <w:rPr>
          <w:rStyle w:val="ui-provider"/>
          <w:rFonts w:ascii="Times New Roman" w:hAnsi="Times New Roman" w:cs="Times New Roman"/>
          <w:sz w:val="24"/>
          <w:szCs w:val="24"/>
        </w:rPr>
        <w:t>impending COP 27, and the need to</w:t>
      </w:r>
      <w:r w:rsidR="00C441FB" w:rsidRPr="002552EB">
        <w:rPr>
          <w:rStyle w:val="ui-provider"/>
          <w:rFonts w:ascii="Times New Roman" w:hAnsi="Times New Roman" w:cs="Times New Roman"/>
          <w:sz w:val="24"/>
          <w:szCs w:val="24"/>
        </w:rPr>
        <w:t xml:space="preserve"> achiev</w:t>
      </w:r>
      <w:r w:rsidR="00536E22" w:rsidRPr="002552EB">
        <w:rPr>
          <w:rStyle w:val="ui-provider"/>
          <w:rFonts w:ascii="Times New Roman" w:hAnsi="Times New Roman" w:cs="Times New Roman"/>
          <w:sz w:val="24"/>
          <w:szCs w:val="24"/>
        </w:rPr>
        <w:t>e</w:t>
      </w:r>
      <w:r w:rsidR="00C441FB" w:rsidRPr="002552EB">
        <w:rPr>
          <w:rStyle w:val="ui-provider"/>
          <w:rFonts w:ascii="Times New Roman" w:hAnsi="Times New Roman" w:cs="Times New Roman"/>
          <w:sz w:val="24"/>
          <w:szCs w:val="24"/>
        </w:rPr>
        <w:t xml:space="preserve"> SDGs </w:t>
      </w:r>
      <w:r w:rsidR="00C441FB" w:rsidRPr="002552EB">
        <w:rPr>
          <w:rStyle w:val="ui-provider"/>
          <w:rFonts w:ascii="Times New Roman" w:hAnsi="Times New Roman" w:cs="Times New Roman"/>
          <w:sz w:val="24"/>
          <w:szCs w:val="24"/>
        </w:rPr>
        <w:lastRenderedPageBreak/>
        <w:t>by 2030</w:t>
      </w:r>
      <w:r w:rsidR="00536E22" w:rsidRPr="002552EB">
        <w:rPr>
          <w:rStyle w:val="ui-provider"/>
          <w:rFonts w:ascii="Times New Roman" w:hAnsi="Times New Roman" w:cs="Times New Roman"/>
          <w:sz w:val="24"/>
          <w:szCs w:val="24"/>
        </w:rPr>
        <w:t xml:space="preserve">, </w:t>
      </w:r>
      <w:r w:rsidR="00E82FBA" w:rsidRPr="002552EB">
        <w:rPr>
          <w:rStyle w:val="ui-provider"/>
          <w:rFonts w:ascii="Times New Roman" w:hAnsi="Times New Roman" w:cs="Times New Roman"/>
          <w:sz w:val="24"/>
          <w:szCs w:val="24"/>
        </w:rPr>
        <w:t>the WTO would be k</w:t>
      </w:r>
      <w:r w:rsidR="00A84554" w:rsidRPr="002552EB">
        <w:rPr>
          <w:rStyle w:val="ui-provider"/>
          <w:rFonts w:ascii="Times New Roman" w:hAnsi="Times New Roman" w:cs="Times New Roman"/>
          <w:sz w:val="24"/>
          <w:szCs w:val="24"/>
        </w:rPr>
        <w:t>e</w:t>
      </w:r>
      <w:r w:rsidR="00E82FBA" w:rsidRPr="002552EB">
        <w:rPr>
          <w:rStyle w:val="ui-provider"/>
          <w:rFonts w:ascii="Times New Roman" w:hAnsi="Times New Roman" w:cs="Times New Roman"/>
          <w:sz w:val="24"/>
          <w:szCs w:val="24"/>
        </w:rPr>
        <w:t xml:space="preserve">en to deliver on </w:t>
      </w:r>
      <w:r w:rsidR="003C2D20" w:rsidRPr="002552EB">
        <w:rPr>
          <w:rStyle w:val="ui-provider"/>
          <w:rFonts w:ascii="Times New Roman" w:hAnsi="Times New Roman" w:cs="Times New Roman"/>
          <w:sz w:val="24"/>
          <w:szCs w:val="24"/>
        </w:rPr>
        <w:t>agriculture subsid</w:t>
      </w:r>
      <w:r w:rsidR="00E82FBA" w:rsidRPr="002552EB">
        <w:rPr>
          <w:rStyle w:val="ui-provider"/>
          <w:rFonts w:ascii="Times New Roman" w:hAnsi="Times New Roman" w:cs="Times New Roman"/>
          <w:sz w:val="24"/>
          <w:szCs w:val="24"/>
        </w:rPr>
        <w:t>y negotiation</w:t>
      </w:r>
      <w:r w:rsidR="003C2D20" w:rsidRPr="002552EB">
        <w:rPr>
          <w:rStyle w:val="ui-provider"/>
          <w:rFonts w:ascii="Times New Roman" w:hAnsi="Times New Roman" w:cs="Times New Roman"/>
          <w:sz w:val="24"/>
          <w:szCs w:val="24"/>
        </w:rPr>
        <w:t xml:space="preserve"> in</w:t>
      </w:r>
      <w:r w:rsidR="001C70B4" w:rsidRPr="002552EB">
        <w:rPr>
          <w:rStyle w:val="ui-provider"/>
          <w:rFonts w:ascii="Times New Roman" w:hAnsi="Times New Roman" w:cs="Times New Roman"/>
          <w:sz w:val="24"/>
          <w:szCs w:val="24"/>
        </w:rPr>
        <w:t xml:space="preserve"> </w:t>
      </w:r>
      <w:r w:rsidR="00E82FBA" w:rsidRPr="002552EB">
        <w:rPr>
          <w:rStyle w:val="ui-provider"/>
          <w:rFonts w:ascii="Times New Roman" w:hAnsi="Times New Roman" w:cs="Times New Roman"/>
          <w:sz w:val="24"/>
          <w:szCs w:val="24"/>
        </w:rPr>
        <w:t xml:space="preserve">the upcoming </w:t>
      </w:r>
      <w:r w:rsidR="001C70B4" w:rsidRPr="002552EB">
        <w:rPr>
          <w:rStyle w:val="ui-provider"/>
          <w:rFonts w:ascii="Times New Roman" w:hAnsi="Times New Roman" w:cs="Times New Roman"/>
          <w:sz w:val="24"/>
          <w:szCs w:val="24"/>
        </w:rPr>
        <w:t>MC 13 at Abu Dhabi</w:t>
      </w:r>
      <w:r w:rsidR="00A84554" w:rsidRPr="002552EB">
        <w:rPr>
          <w:rStyle w:val="ui-provider"/>
          <w:rFonts w:ascii="Times New Roman" w:hAnsi="Times New Roman" w:cs="Times New Roman"/>
          <w:sz w:val="24"/>
          <w:szCs w:val="24"/>
        </w:rPr>
        <w:t xml:space="preserve">. </w:t>
      </w:r>
      <w:r w:rsidR="000E44D2" w:rsidRPr="002552EB">
        <w:rPr>
          <w:rStyle w:val="ui-provider"/>
          <w:rFonts w:ascii="Times New Roman" w:hAnsi="Times New Roman" w:cs="Times New Roman"/>
          <w:sz w:val="24"/>
          <w:szCs w:val="24"/>
        </w:rPr>
        <w:t xml:space="preserve">In the upshot, the WTO members </w:t>
      </w:r>
      <w:r w:rsidR="00D8314F" w:rsidRPr="002552EB">
        <w:rPr>
          <w:rStyle w:val="ui-provider"/>
          <w:rFonts w:ascii="Times New Roman" w:hAnsi="Times New Roman" w:cs="Times New Roman"/>
          <w:sz w:val="24"/>
          <w:szCs w:val="24"/>
        </w:rPr>
        <w:t>currently have</w:t>
      </w:r>
      <w:r w:rsidR="000E44D2" w:rsidRPr="002552EB">
        <w:rPr>
          <w:rStyle w:val="ui-provider"/>
          <w:rFonts w:ascii="Times New Roman" w:hAnsi="Times New Roman" w:cs="Times New Roman"/>
          <w:sz w:val="24"/>
          <w:szCs w:val="24"/>
        </w:rPr>
        <w:t xml:space="preserve"> a monumental task in hand, of </w:t>
      </w:r>
      <w:r w:rsidR="00600599" w:rsidRPr="002552EB">
        <w:rPr>
          <w:rStyle w:val="ui-provider"/>
          <w:rFonts w:ascii="Times New Roman" w:hAnsi="Times New Roman" w:cs="Times New Roman"/>
          <w:sz w:val="24"/>
          <w:szCs w:val="24"/>
        </w:rPr>
        <w:t xml:space="preserve">delivering on alleviating environmental concerns while </w:t>
      </w:r>
      <w:r w:rsidR="00BD4DD6" w:rsidRPr="002552EB">
        <w:rPr>
          <w:rStyle w:val="ui-provider"/>
          <w:rFonts w:ascii="Times New Roman" w:hAnsi="Times New Roman" w:cs="Times New Roman"/>
          <w:sz w:val="24"/>
          <w:szCs w:val="24"/>
        </w:rPr>
        <w:t xml:space="preserve">simultaneously </w:t>
      </w:r>
      <w:r w:rsidR="00600599" w:rsidRPr="002552EB">
        <w:rPr>
          <w:rStyle w:val="ui-provider"/>
          <w:rFonts w:ascii="Times New Roman" w:hAnsi="Times New Roman" w:cs="Times New Roman"/>
          <w:sz w:val="24"/>
          <w:szCs w:val="24"/>
        </w:rPr>
        <w:t>safeguarding the needs and interests</w:t>
      </w:r>
      <w:r w:rsidR="00C62BD1" w:rsidRPr="002552EB">
        <w:rPr>
          <w:rStyle w:val="ui-provider"/>
          <w:rFonts w:ascii="Times New Roman" w:hAnsi="Times New Roman" w:cs="Times New Roman"/>
          <w:sz w:val="24"/>
          <w:szCs w:val="24"/>
        </w:rPr>
        <w:t xml:space="preserve"> of the poor farmers within the limited period of time</w:t>
      </w:r>
      <w:r w:rsidR="00E9782B" w:rsidRPr="002552EB">
        <w:rPr>
          <w:rStyle w:val="ui-provider"/>
          <w:rFonts w:ascii="Times New Roman" w:hAnsi="Times New Roman" w:cs="Times New Roman"/>
          <w:sz w:val="24"/>
          <w:szCs w:val="24"/>
        </w:rPr>
        <w:t xml:space="preserve"> available for negotiations</w:t>
      </w:r>
      <w:r w:rsidR="00AC2636" w:rsidRPr="002552EB">
        <w:rPr>
          <w:rStyle w:val="ui-provider"/>
          <w:rFonts w:ascii="Times New Roman" w:hAnsi="Times New Roman" w:cs="Times New Roman"/>
          <w:sz w:val="24"/>
          <w:szCs w:val="24"/>
        </w:rPr>
        <w:t xml:space="preserve"> till MC 13 to be held in February 2024</w:t>
      </w:r>
      <w:r w:rsidR="00C62BD1" w:rsidRPr="002552EB">
        <w:rPr>
          <w:rStyle w:val="ui-provider"/>
          <w:rFonts w:ascii="Times New Roman" w:hAnsi="Times New Roman" w:cs="Times New Roman"/>
          <w:sz w:val="24"/>
          <w:szCs w:val="24"/>
        </w:rPr>
        <w:t>.</w:t>
      </w:r>
    </w:p>
    <w:p w14:paraId="1F9E230C" w14:textId="77777777" w:rsidR="00FE17FE" w:rsidRPr="002552EB" w:rsidRDefault="00FE17FE" w:rsidP="00FE17FE">
      <w:pPr>
        <w:spacing w:after="0" w:line="360" w:lineRule="auto"/>
        <w:jc w:val="both"/>
        <w:rPr>
          <w:rFonts w:ascii="Times New Roman" w:eastAsia="Times New Roman" w:hAnsi="Times New Roman" w:cs="Times New Roman"/>
          <w:color w:val="000000"/>
          <w:sz w:val="24"/>
          <w:szCs w:val="24"/>
        </w:rPr>
      </w:pPr>
    </w:p>
    <w:p w14:paraId="425DA4D7" w14:textId="2539EB67" w:rsidR="002146B2" w:rsidRDefault="002146B2" w:rsidP="002552EB">
      <w:pPr>
        <w:spacing w:after="0" w:line="360" w:lineRule="auto"/>
        <w:jc w:val="both"/>
        <w:rPr>
          <w:rFonts w:ascii="Times New Roman" w:eastAsia="Times New Roman" w:hAnsi="Times New Roman" w:cs="Times New Roman"/>
          <w:color w:val="000000"/>
          <w:sz w:val="24"/>
          <w:szCs w:val="24"/>
        </w:rPr>
      </w:pPr>
      <w:r w:rsidRPr="002C07A6">
        <w:rPr>
          <w:rFonts w:ascii="Times New Roman" w:eastAsia="Times New Roman" w:hAnsi="Times New Roman" w:cs="Times New Roman"/>
          <w:color w:val="000000"/>
          <w:sz w:val="24"/>
          <w:szCs w:val="24"/>
        </w:rPr>
        <w:t>In this context, this paper examine</w:t>
      </w:r>
      <w:r w:rsidR="009807F4" w:rsidRPr="002C07A6">
        <w:rPr>
          <w:rFonts w:ascii="Times New Roman" w:eastAsia="Times New Roman" w:hAnsi="Times New Roman" w:cs="Times New Roman"/>
          <w:color w:val="000000"/>
          <w:sz w:val="24"/>
          <w:szCs w:val="24"/>
        </w:rPr>
        <w:t>s</w:t>
      </w:r>
      <w:r w:rsidRPr="002C07A6">
        <w:rPr>
          <w:rFonts w:ascii="Times New Roman" w:eastAsia="Times New Roman" w:hAnsi="Times New Roman" w:cs="Times New Roman"/>
          <w:color w:val="000000"/>
          <w:sz w:val="24"/>
          <w:szCs w:val="24"/>
        </w:rPr>
        <w:t xml:space="preserve"> the impact of</w:t>
      </w:r>
      <w:r w:rsidR="009F27FC" w:rsidRPr="002C07A6">
        <w:rPr>
          <w:rFonts w:ascii="Times New Roman" w:eastAsia="Times New Roman" w:hAnsi="Times New Roman" w:cs="Times New Roman"/>
          <w:color w:val="000000"/>
          <w:sz w:val="24"/>
          <w:szCs w:val="24"/>
        </w:rPr>
        <w:t xml:space="preserve"> the reduction in trade-distorting domestic support as suggested by some proposals on the policy space of WTO members to support agriculture and evaluate</w:t>
      </w:r>
      <w:r w:rsidR="009807F4" w:rsidRPr="002C07A6">
        <w:rPr>
          <w:rFonts w:ascii="Times New Roman" w:eastAsia="Times New Roman" w:hAnsi="Times New Roman" w:cs="Times New Roman"/>
          <w:color w:val="000000"/>
          <w:sz w:val="24"/>
          <w:szCs w:val="24"/>
        </w:rPr>
        <w:t xml:space="preserve"> </w:t>
      </w:r>
      <w:r w:rsidR="009F27FC" w:rsidRPr="002C07A6">
        <w:rPr>
          <w:rFonts w:ascii="Times New Roman" w:eastAsia="Times New Roman" w:hAnsi="Times New Roman" w:cs="Times New Roman"/>
          <w:color w:val="000000"/>
          <w:sz w:val="24"/>
          <w:szCs w:val="24"/>
        </w:rPr>
        <w:t>if these proposed disciplines promote sustainability in agriculture.</w:t>
      </w:r>
      <w:r w:rsidR="009807F4" w:rsidRPr="002C07A6">
        <w:rPr>
          <w:rFonts w:ascii="Times New Roman" w:eastAsia="Times New Roman" w:hAnsi="Times New Roman" w:cs="Times New Roman"/>
          <w:color w:val="000000"/>
          <w:sz w:val="24"/>
          <w:szCs w:val="24"/>
        </w:rPr>
        <w:t xml:space="preserve"> </w:t>
      </w:r>
      <w:r w:rsidRPr="002C07A6">
        <w:rPr>
          <w:rFonts w:ascii="Times New Roman" w:eastAsia="Times New Roman" w:hAnsi="Times New Roman" w:cs="Times New Roman"/>
          <w:color w:val="000000"/>
          <w:sz w:val="24"/>
          <w:szCs w:val="24"/>
        </w:rPr>
        <w:t xml:space="preserve">More specifically, the study analyses the methodology to measure the </w:t>
      </w:r>
      <w:r w:rsidR="009807F4" w:rsidRPr="002C07A6">
        <w:rPr>
          <w:rFonts w:ascii="Times New Roman" w:eastAsia="Times New Roman" w:hAnsi="Times New Roman" w:cs="Times New Roman"/>
          <w:color w:val="000000"/>
          <w:sz w:val="24"/>
          <w:szCs w:val="24"/>
        </w:rPr>
        <w:t>t</w:t>
      </w:r>
      <w:r w:rsidRPr="002C07A6">
        <w:rPr>
          <w:rFonts w:ascii="Times New Roman" w:eastAsia="Times New Roman" w:hAnsi="Times New Roman" w:cs="Times New Roman"/>
          <w:color w:val="000000"/>
          <w:sz w:val="24"/>
          <w:szCs w:val="24"/>
        </w:rPr>
        <w:t xml:space="preserve">rade-distorting domestic support entitlement and </w:t>
      </w:r>
      <w:sdt>
        <w:sdtPr>
          <w:rPr>
            <w:sz w:val="24"/>
            <w:szCs w:val="24"/>
          </w:rPr>
          <w:tag w:val="goog_rdk_15"/>
          <w:id w:val="1974781101"/>
        </w:sdtPr>
        <w:sdtEndPr/>
        <w:sdtContent/>
      </w:sdt>
      <w:r w:rsidRPr="002C07A6">
        <w:rPr>
          <w:rFonts w:ascii="Times New Roman" w:eastAsia="Times New Roman" w:hAnsi="Times New Roman" w:cs="Times New Roman"/>
          <w:color w:val="000000"/>
          <w:sz w:val="24"/>
          <w:szCs w:val="24"/>
        </w:rPr>
        <w:t xml:space="preserve">estimates the contribution of WTO members to halve the global entitlement by 2030. Additionally, this paper examines whether the proposed reduction would ensure a level playing field for low-income or resource-poor farmers and address the concerns of developing countries regarding inherent imbalances in the </w:t>
      </w:r>
      <w:r w:rsidR="0062387C" w:rsidRPr="002C07A6">
        <w:rPr>
          <w:rFonts w:ascii="Times New Roman" w:eastAsia="Times New Roman" w:hAnsi="Times New Roman" w:cs="Times New Roman"/>
          <w:color w:val="000000"/>
          <w:sz w:val="24"/>
          <w:szCs w:val="24"/>
        </w:rPr>
        <w:t>AoA</w:t>
      </w:r>
      <w:r w:rsidRPr="002C07A6">
        <w:rPr>
          <w:rFonts w:ascii="Times New Roman" w:eastAsia="Times New Roman" w:hAnsi="Times New Roman" w:cs="Times New Roman"/>
          <w:color w:val="000000"/>
          <w:sz w:val="24"/>
          <w:szCs w:val="24"/>
        </w:rPr>
        <w:t xml:space="preserve">. The study also seeks to facilitate dialogue to break the impasse in the ongoing domestic support discussions to achieve sustainability in a comprehensive manner which </w:t>
      </w:r>
      <w:r w:rsidR="002508A2" w:rsidRPr="002C07A6">
        <w:rPr>
          <w:rFonts w:ascii="Times New Roman" w:eastAsia="Times New Roman" w:hAnsi="Times New Roman" w:cs="Times New Roman"/>
          <w:color w:val="000000"/>
          <w:sz w:val="24"/>
          <w:szCs w:val="24"/>
        </w:rPr>
        <w:t>addresses</w:t>
      </w:r>
      <w:r w:rsidR="00FF494B">
        <w:rPr>
          <w:rFonts w:ascii="Times New Roman" w:eastAsia="Times New Roman" w:hAnsi="Times New Roman" w:cs="Times New Roman"/>
          <w:color w:val="000000"/>
          <w:sz w:val="24"/>
          <w:szCs w:val="24"/>
        </w:rPr>
        <w:t xml:space="preserve"> </w:t>
      </w:r>
      <w:r w:rsidRPr="002C07A6">
        <w:rPr>
          <w:rFonts w:ascii="Times New Roman" w:eastAsia="Times New Roman" w:hAnsi="Times New Roman" w:cs="Times New Roman"/>
          <w:color w:val="000000"/>
          <w:sz w:val="24"/>
          <w:szCs w:val="24"/>
        </w:rPr>
        <w:t>relevant environment, social and economic concerns.</w:t>
      </w:r>
    </w:p>
    <w:p w14:paraId="197A9C6C" w14:textId="77777777" w:rsidR="002C07A6" w:rsidRPr="002C07A6" w:rsidRDefault="002C07A6" w:rsidP="002C07A6">
      <w:pPr>
        <w:autoSpaceDE w:val="0"/>
        <w:autoSpaceDN w:val="0"/>
        <w:adjustRightInd w:val="0"/>
        <w:spacing w:after="0" w:line="240" w:lineRule="auto"/>
        <w:rPr>
          <w:rFonts w:ascii="AppleSystemUIFont" w:hAnsi="AppleSystemUIFont" w:cs="AppleSystemUIFont"/>
          <w:sz w:val="24"/>
          <w:szCs w:val="24"/>
          <w:lang w:val="en-GB"/>
        </w:rPr>
      </w:pPr>
    </w:p>
    <w:p w14:paraId="0169A0C8" w14:textId="0FCF8C51" w:rsidR="002C07A6" w:rsidRPr="002C07A6" w:rsidRDefault="002C07A6" w:rsidP="002C07A6">
      <w:pPr>
        <w:spacing w:after="0" w:line="360" w:lineRule="auto"/>
        <w:jc w:val="both"/>
        <w:rPr>
          <w:rFonts w:ascii="Times New Roman" w:eastAsia="Times New Roman" w:hAnsi="Times New Roman" w:cs="Times New Roman"/>
          <w:color w:val="000000"/>
          <w:sz w:val="24"/>
          <w:szCs w:val="24"/>
        </w:rPr>
      </w:pPr>
      <w:r w:rsidRPr="00FF494B">
        <w:rPr>
          <w:rFonts w:ascii="Times New Roman" w:hAnsi="Times New Roman" w:cs="Times New Roman"/>
          <w:sz w:val="24"/>
          <w:szCs w:val="24"/>
          <w:lang w:val="en-GB"/>
        </w:rPr>
        <w:t>The study is divided into five sections. Section 2 deals with rising tide of trade distorting entitlement and sustainability. Section 3 discusses the reduction in global overall trade distorting domestic support entitlements. Section 4 analyses whether the proposed discipline undermines or furthers sustainability.  Section 5 concludes the study.</w:t>
      </w:r>
    </w:p>
    <w:p w14:paraId="020AC6E7" w14:textId="77777777" w:rsidR="002C07A6" w:rsidRDefault="002C07A6" w:rsidP="002552EB">
      <w:pPr>
        <w:spacing w:after="0" w:line="360" w:lineRule="auto"/>
        <w:jc w:val="both"/>
        <w:rPr>
          <w:rFonts w:ascii="Times New Roman" w:eastAsia="Times New Roman" w:hAnsi="Times New Roman" w:cs="Times New Roman"/>
          <w:color w:val="000000"/>
          <w:sz w:val="24"/>
          <w:szCs w:val="24"/>
        </w:rPr>
      </w:pPr>
    </w:p>
    <w:p w14:paraId="6ABA9413" w14:textId="3A08844B" w:rsidR="002C07A6" w:rsidRPr="00327A0C" w:rsidRDefault="00327A0C" w:rsidP="00327A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010" w14:textId="5BD61472" w:rsidR="007F7F72" w:rsidRPr="002552EB" w:rsidRDefault="00D01ECA" w:rsidP="002552EB">
      <w:pPr>
        <w:pStyle w:val="Heading1"/>
        <w:numPr>
          <w:ilvl w:val="0"/>
          <w:numId w:val="12"/>
        </w:numPr>
        <w:jc w:val="left"/>
        <w:rPr>
          <w:szCs w:val="24"/>
        </w:rPr>
      </w:pPr>
      <w:bookmarkStart w:id="4" w:name="_Toc147322993"/>
      <w:r w:rsidRPr="002552EB">
        <w:rPr>
          <w:szCs w:val="24"/>
        </w:rPr>
        <w:lastRenderedPageBreak/>
        <w:t>Rising Tide of Trade-distorting Entitlement and</w:t>
      </w:r>
      <w:r w:rsidR="002054E9">
        <w:rPr>
          <w:szCs w:val="24"/>
        </w:rPr>
        <w:t xml:space="preserve"> </w:t>
      </w:r>
      <w:r w:rsidRPr="002552EB">
        <w:rPr>
          <w:szCs w:val="24"/>
        </w:rPr>
        <w:t>Sustainability</w:t>
      </w:r>
      <w:bookmarkEnd w:id="4"/>
    </w:p>
    <w:p w14:paraId="3CEF386A" w14:textId="543FA70F" w:rsidR="00913CBA" w:rsidRPr="002552EB" w:rsidRDefault="009807F4"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Some</w:t>
      </w:r>
      <w:r w:rsidR="00F63A73" w:rsidRPr="002552EB">
        <w:rPr>
          <w:rFonts w:ascii="Times New Roman" w:eastAsia="Times New Roman" w:hAnsi="Times New Roman" w:cs="Times New Roman"/>
          <w:color w:val="000000"/>
          <w:sz w:val="24"/>
          <w:szCs w:val="24"/>
        </w:rPr>
        <w:t xml:space="preserve"> WTO members like Australia, </w:t>
      </w:r>
      <w:r w:rsidR="00453E81" w:rsidRPr="002552EB">
        <w:rPr>
          <w:rFonts w:ascii="Times New Roman" w:eastAsia="Times New Roman" w:hAnsi="Times New Roman" w:cs="Times New Roman"/>
          <w:color w:val="000000"/>
          <w:sz w:val="24"/>
          <w:szCs w:val="24"/>
        </w:rPr>
        <w:t>Brazil, Paraguay and Canada among others</w:t>
      </w:r>
      <w:r w:rsidR="00F63A73" w:rsidRPr="002552EB">
        <w:rPr>
          <w:rFonts w:ascii="Times New Roman" w:eastAsia="Times New Roman" w:hAnsi="Times New Roman" w:cs="Times New Roman"/>
          <w:color w:val="000000"/>
          <w:sz w:val="24"/>
          <w:szCs w:val="24"/>
        </w:rPr>
        <w:t xml:space="preserve"> </w:t>
      </w:r>
      <w:r w:rsidR="00D01ECA" w:rsidRPr="002552EB">
        <w:rPr>
          <w:rFonts w:ascii="Times New Roman" w:eastAsia="Times New Roman" w:hAnsi="Times New Roman" w:cs="Times New Roman"/>
          <w:color w:val="000000"/>
          <w:sz w:val="24"/>
          <w:szCs w:val="24"/>
        </w:rPr>
        <w:t>have projected that TTDS entitlement is to increase from US$ 844 billion in 2018 to US$ 2 trillion by 2030</w:t>
      </w:r>
      <w:r w:rsidR="00453E81" w:rsidRPr="002552EB">
        <w:rPr>
          <w:rFonts w:ascii="Times New Roman" w:eastAsia="Times New Roman" w:hAnsi="Times New Roman" w:cs="Times New Roman"/>
          <w:color w:val="000000"/>
          <w:sz w:val="24"/>
          <w:szCs w:val="24"/>
        </w:rPr>
        <w:t>,</w:t>
      </w:r>
      <w:r w:rsidR="00D01ECA" w:rsidRPr="002552EB">
        <w:rPr>
          <w:rFonts w:ascii="Times New Roman" w:eastAsia="Times New Roman" w:hAnsi="Times New Roman" w:cs="Times New Roman"/>
          <w:color w:val="000000"/>
          <w:sz w:val="24"/>
          <w:szCs w:val="24"/>
        </w:rPr>
        <w:t xml:space="preserve"> and call for a substanti</w:t>
      </w:r>
      <w:sdt>
        <w:sdtPr>
          <w:rPr>
            <w:sz w:val="24"/>
            <w:szCs w:val="24"/>
          </w:rPr>
          <w:tag w:val="goog_rdk_16"/>
          <w:id w:val="-458498838"/>
        </w:sdtPr>
        <w:sdtEndPr/>
        <w:sdtContent>
          <w:r w:rsidR="00D01ECA" w:rsidRPr="002552EB">
            <w:rPr>
              <w:rFonts w:ascii="Times New Roman" w:eastAsia="Times New Roman" w:hAnsi="Times New Roman" w:cs="Times New Roman"/>
              <w:color w:val="000000"/>
              <w:sz w:val="24"/>
              <w:szCs w:val="24"/>
            </w:rPr>
            <w:t>al</w:t>
          </w:r>
        </w:sdtContent>
      </w:sdt>
      <w:r w:rsidR="00D01ECA" w:rsidRPr="002552EB">
        <w:rPr>
          <w:rFonts w:ascii="Times New Roman" w:eastAsia="Times New Roman" w:hAnsi="Times New Roman" w:cs="Times New Roman"/>
          <w:color w:val="000000"/>
          <w:sz w:val="24"/>
          <w:szCs w:val="24"/>
        </w:rPr>
        <w:t xml:space="preserve"> reduction in the entitlement of individual members, proportionate to the size of those members’ current and future entitlements</w:t>
      </w:r>
      <w:r w:rsidR="007729DC" w:rsidRPr="002552EB">
        <w:rPr>
          <w:rFonts w:ascii="Times New Roman" w:eastAsia="Times New Roman" w:hAnsi="Times New Roman" w:cs="Times New Roman"/>
          <w:color w:val="000000"/>
          <w:sz w:val="24"/>
          <w:szCs w:val="24"/>
        </w:rPr>
        <w:t xml:space="preserve"> (WTO, 2019a; 2021a; 2021b;</w:t>
      </w:r>
      <w:r w:rsidR="00F63A73" w:rsidRPr="002552EB">
        <w:rPr>
          <w:rFonts w:ascii="Times New Roman" w:eastAsia="Times New Roman" w:hAnsi="Times New Roman" w:cs="Times New Roman"/>
          <w:color w:val="000000"/>
          <w:sz w:val="24"/>
          <w:szCs w:val="24"/>
        </w:rPr>
        <w:t xml:space="preserve"> 2021c;</w:t>
      </w:r>
      <w:r w:rsidR="007729DC" w:rsidRPr="002552EB">
        <w:rPr>
          <w:rFonts w:ascii="Times New Roman" w:eastAsia="Times New Roman" w:hAnsi="Times New Roman" w:cs="Times New Roman"/>
          <w:color w:val="000000"/>
          <w:sz w:val="24"/>
          <w:szCs w:val="24"/>
        </w:rPr>
        <w:t xml:space="preserve"> 2023</w:t>
      </w:r>
      <w:r w:rsidR="003F653F" w:rsidRPr="002552EB">
        <w:rPr>
          <w:rFonts w:ascii="Times New Roman" w:eastAsia="Times New Roman" w:hAnsi="Times New Roman" w:cs="Times New Roman"/>
          <w:color w:val="000000"/>
          <w:sz w:val="24"/>
          <w:szCs w:val="24"/>
        </w:rPr>
        <w:t>a</w:t>
      </w:r>
      <w:r w:rsidR="007729DC" w:rsidRPr="002552EB">
        <w:rPr>
          <w:rFonts w:ascii="Times New Roman" w:eastAsia="Times New Roman" w:hAnsi="Times New Roman" w:cs="Times New Roman"/>
          <w:color w:val="000000"/>
          <w:sz w:val="24"/>
          <w:szCs w:val="24"/>
        </w:rPr>
        <w:t>)</w:t>
      </w:r>
      <w:r w:rsidR="00D01ECA" w:rsidRPr="002552EB">
        <w:rPr>
          <w:rFonts w:ascii="Times New Roman" w:eastAsia="Times New Roman" w:hAnsi="Times New Roman" w:cs="Times New Roman"/>
          <w:color w:val="000000"/>
          <w:sz w:val="24"/>
          <w:szCs w:val="24"/>
        </w:rPr>
        <w:t>.</w:t>
      </w:r>
      <w:r w:rsidR="00E80997" w:rsidRPr="002552EB">
        <w:rPr>
          <w:rFonts w:ascii="Times New Roman" w:eastAsia="Times New Roman" w:hAnsi="Times New Roman" w:cs="Times New Roman"/>
          <w:color w:val="000000"/>
          <w:sz w:val="24"/>
          <w:szCs w:val="24"/>
        </w:rPr>
        <w:t xml:space="preserve"> </w:t>
      </w:r>
      <w:r w:rsidR="0005697A" w:rsidRPr="002552EB">
        <w:rPr>
          <w:rFonts w:ascii="Times New Roman" w:eastAsia="Times New Roman" w:hAnsi="Times New Roman" w:cs="Times New Roman"/>
          <w:color w:val="000000"/>
          <w:sz w:val="24"/>
          <w:szCs w:val="24"/>
        </w:rPr>
        <w:t xml:space="preserve">In order to understand the implications of these proposals, it is pertinent to </w:t>
      </w:r>
      <w:r w:rsidR="00025FCC" w:rsidRPr="002552EB">
        <w:rPr>
          <w:rFonts w:ascii="Times New Roman" w:eastAsia="Times New Roman" w:hAnsi="Times New Roman" w:cs="Times New Roman"/>
          <w:color w:val="000000"/>
          <w:sz w:val="24"/>
          <w:szCs w:val="24"/>
        </w:rPr>
        <w:t>(</w:t>
      </w:r>
      <w:r w:rsidR="0005697A" w:rsidRPr="002552EB">
        <w:rPr>
          <w:rFonts w:ascii="Times New Roman" w:eastAsia="Times New Roman" w:hAnsi="Times New Roman" w:cs="Times New Roman"/>
          <w:color w:val="000000"/>
          <w:sz w:val="24"/>
          <w:szCs w:val="24"/>
        </w:rPr>
        <w:t>a</w:t>
      </w:r>
      <w:r w:rsidR="00025FCC" w:rsidRPr="002552EB">
        <w:rPr>
          <w:rFonts w:ascii="Times New Roman" w:eastAsia="Times New Roman" w:hAnsi="Times New Roman" w:cs="Times New Roman"/>
          <w:color w:val="000000"/>
          <w:sz w:val="24"/>
          <w:szCs w:val="24"/>
        </w:rPr>
        <w:t>)</w:t>
      </w:r>
      <w:r w:rsidR="00F45C9D" w:rsidRPr="002552EB">
        <w:rPr>
          <w:rFonts w:ascii="Times New Roman" w:eastAsia="Times New Roman" w:hAnsi="Times New Roman" w:cs="Times New Roman"/>
          <w:color w:val="000000"/>
          <w:sz w:val="24"/>
          <w:szCs w:val="24"/>
        </w:rPr>
        <w:t xml:space="preserve"> familiarise with the typology of agriculture </w:t>
      </w:r>
      <w:r w:rsidR="009C6290" w:rsidRPr="002552EB">
        <w:rPr>
          <w:rFonts w:ascii="Times New Roman" w:eastAsia="Times New Roman" w:hAnsi="Times New Roman" w:cs="Times New Roman"/>
          <w:color w:val="000000"/>
          <w:sz w:val="24"/>
          <w:szCs w:val="24"/>
        </w:rPr>
        <w:t>subsidies</w:t>
      </w:r>
      <w:r w:rsidR="00F45C9D" w:rsidRPr="002552EB">
        <w:rPr>
          <w:rFonts w:ascii="Times New Roman" w:eastAsia="Times New Roman" w:hAnsi="Times New Roman" w:cs="Times New Roman"/>
          <w:color w:val="000000"/>
          <w:sz w:val="24"/>
          <w:szCs w:val="24"/>
        </w:rPr>
        <w:t xml:space="preserve"> under the WTO Agreement on </w:t>
      </w:r>
      <w:r w:rsidR="00747BA5" w:rsidRPr="002552EB">
        <w:rPr>
          <w:rFonts w:ascii="Times New Roman" w:eastAsia="Times New Roman" w:hAnsi="Times New Roman" w:cs="Times New Roman"/>
          <w:color w:val="000000"/>
          <w:sz w:val="24"/>
          <w:szCs w:val="24"/>
        </w:rPr>
        <w:t>Agriculture</w:t>
      </w:r>
      <w:r w:rsidR="001378B8" w:rsidRPr="002552EB">
        <w:rPr>
          <w:rFonts w:ascii="Times New Roman" w:eastAsia="Times New Roman" w:hAnsi="Times New Roman" w:cs="Times New Roman"/>
          <w:color w:val="000000"/>
          <w:sz w:val="24"/>
          <w:szCs w:val="24"/>
        </w:rPr>
        <w:t xml:space="preserve"> (AoA)</w:t>
      </w:r>
      <w:r w:rsidR="00F45C9D" w:rsidRPr="002552EB">
        <w:rPr>
          <w:rFonts w:ascii="Times New Roman" w:eastAsia="Times New Roman" w:hAnsi="Times New Roman" w:cs="Times New Roman"/>
          <w:color w:val="000000"/>
          <w:sz w:val="24"/>
          <w:szCs w:val="24"/>
        </w:rPr>
        <w:t xml:space="preserve"> and the relevant legal provisions, and </w:t>
      </w:r>
      <w:r w:rsidR="00025FCC" w:rsidRPr="002552EB">
        <w:rPr>
          <w:rFonts w:ascii="Times New Roman" w:eastAsia="Times New Roman" w:hAnsi="Times New Roman" w:cs="Times New Roman"/>
          <w:color w:val="000000"/>
          <w:sz w:val="24"/>
          <w:szCs w:val="24"/>
        </w:rPr>
        <w:t>(</w:t>
      </w:r>
      <w:r w:rsidR="00F45C9D" w:rsidRPr="002552EB">
        <w:rPr>
          <w:rFonts w:ascii="Times New Roman" w:eastAsia="Times New Roman" w:hAnsi="Times New Roman" w:cs="Times New Roman"/>
          <w:color w:val="000000"/>
          <w:sz w:val="24"/>
          <w:szCs w:val="24"/>
        </w:rPr>
        <w:t>b</w:t>
      </w:r>
      <w:r w:rsidR="00025FCC" w:rsidRPr="002552EB">
        <w:rPr>
          <w:rFonts w:ascii="Times New Roman" w:eastAsia="Times New Roman" w:hAnsi="Times New Roman" w:cs="Times New Roman"/>
          <w:color w:val="000000"/>
          <w:sz w:val="24"/>
          <w:szCs w:val="24"/>
        </w:rPr>
        <w:t>)</w:t>
      </w:r>
      <w:r w:rsidR="00F45C9D" w:rsidRPr="002552EB">
        <w:rPr>
          <w:rFonts w:ascii="Times New Roman" w:eastAsia="Times New Roman" w:hAnsi="Times New Roman" w:cs="Times New Roman"/>
          <w:color w:val="000000"/>
          <w:sz w:val="24"/>
          <w:szCs w:val="24"/>
        </w:rPr>
        <w:t xml:space="preserve"> </w:t>
      </w:r>
      <w:r w:rsidR="009C6290" w:rsidRPr="002552EB">
        <w:rPr>
          <w:rFonts w:ascii="Times New Roman" w:eastAsia="Times New Roman" w:hAnsi="Times New Roman" w:cs="Times New Roman"/>
          <w:color w:val="000000"/>
          <w:sz w:val="24"/>
          <w:szCs w:val="24"/>
        </w:rPr>
        <w:t>analys</w:t>
      </w:r>
      <w:r w:rsidR="00747BA5" w:rsidRPr="002552EB">
        <w:rPr>
          <w:rFonts w:ascii="Times New Roman" w:eastAsia="Times New Roman" w:hAnsi="Times New Roman" w:cs="Times New Roman"/>
          <w:color w:val="000000"/>
          <w:sz w:val="24"/>
          <w:szCs w:val="24"/>
        </w:rPr>
        <w:t>e</w:t>
      </w:r>
      <w:r w:rsidR="009C6290" w:rsidRPr="002552EB">
        <w:rPr>
          <w:rFonts w:ascii="Times New Roman" w:eastAsia="Times New Roman" w:hAnsi="Times New Roman" w:cs="Times New Roman"/>
          <w:color w:val="000000"/>
          <w:sz w:val="24"/>
          <w:szCs w:val="24"/>
        </w:rPr>
        <w:t xml:space="preserve"> </w:t>
      </w:r>
      <w:r w:rsidR="00E80997" w:rsidRPr="002552EB">
        <w:rPr>
          <w:rFonts w:ascii="Times New Roman" w:eastAsia="Times New Roman" w:hAnsi="Times New Roman" w:cs="Times New Roman"/>
          <w:color w:val="000000"/>
          <w:sz w:val="24"/>
          <w:szCs w:val="24"/>
        </w:rPr>
        <w:t xml:space="preserve">the </w:t>
      </w:r>
      <w:r w:rsidR="00D01ECA" w:rsidRPr="002552EB">
        <w:rPr>
          <w:rFonts w:ascii="Times New Roman" w:eastAsia="Times New Roman" w:hAnsi="Times New Roman" w:cs="Times New Roman"/>
          <w:color w:val="000000"/>
          <w:sz w:val="24"/>
          <w:szCs w:val="24"/>
        </w:rPr>
        <w:t xml:space="preserve">inherent data, trends, and methodology </w:t>
      </w:r>
      <w:r w:rsidR="00E80997" w:rsidRPr="002552EB">
        <w:rPr>
          <w:rFonts w:ascii="Times New Roman" w:eastAsia="Times New Roman" w:hAnsi="Times New Roman" w:cs="Times New Roman"/>
          <w:color w:val="000000"/>
          <w:sz w:val="24"/>
          <w:szCs w:val="24"/>
        </w:rPr>
        <w:t xml:space="preserve">used </w:t>
      </w:r>
      <w:r w:rsidR="00D01ECA" w:rsidRPr="002552EB">
        <w:rPr>
          <w:rFonts w:ascii="Times New Roman" w:eastAsia="Times New Roman" w:hAnsi="Times New Roman" w:cs="Times New Roman"/>
          <w:color w:val="000000"/>
          <w:sz w:val="24"/>
          <w:szCs w:val="24"/>
        </w:rPr>
        <w:t xml:space="preserve">to calculate the global </w:t>
      </w:r>
      <w:r w:rsidR="00E36625" w:rsidRPr="002552EB">
        <w:rPr>
          <w:rFonts w:ascii="Times New Roman" w:eastAsia="Times New Roman" w:hAnsi="Times New Roman" w:cs="Times New Roman"/>
          <w:color w:val="000000"/>
          <w:sz w:val="24"/>
          <w:szCs w:val="24"/>
        </w:rPr>
        <w:t xml:space="preserve">TTDS </w:t>
      </w:r>
      <w:r w:rsidR="00D01ECA" w:rsidRPr="002552EB">
        <w:rPr>
          <w:rFonts w:ascii="Times New Roman" w:eastAsia="Times New Roman" w:hAnsi="Times New Roman" w:cs="Times New Roman"/>
          <w:color w:val="000000"/>
          <w:sz w:val="24"/>
          <w:szCs w:val="24"/>
        </w:rPr>
        <w:t>entitlement.</w:t>
      </w:r>
      <w:r w:rsidR="00E80997" w:rsidRPr="002552EB">
        <w:rPr>
          <w:rFonts w:ascii="Times New Roman" w:eastAsia="Times New Roman" w:hAnsi="Times New Roman" w:cs="Times New Roman"/>
          <w:color w:val="000000"/>
          <w:sz w:val="24"/>
          <w:szCs w:val="24"/>
        </w:rPr>
        <w:t xml:space="preserve"> </w:t>
      </w:r>
      <w:r w:rsidR="00D01ECA" w:rsidRPr="002552EB">
        <w:rPr>
          <w:rFonts w:ascii="Times New Roman" w:eastAsia="Times New Roman" w:hAnsi="Times New Roman" w:cs="Times New Roman"/>
          <w:color w:val="000000"/>
          <w:sz w:val="24"/>
          <w:szCs w:val="24"/>
        </w:rPr>
        <w:t xml:space="preserve"> </w:t>
      </w:r>
    </w:p>
    <w:p w14:paraId="741D3656" w14:textId="77777777" w:rsidR="00913CBA" w:rsidRPr="002552EB" w:rsidRDefault="00913CBA" w:rsidP="00FF494B">
      <w:pPr>
        <w:spacing w:after="0" w:line="360" w:lineRule="auto"/>
        <w:jc w:val="both"/>
        <w:rPr>
          <w:rFonts w:ascii="Times New Roman" w:eastAsia="Times New Roman" w:hAnsi="Times New Roman" w:cs="Times New Roman"/>
          <w:color w:val="000000"/>
          <w:sz w:val="24"/>
          <w:szCs w:val="24"/>
        </w:rPr>
      </w:pPr>
    </w:p>
    <w:p w14:paraId="00000013" w14:textId="260EB484" w:rsidR="007F7F72" w:rsidRPr="002552EB" w:rsidRDefault="003C469A" w:rsidP="00FF494B">
      <w:pPr>
        <w:pStyle w:val="Heading2"/>
        <w:numPr>
          <w:ilvl w:val="1"/>
          <w:numId w:val="12"/>
        </w:numPr>
        <w:spacing w:before="0"/>
        <w:jc w:val="left"/>
        <w:rPr>
          <w:szCs w:val="24"/>
        </w:rPr>
      </w:pPr>
      <w:r w:rsidRPr="002552EB">
        <w:rPr>
          <w:szCs w:val="24"/>
        </w:rPr>
        <w:t xml:space="preserve"> </w:t>
      </w:r>
      <w:bookmarkStart w:id="5" w:name="_Toc147322994"/>
      <w:r w:rsidR="00D01ECA" w:rsidRPr="002552EB">
        <w:rPr>
          <w:szCs w:val="24"/>
        </w:rPr>
        <w:t>Domestic Support under the Agreement on Agriculture</w:t>
      </w:r>
      <w:bookmarkEnd w:id="5"/>
    </w:p>
    <w:p w14:paraId="00000015" w14:textId="41595E6B" w:rsidR="007F7F72" w:rsidRDefault="00747BA5"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Under the </w:t>
      </w:r>
      <w:r w:rsidR="00B76C9D" w:rsidRPr="002552EB">
        <w:rPr>
          <w:rFonts w:ascii="Times New Roman" w:eastAsia="Times New Roman" w:hAnsi="Times New Roman" w:cs="Times New Roman"/>
          <w:color w:val="000000"/>
          <w:sz w:val="24"/>
          <w:szCs w:val="24"/>
        </w:rPr>
        <w:t>AoA, the</w:t>
      </w:r>
      <w:r w:rsidRPr="002552EB">
        <w:rPr>
          <w:rFonts w:ascii="Times New Roman" w:eastAsia="Times New Roman" w:hAnsi="Times New Roman" w:cs="Times New Roman"/>
          <w:color w:val="000000"/>
          <w:sz w:val="24"/>
          <w:szCs w:val="24"/>
        </w:rPr>
        <w:t xml:space="preserve"> </w:t>
      </w:r>
      <w:r w:rsidR="00D01ECA" w:rsidRPr="002552EB">
        <w:rPr>
          <w:rFonts w:ascii="Times New Roman" w:eastAsia="Times New Roman" w:hAnsi="Times New Roman" w:cs="Times New Roman"/>
          <w:color w:val="000000"/>
          <w:sz w:val="24"/>
          <w:szCs w:val="24"/>
        </w:rPr>
        <w:t>domestic support measures are categorised under different boxes namely Green, Amber, Blue, and Development box depending on their impact on price and production</w:t>
      </w:r>
      <w:r w:rsidR="00134261" w:rsidRPr="002552EB">
        <w:rPr>
          <w:rFonts w:ascii="Times New Roman" w:eastAsia="Times New Roman" w:hAnsi="Times New Roman" w:cs="Times New Roman"/>
          <w:color w:val="000000"/>
          <w:sz w:val="24"/>
          <w:szCs w:val="24"/>
        </w:rPr>
        <w:t xml:space="preserve"> </w:t>
      </w:r>
      <w:r w:rsidR="009D28B1" w:rsidRPr="002552EB">
        <w:rPr>
          <w:rFonts w:ascii="Times New Roman" w:eastAsia="Times New Roman" w:hAnsi="Times New Roman" w:cs="Times New Roman"/>
          <w:color w:val="000000"/>
          <w:sz w:val="24"/>
          <w:szCs w:val="24"/>
        </w:rPr>
        <w:t>(Table 1)</w:t>
      </w:r>
      <w:r w:rsidR="00D01ECA" w:rsidRPr="002552EB">
        <w:rPr>
          <w:rFonts w:ascii="Times New Roman" w:eastAsia="Times New Roman" w:hAnsi="Times New Roman" w:cs="Times New Roman"/>
          <w:color w:val="000000"/>
          <w:sz w:val="24"/>
          <w:szCs w:val="24"/>
        </w:rPr>
        <w:t>. The least trade-distorting measures fall under the Green box which includes general services, public stockholding for food security purposes, domestic food aid</w:t>
      </w:r>
      <w:r w:rsidR="00390217" w:rsidRPr="002552EB">
        <w:rPr>
          <w:rFonts w:ascii="Times New Roman" w:eastAsia="Times New Roman" w:hAnsi="Times New Roman" w:cs="Times New Roman"/>
          <w:color w:val="000000"/>
          <w:sz w:val="24"/>
          <w:szCs w:val="24"/>
        </w:rPr>
        <w:t>,</w:t>
      </w:r>
      <w:r w:rsidR="00D01ECA" w:rsidRPr="002552EB">
        <w:rPr>
          <w:rFonts w:ascii="Times New Roman" w:eastAsia="Times New Roman" w:hAnsi="Times New Roman" w:cs="Times New Roman"/>
          <w:color w:val="000000"/>
          <w:sz w:val="24"/>
          <w:szCs w:val="24"/>
        </w:rPr>
        <w:t xml:space="preserve"> and direct payments. The trade-distorting support under production limiting programmes are called the Blue box measures. As a </w:t>
      </w:r>
      <w:r w:rsidR="00D01ECA" w:rsidRPr="002552EB">
        <w:rPr>
          <w:rFonts w:ascii="Times New Roman" w:eastAsia="Times New Roman" w:hAnsi="Times New Roman" w:cs="Times New Roman"/>
          <w:iCs/>
          <w:color w:val="000000"/>
          <w:sz w:val="24"/>
          <w:szCs w:val="24"/>
        </w:rPr>
        <w:t>Special and Differential Treatment</w:t>
      </w:r>
      <w:r w:rsidR="00D01ECA" w:rsidRPr="002552EB">
        <w:rPr>
          <w:rFonts w:ascii="Times New Roman" w:eastAsia="Times New Roman" w:hAnsi="Times New Roman" w:cs="Times New Roman"/>
          <w:color w:val="000000"/>
          <w:sz w:val="24"/>
          <w:szCs w:val="24"/>
        </w:rPr>
        <w:t xml:space="preserve"> (S&amp;DT), the Development box allows the developing members to provide input subsidies</w:t>
      </w:r>
      <w:r w:rsidR="00F7293C" w:rsidRPr="002552EB">
        <w:rPr>
          <w:rFonts w:ascii="Times New Roman" w:eastAsia="Times New Roman" w:hAnsi="Times New Roman" w:cs="Times New Roman"/>
          <w:color w:val="000000"/>
          <w:sz w:val="24"/>
          <w:szCs w:val="24"/>
        </w:rPr>
        <w:t xml:space="preserve"> such as fertiliser, electricity, and irrigation to</w:t>
      </w:r>
      <w:r w:rsidR="00D01ECA" w:rsidRPr="002552EB">
        <w:rPr>
          <w:rFonts w:ascii="Times New Roman" w:eastAsia="Times New Roman" w:hAnsi="Times New Roman" w:cs="Times New Roman"/>
          <w:color w:val="000000"/>
          <w:sz w:val="24"/>
          <w:szCs w:val="24"/>
        </w:rPr>
        <w:t xml:space="preserve"> low-income or resource-poor farmers, and investment subsidies for agriculture. </w:t>
      </w:r>
    </w:p>
    <w:p w14:paraId="0154CED3" w14:textId="77777777" w:rsidR="003D6D0B" w:rsidRPr="002552EB" w:rsidRDefault="003D6D0B" w:rsidP="002552EB">
      <w:pPr>
        <w:spacing w:after="0" w:line="360" w:lineRule="auto"/>
        <w:jc w:val="both"/>
        <w:rPr>
          <w:rFonts w:ascii="Times New Roman" w:eastAsia="Times New Roman" w:hAnsi="Times New Roman" w:cs="Times New Roman"/>
          <w:color w:val="000000"/>
          <w:sz w:val="24"/>
          <w:szCs w:val="24"/>
        </w:rPr>
      </w:pPr>
    </w:p>
    <w:p w14:paraId="37E0975C" w14:textId="77777777" w:rsidR="003D6D0B" w:rsidRPr="00640CB0" w:rsidRDefault="003D6D0B" w:rsidP="003D6D0B">
      <w:pPr>
        <w:spacing w:after="0" w:line="276" w:lineRule="auto"/>
        <w:jc w:val="both"/>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Table 1: Classification of domestic support under the AoA</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4394"/>
        <w:gridCol w:w="2642"/>
      </w:tblGrid>
      <w:tr w:rsidR="003D6D0B" w:rsidRPr="00640CB0" w14:paraId="686AC6C7" w14:textId="77777777" w:rsidTr="00BF4207">
        <w:trPr>
          <w:trHeight w:hRule="exact" w:val="284"/>
        </w:trPr>
        <w:tc>
          <w:tcPr>
            <w:tcW w:w="1980" w:type="dxa"/>
          </w:tcPr>
          <w:p w14:paraId="3E1B6516"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b/>
                <w:color w:val="000000"/>
                <w:sz w:val="20"/>
                <w:szCs w:val="20"/>
              </w:rPr>
              <w:t>Boxes</w:t>
            </w:r>
          </w:p>
        </w:tc>
        <w:tc>
          <w:tcPr>
            <w:tcW w:w="4394" w:type="dxa"/>
          </w:tcPr>
          <w:p w14:paraId="3C01CD77"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b/>
                <w:color w:val="000000"/>
                <w:sz w:val="20"/>
                <w:szCs w:val="20"/>
              </w:rPr>
              <w:t>Type of support</w:t>
            </w:r>
          </w:p>
        </w:tc>
        <w:tc>
          <w:tcPr>
            <w:tcW w:w="2642" w:type="dxa"/>
          </w:tcPr>
          <w:p w14:paraId="2C342B38"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b/>
                <w:color w:val="000000"/>
                <w:sz w:val="20"/>
                <w:szCs w:val="20"/>
              </w:rPr>
              <w:t>Comments</w:t>
            </w:r>
          </w:p>
        </w:tc>
      </w:tr>
      <w:tr w:rsidR="003D6D0B" w:rsidRPr="00640CB0" w14:paraId="172D6A7B" w14:textId="77777777" w:rsidTr="003D6D0B">
        <w:trPr>
          <w:trHeight w:hRule="exact" w:val="755"/>
        </w:trPr>
        <w:tc>
          <w:tcPr>
            <w:tcW w:w="1980" w:type="dxa"/>
          </w:tcPr>
          <w:p w14:paraId="6358AC6A"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xml:space="preserve">Green Box </w:t>
            </w:r>
          </w:p>
          <w:p w14:paraId="5BDB3C77"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(Annex 2)</w:t>
            </w:r>
          </w:p>
        </w:tc>
        <w:tc>
          <w:tcPr>
            <w:tcW w:w="4394" w:type="dxa"/>
          </w:tcPr>
          <w:p w14:paraId="04AB98E5"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No or minimal trade-distorting support</w:t>
            </w:r>
          </w:p>
          <w:p w14:paraId="46153FBD"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p>
          <w:p w14:paraId="383B187E"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p>
        </w:tc>
        <w:tc>
          <w:tcPr>
            <w:tcW w:w="2642" w:type="dxa"/>
            <w:vMerge w:val="restart"/>
          </w:tcPr>
          <w:p w14:paraId="4E2763A7"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p>
          <w:p w14:paraId="5826DB41"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No financial limit and is available to all members</w:t>
            </w:r>
          </w:p>
          <w:p w14:paraId="65B6216E"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p>
        </w:tc>
      </w:tr>
      <w:tr w:rsidR="003D6D0B" w:rsidRPr="00640CB0" w14:paraId="4DB0BF39" w14:textId="77777777" w:rsidTr="003D6D0B">
        <w:trPr>
          <w:trHeight w:hRule="exact" w:val="708"/>
        </w:trPr>
        <w:tc>
          <w:tcPr>
            <w:tcW w:w="1980" w:type="dxa"/>
          </w:tcPr>
          <w:p w14:paraId="445AAB47"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xml:space="preserve">Blue Box </w:t>
            </w:r>
          </w:p>
          <w:p w14:paraId="65699E47"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(Article 6.5)</w:t>
            </w:r>
          </w:p>
        </w:tc>
        <w:tc>
          <w:tcPr>
            <w:tcW w:w="4394" w:type="dxa"/>
          </w:tcPr>
          <w:p w14:paraId="1FEA01AE"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Direct payments under production limiting programs</w:t>
            </w:r>
          </w:p>
        </w:tc>
        <w:tc>
          <w:tcPr>
            <w:tcW w:w="2642" w:type="dxa"/>
            <w:vMerge/>
          </w:tcPr>
          <w:p w14:paraId="6F4F3BA9"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p>
        </w:tc>
      </w:tr>
      <w:tr w:rsidR="003D6D0B" w:rsidRPr="00640CB0" w14:paraId="57685598" w14:textId="77777777" w:rsidTr="00BF4207">
        <w:trPr>
          <w:trHeight w:hRule="exact" w:val="1130"/>
        </w:trPr>
        <w:tc>
          <w:tcPr>
            <w:tcW w:w="1980" w:type="dxa"/>
          </w:tcPr>
          <w:p w14:paraId="10A4DF3A"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xml:space="preserve">Development Box </w:t>
            </w:r>
          </w:p>
          <w:p w14:paraId="20146EAB"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(Article 6.2)</w:t>
            </w:r>
          </w:p>
        </w:tc>
        <w:tc>
          <w:tcPr>
            <w:tcW w:w="4394" w:type="dxa"/>
          </w:tcPr>
          <w:p w14:paraId="4AE64B3F" w14:textId="77777777" w:rsidR="003D6D0B" w:rsidRPr="00640CB0" w:rsidRDefault="003D6D0B" w:rsidP="003D6D0B">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xml:space="preserve">Investment subsidies </w:t>
            </w:r>
          </w:p>
          <w:p w14:paraId="7FE18168" w14:textId="77777777" w:rsidR="003D6D0B" w:rsidRPr="00640CB0" w:rsidRDefault="003D6D0B" w:rsidP="00BF4207">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xml:space="preserve">Input subsidies to low-income or resource-poor producers, </w:t>
            </w:r>
          </w:p>
          <w:p w14:paraId="092E649A" w14:textId="77777777" w:rsidR="003D6D0B" w:rsidRPr="00640CB0" w:rsidRDefault="003D6D0B" w:rsidP="00BF4207">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Support to diversify from illicit narcotic crops.</w:t>
            </w:r>
          </w:p>
        </w:tc>
        <w:tc>
          <w:tcPr>
            <w:tcW w:w="2642" w:type="dxa"/>
          </w:tcPr>
          <w:p w14:paraId="53D61820"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xml:space="preserve">No financial limit and is available only to developing members including LDCs except China and Kazakhstan. </w:t>
            </w:r>
          </w:p>
        </w:tc>
      </w:tr>
      <w:tr w:rsidR="003D6D0B" w:rsidRPr="00640CB0" w14:paraId="548B281B" w14:textId="77777777" w:rsidTr="003D6D0B">
        <w:trPr>
          <w:trHeight w:hRule="exact" w:val="564"/>
        </w:trPr>
        <w:tc>
          <w:tcPr>
            <w:tcW w:w="1980" w:type="dxa"/>
          </w:tcPr>
          <w:p w14:paraId="58A89D7B"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Amber Box (Article 6.3 &amp; 6.4)</w:t>
            </w:r>
          </w:p>
        </w:tc>
        <w:tc>
          <w:tcPr>
            <w:tcW w:w="4394" w:type="dxa"/>
          </w:tcPr>
          <w:p w14:paraId="57AE5BC9" w14:textId="77777777" w:rsidR="003D6D0B" w:rsidRPr="00640CB0" w:rsidRDefault="003D6D0B" w:rsidP="00BF4207">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Product and non-product specific trade-distorting measures</w:t>
            </w:r>
          </w:p>
        </w:tc>
        <w:tc>
          <w:tcPr>
            <w:tcW w:w="2642" w:type="dxa"/>
          </w:tcPr>
          <w:p w14:paraId="570421A2" w14:textId="77777777" w:rsidR="003D6D0B" w:rsidRPr="00640CB0" w:rsidRDefault="003D6D0B" w:rsidP="00BF420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All members are subject to strict financial limits</w:t>
            </w:r>
          </w:p>
        </w:tc>
      </w:tr>
    </w:tbl>
    <w:p w14:paraId="6CBA02E6" w14:textId="3F8A3863" w:rsidR="00037AEC" w:rsidRDefault="003D6D0B" w:rsidP="003D6D0B">
      <w:pPr>
        <w:spacing w:line="276" w:lineRule="auto"/>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Source: Authors’ compilation based on WTO Agreement on Agriculture.</w:t>
      </w:r>
    </w:p>
    <w:p w14:paraId="459C8C52" w14:textId="77777777" w:rsidR="003D6D0B" w:rsidRPr="003D6D0B" w:rsidRDefault="003D6D0B" w:rsidP="003D6D0B">
      <w:pPr>
        <w:spacing w:after="0" w:line="276" w:lineRule="auto"/>
        <w:jc w:val="both"/>
        <w:rPr>
          <w:rFonts w:ascii="Times New Roman" w:eastAsia="Times New Roman" w:hAnsi="Times New Roman" w:cs="Times New Roman"/>
          <w:color w:val="000000"/>
          <w:sz w:val="24"/>
          <w:szCs w:val="24"/>
        </w:rPr>
      </w:pPr>
    </w:p>
    <w:p w14:paraId="2A04C7A7" w14:textId="56A12F54" w:rsidR="00E36625" w:rsidRDefault="00D01ECA"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Notably, </w:t>
      </w:r>
      <w:r w:rsidR="009B74DF" w:rsidRPr="002552EB">
        <w:rPr>
          <w:rFonts w:ascii="Times New Roman" w:eastAsia="Times New Roman" w:hAnsi="Times New Roman" w:cs="Times New Roman"/>
          <w:color w:val="000000"/>
          <w:sz w:val="24"/>
          <w:szCs w:val="24"/>
        </w:rPr>
        <w:t xml:space="preserve">support </w:t>
      </w:r>
      <w:r w:rsidRPr="002552EB">
        <w:rPr>
          <w:rFonts w:ascii="Times New Roman" w:eastAsia="Times New Roman" w:hAnsi="Times New Roman" w:cs="Times New Roman"/>
          <w:color w:val="000000"/>
          <w:sz w:val="24"/>
          <w:szCs w:val="24"/>
        </w:rPr>
        <w:t>under Green, Blue, and Development boxes are exempted from any financial limit under the AoA. Moreover, s</w:t>
      </w:r>
      <w:r w:rsidR="001378B8" w:rsidRPr="002552EB">
        <w:rPr>
          <w:rFonts w:ascii="Times New Roman" w:eastAsia="Times New Roman" w:hAnsi="Times New Roman" w:cs="Times New Roman"/>
          <w:color w:val="000000"/>
          <w:sz w:val="24"/>
          <w:szCs w:val="24"/>
        </w:rPr>
        <w:t>upport</w:t>
      </w:r>
      <w:r w:rsidRPr="002552EB">
        <w:rPr>
          <w:rFonts w:ascii="Times New Roman" w:eastAsia="Times New Roman" w:hAnsi="Times New Roman" w:cs="Times New Roman"/>
          <w:color w:val="000000"/>
          <w:sz w:val="24"/>
          <w:szCs w:val="24"/>
        </w:rPr>
        <w:t xml:space="preserve"> that do not fall under these boxes are most trade-</w:t>
      </w:r>
      <w:r w:rsidRPr="002552EB">
        <w:rPr>
          <w:rFonts w:ascii="Times New Roman" w:eastAsia="Times New Roman" w:hAnsi="Times New Roman" w:cs="Times New Roman"/>
          <w:color w:val="000000"/>
          <w:sz w:val="24"/>
          <w:szCs w:val="24"/>
        </w:rPr>
        <w:lastRenderedPageBreak/>
        <w:t xml:space="preserve">distorting and hence categorized under the Amber box. Such </w:t>
      </w:r>
      <w:r w:rsidR="001378B8" w:rsidRPr="002552EB">
        <w:rPr>
          <w:rFonts w:ascii="Times New Roman" w:eastAsia="Times New Roman" w:hAnsi="Times New Roman" w:cs="Times New Roman"/>
          <w:color w:val="000000"/>
          <w:sz w:val="24"/>
          <w:szCs w:val="24"/>
        </w:rPr>
        <w:t xml:space="preserve">support </w:t>
      </w:r>
      <w:r w:rsidRPr="002552EB">
        <w:rPr>
          <w:rFonts w:ascii="Times New Roman" w:eastAsia="Times New Roman" w:hAnsi="Times New Roman" w:cs="Times New Roman"/>
          <w:color w:val="000000"/>
          <w:sz w:val="24"/>
          <w:szCs w:val="24"/>
        </w:rPr>
        <w:t>can be both product and non-product-specific. For instance, price or budgetary support for a specific product is called product-specific support, whereas, general trade-distorting support provided to all agricultural products such as fertiliser subsidy is termed as non-product</w:t>
      </w:r>
      <w:r w:rsidR="00B127AB">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sz w:val="24"/>
          <w:szCs w:val="24"/>
        </w:rPr>
        <w:t xml:space="preserve">specific support. </w:t>
      </w:r>
    </w:p>
    <w:p w14:paraId="2A882A38" w14:textId="77777777" w:rsidR="00E36625" w:rsidRDefault="00E36625" w:rsidP="004E1BC8">
      <w:pPr>
        <w:spacing w:after="0" w:line="276" w:lineRule="auto"/>
        <w:jc w:val="both"/>
        <w:rPr>
          <w:rFonts w:ascii="Times New Roman" w:eastAsia="Times New Roman" w:hAnsi="Times New Roman" w:cs="Times New Roman"/>
          <w:color w:val="000000"/>
          <w:sz w:val="20"/>
          <w:szCs w:val="20"/>
        </w:rPr>
      </w:pPr>
    </w:p>
    <w:p w14:paraId="0D586617" w14:textId="46B80B1A" w:rsidR="00327A0C" w:rsidRPr="002552EB" w:rsidRDefault="00327A0C" w:rsidP="00327A0C">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Since Amber box measures are most trade-distorting, such support is subject to financial limits, either in the form of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limits or the Final Bound </w:t>
      </w:r>
      <w:r w:rsidRPr="002552EB">
        <w:rPr>
          <w:rFonts w:ascii="Times New Roman" w:eastAsia="Times New Roman" w:hAnsi="Times New Roman" w:cs="Times New Roman"/>
          <w:iCs/>
          <w:color w:val="000000"/>
          <w:sz w:val="24"/>
          <w:szCs w:val="24"/>
        </w:rPr>
        <w:t>AMS entitlement</w:t>
      </w:r>
      <w:r w:rsidRPr="002552EB">
        <w:rPr>
          <w:rFonts w:ascii="Times New Roman" w:eastAsia="Times New Roman" w:hAnsi="Times New Roman" w:cs="Times New Roman"/>
          <w:i/>
          <w:color w:val="000000"/>
          <w:sz w:val="24"/>
          <w:szCs w:val="24"/>
        </w:rPr>
        <w:t xml:space="preserve">, </w:t>
      </w:r>
      <w:r w:rsidRPr="002552EB">
        <w:rPr>
          <w:rFonts w:ascii="Times New Roman" w:eastAsia="Times New Roman" w:hAnsi="Times New Roman" w:cs="Times New Roman"/>
          <w:iCs/>
          <w:color w:val="000000"/>
          <w:sz w:val="24"/>
          <w:szCs w:val="24"/>
        </w:rPr>
        <w:t>hereafter called AMS entitlement</w:t>
      </w:r>
      <w:r w:rsidRPr="002552EB">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is the minimal amount of trade-distorting support allowed under the Amber box. For developing members, the applicable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is 10 percent of </w:t>
      </w:r>
      <w:r w:rsidR="00264C16">
        <w:rPr>
          <w:rFonts w:ascii="Times New Roman" w:eastAsia="Times New Roman" w:hAnsi="Times New Roman" w:cs="Times New Roman"/>
          <w:color w:val="000000"/>
          <w:sz w:val="24"/>
          <w:szCs w:val="24"/>
        </w:rPr>
        <w:t xml:space="preserve">the </w:t>
      </w:r>
      <w:r w:rsidRPr="002552EB">
        <w:rPr>
          <w:rFonts w:ascii="Times New Roman" w:eastAsia="Times New Roman" w:hAnsi="Times New Roman" w:cs="Times New Roman"/>
          <w:color w:val="000000"/>
          <w:sz w:val="24"/>
          <w:szCs w:val="24"/>
        </w:rPr>
        <w:t>total Value of Production</w:t>
      </w:r>
      <w:r w:rsidRPr="002552EB">
        <w:rPr>
          <w:rFonts w:ascii="Times New Roman" w:eastAsia="Times New Roman" w:hAnsi="Times New Roman" w:cs="Times New Roman"/>
          <w:i/>
          <w:color w:val="000000"/>
          <w:sz w:val="24"/>
          <w:szCs w:val="24"/>
        </w:rPr>
        <w:t xml:space="preserve"> </w:t>
      </w:r>
      <w:r w:rsidRPr="002552EB">
        <w:rPr>
          <w:rFonts w:ascii="Times New Roman" w:eastAsia="Times New Roman" w:hAnsi="Times New Roman" w:cs="Times New Roman"/>
          <w:color w:val="000000"/>
          <w:sz w:val="24"/>
          <w:szCs w:val="24"/>
        </w:rPr>
        <w:t>(VoP) of a basic agricultural product for product-specific support, and of VoP of total agriculture for non-product</w:t>
      </w:r>
      <w:r>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sz w:val="24"/>
          <w:szCs w:val="24"/>
        </w:rPr>
        <w:t xml:space="preserve">specific support during a relevant year. For the developed members, </w:t>
      </w:r>
      <w:r w:rsidR="00264C16">
        <w:rPr>
          <w:rFonts w:ascii="Times New Roman" w:eastAsia="Times New Roman" w:hAnsi="Times New Roman" w:cs="Times New Roman"/>
          <w:color w:val="000000"/>
          <w:sz w:val="24"/>
          <w:szCs w:val="24"/>
        </w:rPr>
        <w:t xml:space="preserve">the </w:t>
      </w:r>
      <w:r w:rsidRPr="002552EB">
        <w:rPr>
          <w:rFonts w:ascii="Times New Roman" w:eastAsia="Times New Roman" w:hAnsi="Times New Roman" w:cs="Times New Roman"/>
          <w:color w:val="000000"/>
          <w:sz w:val="24"/>
          <w:szCs w:val="24"/>
        </w:rPr>
        <w:t xml:space="preserve">applicable percentage under the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is 5 percent. For China and Kazakhstan, this limit is set at 8.5 percent. </w:t>
      </w:r>
    </w:p>
    <w:p w14:paraId="0B4D1907" w14:textId="77777777" w:rsidR="00037AEC" w:rsidRPr="002552EB" w:rsidRDefault="00037AEC" w:rsidP="00037AEC">
      <w:pPr>
        <w:spacing w:after="0" w:line="360" w:lineRule="auto"/>
        <w:jc w:val="both"/>
        <w:rPr>
          <w:rFonts w:ascii="Times New Roman" w:eastAsia="Times New Roman" w:hAnsi="Times New Roman" w:cs="Times New Roman"/>
          <w:color w:val="000000"/>
          <w:sz w:val="24"/>
          <w:szCs w:val="24"/>
        </w:rPr>
      </w:pPr>
    </w:p>
    <w:p w14:paraId="0B3EB2F4" w14:textId="4FF759EE" w:rsidR="00182EF4" w:rsidRPr="00327A0C" w:rsidRDefault="00D01ECA" w:rsidP="00FF494B">
      <w:pPr>
        <w:spacing w:after="0" w:line="360" w:lineRule="auto"/>
        <w:jc w:val="both"/>
        <w:rPr>
          <w:rFonts w:ascii="Times New Roman" w:eastAsia="Times New Roman" w:hAnsi="Times New Roman" w:cs="Times New Roman"/>
          <w:color w:val="000000"/>
          <w:sz w:val="24"/>
          <w:szCs w:val="24"/>
        </w:rPr>
      </w:pPr>
      <w:r w:rsidRPr="00B26F9D">
        <w:rPr>
          <w:rFonts w:ascii="Times New Roman" w:eastAsia="Times New Roman" w:hAnsi="Times New Roman" w:cs="Times New Roman"/>
          <w:iCs/>
          <w:color w:val="000000"/>
          <w:sz w:val="24"/>
          <w:szCs w:val="24"/>
        </w:rPr>
        <w:t>AMS entitlement</w:t>
      </w:r>
      <w:r w:rsidRPr="002552EB">
        <w:rPr>
          <w:rFonts w:ascii="Times New Roman" w:eastAsia="Times New Roman" w:hAnsi="Times New Roman" w:cs="Times New Roman"/>
          <w:color w:val="000000"/>
          <w:sz w:val="24"/>
          <w:szCs w:val="24"/>
        </w:rPr>
        <w:t xml:space="preserve"> is available only for the members who provided trade-distorting support above the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level during </w:t>
      </w:r>
      <w:r w:rsidR="001378B8" w:rsidRPr="002552EB">
        <w:rPr>
          <w:rFonts w:ascii="Times New Roman" w:eastAsia="Times New Roman" w:hAnsi="Times New Roman" w:cs="Times New Roman"/>
          <w:color w:val="000000"/>
          <w:sz w:val="24"/>
          <w:szCs w:val="24"/>
        </w:rPr>
        <w:t xml:space="preserve">the base period, which is 1986-88 for the founder members, and as per the Accession protocols </w:t>
      </w:r>
      <w:r w:rsidR="00354E95" w:rsidRPr="002552EB">
        <w:rPr>
          <w:rFonts w:ascii="Times New Roman" w:eastAsia="Times New Roman" w:hAnsi="Times New Roman" w:cs="Times New Roman"/>
          <w:color w:val="000000"/>
          <w:sz w:val="24"/>
          <w:szCs w:val="24"/>
        </w:rPr>
        <w:t>of</w:t>
      </w:r>
      <w:r w:rsidR="001378B8" w:rsidRPr="002552EB">
        <w:rPr>
          <w:rFonts w:ascii="Times New Roman" w:eastAsia="Times New Roman" w:hAnsi="Times New Roman" w:cs="Times New Roman"/>
          <w:color w:val="000000"/>
          <w:sz w:val="24"/>
          <w:szCs w:val="24"/>
        </w:rPr>
        <w:t xml:space="preserve"> the acceding members. </w:t>
      </w:r>
      <w:r w:rsidRPr="002552EB">
        <w:rPr>
          <w:rFonts w:ascii="Times New Roman" w:eastAsia="Times New Roman" w:hAnsi="Times New Roman" w:cs="Times New Roman"/>
          <w:color w:val="000000"/>
          <w:sz w:val="24"/>
          <w:szCs w:val="24"/>
        </w:rPr>
        <w:t xml:space="preserve">These members managed to secure additional policy space to subsidize their agriculture beyond the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Incidentally,</w:t>
      </w:r>
      <w:r w:rsidR="009C5ACD" w:rsidRPr="002552EB">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sz w:val="24"/>
          <w:szCs w:val="24"/>
        </w:rPr>
        <w:t xml:space="preserve">95 percent of the global </w:t>
      </w:r>
      <w:r w:rsidRPr="00B26F9D">
        <w:rPr>
          <w:rFonts w:ascii="Times New Roman" w:eastAsia="Times New Roman" w:hAnsi="Times New Roman" w:cs="Times New Roman"/>
          <w:iCs/>
          <w:color w:val="000000"/>
          <w:sz w:val="24"/>
          <w:szCs w:val="24"/>
        </w:rPr>
        <w:t>AMS entitlement</w:t>
      </w:r>
      <w:r w:rsidRPr="002552EB">
        <w:rPr>
          <w:rFonts w:ascii="Times New Roman" w:eastAsia="Times New Roman" w:hAnsi="Times New Roman" w:cs="Times New Roman"/>
          <w:color w:val="000000"/>
          <w:sz w:val="24"/>
          <w:szCs w:val="24"/>
        </w:rPr>
        <w:t xml:space="preserve"> lies with the developed members like the European Union, United States and Japan </w:t>
      </w:r>
      <w:r w:rsidR="00956310" w:rsidRPr="002552EB">
        <w:rPr>
          <w:rFonts w:ascii="Times New Roman" w:eastAsia="Times New Roman" w:hAnsi="Times New Roman" w:cs="Times New Roman"/>
          <w:color w:val="000000"/>
          <w:sz w:val="24"/>
          <w:szCs w:val="24"/>
        </w:rPr>
        <w:t>(</w:t>
      </w:r>
      <w:r w:rsidR="009C5ACD" w:rsidRPr="002552EB">
        <w:rPr>
          <w:rFonts w:ascii="Times New Roman" w:eastAsia="Times New Roman" w:hAnsi="Times New Roman" w:cs="Times New Roman"/>
          <w:color w:val="000000"/>
          <w:sz w:val="24"/>
          <w:szCs w:val="24"/>
        </w:rPr>
        <w:t>Figure 1</w:t>
      </w:r>
      <w:r w:rsidR="00956310"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providing them enormous policy flexibilities to support their agriculture as compared to their developing counterparts</w:t>
      </w:r>
      <w:r w:rsidR="00F17AD3" w:rsidRPr="002552EB">
        <w:rPr>
          <w:rFonts w:ascii="Times New Roman" w:eastAsia="Times New Roman" w:hAnsi="Times New Roman" w:cs="Times New Roman"/>
          <w:color w:val="000000"/>
          <w:sz w:val="24"/>
          <w:szCs w:val="24"/>
        </w:rPr>
        <w:t xml:space="preserve"> (WTO, 2017b; Brink &amp; Orden, 2023)</w:t>
      </w:r>
      <w:r w:rsidRPr="002552EB">
        <w:rPr>
          <w:rFonts w:ascii="Times New Roman" w:eastAsia="Times New Roman" w:hAnsi="Times New Roman" w:cs="Times New Roman"/>
          <w:color w:val="000000"/>
          <w:sz w:val="24"/>
          <w:szCs w:val="24"/>
        </w:rPr>
        <w:t xml:space="preserve">. </w:t>
      </w:r>
    </w:p>
    <w:p w14:paraId="193DB3F3" w14:textId="77777777" w:rsidR="00037AEC" w:rsidRDefault="00037AEC" w:rsidP="00FF494B">
      <w:pPr>
        <w:spacing w:after="0" w:line="360" w:lineRule="auto"/>
        <w:jc w:val="both"/>
        <w:rPr>
          <w:rFonts w:ascii="Times New Roman" w:eastAsia="Times New Roman" w:hAnsi="Times New Roman" w:cs="Times New Roman"/>
          <w:b/>
          <w:bCs/>
          <w:color w:val="000000"/>
          <w:sz w:val="20"/>
          <w:szCs w:val="20"/>
        </w:rPr>
      </w:pPr>
    </w:p>
    <w:p w14:paraId="58F43B0D" w14:textId="00A19A49" w:rsidR="00327A0C" w:rsidRPr="002552EB" w:rsidRDefault="00327A0C" w:rsidP="00FF494B">
      <w:pPr>
        <w:spacing w:after="0" w:line="360" w:lineRule="auto"/>
        <w:jc w:val="both"/>
        <w:rPr>
          <w:rFonts w:ascii="Times New Roman" w:eastAsia="Times New Roman" w:hAnsi="Times New Roman" w:cs="Times New Roman"/>
          <w:iCs/>
          <w:color w:val="000000"/>
          <w:sz w:val="24"/>
          <w:szCs w:val="24"/>
        </w:rPr>
      </w:pPr>
      <w:r w:rsidRPr="002552EB">
        <w:rPr>
          <w:rFonts w:ascii="Times New Roman" w:eastAsia="Times New Roman" w:hAnsi="Times New Roman" w:cs="Times New Roman"/>
          <w:color w:val="000000"/>
          <w:sz w:val="24"/>
          <w:szCs w:val="24"/>
        </w:rPr>
        <w:t xml:space="preserve">For instance, the United States and the European Union have an </w:t>
      </w:r>
      <w:r w:rsidRPr="002552EB">
        <w:rPr>
          <w:rFonts w:ascii="Times New Roman" w:eastAsia="Times New Roman" w:hAnsi="Times New Roman" w:cs="Times New Roman"/>
          <w:iCs/>
          <w:color w:val="000000"/>
          <w:sz w:val="24"/>
          <w:szCs w:val="24"/>
        </w:rPr>
        <w:t>AMS entitlement</w:t>
      </w:r>
      <w:r w:rsidRPr="002552EB">
        <w:rPr>
          <w:rFonts w:ascii="Times New Roman" w:eastAsia="Times New Roman" w:hAnsi="Times New Roman" w:cs="Times New Roman"/>
          <w:color w:val="000000"/>
          <w:sz w:val="24"/>
          <w:szCs w:val="24"/>
        </w:rPr>
        <w:t xml:space="preserve"> of US$19 Billion and Euro 72 Billion respectively which can be used to provide product and non-product specific Amber box support above the applicable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The African Group in </w:t>
      </w:r>
      <w:r>
        <w:rPr>
          <w:rFonts w:ascii="Times New Roman" w:eastAsia="Times New Roman" w:hAnsi="Times New Roman" w:cs="Times New Roman"/>
          <w:color w:val="000000"/>
          <w:sz w:val="24"/>
          <w:szCs w:val="24"/>
        </w:rPr>
        <w:t>its</w:t>
      </w:r>
      <w:r w:rsidRPr="002552EB">
        <w:rPr>
          <w:rFonts w:ascii="Times New Roman" w:eastAsia="Times New Roman" w:hAnsi="Times New Roman" w:cs="Times New Roman"/>
          <w:color w:val="000000"/>
          <w:sz w:val="24"/>
          <w:szCs w:val="24"/>
        </w:rPr>
        <w:t xml:space="preserve"> recent proposal</w:t>
      </w:r>
      <w:r>
        <w:rPr>
          <w:rFonts w:ascii="Times New Roman" w:eastAsia="Times New Roman" w:hAnsi="Times New Roman" w:cs="Times New Roman"/>
          <w:color w:val="000000"/>
          <w:sz w:val="24"/>
          <w:szCs w:val="24"/>
        </w:rPr>
        <w:t xml:space="preserve"> (WTO, 2023d)</w:t>
      </w:r>
      <w:r w:rsidRPr="002552EB">
        <w:rPr>
          <w:rFonts w:ascii="Times New Roman" w:eastAsia="Times New Roman" w:hAnsi="Times New Roman" w:cs="Times New Roman"/>
          <w:color w:val="000000"/>
          <w:sz w:val="24"/>
          <w:szCs w:val="24"/>
        </w:rPr>
        <w:t xml:space="preserve"> has highlighted the two important biases associated with the AMS entitlement. First, any amount or proportion of the member’s AMS entitlement can be used to subsidize any product. This can lead to </w:t>
      </w:r>
      <w:r w:rsidR="00264C16">
        <w:rPr>
          <w:rFonts w:ascii="Times New Roman" w:eastAsia="Times New Roman" w:hAnsi="Times New Roman" w:cs="Times New Roman"/>
          <w:color w:val="000000"/>
          <w:sz w:val="24"/>
          <w:szCs w:val="24"/>
        </w:rPr>
        <w:t xml:space="preserve">the </w:t>
      </w:r>
      <w:r w:rsidRPr="002552EB">
        <w:rPr>
          <w:rFonts w:ascii="Times New Roman" w:eastAsia="Times New Roman" w:hAnsi="Times New Roman" w:cs="Times New Roman"/>
          <w:color w:val="000000"/>
          <w:sz w:val="24"/>
          <w:szCs w:val="24"/>
        </w:rPr>
        <w:t xml:space="preserve">concentration of subsidies on certain strategically important agricultural commodities, causing significant trade distortion in international markets. For instance, Canada used 98.56% of its </w:t>
      </w:r>
      <w:r>
        <w:rPr>
          <w:rFonts w:ascii="Times New Roman" w:eastAsia="Times New Roman" w:hAnsi="Times New Roman" w:cs="Times New Roman"/>
          <w:color w:val="000000"/>
          <w:sz w:val="24"/>
          <w:szCs w:val="24"/>
        </w:rPr>
        <w:t xml:space="preserve">Amber box </w:t>
      </w:r>
      <w:r w:rsidRPr="002552EB">
        <w:rPr>
          <w:rFonts w:ascii="Times New Roman" w:eastAsia="Times New Roman" w:hAnsi="Times New Roman" w:cs="Times New Roman"/>
          <w:color w:val="000000"/>
          <w:sz w:val="24"/>
          <w:szCs w:val="24"/>
        </w:rPr>
        <w:t xml:space="preserve">to support </w:t>
      </w:r>
      <w:r w:rsidR="00264C16">
        <w:rPr>
          <w:rFonts w:ascii="Times New Roman" w:eastAsia="Times New Roman" w:hAnsi="Times New Roman" w:cs="Times New Roman"/>
          <w:color w:val="000000"/>
          <w:sz w:val="24"/>
          <w:szCs w:val="24"/>
        </w:rPr>
        <w:t>dairy</w:t>
      </w:r>
      <w:r w:rsidRPr="002552EB">
        <w:rPr>
          <w:rFonts w:ascii="Times New Roman" w:eastAsia="Times New Roman" w:hAnsi="Times New Roman" w:cs="Times New Roman"/>
          <w:color w:val="000000"/>
          <w:sz w:val="24"/>
          <w:szCs w:val="24"/>
        </w:rPr>
        <w:t xml:space="preserve"> in 2018 and Japan spent 88.4% of its </w:t>
      </w:r>
      <w:r>
        <w:rPr>
          <w:rFonts w:ascii="Times New Roman" w:eastAsia="Times New Roman" w:hAnsi="Times New Roman" w:cs="Times New Roman"/>
          <w:color w:val="000000"/>
          <w:sz w:val="24"/>
          <w:szCs w:val="24"/>
        </w:rPr>
        <w:t xml:space="preserve">Amber box </w:t>
      </w:r>
      <w:r w:rsidRPr="002552EB">
        <w:rPr>
          <w:rFonts w:ascii="Times New Roman" w:eastAsia="Times New Roman" w:hAnsi="Times New Roman" w:cs="Times New Roman"/>
          <w:color w:val="000000"/>
          <w:sz w:val="24"/>
          <w:szCs w:val="24"/>
        </w:rPr>
        <w:t xml:space="preserve">in supporting beef and veal in 2019. Second, this special entitlement allows members to provide product specific support over their </w:t>
      </w:r>
      <w:r w:rsidRPr="002552EB">
        <w:rPr>
          <w:rFonts w:ascii="Times New Roman" w:eastAsia="Times New Roman" w:hAnsi="Times New Roman" w:cs="Times New Roman"/>
          <w:i/>
          <w:iCs/>
          <w:color w:val="000000"/>
          <w:sz w:val="24"/>
          <w:szCs w:val="24"/>
        </w:rPr>
        <w:t>de minimis</w:t>
      </w:r>
      <w:r w:rsidRPr="002552EB">
        <w:rPr>
          <w:rFonts w:ascii="Times New Roman" w:eastAsia="Times New Roman" w:hAnsi="Times New Roman" w:cs="Times New Roman"/>
          <w:color w:val="000000"/>
          <w:sz w:val="24"/>
          <w:szCs w:val="24"/>
        </w:rPr>
        <w:t xml:space="preserve"> limit, whereas, members that do not possess AMS have to limit product specific support to the </w:t>
      </w:r>
      <w:r w:rsidRPr="002552EB">
        <w:rPr>
          <w:rFonts w:ascii="Times New Roman" w:eastAsia="Times New Roman" w:hAnsi="Times New Roman" w:cs="Times New Roman"/>
          <w:i/>
          <w:iCs/>
          <w:color w:val="000000"/>
          <w:sz w:val="24"/>
          <w:szCs w:val="24"/>
        </w:rPr>
        <w:lastRenderedPageBreak/>
        <w:t>de minimis</w:t>
      </w:r>
      <w:r w:rsidRPr="002552E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level</w:t>
      </w:r>
      <w:r w:rsidRPr="002552EB">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themeColor="text1"/>
          <w:sz w:val="24"/>
          <w:szCs w:val="24"/>
        </w:rPr>
        <w:t>(WTO 2023d)</w:t>
      </w:r>
      <w:r w:rsidRPr="002552EB">
        <w:rPr>
          <w:rFonts w:ascii="Times New Roman" w:eastAsia="Times New Roman" w:hAnsi="Times New Roman" w:cs="Times New Roman"/>
          <w:color w:val="000000"/>
          <w:sz w:val="24"/>
          <w:szCs w:val="24"/>
        </w:rPr>
        <w:t xml:space="preserve">. Thus, the AoA unfairly constraints the policy space of members who don’t possess </w:t>
      </w:r>
      <w:r w:rsidRPr="002552EB">
        <w:rPr>
          <w:rFonts w:ascii="Times New Roman" w:eastAsia="Times New Roman" w:hAnsi="Times New Roman" w:cs="Times New Roman"/>
          <w:iCs/>
          <w:color w:val="000000"/>
          <w:sz w:val="24"/>
          <w:szCs w:val="24"/>
        </w:rPr>
        <w:t>AMS entitlement.</w:t>
      </w:r>
    </w:p>
    <w:p w14:paraId="679A577E" w14:textId="77777777" w:rsidR="00327A0C" w:rsidRPr="00801B78" w:rsidRDefault="00327A0C" w:rsidP="00801B78">
      <w:pPr>
        <w:spacing w:after="0" w:line="360" w:lineRule="auto"/>
        <w:jc w:val="both"/>
        <w:rPr>
          <w:rFonts w:ascii="Times New Roman" w:eastAsia="Times New Roman" w:hAnsi="Times New Roman" w:cs="Times New Roman"/>
          <w:b/>
          <w:bCs/>
          <w:color w:val="000000"/>
          <w:sz w:val="24"/>
          <w:szCs w:val="24"/>
        </w:rPr>
      </w:pPr>
    </w:p>
    <w:p w14:paraId="129FE5A8" w14:textId="049FB7D5" w:rsidR="0023613F" w:rsidRPr="002552EB" w:rsidRDefault="0023613F" w:rsidP="007E5E11">
      <w:pPr>
        <w:spacing w:after="0" w:line="240" w:lineRule="auto"/>
        <w:contextualSpacing/>
        <w:jc w:val="both"/>
        <w:rPr>
          <w:rFonts w:ascii="Times New Roman" w:eastAsia="Times New Roman" w:hAnsi="Times New Roman" w:cs="Times New Roman"/>
          <w:b/>
          <w:bCs/>
          <w:color w:val="000000"/>
          <w:sz w:val="20"/>
          <w:szCs w:val="20"/>
        </w:rPr>
      </w:pPr>
      <w:r w:rsidRPr="002552EB">
        <w:rPr>
          <w:rFonts w:ascii="Times New Roman" w:eastAsia="Times New Roman" w:hAnsi="Times New Roman" w:cs="Times New Roman"/>
          <w:b/>
          <w:bCs/>
          <w:color w:val="000000"/>
          <w:sz w:val="20"/>
          <w:szCs w:val="20"/>
        </w:rPr>
        <w:t>Fig</w:t>
      </w:r>
      <w:r w:rsidR="007D1B7C" w:rsidRPr="00640CB0">
        <w:rPr>
          <w:rFonts w:ascii="Times New Roman" w:eastAsia="Times New Roman" w:hAnsi="Times New Roman" w:cs="Times New Roman"/>
          <w:b/>
          <w:bCs/>
          <w:color w:val="000000"/>
          <w:sz w:val="20"/>
          <w:szCs w:val="20"/>
        </w:rPr>
        <w:t>.</w:t>
      </w:r>
      <w:r w:rsidR="008A03DD" w:rsidRPr="00640CB0">
        <w:rPr>
          <w:rFonts w:ascii="Times New Roman" w:eastAsia="Times New Roman" w:hAnsi="Times New Roman" w:cs="Times New Roman"/>
          <w:b/>
          <w:bCs/>
          <w:color w:val="000000"/>
          <w:sz w:val="20"/>
          <w:szCs w:val="20"/>
        </w:rPr>
        <w:t xml:space="preserve"> </w:t>
      </w:r>
      <w:r w:rsidR="007D1B7C" w:rsidRPr="00640CB0">
        <w:rPr>
          <w:rFonts w:ascii="Times New Roman" w:eastAsia="Times New Roman" w:hAnsi="Times New Roman" w:cs="Times New Roman"/>
          <w:b/>
          <w:bCs/>
          <w:color w:val="000000"/>
          <w:sz w:val="20"/>
          <w:szCs w:val="20"/>
        </w:rPr>
        <w:t>1</w:t>
      </w:r>
      <w:r w:rsidRPr="002552EB">
        <w:rPr>
          <w:rFonts w:ascii="Times New Roman" w:eastAsia="Times New Roman" w:hAnsi="Times New Roman" w:cs="Times New Roman"/>
          <w:b/>
          <w:bCs/>
          <w:color w:val="000000"/>
          <w:sz w:val="20"/>
          <w:szCs w:val="20"/>
        </w:rPr>
        <w:t xml:space="preserve"> Share of Total AMS </w:t>
      </w:r>
      <w:r w:rsidR="00BB6BA1" w:rsidRPr="00640CB0">
        <w:rPr>
          <w:rFonts w:ascii="Times New Roman" w:eastAsia="Times New Roman" w:hAnsi="Times New Roman" w:cs="Times New Roman"/>
          <w:b/>
          <w:bCs/>
          <w:color w:val="000000"/>
          <w:sz w:val="20"/>
          <w:szCs w:val="20"/>
        </w:rPr>
        <w:t>e</w:t>
      </w:r>
      <w:r w:rsidRPr="002552EB">
        <w:rPr>
          <w:rFonts w:ascii="Times New Roman" w:eastAsia="Times New Roman" w:hAnsi="Times New Roman" w:cs="Times New Roman"/>
          <w:b/>
          <w:bCs/>
          <w:color w:val="000000"/>
          <w:sz w:val="20"/>
          <w:szCs w:val="20"/>
        </w:rPr>
        <w:t>ntitlement amongst WTO members (%)</w:t>
      </w:r>
    </w:p>
    <w:p w14:paraId="1B3A0B4A" w14:textId="7E5C1CD9" w:rsidR="0023613F" w:rsidRPr="00640CB0" w:rsidRDefault="00935629" w:rsidP="007E5E11">
      <w:pPr>
        <w:spacing w:after="0" w:line="240" w:lineRule="auto"/>
        <w:contextualSpacing/>
      </w:pPr>
      <w:r w:rsidRPr="00640CB0">
        <w:rPr>
          <w:noProof/>
        </w:rPr>
        <w:drawing>
          <wp:inline distT="0" distB="0" distL="0" distR="0" wp14:anchorId="4C6063B0" wp14:editId="0711CB0A">
            <wp:extent cx="5687736" cy="2839085"/>
            <wp:effectExtent l="0" t="0" r="14605" b="18415"/>
            <wp:docPr id="1505203134" name="Chart 1">
              <a:extLst xmlns:a="http://schemas.openxmlformats.org/drawingml/2006/main">
                <a:ext uri="{FF2B5EF4-FFF2-40B4-BE49-F238E27FC236}">
                  <a16:creationId xmlns:a16="http://schemas.microsoft.com/office/drawing/2014/main" id="{48BBF8C4-0227-9664-B27A-AC485F9569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A80223" w14:textId="765A1FBB" w:rsidR="00A85C0D" w:rsidRPr="007E5E11" w:rsidRDefault="0023613F" w:rsidP="007E5E11">
      <w:pPr>
        <w:spacing w:after="0" w:line="240" w:lineRule="auto"/>
        <w:contextualSpacing/>
        <w:jc w:val="both"/>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Source: Authors</w:t>
      </w:r>
      <w:r w:rsidR="000C362F" w:rsidRPr="007E5E11">
        <w:rPr>
          <w:rFonts w:ascii="Times New Roman" w:eastAsia="Times New Roman" w:hAnsi="Times New Roman" w:cs="Times New Roman"/>
          <w:color w:val="000000"/>
          <w:sz w:val="20"/>
          <w:szCs w:val="20"/>
        </w:rPr>
        <w:t>’</w:t>
      </w:r>
      <w:r w:rsidRPr="007E5E11">
        <w:rPr>
          <w:rFonts w:ascii="Times New Roman" w:eastAsia="Times New Roman" w:hAnsi="Times New Roman" w:cs="Times New Roman"/>
          <w:color w:val="000000"/>
          <w:sz w:val="20"/>
          <w:szCs w:val="20"/>
        </w:rPr>
        <w:t xml:space="preserve"> calculation based on (1) Notified final bound AMS entitlement in their currency</w:t>
      </w:r>
      <w:r w:rsidR="008A03DD" w:rsidRPr="007E5E11">
        <w:rPr>
          <w:rFonts w:ascii="Times New Roman" w:eastAsia="Times New Roman" w:hAnsi="Times New Roman" w:cs="Times New Roman"/>
          <w:color w:val="000000"/>
          <w:sz w:val="20"/>
          <w:szCs w:val="20"/>
        </w:rPr>
        <w:t>; (2) AMS entitlement of Mexico</w:t>
      </w:r>
      <w:r w:rsidRPr="007E5E11">
        <w:rPr>
          <w:rFonts w:ascii="Times New Roman" w:eastAsia="Times New Roman" w:hAnsi="Times New Roman" w:cs="Times New Roman"/>
          <w:color w:val="000000"/>
          <w:sz w:val="20"/>
          <w:szCs w:val="20"/>
        </w:rPr>
        <w:t xml:space="preserve"> </w:t>
      </w:r>
      <w:r w:rsidR="008A03DD" w:rsidRPr="007E5E11">
        <w:rPr>
          <w:rFonts w:ascii="Times New Roman" w:eastAsia="Times New Roman" w:hAnsi="Times New Roman" w:cs="Times New Roman"/>
          <w:color w:val="000000"/>
          <w:sz w:val="20"/>
          <w:szCs w:val="20"/>
        </w:rPr>
        <w:t xml:space="preserve">and Argentina based on 1991 and 1992 prices respectively; </w:t>
      </w:r>
      <w:r w:rsidRPr="007E5E11">
        <w:rPr>
          <w:rFonts w:ascii="Times New Roman" w:eastAsia="Times New Roman" w:hAnsi="Times New Roman" w:cs="Times New Roman"/>
          <w:color w:val="000000"/>
          <w:sz w:val="20"/>
          <w:szCs w:val="20"/>
        </w:rPr>
        <w:t>and (</w:t>
      </w:r>
      <w:r w:rsidR="008A03DD" w:rsidRPr="007E5E11">
        <w:rPr>
          <w:rFonts w:ascii="Times New Roman" w:eastAsia="Times New Roman" w:hAnsi="Times New Roman" w:cs="Times New Roman"/>
          <w:color w:val="000000"/>
          <w:sz w:val="20"/>
          <w:szCs w:val="20"/>
        </w:rPr>
        <w:t>3</w:t>
      </w:r>
      <w:r w:rsidRPr="007E5E11">
        <w:rPr>
          <w:rFonts w:ascii="Times New Roman" w:eastAsia="Times New Roman" w:hAnsi="Times New Roman" w:cs="Times New Roman"/>
          <w:color w:val="000000"/>
          <w:sz w:val="20"/>
          <w:szCs w:val="20"/>
        </w:rPr>
        <w:t xml:space="preserve">) Exchange rate from IMF for the year 2018 accessed from </w:t>
      </w:r>
      <w:hyperlink r:id="rId10" w:history="1">
        <w:r w:rsidR="008A03DD" w:rsidRPr="007E5E11">
          <w:rPr>
            <w:rStyle w:val="Hyperlink"/>
            <w:rFonts w:ascii="Times New Roman" w:eastAsia="Times New Roman" w:hAnsi="Times New Roman" w:cs="Times New Roman"/>
            <w:sz w:val="20"/>
            <w:szCs w:val="20"/>
          </w:rPr>
          <w:t>https://data.imf.org/</w:t>
        </w:r>
      </w:hyperlink>
      <w:r w:rsidR="008A03DD" w:rsidRPr="007E5E11">
        <w:rPr>
          <w:rFonts w:ascii="Times New Roman" w:eastAsia="Times New Roman" w:hAnsi="Times New Roman" w:cs="Times New Roman"/>
          <w:color w:val="000000"/>
          <w:sz w:val="20"/>
          <w:szCs w:val="20"/>
        </w:rPr>
        <w:t xml:space="preserve">. </w:t>
      </w:r>
    </w:p>
    <w:p w14:paraId="292AC77A" w14:textId="77777777" w:rsidR="008A03DD" w:rsidRPr="00801B78" w:rsidRDefault="008A03DD" w:rsidP="00801B78">
      <w:pPr>
        <w:spacing w:after="0" w:line="360" w:lineRule="auto"/>
        <w:contextualSpacing/>
        <w:jc w:val="both"/>
        <w:rPr>
          <w:rFonts w:ascii="Times New Roman" w:eastAsia="Times New Roman" w:hAnsi="Times New Roman" w:cs="Times New Roman"/>
          <w:color w:val="000000"/>
          <w:sz w:val="24"/>
          <w:szCs w:val="24"/>
        </w:rPr>
      </w:pPr>
    </w:p>
    <w:p w14:paraId="00000036" w14:textId="1E17F8AD" w:rsidR="007F7F72" w:rsidRPr="002552EB" w:rsidRDefault="00D01ECA" w:rsidP="002552EB">
      <w:pPr>
        <w:pStyle w:val="Heading2"/>
        <w:numPr>
          <w:ilvl w:val="1"/>
          <w:numId w:val="12"/>
        </w:numPr>
        <w:jc w:val="left"/>
        <w:rPr>
          <w:szCs w:val="24"/>
        </w:rPr>
      </w:pPr>
      <w:bookmarkStart w:id="6" w:name="_Toc147322995"/>
      <w:r w:rsidRPr="002552EB">
        <w:rPr>
          <w:szCs w:val="24"/>
        </w:rPr>
        <w:t>Projection of Global Overall Trade-distorting Domestic Support Entitlement</w:t>
      </w:r>
      <w:bookmarkEnd w:id="6"/>
    </w:p>
    <w:p w14:paraId="39C0806A" w14:textId="2FCFAEFC" w:rsidR="000D4399" w:rsidRPr="002552EB" w:rsidRDefault="00E83014"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The proponents</w:t>
      </w:r>
      <w:r w:rsidR="00D01ECA" w:rsidRPr="002552EB">
        <w:rPr>
          <w:rFonts w:ascii="Times New Roman" w:eastAsia="Times New Roman" w:hAnsi="Times New Roman" w:cs="Times New Roman"/>
          <w:color w:val="000000"/>
          <w:sz w:val="24"/>
          <w:szCs w:val="24"/>
        </w:rPr>
        <w:t xml:space="preserve"> Australia, New Zealand and Canada</w:t>
      </w:r>
      <w:r w:rsidRPr="002552EB">
        <w:rPr>
          <w:rFonts w:ascii="Times New Roman" w:eastAsia="Times New Roman" w:hAnsi="Times New Roman" w:cs="Times New Roman"/>
          <w:color w:val="000000"/>
          <w:sz w:val="24"/>
          <w:szCs w:val="24"/>
        </w:rPr>
        <w:t xml:space="preserve"> calculated the TTDS entitlement based on </w:t>
      </w:r>
      <w:r w:rsidR="00D47C0D" w:rsidRPr="002552EB">
        <w:rPr>
          <w:rFonts w:ascii="Times New Roman" w:eastAsia="Times New Roman" w:hAnsi="Times New Roman" w:cs="Times New Roman"/>
          <w:color w:val="000000"/>
          <w:sz w:val="24"/>
          <w:szCs w:val="24"/>
        </w:rPr>
        <w:t>variables namely,</w:t>
      </w:r>
      <w:r w:rsidR="00D01ECA" w:rsidRPr="002552EB">
        <w:rPr>
          <w:rFonts w:ascii="Times New Roman" w:eastAsia="Times New Roman" w:hAnsi="Times New Roman" w:cs="Times New Roman"/>
          <w:color w:val="000000"/>
          <w:sz w:val="24"/>
          <w:szCs w:val="24"/>
        </w:rPr>
        <w:t xml:space="preserve"> </w:t>
      </w:r>
      <w:r w:rsidR="00CD602A" w:rsidRPr="002552EB">
        <w:rPr>
          <w:rFonts w:ascii="Times New Roman" w:eastAsia="Times New Roman" w:hAnsi="Times New Roman" w:cs="Times New Roman"/>
          <w:color w:val="000000"/>
          <w:sz w:val="24"/>
          <w:szCs w:val="24"/>
        </w:rPr>
        <w:t xml:space="preserve">the </w:t>
      </w:r>
      <w:r w:rsidR="00D01ECA" w:rsidRPr="002552EB">
        <w:rPr>
          <w:rFonts w:ascii="Times New Roman" w:eastAsia="Times New Roman" w:hAnsi="Times New Roman" w:cs="Times New Roman"/>
          <w:color w:val="000000"/>
          <w:sz w:val="24"/>
          <w:szCs w:val="24"/>
        </w:rPr>
        <w:t>AMS</w:t>
      </w:r>
      <w:r w:rsidR="00CD602A" w:rsidRPr="002552EB">
        <w:rPr>
          <w:rFonts w:ascii="Times New Roman" w:eastAsia="Times New Roman" w:hAnsi="Times New Roman" w:cs="Times New Roman"/>
          <w:color w:val="000000"/>
          <w:sz w:val="24"/>
          <w:szCs w:val="24"/>
        </w:rPr>
        <w:t xml:space="preserve"> entitlement</w:t>
      </w:r>
      <w:r w:rsidR="00D01ECA" w:rsidRPr="002552EB">
        <w:rPr>
          <w:rFonts w:ascii="Times New Roman" w:eastAsia="Times New Roman" w:hAnsi="Times New Roman" w:cs="Times New Roman"/>
          <w:color w:val="000000"/>
          <w:sz w:val="24"/>
          <w:szCs w:val="24"/>
        </w:rPr>
        <w:t xml:space="preserve">, product-specific </w:t>
      </w:r>
      <w:r w:rsidR="00D01ECA" w:rsidRPr="002552EB">
        <w:rPr>
          <w:rFonts w:ascii="Times New Roman" w:eastAsia="Times New Roman" w:hAnsi="Times New Roman" w:cs="Times New Roman"/>
          <w:i/>
          <w:color w:val="000000"/>
          <w:sz w:val="24"/>
          <w:szCs w:val="24"/>
        </w:rPr>
        <w:t>de minimis</w:t>
      </w:r>
      <w:r w:rsidR="00D01ECA" w:rsidRPr="002552EB">
        <w:rPr>
          <w:rFonts w:ascii="Times New Roman" w:eastAsia="Times New Roman" w:hAnsi="Times New Roman" w:cs="Times New Roman"/>
          <w:color w:val="000000"/>
          <w:sz w:val="24"/>
          <w:szCs w:val="24"/>
        </w:rPr>
        <w:t xml:space="preserve"> limit, and non-product specific </w:t>
      </w:r>
      <w:r w:rsidR="00D01ECA" w:rsidRPr="002552EB">
        <w:rPr>
          <w:rFonts w:ascii="Times New Roman" w:eastAsia="Times New Roman" w:hAnsi="Times New Roman" w:cs="Times New Roman"/>
          <w:i/>
          <w:color w:val="000000"/>
          <w:sz w:val="24"/>
          <w:szCs w:val="24"/>
        </w:rPr>
        <w:t>de minimis</w:t>
      </w:r>
      <w:r w:rsidR="00D01ECA" w:rsidRPr="002552EB">
        <w:rPr>
          <w:rFonts w:ascii="Times New Roman" w:eastAsia="Times New Roman" w:hAnsi="Times New Roman" w:cs="Times New Roman"/>
          <w:color w:val="000000"/>
          <w:sz w:val="24"/>
          <w:szCs w:val="24"/>
        </w:rPr>
        <w:t xml:space="preserve"> limit</w:t>
      </w:r>
      <w:r w:rsidR="00304F2E" w:rsidRPr="002552EB">
        <w:rPr>
          <w:rFonts w:ascii="Times New Roman" w:eastAsia="Times New Roman" w:hAnsi="Times New Roman" w:cs="Times New Roman"/>
          <w:color w:val="000000"/>
          <w:sz w:val="24"/>
          <w:szCs w:val="24"/>
        </w:rPr>
        <w:t xml:space="preserve"> </w:t>
      </w:r>
      <w:r w:rsidR="00304F2E" w:rsidRPr="002552EB">
        <w:rPr>
          <w:rFonts w:ascii="Times New Roman" w:eastAsia="Times New Roman" w:hAnsi="Times New Roman" w:cs="Times New Roman"/>
          <w:color w:val="000000" w:themeColor="text1"/>
          <w:sz w:val="24"/>
          <w:szCs w:val="24"/>
        </w:rPr>
        <w:t>(</w:t>
      </w:r>
      <w:r w:rsidR="00CB3774" w:rsidRPr="002552EB">
        <w:rPr>
          <w:rFonts w:ascii="Times New Roman" w:eastAsia="Times New Roman" w:hAnsi="Times New Roman" w:cs="Times New Roman"/>
          <w:color w:val="000000" w:themeColor="text1"/>
          <w:sz w:val="24"/>
          <w:szCs w:val="24"/>
        </w:rPr>
        <w:t>WTO 2019a; 2019b</w:t>
      </w:r>
      <w:r w:rsidR="00304F2E" w:rsidRPr="002552EB">
        <w:rPr>
          <w:rFonts w:ascii="Times New Roman" w:eastAsia="Times New Roman" w:hAnsi="Times New Roman" w:cs="Times New Roman"/>
          <w:color w:val="000000" w:themeColor="text1"/>
          <w:sz w:val="24"/>
          <w:szCs w:val="24"/>
        </w:rPr>
        <w:t>)</w:t>
      </w:r>
      <w:r w:rsidR="00D01ECA" w:rsidRPr="002552EB">
        <w:rPr>
          <w:rFonts w:ascii="Times New Roman" w:eastAsia="Times New Roman" w:hAnsi="Times New Roman" w:cs="Times New Roman"/>
          <w:color w:val="000000" w:themeColor="text1"/>
          <w:sz w:val="24"/>
          <w:szCs w:val="24"/>
        </w:rPr>
        <w:t xml:space="preserve">. </w:t>
      </w:r>
      <w:r w:rsidR="00B51D2B" w:rsidRPr="002552EB">
        <w:rPr>
          <w:rFonts w:ascii="Times New Roman" w:eastAsia="Times New Roman" w:hAnsi="Times New Roman" w:cs="Times New Roman"/>
          <w:color w:val="000000"/>
          <w:sz w:val="24"/>
          <w:szCs w:val="24"/>
        </w:rPr>
        <w:t>As explained in the above section,</w:t>
      </w:r>
      <w:r w:rsidR="00D01ECA" w:rsidRPr="002552EB">
        <w:rPr>
          <w:rFonts w:ascii="Times New Roman" w:eastAsia="Times New Roman" w:hAnsi="Times New Roman" w:cs="Times New Roman"/>
          <w:color w:val="000000"/>
          <w:sz w:val="24"/>
          <w:szCs w:val="24"/>
        </w:rPr>
        <w:t xml:space="preserve"> the product-specific </w:t>
      </w:r>
      <w:r w:rsidR="00D01ECA" w:rsidRPr="002552EB">
        <w:rPr>
          <w:rFonts w:ascii="Times New Roman" w:eastAsia="Times New Roman" w:hAnsi="Times New Roman" w:cs="Times New Roman"/>
          <w:i/>
          <w:color w:val="000000"/>
          <w:sz w:val="24"/>
          <w:szCs w:val="24"/>
        </w:rPr>
        <w:t>de minimis</w:t>
      </w:r>
      <w:r w:rsidR="00D01ECA" w:rsidRPr="002552EB">
        <w:rPr>
          <w:rFonts w:ascii="Times New Roman" w:eastAsia="Times New Roman" w:hAnsi="Times New Roman" w:cs="Times New Roman"/>
          <w:color w:val="000000"/>
          <w:sz w:val="24"/>
          <w:szCs w:val="24"/>
        </w:rPr>
        <w:t xml:space="preserve"> limit</w:t>
      </w:r>
      <w:r w:rsidR="00B51D2B" w:rsidRPr="002552EB">
        <w:rPr>
          <w:rFonts w:ascii="Times New Roman" w:eastAsia="Times New Roman" w:hAnsi="Times New Roman" w:cs="Times New Roman"/>
          <w:color w:val="000000"/>
          <w:sz w:val="24"/>
          <w:szCs w:val="24"/>
        </w:rPr>
        <w:t xml:space="preserve"> for a developed member</w:t>
      </w:r>
      <w:r w:rsidR="00D01ECA" w:rsidRPr="002552EB">
        <w:rPr>
          <w:rFonts w:ascii="Times New Roman" w:eastAsia="Times New Roman" w:hAnsi="Times New Roman" w:cs="Times New Roman"/>
          <w:color w:val="000000"/>
          <w:sz w:val="24"/>
          <w:szCs w:val="24"/>
        </w:rPr>
        <w:t xml:space="preserve"> is five percent of the VoP of </w:t>
      </w:r>
      <w:r w:rsidR="00B51D2B" w:rsidRPr="002552EB">
        <w:rPr>
          <w:rFonts w:ascii="Times New Roman" w:eastAsia="Times New Roman" w:hAnsi="Times New Roman" w:cs="Times New Roman"/>
          <w:color w:val="000000"/>
          <w:sz w:val="24"/>
          <w:szCs w:val="24"/>
        </w:rPr>
        <w:t>the</w:t>
      </w:r>
      <w:r w:rsidR="00D01ECA" w:rsidRPr="002552EB">
        <w:rPr>
          <w:rFonts w:ascii="Times New Roman" w:eastAsia="Times New Roman" w:hAnsi="Times New Roman" w:cs="Times New Roman"/>
          <w:color w:val="000000"/>
          <w:sz w:val="24"/>
          <w:szCs w:val="24"/>
        </w:rPr>
        <w:t xml:space="preserve"> concerned product, and the non-product specific </w:t>
      </w:r>
      <w:r w:rsidR="00D01ECA" w:rsidRPr="002552EB">
        <w:rPr>
          <w:rFonts w:ascii="Times New Roman" w:eastAsia="Times New Roman" w:hAnsi="Times New Roman" w:cs="Times New Roman"/>
          <w:i/>
          <w:color w:val="000000"/>
          <w:sz w:val="24"/>
          <w:szCs w:val="24"/>
        </w:rPr>
        <w:t>de minimis</w:t>
      </w:r>
      <w:r w:rsidR="00D01ECA" w:rsidRPr="002552EB">
        <w:rPr>
          <w:rFonts w:ascii="Times New Roman" w:eastAsia="Times New Roman" w:hAnsi="Times New Roman" w:cs="Times New Roman"/>
          <w:color w:val="000000"/>
          <w:sz w:val="24"/>
          <w:szCs w:val="24"/>
        </w:rPr>
        <w:t xml:space="preserve"> limit </w:t>
      </w:r>
      <w:r w:rsidR="00BA6C9A" w:rsidRPr="002552EB">
        <w:rPr>
          <w:rFonts w:ascii="Times New Roman" w:eastAsia="Times New Roman" w:hAnsi="Times New Roman" w:cs="Times New Roman"/>
          <w:color w:val="000000"/>
          <w:sz w:val="24"/>
          <w:szCs w:val="24"/>
        </w:rPr>
        <w:t>is five</w:t>
      </w:r>
      <w:r w:rsidR="00D01ECA" w:rsidRPr="002552EB">
        <w:rPr>
          <w:rFonts w:ascii="Times New Roman" w:eastAsia="Times New Roman" w:hAnsi="Times New Roman" w:cs="Times New Roman"/>
          <w:color w:val="000000"/>
          <w:sz w:val="24"/>
          <w:szCs w:val="24"/>
        </w:rPr>
        <w:t xml:space="preserve"> percent of the VoP of total agriculture.</w:t>
      </w:r>
      <w:r w:rsidR="000711D2" w:rsidRPr="002552EB">
        <w:rPr>
          <w:rFonts w:ascii="Times New Roman" w:eastAsia="Times New Roman" w:hAnsi="Times New Roman" w:cs="Times New Roman"/>
          <w:color w:val="000000"/>
          <w:sz w:val="24"/>
          <w:szCs w:val="24"/>
        </w:rPr>
        <w:t xml:space="preserve"> </w:t>
      </w:r>
      <w:r w:rsidR="00D01ECA" w:rsidRPr="002552EB">
        <w:rPr>
          <w:rFonts w:ascii="Times New Roman" w:eastAsia="Times New Roman" w:hAnsi="Times New Roman" w:cs="Times New Roman"/>
          <w:color w:val="000000"/>
          <w:sz w:val="24"/>
          <w:szCs w:val="24"/>
        </w:rPr>
        <w:t xml:space="preserve">Theoretically, the VoP of total agriculture is equal to the sum of the value for all individual products. </w:t>
      </w:r>
      <w:r w:rsidR="005D5BC6" w:rsidRPr="002552EB">
        <w:rPr>
          <w:rFonts w:ascii="Times New Roman" w:eastAsia="Times New Roman" w:hAnsi="Times New Roman" w:cs="Times New Roman"/>
          <w:color w:val="000000"/>
          <w:sz w:val="24"/>
          <w:szCs w:val="24"/>
        </w:rPr>
        <w:t>Hence</w:t>
      </w:r>
      <w:r w:rsidR="00B127AB">
        <w:rPr>
          <w:rFonts w:ascii="Times New Roman" w:eastAsia="Times New Roman" w:hAnsi="Times New Roman" w:cs="Times New Roman"/>
          <w:color w:val="000000"/>
          <w:sz w:val="24"/>
          <w:szCs w:val="24"/>
        </w:rPr>
        <w:t xml:space="preserve">, it is argued </w:t>
      </w:r>
      <w:r w:rsidR="00AA5A21" w:rsidRPr="002552EB">
        <w:rPr>
          <w:rFonts w:ascii="Times New Roman" w:eastAsia="Times New Roman" w:hAnsi="Times New Roman" w:cs="Times New Roman"/>
          <w:color w:val="000000"/>
          <w:sz w:val="24"/>
          <w:szCs w:val="24"/>
        </w:rPr>
        <w:t xml:space="preserve">that </w:t>
      </w:r>
      <w:r w:rsidR="00D01ECA" w:rsidRPr="002552EB">
        <w:rPr>
          <w:rFonts w:ascii="Times New Roman" w:eastAsia="Times New Roman" w:hAnsi="Times New Roman" w:cs="Times New Roman"/>
          <w:color w:val="000000"/>
          <w:sz w:val="24"/>
          <w:szCs w:val="24"/>
        </w:rPr>
        <w:t xml:space="preserve">a developed member </w:t>
      </w:r>
      <w:r w:rsidR="00617AF9" w:rsidRPr="002552EB">
        <w:rPr>
          <w:rFonts w:ascii="Times New Roman" w:eastAsia="Times New Roman" w:hAnsi="Times New Roman" w:cs="Times New Roman"/>
          <w:color w:val="000000"/>
          <w:sz w:val="24"/>
          <w:szCs w:val="24"/>
        </w:rPr>
        <w:t>ha</w:t>
      </w:r>
      <w:r w:rsidR="009E670C" w:rsidRPr="002552EB">
        <w:rPr>
          <w:rFonts w:ascii="Times New Roman" w:eastAsia="Times New Roman" w:hAnsi="Times New Roman" w:cs="Times New Roman"/>
          <w:color w:val="000000"/>
          <w:sz w:val="24"/>
          <w:szCs w:val="24"/>
        </w:rPr>
        <w:t>s</w:t>
      </w:r>
      <w:r w:rsidR="00D01ECA" w:rsidRPr="002552EB">
        <w:rPr>
          <w:rFonts w:ascii="Times New Roman" w:eastAsia="Times New Roman" w:hAnsi="Times New Roman" w:cs="Times New Roman"/>
          <w:color w:val="000000"/>
          <w:sz w:val="24"/>
          <w:szCs w:val="24"/>
        </w:rPr>
        <w:t xml:space="preserve"> a combined </w:t>
      </w:r>
      <w:r w:rsidR="00D01ECA" w:rsidRPr="002552EB">
        <w:rPr>
          <w:rFonts w:ascii="Times New Roman" w:eastAsia="Times New Roman" w:hAnsi="Times New Roman" w:cs="Times New Roman"/>
          <w:i/>
          <w:color w:val="000000"/>
          <w:sz w:val="24"/>
          <w:szCs w:val="24"/>
        </w:rPr>
        <w:t>de minimis</w:t>
      </w:r>
      <w:r w:rsidR="00D01ECA" w:rsidRPr="002552EB">
        <w:rPr>
          <w:rFonts w:ascii="Times New Roman" w:eastAsia="Times New Roman" w:hAnsi="Times New Roman" w:cs="Times New Roman"/>
          <w:color w:val="000000"/>
          <w:sz w:val="24"/>
          <w:szCs w:val="24"/>
        </w:rPr>
        <w:t xml:space="preserve"> entitlement of 10 percent consisting of aggregate product-specific </w:t>
      </w:r>
      <w:r w:rsidR="00D01ECA" w:rsidRPr="002552EB">
        <w:rPr>
          <w:rFonts w:ascii="Times New Roman" w:eastAsia="Times New Roman" w:hAnsi="Times New Roman" w:cs="Times New Roman"/>
          <w:i/>
          <w:color w:val="000000"/>
          <w:sz w:val="24"/>
          <w:szCs w:val="24"/>
        </w:rPr>
        <w:t>de minimis</w:t>
      </w:r>
      <w:r w:rsidR="00D01ECA" w:rsidRPr="002552EB">
        <w:rPr>
          <w:rFonts w:ascii="Times New Roman" w:eastAsia="Times New Roman" w:hAnsi="Times New Roman" w:cs="Times New Roman"/>
          <w:color w:val="000000"/>
          <w:sz w:val="24"/>
          <w:szCs w:val="24"/>
        </w:rPr>
        <w:t xml:space="preserve"> limit (</w:t>
      </w:r>
      <w:r w:rsidR="00C041E8" w:rsidRPr="002552EB">
        <w:rPr>
          <w:rFonts w:ascii="Times New Roman" w:eastAsia="Times New Roman" w:hAnsi="Times New Roman" w:cs="Times New Roman"/>
          <w:color w:val="000000"/>
          <w:sz w:val="24"/>
          <w:szCs w:val="24"/>
        </w:rPr>
        <w:t>5</w:t>
      </w:r>
      <w:r w:rsidR="00D01ECA" w:rsidRPr="002552EB">
        <w:rPr>
          <w:rFonts w:ascii="Times New Roman" w:eastAsia="Times New Roman" w:hAnsi="Times New Roman" w:cs="Times New Roman"/>
          <w:color w:val="000000"/>
          <w:sz w:val="24"/>
          <w:szCs w:val="24"/>
        </w:rPr>
        <w:t xml:space="preserve"> percent) and non-product specific </w:t>
      </w:r>
      <w:r w:rsidR="00D01ECA" w:rsidRPr="002552EB">
        <w:rPr>
          <w:rFonts w:ascii="Times New Roman" w:eastAsia="Times New Roman" w:hAnsi="Times New Roman" w:cs="Times New Roman"/>
          <w:i/>
          <w:color w:val="000000"/>
          <w:sz w:val="24"/>
          <w:szCs w:val="24"/>
        </w:rPr>
        <w:t>de minimis</w:t>
      </w:r>
      <w:r w:rsidR="00D01ECA" w:rsidRPr="002552EB">
        <w:rPr>
          <w:rFonts w:ascii="Times New Roman" w:eastAsia="Times New Roman" w:hAnsi="Times New Roman" w:cs="Times New Roman"/>
          <w:color w:val="000000"/>
          <w:sz w:val="24"/>
          <w:szCs w:val="24"/>
        </w:rPr>
        <w:t xml:space="preserve"> limit (</w:t>
      </w:r>
      <w:r w:rsidR="00C041E8" w:rsidRPr="002552EB">
        <w:rPr>
          <w:rFonts w:ascii="Times New Roman" w:eastAsia="Times New Roman" w:hAnsi="Times New Roman" w:cs="Times New Roman"/>
          <w:color w:val="000000"/>
          <w:sz w:val="24"/>
          <w:szCs w:val="24"/>
        </w:rPr>
        <w:t>5</w:t>
      </w:r>
      <w:r w:rsidR="00D01ECA" w:rsidRPr="002552EB">
        <w:rPr>
          <w:rFonts w:ascii="Times New Roman" w:eastAsia="Times New Roman" w:hAnsi="Times New Roman" w:cs="Times New Roman"/>
          <w:color w:val="000000"/>
          <w:sz w:val="24"/>
          <w:szCs w:val="24"/>
        </w:rPr>
        <w:t xml:space="preserve"> percent)</w:t>
      </w:r>
      <w:r w:rsidR="002952D5" w:rsidRPr="002552EB">
        <w:rPr>
          <w:rFonts w:ascii="Times New Roman" w:eastAsia="Times New Roman" w:hAnsi="Times New Roman" w:cs="Times New Roman"/>
          <w:color w:val="000000"/>
          <w:sz w:val="24"/>
          <w:szCs w:val="24"/>
        </w:rPr>
        <w:t>. Similarly,</w:t>
      </w:r>
      <w:r w:rsidR="00617AF9" w:rsidRPr="002552EB">
        <w:rPr>
          <w:rFonts w:ascii="Times New Roman" w:eastAsia="Times New Roman" w:hAnsi="Times New Roman" w:cs="Times New Roman"/>
          <w:color w:val="000000"/>
          <w:sz w:val="24"/>
          <w:szCs w:val="24"/>
        </w:rPr>
        <w:t xml:space="preserve"> </w:t>
      </w:r>
      <w:r w:rsidR="00D01ECA" w:rsidRPr="002552EB">
        <w:rPr>
          <w:rFonts w:ascii="Times New Roman" w:eastAsia="Times New Roman" w:hAnsi="Times New Roman" w:cs="Times New Roman"/>
          <w:color w:val="000000"/>
          <w:sz w:val="24"/>
          <w:szCs w:val="24"/>
        </w:rPr>
        <w:t xml:space="preserve">the </w:t>
      </w:r>
      <w:r w:rsidR="00617AF9" w:rsidRPr="002552EB">
        <w:rPr>
          <w:rFonts w:ascii="Times New Roman" w:eastAsia="Times New Roman" w:hAnsi="Times New Roman" w:cs="Times New Roman"/>
          <w:color w:val="000000"/>
          <w:sz w:val="24"/>
          <w:szCs w:val="24"/>
        </w:rPr>
        <w:t xml:space="preserve">developing and LDC members enjoy a </w:t>
      </w:r>
      <w:r w:rsidR="00D01ECA" w:rsidRPr="002552EB">
        <w:rPr>
          <w:rFonts w:ascii="Times New Roman" w:eastAsia="Times New Roman" w:hAnsi="Times New Roman" w:cs="Times New Roman"/>
          <w:color w:val="000000"/>
          <w:sz w:val="24"/>
          <w:szCs w:val="24"/>
        </w:rPr>
        <w:t xml:space="preserve">combined </w:t>
      </w:r>
      <w:r w:rsidR="00D01ECA" w:rsidRPr="002552EB">
        <w:rPr>
          <w:rFonts w:ascii="Times New Roman" w:eastAsia="Times New Roman" w:hAnsi="Times New Roman" w:cs="Times New Roman"/>
          <w:i/>
          <w:color w:val="000000"/>
          <w:sz w:val="24"/>
          <w:szCs w:val="24"/>
        </w:rPr>
        <w:t>de minimis</w:t>
      </w:r>
      <w:r w:rsidR="00D01ECA" w:rsidRPr="002552EB">
        <w:rPr>
          <w:rFonts w:ascii="Times New Roman" w:eastAsia="Times New Roman" w:hAnsi="Times New Roman" w:cs="Times New Roman"/>
          <w:color w:val="000000"/>
          <w:sz w:val="24"/>
          <w:szCs w:val="24"/>
        </w:rPr>
        <w:t xml:space="preserve"> entitlement </w:t>
      </w:r>
      <w:r w:rsidR="002952D5" w:rsidRPr="002552EB">
        <w:rPr>
          <w:rFonts w:ascii="Times New Roman" w:eastAsia="Times New Roman" w:hAnsi="Times New Roman" w:cs="Times New Roman"/>
          <w:color w:val="000000"/>
          <w:sz w:val="24"/>
          <w:szCs w:val="24"/>
        </w:rPr>
        <w:t>of</w:t>
      </w:r>
      <w:r w:rsidR="00D01ECA" w:rsidRPr="002552EB">
        <w:rPr>
          <w:rFonts w:ascii="Times New Roman" w:eastAsia="Times New Roman" w:hAnsi="Times New Roman" w:cs="Times New Roman"/>
          <w:color w:val="000000"/>
          <w:sz w:val="24"/>
          <w:szCs w:val="24"/>
        </w:rPr>
        <w:t xml:space="preserve"> 20 percent</w:t>
      </w:r>
      <w:r w:rsidR="002952D5" w:rsidRPr="002552EB">
        <w:rPr>
          <w:rFonts w:ascii="Times New Roman" w:eastAsia="Times New Roman" w:hAnsi="Times New Roman" w:cs="Times New Roman"/>
          <w:color w:val="000000"/>
          <w:sz w:val="24"/>
          <w:szCs w:val="24"/>
        </w:rPr>
        <w:t xml:space="preserve"> except for China and Kazakhstan whose </w:t>
      </w:r>
      <w:r w:rsidR="002E2500" w:rsidRPr="002552EB">
        <w:rPr>
          <w:rFonts w:ascii="Times New Roman" w:eastAsia="Times New Roman" w:hAnsi="Times New Roman" w:cs="Times New Roman"/>
          <w:color w:val="000000"/>
          <w:sz w:val="24"/>
          <w:szCs w:val="24"/>
        </w:rPr>
        <w:t xml:space="preserve">combined </w:t>
      </w:r>
      <w:r w:rsidR="002952D5" w:rsidRPr="002552EB">
        <w:rPr>
          <w:rFonts w:ascii="Times New Roman" w:eastAsia="Times New Roman" w:hAnsi="Times New Roman" w:cs="Times New Roman"/>
          <w:color w:val="000000"/>
          <w:sz w:val="24"/>
          <w:szCs w:val="24"/>
        </w:rPr>
        <w:t>entitlement is pegged at</w:t>
      </w:r>
      <w:r w:rsidR="00DB3F14" w:rsidRPr="002552EB">
        <w:rPr>
          <w:rFonts w:ascii="Times New Roman" w:eastAsia="Times New Roman" w:hAnsi="Times New Roman" w:cs="Times New Roman"/>
          <w:color w:val="000000"/>
          <w:sz w:val="24"/>
          <w:szCs w:val="24"/>
        </w:rPr>
        <w:t xml:space="preserve"> 17 percent.</w:t>
      </w:r>
      <w:r w:rsidR="00617AF9" w:rsidRPr="002552EB">
        <w:rPr>
          <w:rFonts w:ascii="Times New Roman" w:eastAsia="Times New Roman" w:hAnsi="Times New Roman" w:cs="Times New Roman"/>
          <w:color w:val="000000"/>
          <w:sz w:val="24"/>
          <w:szCs w:val="24"/>
        </w:rPr>
        <w:t xml:space="preserve"> </w:t>
      </w:r>
    </w:p>
    <w:p w14:paraId="0BBDE8DD" w14:textId="77777777" w:rsidR="00037AEC" w:rsidRDefault="00037AEC" w:rsidP="002552EB">
      <w:pPr>
        <w:spacing w:after="0" w:line="360" w:lineRule="auto"/>
        <w:jc w:val="both"/>
        <w:rPr>
          <w:rFonts w:ascii="Times New Roman" w:eastAsia="Times New Roman" w:hAnsi="Times New Roman" w:cs="Times New Roman"/>
          <w:color w:val="000000"/>
          <w:sz w:val="24"/>
          <w:szCs w:val="24"/>
        </w:rPr>
      </w:pPr>
    </w:p>
    <w:p w14:paraId="7C96DAC3" w14:textId="77777777" w:rsidR="00FF494B" w:rsidRDefault="00FF494B" w:rsidP="002552EB">
      <w:pPr>
        <w:spacing w:after="0" w:line="360" w:lineRule="auto"/>
        <w:jc w:val="both"/>
        <w:rPr>
          <w:rFonts w:ascii="Times New Roman" w:eastAsia="Times New Roman" w:hAnsi="Times New Roman" w:cs="Times New Roman"/>
          <w:color w:val="000000"/>
          <w:sz w:val="24"/>
          <w:szCs w:val="24"/>
        </w:rPr>
      </w:pPr>
    </w:p>
    <w:p w14:paraId="13CE674D" w14:textId="77777777" w:rsidR="00FF494B" w:rsidRPr="002552EB" w:rsidRDefault="00FF494B" w:rsidP="002552EB">
      <w:pPr>
        <w:spacing w:after="0" w:line="360" w:lineRule="auto"/>
        <w:jc w:val="both"/>
        <w:rPr>
          <w:rFonts w:ascii="Times New Roman" w:eastAsia="Times New Roman" w:hAnsi="Times New Roman" w:cs="Times New Roman"/>
          <w:color w:val="000000"/>
          <w:sz w:val="24"/>
          <w:szCs w:val="24"/>
        </w:rPr>
      </w:pPr>
    </w:p>
    <w:p w14:paraId="7459F87C" w14:textId="4DCB8A1A" w:rsidR="005210EE" w:rsidRPr="002552EB" w:rsidRDefault="005210EE" w:rsidP="002552EB">
      <w:pPr>
        <w:spacing w:line="360" w:lineRule="auto"/>
        <w:rPr>
          <w:rFonts w:ascii="Times New Roman" w:eastAsia="Times New Roman" w:hAnsi="Times New Roman" w:cs="Times New Roman"/>
          <w:b/>
          <w:bCs/>
          <w:color w:val="000000"/>
          <w:sz w:val="24"/>
          <w:szCs w:val="24"/>
        </w:rPr>
      </w:pPr>
      <w:r w:rsidRPr="002552EB">
        <w:rPr>
          <w:rFonts w:ascii="Times New Roman" w:eastAsia="Times New Roman" w:hAnsi="Times New Roman" w:cs="Times New Roman"/>
          <w:b/>
          <w:bCs/>
          <w:color w:val="000000"/>
          <w:sz w:val="24"/>
          <w:szCs w:val="24"/>
        </w:rPr>
        <w:lastRenderedPageBreak/>
        <w:t xml:space="preserve">Mathematically, </w:t>
      </w:r>
    </w:p>
    <w:p w14:paraId="0E68DDFF" w14:textId="3F6A8415"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b/>
          <w:bCs/>
          <w:color w:val="000000"/>
          <w:sz w:val="24"/>
          <w:szCs w:val="24"/>
        </w:rPr>
        <w:t>TTDS= Final Bound AMS Entitlement+ Product specific + Non-Product specific</w:t>
      </w:r>
      <w:r w:rsidRPr="002552EB">
        <w:rPr>
          <w:rFonts w:ascii="Times New Roman" w:eastAsia="Times New Roman" w:hAnsi="Times New Roman" w:cs="Times New Roman"/>
          <w:color w:val="000000"/>
          <w:sz w:val="24"/>
          <w:szCs w:val="24"/>
        </w:rPr>
        <w:t xml:space="preserve">   </w:t>
      </w:r>
      <w:proofErr w:type="gramStart"/>
      <w:r w:rsidRPr="002552EB">
        <w:rPr>
          <w:rFonts w:ascii="Times New Roman" w:eastAsia="Times New Roman" w:hAnsi="Times New Roman" w:cs="Times New Roman"/>
          <w:color w:val="000000"/>
          <w:sz w:val="24"/>
          <w:szCs w:val="24"/>
        </w:rPr>
        <w:t xml:space="preserve">   (</w:t>
      </w:r>
      <w:proofErr w:type="gramEnd"/>
      <w:r w:rsidRPr="002552EB">
        <w:rPr>
          <w:rFonts w:ascii="Times New Roman" w:eastAsia="Times New Roman" w:hAnsi="Times New Roman" w:cs="Times New Roman"/>
          <w:color w:val="000000"/>
          <w:sz w:val="24"/>
          <w:szCs w:val="24"/>
        </w:rPr>
        <w:t>1)</w:t>
      </w:r>
    </w:p>
    <w:p w14:paraId="68193402"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p>
    <w:p w14:paraId="29ED2FA8" w14:textId="5257560E"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b/>
          <w:bCs/>
          <w:color w:val="000000"/>
          <w:sz w:val="24"/>
          <w:szCs w:val="24"/>
        </w:rPr>
        <w:t>Non-product Specific= C%</w:t>
      </w:r>
      <m:oMath>
        <m:sSub>
          <m:sSubPr>
            <m:ctrlPr>
              <w:rPr>
                <w:rFonts w:ascii="Cambria Math" w:eastAsia="Times New Roman" w:hAnsi="Cambria Math" w:cs="Times New Roman"/>
                <w:b/>
                <w:bCs/>
                <w:i/>
                <w:color w:val="000000"/>
                <w:sz w:val="24"/>
                <w:szCs w:val="24"/>
                <w:lang w:val="en-US"/>
              </w:rPr>
            </m:ctrlPr>
          </m:sSubPr>
          <m:e>
            <m:r>
              <m:rPr>
                <m:sty m:val="bi"/>
              </m:rPr>
              <w:rPr>
                <w:rFonts w:ascii="Cambria Math" w:eastAsia="Times New Roman" w:hAnsi="Cambria Math" w:cs="Times New Roman"/>
                <w:color w:val="000000"/>
                <w:sz w:val="24"/>
                <w:szCs w:val="24"/>
              </w:rPr>
              <m:t>VA</m:t>
            </m:r>
          </m:e>
          <m:sub>
            <m:r>
              <m:rPr>
                <m:sty m:val="bi"/>
              </m:rPr>
              <w:rPr>
                <w:rFonts w:ascii="Cambria Math" w:eastAsia="Times New Roman" w:hAnsi="Cambria Math" w:cs="Times New Roman"/>
                <w:color w:val="000000"/>
                <w:sz w:val="24"/>
                <w:szCs w:val="24"/>
              </w:rPr>
              <m:t>T</m:t>
            </m:r>
          </m:sub>
        </m:sSub>
      </m:oMath>
      <w:r w:rsidRPr="002552EB">
        <w:rPr>
          <w:rFonts w:ascii="Times New Roman" w:eastAsia="Times New Roman" w:hAnsi="Times New Roman" w:cs="Times New Roman"/>
          <w:color w:val="000000"/>
          <w:sz w:val="24"/>
          <w:szCs w:val="24"/>
        </w:rPr>
        <w:t xml:space="preserve">                          </w:t>
      </w:r>
      <w:proofErr w:type="gramStart"/>
      <w:r w:rsidR="00F07A42">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sz w:val="24"/>
          <w:szCs w:val="24"/>
        </w:rPr>
        <w:t xml:space="preserve"> (</w:t>
      </w:r>
      <w:proofErr w:type="gramEnd"/>
      <w:r w:rsidRPr="002552EB">
        <w:rPr>
          <w:rFonts w:ascii="Times New Roman" w:eastAsia="Times New Roman" w:hAnsi="Times New Roman" w:cs="Times New Roman"/>
          <w:color w:val="000000"/>
          <w:sz w:val="24"/>
          <w:szCs w:val="24"/>
        </w:rPr>
        <w:t>2)</w:t>
      </w:r>
    </w:p>
    <w:p w14:paraId="09013735" w14:textId="0EAFA474" w:rsidR="00DE0FE7" w:rsidRPr="002552EB" w:rsidRDefault="00DE0FE7" w:rsidP="002552EB">
      <w:pPr>
        <w:spacing w:after="0" w:line="360" w:lineRule="auto"/>
        <w:jc w:val="both"/>
        <w:rPr>
          <w:rFonts w:ascii="Times New Roman" w:eastAsia="Times New Roman" w:hAnsi="Times New Roman" w:cs="Times New Roman"/>
          <w:color w:val="000000"/>
          <w:sz w:val="24"/>
          <w:szCs w:val="24"/>
        </w:rPr>
      </w:pPr>
    </w:p>
    <w:p w14:paraId="0344B276" w14:textId="4D78C1A1" w:rsidR="00DE0FE7" w:rsidRPr="002552EB" w:rsidRDefault="00DE0FE7"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Where, C%= Applicable </w:t>
      </w:r>
      <w:r w:rsidRPr="002552EB">
        <w:rPr>
          <w:rFonts w:ascii="Times New Roman" w:eastAsia="Times New Roman" w:hAnsi="Times New Roman" w:cs="Times New Roman"/>
          <w:i/>
          <w:iCs/>
          <w:color w:val="000000"/>
          <w:sz w:val="24"/>
          <w:szCs w:val="24"/>
        </w:rPr>
        <w:t>de minimis</w:t>
      </w:r>
      <w:r w:rsidRPr="002552EB">
        <w:rPr>
          <w:rFonts w:ascii="Times New Roman" w:eastAsia="Times New Roman" w:hAnsi="Times New Roman" w:cs="Times New Roman"/>
          <w:color w:val="000000"/>
          <w:sz w:val="24"/>
          <w:szCs w:val="24"/>
        </w:rPr>
        <w:t xml:space="preserve"> percentage for each country, VA</w:t>
      </w:r>
      <w:r w:rsidRPr="002552EB">
        <w:rPr>
          <w:rFonts w:ascii="Times New Roman" w:eastAsia="Times New Roman" w:hAnsi="Times New Roman" w:cs="Times New Roman"/>
          <w:color w:val="000000"/>
          <w:sz w:val="24"/>
          <w:szCs w:val="24"/>
          <w:vertAlign w:val="subscript"/>
        </w:rPr>
        <w:t>T</w:t>
      </w:r>
      <w:r w:rsidRPr="002552EB">
        <w:rPr>
          <w:rFonts w:ascii="Times New Roman" w:eastAsia="Times New Roman" w:hAnsi="Times New Roman" w:cs="Times New Roman"/>
          <w:color w:val="000000"/>
          <w:sz w:val="24"/>
          <w:szCs w:val="24"/>
        </w:rPr>
        <w:t>= Value of total agriculture production in a relevant year, and lastly</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i</m:t>
            </m:r>
          </m:sub>
        </m:sSub>
      </m:oMath>
      <w:r w:rsidRPr="002552EB">
        <w:rPr>
          <w:rFonts w:ascii="Times New Roman" w:eastAsia="Times New Roman" w:hAnsi="Times New Roman" w:cs="Times New Roman"/>
          <w:color w:val="000000"/>
          <w:sz w:val="24"/>
          <w:szCs w:val="24"/>
        </w:rPr>
        <w:t>= total value of production for a specific product in a relevant year.</w:t>
      </w:r>
    </w:p>
    <w:p w14:paraId="0B4A0E56"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p>
    <w:p w14:paraId="3314A59A"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Product Specific= (C%</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1</m:t>
            </m:r>
          </m:sub>
        </m:sSub>
      </m:oMath>
      <w:r w:rsidRPr="002552EB">
        <w:rPr>
          <w:rFonts w:ascii="Times New Roman" w:eastAsia="Times New Roman" w:hAnsi="Times New Roman" w:cs="Times New Roman"/>
          <w:color w:val="000000"/>
          <w:sz w:val="24"/>
          <w:szCs w:val="24"/>
        </w:rPr>
        <w:t>+ C%</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2</m:t>
            </m:r>
          </m:sub>
        </m:sSub>
      </m:oMath>
      <w:r w:rsidRPr="002552EB">
        <w:rPr>
          <w:rFonts w:ascii="Times New Roman" w:eastAsia="Times New Roman" w:hAnsi="Times New Roman" w:cs="Times New Roman"/>
          <w:color w:val="000000"/>
          <w:sz w:val="24"/>
          <w:szCs w:val="24"/>
        </w:rPr>
        <w:t xml:space="preserve"> + C%</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3</m:t>
            </m:r>
          </m:sub>
        </m:sSub>
      </m:oMath>
      <w:r w:rsidRPr="002552EB">
        <w:rPr>
          <w:rFonts w:ascii="Times New Roman" w:eastAsia="Times New Roman" w:hAnsi="Times New Roman" w:cs="Times New Roman"/>
          <w:color w:val="000000"/>
          <w:sz w:val="24"/>
          <w:szCs w:val="24"/>
        </w:rPr>
        <w:t>+ C%</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4</m:t>
            </m:r>
          </m:sub>
        </m:sSub>
      </m:oMath>
      <w:r w:rsidRPr="002552EB">
        <w:rPr>
          <w:rFonts w:ascii="Times New Roman" w:eastAsia="Times New Roman" w:hAnsi="Times New Roman" w:cs="Times New Roman"/>
          <w:color w:val="000000"/>
          <w:sz w:val="24"/>
          <w:szCs w:val="24"/>
        </w:rPr>
        <w:t>+ C%</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5</m:t>
            </m:r>
          </m:sub>
        </m:sSub>
      </m:oMath>
      <w:r w:rsidRPr="002552EB">
        <w:rPr>
          <w:rFonts w:ascii="Times New Roman" w:eastAsia="Times New Roman" w:hAnsi="Times New Roman" w:cs="Times New Roman"/>
          <w:color w:val="000000"/>
          <w:sz w:val="24"/>
          <w:szCs w:val="24"/>
        </w:rPr>
        <w:t>+ …+C%</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n</m:t>
            </m:r>
          </m:sub>
        </m:sSub>
      </m:oMath>
      <w:r w:rsidRPr="002552EB">
        <w:rPr>
          <w:rFonts w:ascii="Times New Roman" w:eastAsia="Times New Roman" w:hAnsi="Times New Roman" w:cs="Times New Roman"/>
          <w:color w:val="000000"/>
          <w:sz w:val="24"/>
          <w:szCs w:val="24"/>
        </w:rPr>
        <w:t xml:space="preserve">  )</w:t>
      </w:r>
    </w:p>
    <w:p w14:paraId="3A21CCCD"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                           =C%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1</m:t>
            </m:r>
          </m:sub>
        </m:sSub>
      </m:oMath>
      <w:r w:rsidRPr="002552EB">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2</m:t>
            </m:r>
          </m:sub>
        </m:sSub>
      </m:oMath>
      <w:r w:rsidRPr="002552EB">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3</m:t>
            </m:r>
          </m:sub>
        </m:sSub>
      </m:oMath>
      <w:r w:rsidRPr="002552EB">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4</m:t>
            </m:r>
          </m:sub>
        </m:sSub>
      </m:oMath>
      <w:r w:rsidRPr="002552EB">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5</m:t>
            </m:r>
          </m:sub>
        </m:sSub>
      </m:oMath>
      <w:r w:rsidRPr="002552EB">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n</m:t>
            </m:r>
          </m:sub>
        </m:sSub>
      </m:oMath>
      <w:r w:rsidRPr="002552EB">
        <w:rPr>
          <w:rFonts w:ascii="Times New Roman" w:eastAsia="Times New Roman" w:hAnsi="Times New Roman" w:cs="Times New Roman"/>
          <w:color w:val="000000"/>
          <w:sz w:val="24"/>
          <w:szCs w:val="24"/>
        </w:rPr>
        <w:t>)</w:t>
      </w:r>
    </w:p>
    <w:p w14:paraId="3DBAB5BB"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                          =C% </w:t>
      </w:r>
      <m:oMath>
        <m:nary>
          <m:naryPr>
            <m:chr m:val="∑"/>
            <m:limLoc m:val="undOvr"/>
            <m:ctrlPr>
              <w:rPr>
                <w:rFonts w:ascii="Cambria Math" w:eastAsia="Times New Roman" w:hAnsi="Cambria Math" w:cs="Times New Roman"/>
                <w:i/>
                <w:color w:val="000000"/>
                <w:sz w:val="24"/>
                <w:szCs w:val="24"/>
                <w:lang w:val="en-US"/>
              </w:rPr>
            </m:ctrlPr>
          </m:naryPr>
          <m:sub>
            <m:r>
              <w:rPr>
                <w:rFonts w:ascii="Cambria Math" w:eastAsia="Times New Roman" w:hAnsi="Cambria Math" w:cs="Times New Roman"/>
                <w:color w:val="000000"/>
                <w:sz w:val="24"/>
                <w:szCs w:val="24"/>
              </w:rPr>
              <m:t>i=1</m:t>
            </m:r>
          </m:sub>
          <m:sup>
            <m:r>
              <w:rPr>
                <w:rFonts w:ascii="Cambria Math" w:eastAsia="Times New Roman" w:hAnsi="Cambria Math" w:cs="Times New Roman"/>
                <w:color w:val="000000"/>
                <w:sz w:val="24"/>
                <w:szCs w:val="24"/>
              </w:rPr>
              <m:t>n</m:t>
            </m:r>
          </m:sup>
          <m:e>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i</m:t>
                </m:r>
              </m:sub>
            </m:sSub>
          </m:e>
        </m:nary>
      </m:oMath>
    </w:p>
    <w:p w14:paraId="3EDA97EE"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                                                 </w:t>
      </w:r>
    </w:p>
    <w:p w14:paraId="63036CDC"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Assuming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T</m:t>
            </m:r>
          </m:sub>
        </m:sSub>
        <m:r>
          <w:rPr>
            <w:rFonts w:ascii="Cambria Math" w:eastAsia="Times New Roman" w:hAnsi="Cambria Math" w:cs="Times New Roman"/>
            <w:color w:val="000000"/>
            <w:sz w:val="24"/>
            <w:szCs w:val="24"/>
          </w:rPr>
          <m:t>=</m:t>
        </m:r>
        <m:nary>
          <m:naryPr>
            <m:chr m:val="∑"/>
            <m:limLoc m:val="undOvr"/>
            <m:ctrlPr>
              <w:rPr>
                <w:rFonts w:ascii="Cambria Math" w:eastAsia="Times New Roman" w:hAnsi="Cambria Math" w:cs="Times New Roman"/>
                <w:i/>
                <w:color w:val="000000"/>
                <w:sz w:val="24"/>
                <w:szCs w:val="24"/>
                <w:lang w:val="en-US"/>
              </w:rPr>
            </m:ctrlPr>
          </m:naryPr>
          <m:sub>
            <m:r>
              <w:rPr>
                <w:rFonts w:ascii="Cambria Math" w:eastAsia="Times New Roman" w:hAnsi="Cambria Math" w:cs="Times New Roman"/>
                <w:color w:val="000000"/>
                <w:sz w:val="24"/>
                <w:szCs w:val="24"/>
              </w:rPr>
              <m:t>i=1</m:t>
            </m:r>
          </m:sub>
          <m:sup>
            <m:r>
              <w:rPr>
                <w:rFonts w:ascii="Cambria Math" w:eastAsia="Times New Roman" w:hAnsi="Cambria Math" w:cs="Times New Roman"/>
                <w:color w:val="000000"/>
                <w:sz w:val="24"/>
                <w:szCs w:val="24"/>
              </w:rPr>
              <m:t>n</m:t>
            </m:r>
          </m:sup>
          <m:e>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i</m:t>
                </m:r>
              </m:sub>
            </m:sSub>
          </m:e>
        </m:nary>
      </m:oMath>
      <w:r w:rsidRPr="002552EB">
        <w:rPr>
          <w:rFonts w:ascii="Times New Roman" w:eastAsia="Times New Roman" w:hAnsi="Times New Roman" w:cs="Times New Roman"/>
          <w:color w:val="000000"/>
          <w:sz w:val="24"/>
          <w:szCs w:val="24"/>
        </w:rPr>
        <w:t xml:space="preserve">, </w:t>
      </w:r>
    </w:p>
    <w:p w14:paraId="1574273D"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p>
    <w:p w14:paraId="2412178B"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Therefore, </w:t>
      </w:r>
      <w:r w:rsidRPr="002552EB">
        <w:rPr>
          <w:rFonts w:ascii="Times New Roman" w:eastAsia="Times New Roman" w:hAnsi="Times New Roman" w:cs="Times New Roman"/>
          <w:b/>
          <w:bCs/>
          <w:color w:val="000000"/>
          <w:sz w:val="24"/>
          <w:szCs w:val="24"/>
        </w:rPr>
        <w:t>Product Specific= C%</w:t>
      </w:r>
      <m:oMath>
        <m:sSub>
          <m:sSubPr>
            <m:ctrlPr>
              <w:rPr>
                <w:rFonts w:ascii="Cambria Math" w:eastAsia="Times New Roman" w:hAnsi="Cambria Math" w:cs="Times New Roman"/>
                <w:b/>
                <w:bCs/>
                <w:i/>
                <w:color w:val="000000"/>
                <w:sz w:val="24"/>
                <w:szCs w:val="24"/>
                <w:lang w:val="en-US"/>
              </w:rPr>
            </m:ctrlPr>
          </m:sSubPr>
          <m:e>
            <m:r>
              <m:rPr>
                <m:sty m:val="bi"/>
              </m:rPr>
              <w:rPr>
                <w:rFonts w:ascii="Cambria Math" w:eastAsia="Times New Roman" w:hAnsi="Cambria Math" w:cs="Times New Roman"/>
                <w:color w:val="000000"/>
                <w:sz w:val="24"/>
                <w:szCs w:val="24"/>
              </w:rPr>
              <m:t>VA</m:t>
            </m:r>
          </m:e>
          <m:sub>
            <m:r>
              <m:rPr>
                <m:sty m:val="bi"/>
              </m:rPr>
              <w:rPr>
                <w:rFonts w:ascii="Cambria Math" w:eastAsia="Times New Roman" w:hAnsi="Cambria Math" w:cs="Times New Roman"/>
                <w:color w:val="000000"/>
                <w:sz w:val="24"/>
                <w:szCs w:val="24"/>
              </w:rPr>
              <m:t>T</m:t>
            </m:r>
          </m:sub>
        </m:sSub>
      </m:oMath>
      <w:r w:rsidRPr="002552EB">
        <w:rPr>
          <w:rFonts w:ascii="Times New Roman" w:eastAsia="Times New Roman" w:hAnsi="Times New Roman" w:cs="Times New Roman"/>
          <w:color w:val="000000"/>
          <w:sz w:val="24"/>
          <w:szCs w:val="24"/>
        </w:rPr>
        <w:t xml:space="preserve">     </w:t>
      </w:r>
      <w:proofErr w:type="gramStart"/>
      <w:r w:rsidRPr="002552EB">
        <w:rPr>
          <w:rFonts w:ascii="Times New Roman" w:eastAsia="Times New Roman" w:hAnsi="Times New Roman" w:cs="Times New Roman"/>
          <w:color w:val="000000"/>
          <w:sz w:val="24"/>
          <w:szCs w:val="24"/>
        </w:rPr>
        <w:t xml:space="preserve">   (</w:t>
      </w:r>
      <w:proofErr w:type="gramEnd"/>
      <w:r w:rsidRPr="002552EB">
        <w:rPr>
          <w:rFonts w:ascii="Times New Roman" w:eastAsia="Times New Roman" w:hAnsi="Times New Roman" w:cs="Times New Roman"/>
          <w:color w:val="000000"/>
          <w:sz w:val="24"/>
          <w:szCs w:val="24"/>
        </w:rPr>
        <w:t>3)</w:t>
      </w:r>
    </w:p>
    <w:p w14:paraId="651DF4CE"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p>
    <w:p w14:paraId="49455D59"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Substituting equation (2) and (3) into equation (1), </w:t>
      </w:r>
    </w:p>
    <w:p w14:paraId="051B095C"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p>
    <w:p w14:paraId="7942C2B8"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TTDS= Final Bound AMS Entitlement+ C%</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T</m:t>
            </m:r>
          </m:sub>
        </m:sSub>
      </m:oMath>
      <w:r w:rsidRPr="002552EB">
        <w:rPr>
          <w:rFonts w:ascii="Times New Roman" w:eastAsia="Times New Roman" w:hAnsi="Times New Roman" w:cs="Times New Roman"/>
          <w:color w:val="000000"/>
          <w:sz w:val="24"/>
          <w:szCs w:val="24"/>
        </w:rPr>
        <w:t>+ C%</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rPr>
              <m:t>VA</m:t>
            </m:r>
          </m:e>
          <m:sub>
            <m:r>
              <w:rPr>
                <w:rFonts w:ascii="Cambria Math" w:eastAsia="Times New Roman" w:hAnsi="Cambria Math" w:cs="Times New Roman"/>
                <w:color w:val="000000"/>
                <w:sz w:val="24"/>
                <w:szCs w:val="24"/>
              </w:rPr>
              <m:t>T</m:t>
            </m:r>
          </m:sub>
        </m:sSub>
      </m:oMath>
    </w:p>
    <w:p w14:paraId="113504CF" w14:textId="77777777" w:rsidR="000D4399" w:rsidRPr="002552EB" w:rsidRDefault="000D4399" w:rsidP="002552EB">
      <w:pPr>
        <w:spacing w:after="0" w:line="360" w:lineRule="auto"/>
        <w:jc w:val="both"/>
        <w:rPr>
          <w:rFonts w:ascii="Times New Roman" w:eastAsia="Times New Roman" w:hAnsi="Times New Roman" w:cs="Times New Roman"/>
          <w:b/>
          <w:bCs/>
          <w:color w:val="000000"/>
          <w:sz w:val="24"/>
          <w:szCs w:val="24"/>
        </w:rPr>
      </w:pPr>
    </w:p>
    <w:p w14:paraId="3A062555" w14:textId="77777777"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b/>
          <w:bCs/>
          <w:color w:val="000000"/>
          <w:sz w:val="24"/>
          <w:szCs w:val="24"/>
        </w:rPr>
        <w:t>TTDS= Final Bound AMS Entitlement+ 2C%</w:t>
      </w:r>
      <m:oMath>
        <m:sSub>
          <m:sSubPr>
            <m:ctrlPr>
              <w:rPr>
                <w:rFonts w:ascii="Cambria Math" w:eastAsia="Times New Roman" w:hAnsi="Cambria Math" w:cs="Times New Roman"/>
                <w:b/>
                <w:bCs/>
                <w:i/>
                <w:color w:val="000000"/>
                <w:sz w:val="24"/>
                <w:szCs w:val="24"/>
                <w:lang w:val="en-US"/>
              </w:rPr>
            </m:ctrlPr>
          </m:sSubPr>
          <m:e>
            <m:r>
              <m:rPr>
                <m:sty m:val="bi"/>
              </m:rPr>
              <w:rPr>
                <w:rFonts w:ascii="Cambria Math" w:eastAsia="Times New Roman" w:hAnsi="Cambria Math" w:cs="Times New Roman"/>
                <w:color w:val="000000"/>
                <w:sz w:val="24"/>
                <w:szCs w:val="24"/>
              </w:rPr>
              <m:t>VA</m:t>
            </m:r>
          </m:e>
          <m:sub>
            <m:r>
              <m:rPr>
                <m:sty m:val="bi"/>
              </m:rPr>
              <w:rPr>
                <w:rFonts w:ascii="Cambria Math" w:eastAsia="Times New Roman" w:hAnsi="Cambria Math" w:cs="Times New Roman"/>
                <w:color w:val="000000"/>
                <w:sz w:val="24"/>
                <w:szCs w:val="24"/>
              </w:rPr>
              <m:t>T</m:t>
            </m:r>
          </m:sub>
        </m:sSub>
      </m:oMath>
      <w:r w:rsidRPr="002552EB">
        <w:rPr>
          <w:rFonts w:ascii="Times New Roman" w:eastAsia="Times New Roman" w:hAnsi="Times New Roman" w:cs="Times New Roman"/>
          <w:b/>
          <w:bCs/>
          <w:color w:val="000000"/>
          <w:sz w:val="24"/>
          <w:szCs w:val="24"/>
        </w:rPr>
        <w:t xml:space="preserve">  </w:t>
      </w:r>
      <w:proofErr w:type="gramStart"/>
      <w:r w:rsidRPr="002552EB">
        <w:rPr>
          <w:rFonts w:ascii="Times New Roman" w:eastAsia="Times New Roman" w:hAnsi="Times New Roman" w:cs="Times New Roman"/>
          <w:b/>
          <w:bCs/>
          <w:color w:val="000000"/>
          <w:sz w:val="24"/>
          <w:szCs w:val="24"/>
        </w:rPr>
        <w:t xml:space="preserve">   </w:t>
      </w:r>
      <w:r w:rsidRPr="002552EB">
        <w:rPr>
          <w:rFonts w:ascii="Times New Roman" w:eastAsia="Times New Roman" w:hAnsi="Times New Roman" w:cs="Times New Roman"/>
          <w:color w:val="000000"/>
          <w:sz w:val="24"/>
          <w:szCs w:val="24"/>
        </w:rPr>
        <w:t>(</w:t>
      </w:r>
      <w:proofErr w:type="gramEnd"/>
      <w:r w:rsidRPr="002552EB">
        <w:rPr>
          <w:rFonts w:ascii="Times New Roman" w:eastAsia="Times New Roman" w:hAnsi="Times New Roman" w:cs="Times New Roman"/>
          <w:color w:val="000000"/>
          <w:sz w:val="24"/>
          <w:szCs w:val="24"/>
        </w:rPr>
        <w:t>4)</w:t>
      </w:r>
    </w:p>
    <w:p w14:paraId="18D30732" w14:textId="5D87EB2C" w:rsidR="000D4399" w:rsidRPr="002552EB" w:rsidRDefault="000D4399" w:rsidP="002552EB">
      <w:pPr>
        <w:spacing w:after="0" w:line="360" w:lineRule="auto"/>
        <w:jc w:val="both"/>
        <w:rPr>
          <w:rFonts w:ascii="Times New Roman" w:eastAsia="Times New Roman" w:hAnsi="Times New Roman" w:cs="Times New Roman"/>
          <w:color w:val="000000"/>
          <w:sz w:val="24"/>
          <w:szCs w:val="24"/>
        </w:rPr>
      </w:pPr>
    </w:p>
    <w:p w14:paraId="01666C5A" w14:textId="1B154AB4" w:rsidR="00DE0FE7" w:rsidRDefault="00DE0FE7" w:rsidP="003D6D0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As per equation 4, the trade-distorting domestic support entitlement of a member is the sum of the </w:t>
      </w:r>
      <w:r w:rsidRPr="002552EB">
        <w:rPr>
          <w:rFonts w:ascii="Times New Roman" w:eastAsia="Times New Roman" w:hAnsi="Times New Roman" w:cs="Times New Roman"/>
          <w:iCs/>
          <w:color w:val="000000"/>
          <w:sz w:val="24"/>
          <w:szCs w:val="24"/>
        </w:rPr>
        <w:t>AMS entitlement,</w:t>
      </w:r>
      <w:r w:rsidRPr="002552EB">
        <w:rPr>
          <w:rFonts w:ascii="Times New Roman" w:eastAsia="Times New Roman" w:hAnsi="Times New Roman" w:cs="Times New Roman"/>
          <w:color w:val="000000"/>
          <w:sz w:val="24"/>
          <w:szCs w:val="24"/>
        </w:rPr>
        <w:t xml:space="preserve"> and the monetary value of the combined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for a relevant year. The AMS entitlement for a member remains fixed in monetary terms, and the policy space to provide distorting support under AMS entitlement remains the same regardless of changes in VoP over the </w:t>
      </w:r>
      <w:proofErr w:type="gramStart"/>
      <w:r w:rsidRPr="002552EB">
        <w:rPr>
          <w:rFonts w:ascii="Times New Roman" w:eastAsia="Times New Roman" w:hAnsi="Times New Roman" w:cs="Times New Roman"/>
          <w:color w:val="000000"/>
          <w:sz w:val="24"/>
          <w:szCs w:val="24"/>
        </w:rPr>
        <w:t>years..</w:t>
      </w:r>
      <w:proofErr w:type="gramEnd"/>
      <w:r w:rsidRPr="002552EB">
        <w:rPr>
          <w:rFonts w:ascii="Times New Roman" w:eastAsia="Times New Roman" w:hAnsi="Times New Roman" w:cs="Times New Roman"/>
          <w:color w:val="000000"/>
          <w:sz w:val="24"/>
          <w:szCs w:val="24"/>
        </w:rPr>
        <w:t xml:space="preserve"> In contrast, the combined </w:t>
      </w:r>
      <w:r w:rsidRPr="002552EB">
        <w:rPr>
          <w:rFonts w:ascii="Times New Roman" w:eastAsia="Times New Roman" w:hAnsi="Times New Roman" w:cs="Times New Roman"/>
          <w:i/>
          <w:iCs/>
          <w:color w:val="000000"/>
          <w:sz w:val="24"/>
          <w:szCs w:val="24"/>
        </w:rPr>
        <w:t>de minimis</w:t>
      </w:r>
      <w:r w:rsidRPr="002552EB">
        <w:rPr>
          <w:rFonts w:ascii="Times New Roman" w:eastAsia="Times New Roman" w:hAnsi="Times New Roman" w:cs="Times New Roman"/>
          <w:color w:val="000000"/>
          <w:sz w:val="24"/>
          <w:szCs w:val="24"/>
        </w:rPr>
        <w:t xml:space="preserve"> entitlement which is expressed as </w:t>
      </w:r>
      <w:r w:rsidR="00264C16">
        <w:rPr>
          <w:rFonts w:ascii="Times New Roman" w:eastAsia="Times New Roman" w:hAnsi="Times New Roman" w:cs="Times New Roman"/>
          <w:color w:val="000000"/>
          <w:sz w:val="24"/>
          <w:szCs w:val="24"/>
        </w:rPr>
        <w:t xml:space="preserve">a </w:t>
      </w:r>
      <w:r w:rsidRPr="002552EB">
        <w:rPr>
          <w:rFonts w:ascii="Times New Roman" w:eastAsia="Times New Roman" w:hAnsi="Times New Roman" w:cs="Times New Roman"/>
          <w:color w:val="000000"/>
          <w:sz w:val="24"/>
          <w:szCs w:val="24"/>
        </w:rPr>
        <w:t xml:space="preserve">percentage of VoP increases or decreases with an increase or decrease in the VoP respectively (Brink &amp; Orden, 2023). Hence, with the AMS entitlement fixed in absolute monetary terms, the policy space of a member to provide trade distorting support varies solely because of its combined </w:t>
      </w:r>
      <w:r w:rsidRPr="002552EB">
        <w:rPr>
          <w:rFonts w:ascii="Times New Roman" w:eastAsia="Times New Roman" w:hAnsi="Times New Roman" w:cs="Times New Roman"/>
          <w:i/>
          <w:iCs/>
          <w:color w:val="000000"/>
          <w:sz w:val="24"/>
          <w:szCs w:val="24"/>
        </w:rPr>
        <w:t>de minimis</w:t>
      </w:r>
      <w:r w:rsidRPr="002552EB">
        <w:rPr>
          <w:rFonts w:ascii="Times New Roman" w:eastAsia="Times New Roman" w:hAnsi="Times New Roman" w:cs="Times New Roman"/>
          <w:color w:val="000000"/>
          <w:sz w:val="24"/>
          <w:szCs w:val="24"/>
        </w:rPr>
        <w:t xml:space="preserve"> entitlement. The higher the VoP of a member, the higher would be the trade-distorting domestic support entitlement in monetary terms as in the case of China (Table </w:t>
      </w:r>
      <w:r w:rsidRPr="002552EB">
        <w:rPr>
          <w:rFonts w:ascii="Times New Roman" w:eastAsia="Times New Roman" w:hAnsi="Times New Roman" w:cs="Times New Roman"/>
          <w:color w:val="000000"/>
          <w:sz w:val="24"/>
          <w:szCs w:val="24"/>
        </w:rPr>
        <w:lastRenderedPageBreak/>
        <w:t xml:space="preserve">2). Based on this methodology, the global entitlement was estimated to be US$ 761 </w:t>
      </w:r>
      <w:r w:rsidR="009F3804" w:rsidRPr="002552EB">
        <w:rPr>
          <w:rFonts w:ascii="Times New Roman" w:eastAsia="Times New Roman" w:hAnsi="Times New Roman" w:cs="Times New Roman"/>
          <w:color w:val="000000"/>
          <w:sz w:val="24"/>
          <w:szCs w:val="24"/>
        </w:rPr>
        <w:t>B</w:t>
      </w:r>
      <w:r w:rsidRPr="002552EB">
        <w:rPr>
          <w:rFonts w:ascii="Times New Roman" w:eastAsia="Times New Roman" w:hAnsi="Times New Roman" w:cs="Times New Roman"/>
          <w:color w:val="000000"/>
          <w:sz w:val="24"/>
          <w:szCs w:val="24"/>
        </w:rPr>
        <w:t xml:space="preserve">illion in 2018, and the top 10 members namely China, </w:t>
      </w:r>
      <w:r w:rsidR="008D5158" w:rsidRPr="002552EB">
        <w:rPr>
          <w:rFonts w:ascii="Times New Roman" w:eastAsia="Times New Roman" w:hAnsi="Times New Roman" w:cs="Times New Roman"/>
          <w:color w:val="000000"/>
          <w:sz w:val="24"/>
          <w:szCs w:val="24"/>
        </w:rPr>
        <w:t>EU</w:t>
      </w:r>
      <w:r w:rsidRPr="002552EB">
        <w:rPr>
          <w:rFonts w:ascii="Times New Roman" w:eastAsia="Times New Roman" w:hAnsi="Times New Roman" w:cs="Times New Roman"/>
          <w:color w:val="000000"/>
          <w:sz w:val="24"/>
          <w:szCs w:val="24"/>
        </w:rPr>
        <w:t xml:space="preserve">, India, </w:t>
      </w:r>
      <w:r w:rsidR="008D5158" w:rsidRPr="002552EB">
        <w:rPr>
          <w:rFonts w:ascii="Times New Roman" w:eastAsia="Times New Roman" w:hAnsi="Times New Roman" w:cs="Times New Roman"/>
          <w:color w:val="000000"/>
          <w:sz w:val="24"/>
          <w:szCs w:val="24"/>
        </w:rPr>
        <w:t>US</w:t>
      </w:r>
      <w:r w:rsidRPr="002552EB">
        <w:rPr>
          <w:rFonts w:ascii="Times New Roman" w:eastAsia="Times New Roman" w:hAnsi="Times New Roman" w:cs="Times New Roman"/>
          <w:color w:val="000000"/>
          <w:sz w:val="24"/>
          <w:szCs w:val="24"/>
        </w:rPr>
        <w:t>, Japan, Brazil, Indonesia, Turkey, Russia, and Pakistan accounted for 75 percent of global entitlement</w:t>
      </w:r>
      <w:r w:rsidR="007356EE"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xml:space="preserve"> The developing and LDC members</w:t>
      </w:r>
      <w:r w:rsidR="009F3804"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xml:space="preserve"> share was 64 percent of global entitlement </w:t>
      </w:r>
      <w:r w:rsidRPr="002552EB">
        <w:rPr>
          <w:rFonts w:ascii="Times New Roman" w:eastAsia="Times New Roman" w:hAnsi="Times New Roman" w:cs="Times New Roman"/>
          <w:sz w:val="24"/>
          <w:szCs w:val="24"/>
        </w:rPr>
        <w:t>for the same</w:t>
      </w:r>
      <w:r w:rsidRPr="002552EB">
        <w:rPr>
          <w:rFonts w:ascii="Times New Roman" w:eastAsia="Times New Roman" w:hAnsi="Times New Roman" w:cs="Times New Roman"/>
          <w:color w:val="000000"/>
          <w:sz w:val="24"/>
          <w:szCs w:val="24"/>
        </w:rPr>
        <w:t xml:space="preserve"> year (Table 3). </w:t>
      </w:r>
    </w:p>
    <w:p w14:paraId="5E469EDC" w14:textId="77777777" w:rsidR="007E5E11" w:rsidRPr="002552EB" w:rsidRDefault="007E5E11" w:rsidP="00801B78">
      <w:pPr>
        <w:spacing w:after="0" w:line="360" w:lineRule="auto"/>
        <w:jc w:val="both"/>
        <w:rPr>
          <w:rFonts w:ascii="Times New Roman" w:eastAsia="Times New Roman" w:hAnsi="Times New Roman" w:cs="Times New Roman"/>
          <w:color w:val="000000"/>
          <w:sz w:val="24"/>
          <w:szCs w:val="24"/>
        </w:rPr>
      </w:pPr>
    </w:p>
    <w:p w14:paraId="0000003B" w14:textId="6A9B4F8A" w:rsidR="007F7F72" w:rsidRPr="00640CB0" w:rsidRDefault="00D01ECA" w:rsidP="00801B78">
      <w:pPr>
        <w:spacing w:after="0" w:line="240" w:lineRule="auto"/>
        <w:contextualSpacing/>
        <w:jc w:val="both"/>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Table 2: T</w:t>
      </w:r>
      <w:r w:rsidR="00840AB1" w:rsidRPr="00640CB0">
        <w:rPr>
          <w:rFonts w:ascii="Times New Roman" w:eastAsia="Times New Roman" w:hAnsi="Times New Roman" w:cs="Times New Roman"/>
          <w:b/>
          <w:color w:val="000000"/>
          <w:sz w:val="20"/>
          <w:szCs w:val="20"/>
        </w:rPr>
        <w:t>rade-distorting domestic support</w:t>
      </w:r>
      <w:r w:rsidRPr="00640CB0">
        <w:rPr>
          <w:rFonts w:ascii="Times New Roman" w:eastAsia="Times New Roman" w:hAnsi="Times New Roman" w:cs="Times New Roman"/>
          <w:b/>
          <w:color w:val="000000"/>
          <w:sz w:val="20"/>
          <w:szCs w:val="20"/>
        </w:rPr>
        <w:t xml:space="preserve"> entitlement of top five members in 2018 based on </w:t>
      </w:r>
      <w:r w:rsidRPr="00640CB0">
        <w:rPr>
          <w:rFonts w:ascii="Times New Roman" w:eastAsia="Times New Roman" w:hAnsi="Times New Roman" w:cs="Times New Roman"/>
          <w:b/>
          <w:i/>
          <w:iCs/>
          <w:color w:val="000000"/>
          <w:sz w:val="20"/>
          <w:szCs w:val="20"/>
        </w:rPr>
        <w:t>de minimis</w:t>
      </w:r>
      <w:r w:rsidRPr="00640CB0">
        <w:rPr>
          <w:rFonts w:ascii="Times New Roman" w:eastAsia="Times New Roman" w:hAnsi="Times New Roman" w:cs="Times New Roman"/>
          <w:b/>
          <w:color w:val="000000"/>
          <w:sz w:val="20"/>
          <w:szCs w:val="20"/>
        </w:rPr>
        <w:t xml:space="preserve"> limit and </w:t>
      </w:r>
      <w:r w:rsidRPr="002552EB">
        <w:rPr>
          <w:rFonts w:ascii="Times New Roman" w:eastAsia="Times New Roman" w:hAnsi="Times New Roman" w:cs="Times New Roman"/>
          <w:b/>
          <w:iCs/>
          <w:color w:val="000000"/>
          <w:sz w:val="20"/>
          <w:szCs w:val="20"/>
        </w:rPr>
        <w:t>AMS entitlement</w:t>
      </w:r>
      <w:r w:rsidRPr="00640CB0">
        <w:rPr>
          <w:rFonts w:ascii="Times New Roman" w:eastAsia="Times New Roman" w:hAnsi="Times New Roman" w:cs="Times New Roman"/>
          <w:b/>
          <w:i/>
          <w:color w:val="000000"/>
          <w:sz w:val="20"/>
          <w:szCs w:val="20"/>
        </w:rPr>
        <w:t xml:space="preserve"> </w:t>
      </w:r>
      <w:r w:rsidRPr="00640CB0">
        <w:rPr>
          <w:rFonts w:ascii="Times New Roman" w:eastAsia="Times New Roman" w:hAnsi="Times New Roman" w:cs="Times New Roman"/>
          <w:b/>
          <w:color w:val="000000"/>
          <w:sz w:val="20"/>
          <w:szCs w:val="20"/>
        </w:rPr>
        <w:t xml:space="preserve">(US$ </w:t>
      </w:r>
      <w:r w:rsidR="009F3804" w:rsidRPr="00640CB0">
        <w:rPr>
          <w:rFonts w:ascii="Times New Roman" w:eastAsia="Times New Roman" w:hAnsi="Times New Roman" w:cs="Times New Roman"/>
          <w:b/>
          <w:color w:val="000000"/>
          <w:sz w:val="20"/>
          <w:szCs w:val="20"/>
        </w:rPr>
        <w:t>M</w:t>
      </w:r>
      <w:r w:rsidRPr="00640CB0">
        <w:rPr>
          <w:rFonts w:ascii="Times New Roman" w:eastAsia="Times New Roman" w:hAnsi="Times New Roman" w:cs="Times New Roman"/>
          <w:b/>
          <w:color w:val="000000"/>
          <w:sz w:val="20"/>
          <w:szCs w:val="20"/>
        </w:rPr>
        <w:t>illion)</w:t>
      </w:r>
    </w:p>
    <w:tbl>
      <w:tblPr>
        <w:tblStyle w:val="a5"/>
        <w:tblW w:w="9464" w:type="dxa"/>
        <w:tblLayout w:type="fixed"/>
        <w:tblLook w:val="0400" w:firstRow="0" w:lastRow="0" w:firstColumn="0" w:lastColumn="0" w:noHBand="0" w:noVBand="1"/>
      </w:tblPr>
      <w:tblGrid>
        <w:gridCol w:w="1129"/>
        <w:gridCol w:w="1560"/>
        <w:gridCol w:w="1275"/>
        <w:gridCol w:w="1418"/>
        <w:gridCol w:w="1276"/>
        <w:gridCol w:w="1275"/>
        <w:gridCol w:w="1281"/>
        <w:gridCol w:w="250"/>
      </w:tblGrid>
      <w:tr w:rsidR="00B443BC" w:rsidRPr="007E5E11" w14:paraId="497C21BC" w14:textId="77777777" w:rsidTr="002552EB">
        <w:trPr>
          <w:gridAfter w:val="1"/>
          <w:wAfter w:w="250" w:type="dxa"/>
          <w:trHeight w:hRule="exact" w:val="284"/>
        </w:trPr>
        <w:tc>
          <w:tcPr>
            <w:tcW w:w="11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00003C" w14:textId="77777777" w:rsidR="007F7F72" w:rsidRPr="007E5E11" w:rsidRDefault="00D01ECA" w:rsidP="00801B78">
            <w:pPr>
              <w:spacing w:after="0" w:line="240" w:lineRule="auto"/>
              <w:contextualSpacing/>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 </w:t>
            </w:r>
            <w:r w:rsidRPr="007E5E11">
              <w:rPr>
                <w:rFonts w:ascii="Times New Roman" w:eastAsia="Times New Roman" w:hAnsi="Times New Roman" w:cs="Times New Roman"/>
                <w:b/>
                <w:color w:val="000000"/>
                <w:sz w:val="20"/>
                <w:szCs w:val="20"/>
              </w:rPr>
              <w:t>Members</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00003D" w14:textId="77777777" w:rsidR="007F7F72" w:rsidRPr="007E5E11" w:rsidRDefault="00D01ECA" w:rsidP="00801B78">
            <w:pPr>
              <w:spacing w:after="0" w:line="240" w:lineRule="auto"/>
              <w:contextualSpacing/>
              <w:rPr>
                <w:rFonts w:ascii="Times New Roman" w:eastAsia="Times New Roman" w:hAnsi="Times New Roman" w:cs="Times New Roman"/>
                <w:b/>
                <w:color w:val="000000"/>
                <w:sz w:val="20"/>
                <w:szCs w:val="20"/>
              </w:rPr>
            </w:pPr>
            <w:r w:rsidRPr="007E5E11">
              <w:rPr>
                <w:rFonts w:ascii="Times New Roman" w:eastAsia="Times New Roman" w:hAnsi="Times New Roman" w:cs="Times New Roman"/>
                <w:b/>
                <w:color w:val="000000"/>
                <w:sz w:val="20"/>
                <w:szCs w:val="20"/>
              </w:rPr>
              <w:t>Value of Total Agriculture Production</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00003E" w14:textId="77777777" w:rsidR="007F7F72" w:rsidRPr="007E5E11" w:rsidRDefault="00D01ECA" w:rsidP="00801B78">
            <w:pPr>
              <w:spacing w:after="0" w:line="240" w:lineRule="auto"/>
              <w:contextualSpacing/>
              <w:rPr>
                <w:rFonts w:ascii="Times New Roman" w:eastAsia="Times New Roman" w:hAnsi="Times New Roman" w:cs="Times New Roman"/>
                <w:b/>
                <w:color w:val="000000"/>
                <w:sz w:val="20"/>
                <w:szCs w:val="20"/>
              </w:rPr>
            </w:pPr>
            <w:r w:rsidRPr="007E5E11">
              <w:rPr>
                <w:rFonts w:ascii="Times New Roman" w:eastAsia="Times New Roman" w:hAnsi="Times New Roman" w:cs="Times New Roman"/>
                <w:b/>
                <w:color w:val="000000"/>
                <w:sz w:val="20"/>
                <w:szCs w:val="20"/>
              </w:rPr>
              <w:t xml:space="preserve">Product-specific </w:t>
            </w:r>
            <w:r w:rsidRPr="007E5E11">
              <w:rPr>
                <w:rFonts w:ascii="Times New Roman" w:eastAsia="Times New Roman" w:hAnsi="Times New Roman" w:cs="Times New Roman"/>
                <w:b/>
                <w:i/>
                <w:color w:val="000000"/>
                <w:sz w:val="20"/>
                <w:szCs w:val="20"/>
              </w:rPr>
              <w:t>de minimis</w:t>
            </w:r>
            <w:r w:rsidRPr="007E5E11">
              <w:rPr>
                <w:rFonts w:ascii="Times New Roman" w:eastAsia="Times New Roman" w:hAnsi="Times New Roman" w:cs="Times New Roman"/>
                <w:b/>
                <w:color w:val="000000"/>
                <w:sz w:val="20"/>
                <w:szCs w:val="20"/>
              </w:rPr>
              <w:t xml:space="preserve"> entitlement</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AFC5D9A" w14:textId="10BC0F4E" w:rsidR="00B443BC" w:rsidRPr="007E5E11" w:rsidRDefault="00D01ECA" w:rsidP="00801B78">
            <w:pPr>
              <w:spacing w:after="0" w:line="240" w:lineRule="auto"/>
              <w:contextualSpacing/>
              <w:rPr>
                <w:rFonts w:ascii="Times New Roman" w:eastAsia="Times New Roman" w:hAnsi="Times New Roman" w:cs="Times New Roman"/>
                <w:b/>
                <w:color w:val="000000"/>
                <w:sz w:val="20"/>
                <w:szCs w:val="20"/>
              </w:rPr>
            </w:pPr>
            <w:r w:rsidRPr="007E5E11">
              <w:rPr>
                <w:rFonts w:ascii="Times New Roman" w:eastAsia="Times New Roman" w:hAnsi="Times New Roman" w:cs="Times New Roman"/>
                <w:b/>
                <w:color w:val="000000"/>
                <w:sz w:val="20"/>
                <w:szCs w:val="20"/>
              </w:rPr>
              <w:t>Non- product specific</w:t>
            </w:r>
          </w:p>
          <w:p w14:paraId="0000003F" w14:textId="689A901B" w:rsidR="007F7F72" w:rsidRPr="007E5E11" w:rsidRDefault="00D01ECA" w:rsidP="00801B78">
            <w:pPr>
              <w:spacing w:after="0" w:line="240" w:lineRule="auto"/>
              <w:contextualSpacing/>
              <w:rPr>
                <w:rFonts w:ascii="Times New Roman" w:eastAsia="Times New Roman" w:hAnsi="Times New Roman" w:cs="Times New Roman"/>
                <w:b/>
                <w:color w:val="000000"/>
                <w:sz w:val="20"/>
                <w:szCs w:val="20"/>
              </w:rPr>
            </w:pPr>
            <w:r w:rsidRPr="007E5E11">
              <w:rPr>
                <w:rFonts w:ascii="Times New Roman" w:eastAsia="Times New Roman" w:hAnsi="Times New Roman" w:cs="Times New Roman"/>
                <w:b/>
                <w:i/>
                <w:color w:val="000000"/>
                <w:sz w:val="20"/>
                <w:szCs w:val="20"/>
              </w:rPr>
              <w:t>de</w:t>
            </w:r>
            <w:r w:rsidR="00B443BC" w:rsidRPr="007E5E11">
              <w:rPr>
                <w:rFonts w:ascii="Times New Roman" w:eastAsia="Times New Roman" w:hAnsi="Times New Roman" w:cs="Times New Roman"/>
                <w:b/>
                <w:i/>
                <w:color w:val="000000"/>
                <w:sz w:val="20"/>
                <w:szCs w:val="20"/>
              </w:rPr>
              <w:t xml:space="preserve"> </w:t>
            </w:r>
            <w:proofErr w:type="gramStart"/>
            <w:r w:rsidRPr="007E5E11">
              <w:rPr>
                <w:rFonts w:ascii="Times New Roman" w:eastAsia="Times New Roman" w:hAnsi="Times New Roman" w:cs="Times New Roman"/>
                <w:b/>
                <w:i/>
                <w:color w:val="000000"/>
                <w:sz w:val="20"/>
                <w:szCs w:val="20"/>
              </w:rPr>
              <w:t>minimis</w:t>
            </w:r>
            <w:r w:rsidRPr="007E5E11">
              <w:rPr>
                <w:rFonts w:ascii="Times New Roman" w:eastAsia="Times New Roman" w:hAnsi="Times New Roman" w:cs="Times New Roman"/>
                <w:b/>
                <w:color w:val="000000"/>
                <w:sz w:val="20"/>
                <w:szCs w:val="20"/>
              </w:rPr>
              <w:t xml:space="preserve"> </w:t>
            </w:r>
            <w:r w:rsidR="00B443BC" w:rsidRPr="007E5E11">
              <w:rPr>
                <w:rFonts w:ascii="Times New Roman" w:eastAsia="Times New Roman" w:hAnsi="Times New Roman" w:cs="Times New Roman"/>
                <w:b/>
                <w:color w:val="000000"/>
                <w:sz w:val="20"/>
                <w:szCs w:val="20"/>
              </w:rPr>
              <w:t xml:space="preserve"> </w:t>
            </w:r>
            <w:r w:rsidRPr="007E5E11">
              <w:rPr>
                <w:rFonts w:ascii="Times New Roman" w:eastAsia="Times New Roman" w:hAnsi="Times New Roman" w:cs="Times New Roman"/>
                <w:b/>
                <w:color w:val="000000"/>
                <w:sz w:val="20"/>
                <w:szCs w:val="20"/>
              </w:rPr>
              <w:t>entitlement</w:t>
            </w:r>
            <w:proofErr w:type="gramEnd"/>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000040" w14:textId="77777777" w:rsidR="007F7F72" w:rsidRPr="007E5E11" w:rsidRDefault="00D01ECA" w:rsidP="00801B78">
            <w:pPr>
              <w:spacing w:after="0" w:line="240" w:lineRule="auto"/>
              <w:contextualSpacing/>
              <w:rPr>
                <w:rFonts w:ascii="Times New Roman" w:eastAsia="Times New Roman" w:hAnsi="Times New Roman" w:cs="Times New Roman"/>
                <w:b/>
                <w:color w:val="000000"/>
                <w:sz w:val="20"/>
                <w:szCs w:val="20"/>
              </w:rPr>
            </w:pPr>
            <w:r w:rsidRPr="007E5E11">
              <w:rPr>
                <w:rFonts w:ascii="Times New Roman" w:eastAsia="Times New Roman" w:hAnsi="Times New Roman" w:cs="Times New Roman"/>
                <w:b/>
                <w:color w:val="000000"/>
                <w:sz w:val="20"/>
                <w:szCs w:val="20"/>
              </w:rPr>
              <w:t xml:space="preserve">Total </w:t>
            </w:r>
            <w:r w:rsidRPr="007E5E11">
              <w:rPr>
                <w:rFonts w:ascii="Times New Roman" w:eastAsia="Times New Roman" w:hAnsi="Times New Roman" w:cs="Times New Roman"/>
                <w:b/>
                <w:i/>
                <w:color w:val="000000"/>
                <w:sz w:val="20"/>
                <w:szCs w:val="20"/>
              </w:rPr>
              <w:t>de minimis</w:t>
            </w:r>
            <w:r w:rsidRPr="007E5E11">
              <w:rPr>
                <w:rFonts w:ascii="Times New Roman" w:eastAsia="Times New Roman" w:hAnsi="Times New Roman" w:cs="Times New Roman"/>
                <w:b/>
                <w:color w:val="000000"/>
                <w:sz w:val="20"/>
                <w:szCs w:val="20"/>
              </w:rPr>
              <w:t xml:space="preserve"> entitlement</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000041" w14:textId="0C97599E" w:rsidR="007F7F72" w:rsidRPr="007E5E11" w:rsidRDefault="00AA53FB" w:rsidP="00801B78">
            <w:pPr>
              <w:spacing w:after="0" w:line="240" w:lineRule="auto"/>
              <w:contextualSpacing/>
              <w:rPr>
                <w:rFonts w:ascii="Times New Roman" w:eastAsia="Times New Roman" w:hAnsi="Times New Roman" w:cs="Times New Roman"/>
                <w:b/>
                <w:i/>
                <w:color w:val="000000"/>
                <w:sz w:val="20"/>
                <w:szCs w:val="20"/>
              </w:rPr>
            </w:pPr>
            <w:r w:rsidRPr="007E5E11">
              <w:rPr>
                <w:rFonts w:ascii="Times New Roman" w:eastAsia="Times New Roman" w:hAnsi="Times New Roman" w:cs="Times New Roman"/>
                <w:b/>
                <w:i/>
                <w:color w:val="000000"/>
                <w:sz w:val="20"/>
                <w:szCs w:val="20"/>
              </w:rPr>
              <w:t xml:space="preserve">Final bound </w:t>
            </w:r>
            <w:r w:rsidR="00D01ECA" w:rsidRPr="007E5E11">
              <w:rPr>
                <w:rFonts w:ascii="Times New Roman" w:eastAsia="Times New Roman" w:hAnsi="Times New Roman" w:cs="Times New Roman"/>
                <w:b/>
                <w:i/>
                <w:color w:val="000000"/>
                <w:sz w:val="20"/>
                <w:szCs w:val="20"/>
              </w:rPr>
              <w:t xml:space="preserve">AMS </w:t>
            </w:r>
            <w:r w:rsidR="00B443BC" w:rsidRPr="007E5E11">
              <w:rPr>
                <w:rFonts w:ascii="Times New Roman" w:eastAsia="Times New Roman" w:hAnsi="Times New Roman" w:cs="Times New Roman"/>
                <w:b/>
                <w:i/>
                <w:color w:val="000000"/>
                <w:sz w:val="20"/>
                <w:szCs w:val="20"/>
              </w:rPr>
              <w:t>e</w:t>
            </w:r>
            <w:r w:rsidR="00D01ECA" w:rsidRPr="007E5E11">
              <w:rPr>
                <w:rFonts w:ascii="Times New Roman" w:eastAsia="Times New Roman" w:hAnsi="Times New Roman" w:cs="Times New Roman"/>
                <w:b/>
                <w:i/>
                <w:color w:val="000000"/>
                <w:sz w:val="20"/>
                <w:szCs w:val="20"/>
              </w:rPr>
              <w:t>ntitlement</w:t>
            </w:r>
          </w:p>
        </w:tc>
        <w:tc>
          <w:tcPr>
            <w:tcW w:w="128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000042" w14:textId="2555B4E7" w:rsidR="007F7F72" w:rsidRPr="007E5E11" w:rsidRDefault="00D01ECA" w:rsidP="00801B78">
            <w:pPr>
              <w:spacing w:after="0" w:line="240" w:lineRule="auto"/>
              <w:contextualSpacing/>
              <w:rPr>
                <w:rFonts w:ascii="Times New Roman" w:eastAsia="Times New Roman" w:hAnsi="Times New Roman" w:cs="Times New Roman"/>
                <w:b/>
                <w:color w:val="000000"/>
                <w:sz w:val="20"/>
                <w:szCs w:val="20"/>
              </w:rPr>
            </w:pPr>
            <w:r w:rsidRPr="007E5E11">
              <w:rPr>
                <w:rFonts w:ascii="Times New Roman" w:eastAsia="Times New Roman" w:hAnsi="Times New Roman" w:cs="Times New Roman"/>
                <w:b/>
                <w:color w:val="000000"/>
                <w:sz w:val="20"/>
                <w:szCs w:val="20"/>
              </w:rPr>
              <w:t xml:space="preserve">TTDS </w:t>
            </w:r>
            <w:r w:rsidR="00B443BC" w:rsidRPr="007E5E11">
              <w:rPr>
                <w:rFonts w:ascii="Times New Roman" w:eastAsia="Times New Roman" w:hAnsi="Times New Roman" w:cs="Times New Roman"/>
                <w:b/>
                <w:color w:val="000000"/>
                <w:sz w:val="20"/>
                <w:szCs w:val="20"/>
              </w:rPr>
              <w:t>e</w:t>
            </w:r>
            <w:r w:rsidRPr="007E5E11">
              <w:rPr>
                <w:rFonts w:ascii="Times New Roman" w:eastAsia="Times New Roman" w:hAnsi="Times New Roman" w:cs="Times New Roman"/>
                <w:b/>
                <w:color w:val="000000"/>
                <w:sz w:val="20"/>
                <w:szCs w:val="20"/>
              </w:rPr>
              <w:t>ntitlement</w:t>
            </w:r>
          </w:p>
        </w:tc>
      </w:tr>
      <w:tr w:rsidR="00B443BC" w:rsidRPr="007E5E11" w14:paraId="3A270D07" w14:textId="77777777" w:rsidTr="00327A0C">
        <w:trPr>
          <w:trHeight w:hRule="exact" w:val="785"/>
        </w:trPr>
        <w:tc>
          <w:tcPr>
            <w:tcW w:w="1129" w:type="dxa"/>
            <w:vMerge/>
            <w:tcBorders>
              <w:top w:val="single" w:sz="4" w:space="0" w:color="000000"/>
              <w:left w:val="single" w:sz="4" w:space="0" w:color="000000"/>
              <w:bottom w:val="single" w:sz="4" w:space="0" w:color="000000"/>
              <w:right w:val="single" w:sz="4" w:space="0" w:color="000000"/>
            </w:tcBorders>
            <w:shd w:val="clear" w:color="auto" w:fill="auto"/>
          </w:tcPr>
          <w:p w14:paraId="00000043" w14:textId="77777777" w:rsidR="007F7F72" w:rsidRPr="007E5E11" w:rsidRDefault="007F7F72" w:rsidP="00801B78">
            <w:pPr>
              <w:widowControl w:val="0"/>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0"/>
                <w:szCs w:val="20"/>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14:paraId="00000044" w14:textId="77777777" w:rsidR="007F7F72" w:rsidRPr="007E5E11" w:rsidRDefault="007F7F72" w:rsidP="00801B78">
            <w:pPr>
              <w:widowControl w:val="0"/>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0"/>
                <w:szCs w:val="20"/>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00000045" w14:textId="77777777" w:rsidR="007F7F72" w:rsidRPr="007E5E11" w:rsidRDefault="007F7F72" w:rsidP="00801B78">
            <w:pPr>
              <w:widowControl w:val="0"/>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14:paraId="00000046" w14:textId="77777777" w:rsidR="007F7F72" w:rsidRPr="007E5E11" w:rsidRDefault="007F7F72" w:rsidP="00801B78">
            <w:pPr>
              <w:widowControl w:val="0"/>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0"/>
                <w:szCs w:val="2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00000047" w14:textId="77777777" w:rsidR="007F7F72" w:rsidRPr="007E5E11" w:rsidRDefault="007F7F72" w:rsidP="00801B78">
            <w:pPr>
              <w:widowControl w:val="0"/>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0"/>
                <w:szCs w:val="20"/>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00000048" w14:textId="77777777" w:rsidR="007F7F72" w:rsidRPr="007E5E11" w:rsidRDefault="007F7F72" w:rsidP="00801B78">
            <w:pPr>
              <w:widowControl w:val="0"/>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0"/>
                <w:szCs w:val="20"/>
              </w:rPr>
            </w:pPr>
          </w:p>
        </w:tc>
        <w:tc>
          <w:tcPr>
            <w:tcW w:w="1281" w:type="dxa"/>
            <w:vMerge/>
            <w:tcBorders>
              <w:top w:val="single" w:sz="4" w:space="0" w:color="000000"/>
              <w:left w:val="single" w:sz="4" w:space="0" w:color="000000"/>
              <w:bottom w:val="single" w:sz="4" w:space="0" w:color="000000"/>
              <w:right w:val="single" w:sz="4" w:space="0" w:color="000000"/>
            </w:tcBorders>
            <w:shd w:val="clear" w:color="auto" w:fill="auto"/>
          </w:tcPr>
          <w:p w14:paraId="00000049" w14:textId="77777777" w:rsidR="007F7F72" w:rsidRPr="007E5E11" w:rsidRDefault="007F7F72" w:rsidP="00801B78">
            <w:pPr>
              <w:widowControl w:val="0"/>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0"/>
                <w:szCs w:val="20"/>
              </w:rPr>
            </w:pPr>
          </w:p>
        </w:tc>
        <w:tc>
          <w:tcPr>
            <w:tcW w:w="250" w:type="dxa"/>
            <w:tcBorders>
              <w:top w:val="nil"/>
              <w:left w:val="nil"/>
              <w:bottom w:val="nil"/>
              <w:right w:val="nil"/>
            </w:tcBorders>
            <w:shd w:val="clear" w:color="auto" w:fill="auto"/>
          </w:tcPr>
          <w:p w14:paraId="0000004A" w14:textId="77777777" w:rsidR="007F7F72" w:rsidRPr="007E5E11" w:rsidRDefault="007F7F72" w:rsidP="00801B78">
            <w:pPr>
              <w:spacing w:line="240" w:lineRule="auto"/>
              <w:contextualSpacing/>
              <w:jc w:val="both"/>
              <w:rPr>
                <w:rFonts w:ascii="Times New Roman" w:eastAsia="Times New Roman" w:hAnsi="Times New Roman" w:cs="Times New Roman"/>
                <w:b/>
                <w:color w:val="000000"/>
                <w:sz w:val="20"/>
                <w:szCs w:val="20"/>
              </w:rPr>
            </w:pPr>
          </w:p>
        </w:tc>
      </w:tr>
      <w:tr w:rsidR="00B443BC" w:rsidRPr="007E5E11" w14:paraId="072B9652" w14:textId="77777777" w:rsidTr="007E5E11">
        <w:trPr>
          <w:trHeight w:hRule="exact" w:val="227"/>
        </w:trPr>
        <w:tc>
          <w:tcPr>
            <w:tcW w:w="1129" w:type="dxa"/>
            <w:tcBorders>
              <w:top w:val="nil"/>
              <w:left w:val="single" w:sz="4" w:space="0" w:color="000000"/>
              <w:bottom w:val="single" w:sz="4" w:space="0" w:color="000000"/>
              <w:right w:val="single" w:sz="4" w:space="0" w:color="000000"/>
            </w:tcBorders>
            <w:shd w:val="clear" w:color="auto" w:fill="auto"/>
          </w:tcPr>
          <w:p w14:paraId="0000004B" w14:textId="77777777" w:rsidR="007F7F72" w:rsidRPr="007E5E11" w:rsidRDefault="00D01ECA" w:rsidP="00801B78">
            <w:pPr>
              <w:spacing w:line="240" w:lineRule="auto"/>
              <w:contextualSpacing/>
              <w:jc w:val="center"/>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1</w:t>
            </w:r>
          </w:p>
        </w:tc>
        <w:tc>
          <w:tcPr>
            <w:tcW w:w="1560" w:type="dxa"/>
            <w:tcBorders>
              <w:top w:val="nil"/>
              <w:left w:val="nil"/>
              <w:bottom w:val="single" w:sz="4" w:space="0" w:color="000000"/>
              <w:right w:val="single" w:sz="4" w:space="0" w:color="000000"/>
            </w:tcBorders>
            <w:shd w:val="clear" w:color="auto" w:fill="auto"/>
          </w:tcPr>
          <w:p w14:paraId="0000004C" w14:textId="77777777" w:rsidR="007F7F72" w:rsidRPr="007E5E11" w:rsidRDefault="00D01ECA" w:rsidP="00801B78">
            <w:pPr>
              <w:spacing w:line="240" w:lineRule="auto"/>
              <w:contextualSpacing/>
              <w:jc w:val="center"/>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2</w:t>
            </w:r>
          </w:p>
        </w:tc>
        <w:tc>
          <w:tcPr>
            <w:tcW w:w="1275" w:type="dxa"/>
            <w:tcBorders>
              <w:top w:val="nil"/>
              <w:left w:val="nil"/>
              <w:bottom w:val="single" w:sz="4" w:space="0" w:color="000000"/>
              <w:right w:val="single" w:sz="4" w:space="0" w:color="000000"/>
            </w:tcBorders>
            <w:shd w:val="clear" w:color="auto" w:fill="auto"/>
          </w:tcPr>
          <w:p w14:paraId="0000004D" w14:textId="77777777" w:rsidR="007F7F72" w:rsidRPr="007E5E11" w:rsidRDefault="00D01ECA" w:rsidP="00801B78">
            <w:pPr>
              <w:spacing w:line="240" w:lineRule="auto"/>
              <w:contextualSpacing/>
              <w:jc w:val="center"/>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3</w:t>
            </w:r>
          </w:p>
        </w:tc>
        <w:tc>
          <w:tcPr>
            <w:tcW w:w="1418" w:type="dxa"/>
            <w:tcBorders>
              <w:top w:val="nil"/>
              <w:left w:val="nil"/>
              <w:bottom w:val="single" w:sz="4" w:space="0" w:color="000000"/>
              <w:right w:val="single" w:sz="4" w:space="0" w:color="000000"/>
            </w:tcBorders>
            <w:shd w:val="clear" w:color="auto" w:fill="auto"/>
          </w:tcPr>
          <w:p w14:paraId="0000004E" w14:textId="77777777" w:rsidR="007F7F72" w:rsidRPr="007E5E11" w:rsidRDefault="00D01ECA" w:rsidP="00801B78">
            <w:pPr>
              <w:spacing w:line="240" w:lineRule="auto"/>
              <w:contextualSpacing/>
              <w:jc w:val="center"/>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4</w:t>
            </w:r>
          </w:p>
        </w:tc>
        <w:tc>
          <w:tcPr>
            <w:tcW w:w="1276" w:type="dxa"/>
            <w:tcBorders>
              <w:top w:val="nil"/>
              <w:left w:val="nil"/>
              <w:bottom w:val="single" w:sz="4" w:space="0" w:color="000000"/>
              <w:right w:val="single" w:sz="4" w:space="0" w:color="000000"/>
            </w:tcBorders>
            <w:shd w:val="clear" w:color="auto" w:fill="auto"/>
          </w:tcPr>
          <w:p w14:paraId="0000004F" w14:textId="77777777" w:rsidR="007F7F72" w:rsidRPr="007E5E11" w:rsidRDefault="00D01ECA" w:rsidP="00801B78">
            <w:pPr>
              <w:spacing w:line="240" w:lineRule="auto"/>
              <w:contextualSpacing/>
              <w:jc w:val="center"/>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5 =3+4</w:t>
            </w:r>
          </w:p>
        </w:tc>
        <w:tc>
          <w:tcPr>
            <w:tcW w:w="1275" w:type="dxa"/>
            <w:tcBorders>
              <w:top w:val="nil"/>
              <w:left w:val="nil"/>
              <w:bottom w:val="single" w:sz="4" w:space="0" w:color="000000"/>
              <w:right w:val="single" w:sz="4" w:space="0" w:color="000000"/>
            </w:tcBorders>
            <w:shd w:val="clear" w:color="auto" w:fill="auto"/>
          </w:tcPr>
          <w:p w14:paraId="00000050" w14:textId="77777777" w:rsidR="007F7F72" w:rsidRPr="007E5E11" w:rsidRDefault="00D01ECA" w:rsidP="00801B78">
            <w:pPr>
              <w:spacing w:line="240" w:lineRule="auto"/>
              <w:contextualSpacing/>
              <w:jc w:val="center"/>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6</w:t>
            </w:r>
          </w:p>
        </w:tc>
        <w:tc>
          <w:tcPr>
            <w:tcW w:w="1281" w:type="dxa"/>
            <w:tcBorders>
              <w:top w:val="nil"/>
              <w:left w:val="nil"/>
              <w:bottom w:val="single" w:sz="4" w:space="0" w:color="000000"/>
              <w:right w:val="single" w:sz="4" w:space="0" w:color="000000"/>
            </w:tcBorders>
            <w:shd w:val="clear" w:color="auto" w:fill="auto"/>
          </w:tcPr>
          <w:p w14:paraId="00000051" w14:textId="77777777" w:rsidR="007F7F72" w:rsidRPr="007E5E11" w:rsidRDefault="00D01ECA" w:rsidP="00801B78">
            <w:pPr>
              <w:spacing w:line="240" w:lineRule="auto"/>
              <w:contextualSpacing/>
              <w:jc w:val="center"/>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7 =5+6</w:t>
            </w:r>
          </w:p>
        </w:tc>
        <w:tc>
          <w:tcPr>
            <w:tcW w:w="250" w:type="dxa"/>
          </w:tcPr>
          <w:p w14:paraId="00000052" w14:textId="77777777" w:rsidR="007F7F72" w:rsidRPr="007E5E11" w:rsidRDefault="007F7F72" w:rsidP="00801B78">
            <w:pPr>
              <w:spacing w:line="240" w:lineRule="auto"/>
              <w:contextualSpacing/>
              <w:jc w:val="both"/>
              <w:rPr>
                <w:rFonts w:ascii="Times New Roman" w:eastAsia="Times New Roman" w:hAnsi="Times New Roman" w:cs="Times New Roman"/>
                <w:color w:val="000000"/>
                <w:sz w:val="20"/>
                <w:szCs w:val="20"/>
              </w:rPr>
            </w:pPr>
          </w:p>
        </w:tc>
      </w:tr>
      <w:tr w:rsidR="00B443BC" w:rsidRPr="007E5E11" w14:paraId="2E3273EC" w14:textId="77777777" w:rsidTr="007E5E11">
        <w:trPr>
          <w:trHeight w:hRule="exact" w:val="227"/>
        </w:trPr>
        <w:tc>
          <w:tcPr>
            <w:tcW w:w="1129" w:type="dxa"/>
            <w:tcBorders>
              <w:top w:val="nil"/>
              <w:left w:val="single" w:sz="4" w:space="0" w:color="000000"/>
              <w:bottom w:val="single" w:sz="4" w:space="0" w:color="000000"/>
              <w:right w:val="single" w:sz="4" w:space="0" w:color="000000"/>
            </w:tcBorders>
            <w:shd w:val="clear" w:color="auto" w:fill="auto"/>
          </w:tcPr>
          <w:p w14:paraId="00000053" w14:textId="77777777" w:rsidR="007F7F72" w:rsidRPr="007E5E11" w:rsidRDefault="00D01ECA" w:rsidP="00801B78">
            <w:pPr>
              <w:spacing w:line="240" w:lineRule="auto"/>
              <w:contextualSpacing/>
              <w:jc w:val="both"/>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China</w:t>
            </w:r>
          </w:p>
        </w:tc>
        <w:tc>
          <w:tcPr>
            <w:tcW w:w="1560" w:type="dxa"/>
            <w:tcBorders>
              <w:top w:val="nil"/>
              <w:left w:val="nil"/>
              <w:bottom w:val="single" w:sz="4" w:space="0" w:color="000000"/>
              <w:right w:val="single" w:sz="4" w:space="0" w:color="000000"/>
            </w:tcBorders>
            <w:shd w:val="clear" w:color="auto" w:fill="auto"/>
          </w:tcPr>
          <w:p w14:paraId="00000054"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8,83,482</w:t>
            </w:r>
          </w:p>
        </w:tc>
        <w:tc>
          <w:tcPr>
            <w:tcW w:w="1275" w:type="dxa"/>
            <w:tcBorders>
              <w:top w:val="nil"/>
              <w:left w:val="nil"/>
              <w:bottom w:val="single" w:sz="4" w:space="0" w:color="000000"/>
              <w:right w:val="single" w:sz="4" w:space="0" w:color="000000"/>
            </w:tcBorders>
            <w:shd w:val="clear" w:color="auto" w:fill="auto"/>
          </w:tcPr>
          <w:p w14:paraId="00000055"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75,096</w:t>
            </w:r>
          </w:p>
        </w:tc>
        <w:tc>
          <w:tcPr>
            <w:tcW w:w="1418" w:type="dxa"/>
            <w:tcBorders>
              <w:top w:val="nil"/>
              <w:left w:val="nil"/>
              <w:bottom w:val="single" w:sz="4" w:space="0" w:color="000000"/>
              <w:right w:val="single" w:sz="4" w:space="0" w:color="000000"/>
            </w:tcBorders>
            <w:shd w:val="clear" w:color="auto" w:fill="auto"/>
          </w:tcPr>
          <w:p w14:paraId="00000056"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75,096</w:t>
            </w:r>
          </w:p>
        </w:tc>
        <w:tc>
          <w:tcPr>
            <w:tcW w:w="1276" w:type="dxa"/>
            <w:tcBorders>
              <w:top w:val="nil"/>
              <w:left w:val="nil"/>
              <w:bottom w:val="single" w:sz="4" w:space="0" w:color="000000"/>
              <w:right w:val="single" w:sz="4" w:space="0" w:color="000000"/>
            </w:tcBorders>
            <w:shd w:val="clear" w:color="auto" w:fill="auto"/>
          </w:tcPr>
          <w:p w14:paraId="00000057"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1,50,192</w:t>
            </w:r>
          </w:p>
        </w:tc>
        <w:tc>
          <w:tcPr>
            <w:tcW w:w="1275" w:type="dxa"/>
            <w:tcBorders>
              <w:top w:val="nil"/>
              <w:left w:val="nil"/>
              <w:bottom w:val="single" w:sz="4" w:space="0" w:color="000000"/>
              <w:right w:val="single" w:sz="4" w:space="0" w:color="000000"/>
            </w:tcBorders>
            <w:shd w:val="clear" w:color="auto" w:fill="auto"/>
          </w:tcPr>
          <w:p w14:paraId="00000058" w14:textId="7BD6F91D" w:rsidR="007F7F72" w:rsidRPr="007E5E11" w:rsidRDefault="00AA53FB"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0</w:t>
            </w:r>
            <w:r w:rsidR="00D01ECA" w:rsidRPr="007E5E11">
              <w:rPr>
                <w:rFonts w:ascii="Times New Roman" w:eastAsia="Times New Roman" w:hAnsi="Times New Roman" w:cs="Times New Roman"/>
                <w:color w:val="000000"/>
                <w:sz w:val="20"/>
                <w:szCs w:val="20"/>
              </w:rPr>
              <w:t> </w:t>
            </w:r>
          </w:p>
        </w:tc>
        <w:tc>
          <w:tcPr>
            <w:tcW w:w="1281" w:type="dxa"/>
            <w:tcBorders>
              <w:top w:val="nil"/>
              <w:left w:val="nil"/>
              <w:bottom w:val="single" w:sz="4" w:space="0" w:color="000000"/>
              <w:right w:val="single" w:sz="4" w:space="0" w:color="000000"/>
            </w:tcBorders>
            <w:shd w:val="clear" w:color="auto" w:fill="auto"/>
          </w:tcPr>
          <w:p w14:paraId="00000059"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1,50,192</w:t>
            </w:r>
          </w:p>
        </w:tc>
        <w:tc>
          <w:tcPr>
            <w:tcW w:w="250" w:type="dxa"/>
          </w:tcPr>
          <w:p w14:paraId="0000005A" w14:textId="77777777" w:rsidR="007F7F72" w:rsidRPr="007E5E11" w:rsidRDefault="007F7F72" w:rsidP="00801B78">
            <w:pPr>
              <w:spacing w:line="240" w:lineRule="auto"/>
              <w:contextualSpacing/>
              <w:jc w:val="both"/>
              <w:rPr>
                <w:rFonts w:ascii="Times New Roman" w:eastAsia="Times New Roman" w:hAnsi="Times New Roman" w:cs="Times New Roman"/>
                <w:color w:val="000000"/>
                <w:sz w:val="20"/>
                <w:szCs w:val="20"/>
              </w:rPr>
            </w:pPr>
          </w:p>
        </w:tc>
      </w:tr>
      <w:tr w:rsidR="00B443BC" w:rsidRPr="007E5E11" w14:paraId="6095FE0C" w14:textId="77777777" w:rsidTr="007E5E11">
        <w:trPr>
          <w:trHeight w:hRule="exact" w:val="227"/>
        </w:trPr>
        <w:tc>
          <w:tcPr>
            <w:tcW w:w="1129" w:type="dxa"/>
            <w:tcBorders>
              <w:top w:val="nil"/>
              <w:left w:val="single" w:sz="4" w:space="0" w:color="000000"/>
              <w:bottom w:val="single" w:sz="4" w:space="0" w:color="000000"/>
              <w:right w:val="single" w:sz="4" w:space="0" w:color="000000"/>
            </w:tcBorders>
            <w:shd w:val="clear" w:color="auto" w:fill="auto"/>
          </w:tcPr>
          <w:p w14:paraId="0000005B" w14:textId="6409C5BA" w:rsidR="007F7F72" w:rsidRPr="007E5E11" w:rsidRDefault="007356EE" w:rsidP="00801B78">
            <w:pPr>
              <w:spacing w:line="240" w:lineRule="auto"/>
              <w:contextualSpacing/>
              <w:jc w:val="both"/>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EU</w:t>
            </w:r>
          </w:p>
        </w:tc>
        <w:tc>
          <w:tcPr>
            <w:tcW w:w="1560" w:type="dxa"/>
            <w:tcBorders>
              <w:top w:val="nil"/>
              <w:left w:val="nil"/>
              <w:bottom w:val="single" w:sz="4" w:space="0" w:color="000000"/>
              <w:right w:val="single" w:sz="4" w:space="0" w:color="000000"/>
            </w:tcBorders>
            <w:shd w:val="clear" w:color="auto" w:fill="auto"/>
          </w:tcPr>
          <w:p w14:paraId="0000005C"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4,62,699</w:t>
            </w:r>
          </w:p>
        </w:tc>
        <w:tc>
          <w:tcPr>
            <w:tcW w:w="1275" w:type="dxa"/>
            <w:tcBorders>
              <w:top w:val="nil"/>
              <w:left w:val="nil"/>
              <w:bottom w:val="single" w:sz="4" w:space="0" w:color="000000"/>
              <w:right w:val="single" w:sz="4" w:space="0" w:color="000000"/>
            </w:tcBorders>
            <w:shd w:val="clear" w:color="auto" w:fill="auto"/>
          </w:tcPr>
          <w:p w14:paraId="0000005D"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23,135</w:t>
            </w:r>
          </w:p>
        </w:tc>
        <w:tc>
          <w:tcPr>
            <w:tcW w:w="1418" w:type="dxa"/>
            <w:tcBorders>
              <w:top w:val="nil"/>
              <w:left w:val="nil"/>
              <w:bottom w:val="single" w:sz="4" w:space="0" w:color="000000"/>
              <w:right w:val="single" w:sz="4" w:space="0" w:color="000000"/>
            </w:tcBorders>
            <w:shd w:val="clear" w:color="auto" w:fill="auto"/>
          </w:tcPr>
          <w:p w14:paraId="0000005E"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23,135</w:t>
            </w:r>
          </w:p>
        </w:tc>
        <w:tc>
          <w:tcPr>
            <w:tcW w:w="1276" w:type="dxa"/>
            <w:tcBorders>
              <w:top w:val="nil"/>
              <w:left w:val="nil"/>
              <w:bottom w:val="single" w:sz="4" w:space="0" w:color="000000"/>
              <w:right w:val="single" w:sz="4" w:space="0" w:color="000000"/>
            </w:tcBorders>
            <w:shd w:val="clear" w:color="auto" w:fill="auto"/>
          </w:tcPr>
          <w:p w14:paraId="0000005F"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46,270</w:t>
            </w:r>
          </w:p>
        </w:tc>
        <w:tc>
          <w:tcPr>
            <w:tcW w:w="1275" w:type="dxa"/>
            <w:tcBorders>
              <w:top w:val="nil"/>
              <w:left w:val="nil"/>
              <w:bottom w:val="single" w:sz="4" w:space="0" w:color="000000"/>
              <w:right w:val="single" w:sz="4" w:space="0" w:color="000000"/>
            </w:tcBorders>
            <w:shd w:val="clear" w:color="auto" w:fill="auto"/>
          </w:tcPr>
          <w:p w14:paraId="00000060"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85,151</w:t>
            </w:r>
          </w:p>
        </w:tc>
        <w:tc>
          <w:tcPr>
            <w:tcW w:w="1281" w:type="dxa"/>
            <w:tcBorders>
              <w:top w:val="nil"/>
              <w:left w:val="nil"/>
              <w:bottom w:val="single" w:sz="4" w:space="0" w:color="000000"/>
              <w:right w:val="single" w:sz="4" w:space="0" w:color="000000"/>
            </w:tcBorders>
            <w:shd w:val="clear" w:color="auto" w:fill="auto"/>
          </w:tcPr>
          <w:p w14:paraId="00000061"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1,31,421</w:t>
            </w:r>
          </w:p>
        </w:tc>
        <w:tc>
          <w:tcPr>
            <w:tcW w:w="250" w:type="dxa"/>
          </w:tcPr>
          <w:p w14:paraId="00000062" w14:textId="77777777" w:rsidR="007F7F72" w:rsidRPr="007E5E11" w:rsidRDefault="007F7F72" w:rsidP="00801B78">
            <w:pPr>
              <w:spacing w:line="240" w:lineRule="auto"/>
              <w:contextualSpacing/>
              <w:jc w:val="both"/>
              <w:rPr>
                <w:rFonts w:ascii="Times New Roman" w:eastAsia="Times New Roman" w:hAnsi="Times New Roman" w:cs="Times New Roman"/>
                <w:color w:val="000000"/>
                <w:sz w:val="20"/>
                <w:szCs w:val="20"/>
              </w:rPr>
            </w:pPr>
          </w:p>
        </w:tc>
      </w:tr>
      <w:tr w:rsidR="00B443BC" w:rsidRPr="007E5E11" w14:paraId="753FFFFA" w14:textId="77777777" w:rsidTr="007E5E11">
        <w:trPr>
          <w:trHeight w:hRule="exact" w:val="227"/>
        </w:trPr>
        <w:tc>
          <w:tcPr>
            <w:tcW w:w="1129" w:type="dxa"/>
            <w:tcBorders>
              <w:top w:val="nil"/>
              <w:left w:val="single" w:sz="4" w:space="0" w:color="000000"/>
              <w:bottom w:val="single" w:sz="4" w:space="0" w:color="000000"/>
              <w:right w:val="single" w:sz="4" w:space="0" w:color="000000"/>
            </w:tcBorders>
            <w:shd w:val="clear" w:color="auto" w:fill="auto"/>
          </w:tcPr>
          <w:p w14:paraId="00000063" w14:textId="65F3592B" w:rsidR="007F7F72" w:rsidRPr="007E5E11" w:rsidRDefault="00D01ECA" w:rsidP="00801B78">
            <w:pPr>
              <w:spacing w:line="240" w:lineRule="auto"/>
              <w:contextualSpacing/>
              <w:jc w:val="both"/>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India*</w:t>
            </w:r>
          </w:p>
        </w:tc>
        <w:tc>
          <w:tcPr>
            <w:tcW w:w="1560" w:type="dxa"/>
            <w:tcBorders>
              <w:top w:val="nil"/>
              <w:left w:val="nil"/>
              <w:bottom w:val="single" w:sz="4" w:space="0" w:color="000000"/>
              <w:right w:val="single" w:sz="4" w:space="0" w:color="000000"/>
            </w:tcBorders>
            <w:shd w:val="clear" w:color="auto" w:fill="auto"/>
          </w:tcPr>
          <w:p w14:paraId="00000064"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4,50,776</w:t>
            </w:r>
          </w:p>
        </w:tc>
        <w:tc>
          <w:tcPr>
            <w:tcW w:w="1275" w:type="dxa"/>
            <w:tcBorders>
              <w:top w:val="nil"/>
              <w:left w:val="nil"/>
              <w:bottom w:val="single" w:sz="4" w:space="0" w:color="000000"/>
              <w:right w:val="single" w:sz="4" w:space="0" w:color="000000"/>
            </w:tcBorders>
            <w:shd w:val="clear" w:color="auto" w:fill="auto"/>
          </w:tcPr>
          <w:p w14:paraId="00000065"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45,078</w:t>
            </w:r>
          </w:p>
        </w:tc>
        <w:tc>
          <w:tcPr>
            <w:tcW w:w="1418" w:type="dxa"/>
            <w:tcBorders>
              <w:top w:val="nil"/>
              <w:left w:val="nil"/>
              <w:bottom w:val="single" w:sz="4" w:space="0" w:color="000000"/>
              <w:right w:val="single" w:sz="4" w:space="0" w:color="000000"/>
            </w:tcBorders>
            <w:shd w:val="clear" w:color="auto" w:fill="auto"/>
          </w:tcPr>
          <w:p w14:paraId="00000066"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45,078</w:t>
            </w:r>
          </w:p>
        </w:tc>
        <w:tc>
          <w:tcPr>
            <w:tcW w:w="1276" w:type="dxa"/>
            <w:tcBorders>
              <w:top w:val="nil"/>
              <w:left w:val="nil"/>
              <w:bottom w:val="single" w:sz="4" w:space="0" w:color="000000"/>
              <w:right w:val="single" w:sz="4" w:space="0" w:color="000000"/>
            </w:tcBorders>
            <w:shd w:val="clear" w:color="auto" w:fill="auto"/>
          </w:tcPr>
          <w:p w14:paraId="00000067"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90,155</w:t>
            </w:r>
          </w:p>
        </w:tc>
        <w:tc>
          <w:tcPr>
            <w:tcW w:w="1275" w:type="dxa"/>
            <w:tcBorders>
              <w:top w:val="nil"/>
              <w:left w:val="nil"/>
              <w:bottom w:val="single" w:sz="4" w:space="0" w:color="000000"/>
              <w:right w:val="single" w:sz="4" w:space="0" w:color="000000"/>
            </w:tcBorders>
            <w:shd w:val="clear" w:color="auto" w:fill="auto"/>
          </w:tcPr>
          <w:p w14:paraId="00000068" w14:textId="011FDADB" w:rsidR="007F7F72" w:rsidRPr="007E5E11" w:rsidRDefault="00AA53FB"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0</w:t>
            </w:r>
            <w:r w:rsidR="00D01ECA" w:rsidRPr="007E5E11">
              <w:rPr>
                <w:rFonts w:ascii="Times New Roman" w:eastAsia="Times New Roman" w:hAnsi="Times New Roman" w:cs="Times New Roman"/>
                <w:color w:val="000000"/>
                <w:sz w:val="20"/>
                <w:szCs w:val="20"/>
              </w:rPr>
              <w:t> </w:t>
            </w:r>
          </w:p>
        </w:tc>
        <w:tc>
          <w:tcPr>
            <w:tcW w:w="1281" w:type="dxa"/>
            <w:tcBorders>
              <w:top w:val="nil"/>
              <w:left w:val="nil"/>
              <w:bottom w:val="single" w:sz="4" w:space="0" w:color="000000"/>
              <w:right w:val="single" w:sz="4" w:space="0" w:color="000000"/>
            </w:tcBorders>
            <w:shd w:val="clear" w:color="auto" w:fill="auto"/>
          </w:tcPr>
          <w:p w14:paraId="00000069"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90,155</w:t>
            </w:r>
          </w:p>
        </w:tc>
        <w:tc>
          <w:tcPr>
            <w:tcW w:w="250" w:type="dxa"/>
          </w:tcPr>
          <w:p w14:paraId="0000006A" w14:textId="77777777" w:rsidR="007F7F72" w:rsidRPr="007E5E11" w:rsidRDefault="007F7F72" w:rsidP="00801B78">
            <w:pPr>
              <w:spacing w:line="240" w:lineRule="auto"/>
              <w:contextualSpacing/>
              <w:jc w:val="both"/>
              <w:rPr>
                <w:rFonts w:ascii="Times New Roman" w:eastAsia="Times New Roman" w:hAnsi="Times New Roman" w:cs="Times New Roman"/>
                <w:color w:val="000000"/>
                <w:sz w:val="20"/>
                <w:szCs w:val="20"/>
              </w:rPr>
            </w:pPr>
          </w:p>
        </w:tc>
      </w:tr>
      <w:tr w:rsidR="00B443BC" w:rsidRPr="007E5E11" w14:paraId="334C100F" w14:textId="77777777" w:rsidTr="007E5E11">
        <w:trPr>
          <w:trHeight w:hRule="exact" w:val="227"/>
        </w:trPr>
        <w:tc>
          <w:tcPr>
            <w:tcW w:w="1129" w:type="dxa"/>
            <w:tcBorders>
              <w:top w:val="nil"/>
              <w:left w:val="single" w:sz="4" w:space="0" w:color="000000"/>
              <w:bottom w:val="single" w:sz="4" w:space="0" w:color="000000"/>
              <w:right w:val="single" w:sz="4" w:space="0" w:color="000000"/>
            </w:tcBorders>
            <w:shd w:val="clear" w:color="auto" w:fill="auto"/>
          </w:tcPr>
          <w:p w14:paraId="0000006B" w14:textId="43B0B657" w:rsidR="007F7F72" w:rsidRPr="007E5E11" w:rsidRDefault="007356EE" w:rsidP="00801B78">
            <w:pPr>
              <w:spacing w:line="240" w:lineRule="auto"/>
              <w:contextualSpacing/>
              <w:jc w:val="both"/>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US</w:t>
            </w:r>
          </w:p>
        </w:tc>
        <w:tc>
          <w:tcPr>
            <w:tcW w:w="1560" w:type="dxa"/>
            <w:tcBorders>
              <w:top w:val="nil"/>
              <w:left w:val="nil"/>
              <w:bottom w:val="single" w:sz="4" w:space="0" w:color="000000"/>
              <w:right w:val="single" w:sz="4" w:space="0" w:color="000000"/>
            </w:tcBorders>
            <w:shd w:val="clear" w:color="auto" w:fill="auto"/>
          </w:tcPr>
          <w:p w14:paraId="0000006C"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3,69,293</w:t>
            </w:r>
          </w:p>
        </w:tc>
        <w:tc>
          <w:tcPr>
            <w:tcW w:w="1275" w:type="dxa"/>
            <w:tcBorders>
              <w:top w:val="nil"/>
              <w:left w:val="nil"/>
              <w:bottom w:val="single" w:sz="4" w:space="0" w:color="000000"/>
              <w:right w:val="single" w:sz="4" w:space="0" w:color="000000"/>
            </w:tcBorders>
            <w:shd w:val="clear" w:color="auto" w:fill="auto"/>
          </w:tcPr>
          <w:p w14:paraId="0000006D"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18,465</w:t>
            </w:r>
          </w:p>
        </w:tc>
        <w:tc>
          <w:tcPr>
            <w:tcW w:w="1418" w:type="dxa"/>
            <w:tcBorders>
              <w:top w:val="nil"/>
              <w:left w:val="nil"/>
              <w:bottom w:val="single" w:sz="4" w:space="0" w:color="000000"/>
              <w:right w:val="single" w:sz="4" w:space="0" w:color="000000"/>
            </w:tcBorders>
            <w:shd w:val="clear" w:color="auto" w:fill="auto"/>
          </w:tcPr>
          <w:p w14:paraId="0000006E"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18,465</w:t>
            </w:r>
          </w:p>
        </w:tc>
        <w:tc>
          <w:tcPr>
            <w:tcW w:w="1276" w:type="dxa"/>
            <w:tcBorders>
              <w:top w:val="nil"/>
              <w:left w:val="nil"/>
              <w:bottom w:val="single" w:sz="4" w:space="0" w:color="000000"/>
              <w:right w:val="single" w:sz="4" w:space="0" w:color="000000"/>
            </w:tcBorders>
            <w:shd w:val="clear" w:color="auto" w:fill="auto"/>
          </w:tcPr>
          <w:p w14:paraId="0000006F"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36,929</w:t>
            </w:r>
          </w:p>
        </w:tc>
        <w:tc>
          <w:tcPr>
            <w:tcW w:w="1275" w:type="dxa"/>
            <w:tcBorders>
              <w:top w:val="nil"/>
              <w:left w:val="nil"/>
              <w:bottom w:val="single" w:sz="4" w:space="0" w:color="000000"/>
              <w:right w:val="single" w:sz="4" w:space="0" w:color="000000"/>
            </w:tcBorders>
            <w:shd w:val="clear" w:color="auto" w:fill="auto"/>
          </w:tcPr>
          <w:p w14:paraId="00000070"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19,103</w:t>
            </w:r>
          </w:p>
        </w:tc>
        <w:tc>
          <w:tcPr>
            <w:tcW w:w="1281" w:type="dxa"/>
            <w:tcBorders>
              <w:top w:val="nil"/>
              <w:left w:val="nil"/>
              <w:bottom w:val="single" w:sz="4" w:space="0" w:color="000000"/>
              <w:right w:val="single" w:sz="4" w:space="0" w:color="000000"/>
            </w:tcBorders>
            <w:shd w:val="clear" w:color="auto" w:fill="auto"/>
          </w:tcPr>
          <w:p w14:paraId="00000071"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56,033</w:t>
            </w:r>
          </w:p>
        </w:tc>
        <w:tc>
          <w:tcPr>
            <w:tcW w:w="250" w:type="dxa"/>
          </w:tcPr>
          <w:p w14:paraId="00000072" w14:textId="77777777" w:rsidR="007F7F72" w:rsidRPr="007E5E11" w:rsidRDefault="007F7F72" w:rsidP="00801B78">
            <w:pPr>
              <w:spacing w:line="240" w:lineRule="auto"/>
              <w:contextualSpacing/>
              <w:jc w:val="both"/>
              <w:rPr>
                <w:rFonts w:ascii="Times New Roman" w:eastAsia="Times New Roman" w:hAnsi="Times New Roman" w:cs="Times New Roman"/>
                <w:color w:val="000000"/>
                <w:sz w:val="20"/>
                <w:szCs w:val="20"/>
              </w:rPr>
            </w:pPr>
          </w:p>
        </w:tc>
      </w:tr>
      <w:tr w:rsidR="00B443BC" w:rsidRPr="007E5E11" w14:paraId="0810DB35" w14:textId="77777777" w:rsidTr="007E5E11">
        <w:trPr>
          <w:trHeight w:hRule="exact" w:val="227"/>
        </w:trPr>
        <w:tc>
          <w:tcPr>
            <w:tcW w:w="1129" w:type="dxa"/>
            <w:tcBorders>
              <w:top w:val="nil"/>
              <w:left w:val="single" w:sz="4" w:space="0" w:color="000000"/>
              <w:bottom w:val="single" w:sz="4" w:space="0" w:color="000000"/>
              <w:right w:val="single" w:sz="4" w:space="0" w:color="000000"/>
            </w:tcBorders>
            <w:shd w:val="clear" w:color="auto" w:fill="auto"/>
          </w:tcPr>
          <w:p w14:paraId="00000073" w14:textId="77777777" w:rsidR="007F7F72" w:rsidRPr="007E5E11" w:rsidRDefault="00D01ECA" w:rsidP="00801B78">
            <w:pPr>
              <w:spacing w:line="240" w:lineRule="auto"/>
              <w:contextualSpacing/>
              <w:jc w:val="both"/>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Japan</w:t>
            </w:r>
          </w:p>
        </w:tc>
        <w:tc>
          <w:tcPr>
            <w:tcW w:w="1560" w:type="dxa"/>
            <w:tcBorders>
              <w:top w:val="nil"/>
              <w:left w:val="nil"/>
              <w:bottom w:val="single" w:sz="4" w:space="0" w:color="000000"/>
              <w:right w:val="single" w:sz="4" w:space="0" w:color="000000"/>
            </w:tcBorders>
            <w:shd w:val="clear" w:color="auto" w:fill="auto"/>
          </w:tcPr>
          <w:p w14:paraId="00000074"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84,058</w:t>
            </w:r>
          </w:p>
        </w:tc>
        <w:tc>
          <w:tcPr>
            <w:tcW w:w="1275" w:type="dxa"/>
            <w:tcBorders>
              <w:top w:val="nil"/>
              <w:left w:val="nil"/>
              <w:bottom w:val="single" w:sz="4" w:space="0" w:color="000000"/>
              <w:right w:val="single" w:sz="4" w:space="0" w:color="000000"/>
            </w:tcBorders>
            <w:shd w:val="clear" w:color="auto" w:fill="auto"/>
          </w:tcPr>
          <w:p w14:paraId="00000075"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4,203</w:t>
            </w:r>
          </w:p>
        </w:tc>
        <w:tc>
          <w:tcPr>
            <w:tcW w:w="1418" w:type="dxa"/>
            <w:tcBorders>
              <w:top w:val="nil"/>
              <w:left w:val="nil"/>
              <w:bottom w:val="single" w:sz="4" w:space="0" w:color="000000"/>
              <w:right w:val="single" w:sz="4" w:space="0" w:color="000000"/>
            </w:tcBorders>
            <w:shd w:val="clear" w:color="auto" w:fill="auto"/>
          </w:tcPr>
          <w:p w14:paraId="00000076"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4,203</w:t>
            </w:r>
          </w:p>
        </w:tc>
        <w:tc>
          <w:tcPr>
            <w:tcW w:w="1276" w:type="dxa"/>
            <w:tcBorders>
              <w:top w:val="nil"/>
              <w:left w:val="nil"/>
              <w:bottom w:val="single" w:sz="4" w:space="0" w:color="000000"/>
              <w:right w:val="single" w:sz="4" w:space="0" w:color="000000"/>
            </w:tcBorders>
            <w:shd w:val="clear" w:color="auto" w:fill="auto"/>
          </w:tcPr>
          <w:p w14:paraId="00000077"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8,406</w:t>
            </w:r>
          </w:p>
        </w:tc>
        <w:tc>
          <w:tcPr>
            <w:tcW w:w="1275" w:type="dxa"/>
            <w:tcBorders>
              <w:top w:val="nil"/>
              <w:left w:val="nil"/>
              <w:bottom w:val="single" w:sz="4" w:space="0" w:color="000000"/>
              <w:right w:val="single" w:sz="4" w:space="0" w:color="000000"/>
            </w:tcBorders>
            <w:shd w:val="clear" w:color="auto" w:fill="auto"/>
          </w:tcPr>
          <w:p w14:paraId="00000078"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35,980</w:t>
            </w:r>
          </w:p>
        </w:tc>
        <w:tc>
          <w:tcPr>
            <w:tcW w:w="1281" w:type="dxa"/>
            <w:tcBorders>
              <w:top w:val="nil"/>
              <w:left w:val="nil"/>
              <w:bottom w:val="single" w:sz="4" w:space="0" w:color="000000"/>
              <w:right w:val="single" w:sz="4" w:space="0" w:color="000000"/>
            </w:tcBorders>
            <w:shd w:val="clear" w:color="auto" w:fill="auto"/>
          </w:tcPr>
          <w:p w14:paraId="00000079" w14:textId="77777777" w:rsidR="007F7F72" w:rsidRPr="007E5E11" w:rsidRDefault="00D01ECA" w:rsidP="00801B78">
            <w:pPr>
              <w:spacing w:line="240" w:lineRule="auto"/>
              <w:contextualSpacing/>
              <w:jc w:val="right"/>
              <w:rPr>
                <w:rFonts w:ascii="Times New Roman" w:eastAsia="Times New Roman" w:hAnsi="Times New Roman" w:cs="Times New Roman"/>
                <w:color w:val="000000"/>
                <w:sz w:val="20"/>
                <w:szCs w:val="20"/>
              </w:rPr>
            </w:pPr>
            <w:r w:rsidRPr="007E5E11">
              <w:rPr>
                <w:rFonts w:ascii="Times New Roman" w:eastAsia="Times New Roman" w:hAnsi="Times New Roman" w:cs="Times New Roman"/>
                <w:color w:val="000000"/>
                <w:sz w:val="20"/>
                <w:szCs w:val="20"/>
              </w:rPr>
              <w:t>44,386</w:t>
            </w:r>
          </w:p>
        </w:tc>
        <w:tc>
          <w:tcPr>
            <w:tcW w:w="250" w:type="dxa"/>
          </w:tcPr>
          <w:p w14:paraId="0000007A" w14:textId="77777777" w:rsidR="007F7F72" w:rsidRPr="007E5E11" w:rsidRDefault="007F7F72" w:rsidP="00801B78">
            <w:pPr>
              <w:spacing w:line="240" w:lineRule="auto"/>
              <w:contextualSpacing/>
              <w:jc w:val="both"/>
              <w:rPr>
                <w:rFonts w:ascii="Times New Roman" w:eastAsia="Times New Roman" w:hAnsi="Times New Roman" w:cs="Times New Roman"/>
                <w:color w:val="000000"/>
                <w:sz w:val="20"/>
                <w:szCs w:val="20"/>
              </w:rPr>
            </w:pPr>
          </w:p>
        </w:tc>
      </w:tr>
    </w:tbl>
    <w:p w14:paraId="0000007B" w14:textId="30546F99" w:rsidR="007F7F72" w:rsidRPr="00640CB0" w:rsidRDefault="00D01ECA" w:rsidP="00801B78">
      <w:pPr>
        <w:spacing w:after="0" w:line="240" w:lineRule="auto"/>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Source: Authors</w:t>
      </w:r>
      <w:r w:rsidR="004F3BCA" w:rsidRPr="00640CB0">
        <w:rPr>
          <w:rFonts w:ascii="Times New Roman" w:eastAsia="Times New Roman" w:hAnsi="Times New Roman" w:cs="Times New Roman"/>
          <w:color w:val="000000"/>
          <w:sz w:val="20"/>
          <w:szCs w:val="20"/>
        </w:rPr>
        <w:t>’</w:t>
      </w:r>
      <w:r w:rsidRPr="00640CB0">
        <w:rPr>
          <w:rFonts w:ascii="Times New Roman" w:eastAsia="Times New Roman" w:hAnsi="Times New Roman" w:cs="Times New Roman"/>
          <w:color w:val="000000"/>
          <w:sz w:val="20"/>
          <w:szCs w:val="20"/>
        </w:rPr>
        <w:t xml:space="preserve"> calculation based on FAOSTAT and </w:t>
      </w:r>
      <w:r w:rsidR="009F3804" w:rsidRPr="00640CB0">
        <w:rPr>
          <w:rFonts w:ascii="Times New Roman" w:eastAsia="Times New Roman" w:hAnsi="Times New Roman" w:cs="Times New Roman"/>
          <w:color w:val="000000"/>
          <w:sz w:val="20"/>
          <w:szCs w:val="20"/>
        </w:rPr>
        <w:t>n</w:t>
      </w:r>
      <w:r w:rsidRPr="00640CB0">
        <w:rPr>
          <w:rFonts w:ascii="Times New Roman" w:eastAsia="Times New Roman" w:hAnsi="Times New Roman" w:cs="Times New Roman"/>
          <w:color w:val="000000"/>
          <w:sz w:val="20"/>
          <w:szCs w:val="20"/>
        </w:rPr>
        <w:t>otified Value of Production data.</w:t>
      </w:r>
    </w:p>
    <w:p w14:paraId="0000007D" w14:textId="46708A07" w:rsidR="007F7F72" w:rsidRPr="00640CB0" w:rsidRDefault="00D01ECA" w:rsidP="00801B78">
      <w:pPr>
        <w:spacing w:after="0" w:line="240" w:lineRule="auto"/>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Note: * India’s Value of Production is taken from National Account Statistics.</w:t>
      </w:r>
    </w:p>
    <w:p w14:paraId="1377AB74" w14:textId="77777777" w:rsidR="0059381C" w:rsidRPr="00801B78" w:rsidRDefault="0059381C" w:rsidP="00801B78">
      <w:pPr>
        <w:spacing w:after="0" w:line="360" w:lineRule="auto"/>
        <w:jc w:val="both"/>
        <w:rPr>
          <w:rFonts w:ascii="Times New Roman" w:eastAsia="Times New Roman" w:hAnsi="Times New Roman" w:cs="Times New Roman"/>
          <w:b/>
          <w:color w:val="000000"/>
          <w:sz w:val="24"/>
          <w:szCs w:val="24"/>
        </w:rPr>
      </w:pPr>
    </w:p>
    <w:p w14:paraId="0000007E" w14:textId="5E0C286C" w:rsidR="007F7F72" w:rsidRPr="00640CB0" w:rsidRDefault="00D01ECA" w:rsidP="00801B78">
      <w:pPr>
        <w:spacing w:after="0" w:line="240" w:lineRule="auto"/>
        <w:contextualSpacing/>
        <w:jc w:val="both"/>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 xml:space="preserve">Table 3: Members’ share in the TTDS entitlement based on </w:t>
      </w:r>
      <w:r w:rsidRPr="00640CB0">
        <w:rPr>
          <w:rFonts w:ascii="Times New Roman" w:eastAsia="Times New Roman" w:hAnsi="Times New Roman" w:cs="Times New Roman"/>
          <w:b/>
          <w:i/>
          <w:color w:val="000000"/>
          <w:sz w:val="20"/>
          <w:szCs w:val="20"/>
        </w:rPr>
        <w:t>de minimis</w:t>
      </w:r>
      <w:r w:rsidRPr="00640CB0">
        <w:rPr>
          <w:rFonts w:ascii="Times New Roman" w:eastAsia="Times New Roman" w:hAnsi="Times New Roman" w:cs="Times New Roman"/>
          <w:b/>
          <w:color w:val="000000"/>
          <w:sz w:val="20"/>
          <w:szCs w:val="20"/>
        </w:rPr>
        <w:t xml:space="preserve"> limit and </w:t>
      </w:r>
      <w:r w:rsidRPr="002552EB">
        <w:rPr>
          <w:rFonts w:ascii="Times New Roman" w:eastAsia="Times New Roman" w:hAnsi="Times New Roman" w:cs="Times New Roman"/>
          <w:b/>
          <w:color w:val="000000"/>
          <w:sz w:val="20"/>
          <w:szCs w:val="20"/>
        </w:rPr>
        <w:t>AMS entitlement</w:t>
      </w: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276"/>
        <w:gridCol w:w="992"/>
        <w:gridCol w:w="1276"/>
        <w:gridCol w:w="992"/>
        <w:gridCol w:w="1590"/>
        <w:gridCol w:w="1052"/>
      </w:tblGrid>
      <w:tr w:rsidR="007F7F72" w:rsidRPr="00640CB0" w14:paraId="09B625DF" w14:textId="77777777" w:rsidTr="002552EB">
        <w:trPr>
          <w:trHeight w:hRule="exact" w:val="284"/>
        </w:trPr>
        <w:tc>
          <w:tcPr>
            <w:tcW w:w="1838" w:type="dxa"/>
            <w:vMerge w:val="restart"/>
            <w:tcBorders>
              <w:top w:val="single" w:sz="4" w:space="0" w:color="000000"/>
              <w:left w:val="single" w:sz="4" w:space="0" w:color="000000"/>
              <w:right w:val="single" w:sz="4" w:space="0" w:color="000000"/>
            </w:tcBorders>
            <w:shd w:val="clear" w:color="auto" w:fill="auto"/>
          </w:tcPr>
          <w:p w14:paraId="0000007F" w14:textId="77777777" w:rsidR="007F7F72" w:rsidRPr="00640CB0" w:rsidRDefault="00D01ECA" w:rsidP="00801B78">
            <w:pPr>
              <w:contextualSpacing/>
              <w:jc w:val="both"/>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Members</w:t>
            </w:r>
          </w:p>
          <w:p w14:paraId="00000080" w14:textId="77777777" w:rsidR="007F7F72" w:rsidRPr="00640CB0" w:rsidRDefault="00D01ECA" w:rsidP="00801B78">
            <w:pPr>
              <w:contextualSpacing/>
              <w:jc w:val="both"/>
              <w:rPr>
                <w:rFonts w:ascii="Times New Roman" w:eastAsia="Times New Roman" w:hAnsi="Times New Roman" w:cs="Times New Roman"/>
                <w:b/>
                <w:color w:val="000000"/>
                <w:sz w:val="20"/>
                <w:szCs w:val="20"/>
              </w:rPr>
            </w:pPr>
            <w:r w:rsidRPr="00640CB0">
              <w:rPr>
                <w:rFonts w:ascii="Times New Roman" w:eastAsia="Times New Roman" w:hAnsi="Times New Roman" w:cs="Times New Roman"/>
                <w:color w:val="000000"/>
                <w:sz w:val="20"/>
                <w:szCs w:val="20"/>
              </w:rPr>
              <w:t> </w:t>
            </w:r>
          </w:p>
        </w:tc>
        <w:tc>
          <w:tcPr>
            <w:tcW w:w="2268" w:type="dxa"/>
            <w:gridSpan w:val="2"/>
            <w:tcBorders>
              <w:top w:val="single" w:sz="4" w:space="0" w:color="000000"/>
              <w:left w:val="nil"/>
              <w:bottom w:val="single" w:sz="4" w:space="0" w:color="000000"/>
              <w:right w:val="single" w:sz="4" w:space="0" w:color="000000"/>
            </w:tcBorders>
            <w:shd w:val="clear" w:color="auto" w:fill="auto"/>
          </w:tcPr>
          <w:p w14:paraId="00000081" w14:textId="77777777" w:rsidR="007F7F72" w:rsidRPr="00640CB0" w:rsidRDefault="00D01ECA"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2018</w:t>
            </w:r>
          </w:p>
        </w:tc>
        <w:tc>
          <w:tcPr>
            <w:tcW w:w="2268" w:type="dxa"/>
            <w:gridSpan w:val="2"/>
            <w:tcBorders>
              <w:top w:val="single" w:sz="4" w:space="0" w:color="000000"/>
              <w:left w:val="nil"/>
              <w:bottom w:val="single" w:sz="4" w:space="0" w:color="000000"/>
              <w:right w:val="single" w:sz="4" w:space="0" w:color="000000"/>
            </w:tcBorders>
            <w:shd w:val="clear" w:color="auto" w:fill="auto"/>
          </w:tcPr>
          <w:p w14:paraId="00000083" w14:textId="77777777" w:rsidR="007F7F72" w:rsidRPr="00640CB0" w:rsidRDefault="00D01ECA"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2025</w:t>
            </w:r>
          </w:p>
        </w:tc>
        <w:tc>
          <w:tcPr>
            <w:tcW w:w="2642" w:type="dxa"/>
            <w:gridSpan w:val="2"/>
            <w:tcBorders>
              <w:top w:val="single" w:sz="4" w:space="0" w:color="000000"/>
              <w:left w:val="nil"/>
              <w:bottom w:val="single" w:sz="4" w:space="0" w:color="000000"/>
              <w:right w:val="single" w:sz="4" w:space="0" w:color="000000"/>
            </w:tcBorders>
            <w:shd w:val="clear" w:color="auto" w:fill="auto"/>
          </w:tcPr>
          <w:p w14:paraId="00000085" w14:textId="77777777" w:rsidR="007F7F72" w:rsidRPr="00640CB0" w:rsidRDefault="00D01ECA"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2030</w:t>
            </w:r>
          </w:p>
        </w:tc>
      </w:tr>
      <w:tr w:rsidR="007F7F72" w:rsidRPr="00640CB0" w14:paraId="2BD79688" w14:textId="77777777" w:rsidTr="002552EB">
        <w:trPr>
          <w:trHeight w:hRule="exact" w:val="284"/>
        </w:trPr>
        <w:tc>
          <w:tcPr>
            <w:tcW w:w="1838" w:type="dxa"/>
            <w:vMerge/>
            <w:tcBorders>
              <w:top w:val="single" w:sz="4" w:space="0" w:color="000000"/>
              <w:left w:val="single" w:sz="4" w:space="0" w:color="000000"/>
              <w:right w:val="single" w:sz="4" w:space="0" w:color="000000"/>
            </w:tcBorders>
            <w:shd w:val="clear" w:color="auto" w:fill="auto"/>
          </w:tcPr>
          <w:p w14:paraId="00000087" w14:textId="77777777" w:rsidR="007F7F72" w:rsidRPr="00640CB0" w:rsidRDefault="007F7F72" w:rsidP="00801B78">
            <w:pPr>
              <w:widowControl w:val="0"/>
              <w:pBdr>
                <w:top w:val="nil"/>
                <w:left w:val="nil"/>
                <w:bottom w:val="nil"/>
                <w:right w:val="nil"/>
                <w:between w:val="nil"/>
              </w:pBdr>
              <w:contextualSpacing/>
              <w:jc w:val="both"/>
              <w:rPr>
                <w:rFonts w:ascii="Times New Roman" w:eastAsia="Times New Roman" w:hAnsi="Times New Roman" w:cs="Times New Roman"/>
                <w:b/>
                <w:color w:val="000000"/>
                <w:sz w:val="20"/>
                <w:szCs w:val="20"/>
              </w:rPr>
            </w:pPr>
          </w:p>
        </w:tc>
        <w:tc>
          <w:tcPr>
            <w:tcW w:w="1276" w:type="dxa"/>
            <w:tcBorders>
              <w:top w:val="nil"/>
              <w:left w:val="nil"/>
              <w:bottom w:val="single" w:sz="4" w:space="0" w:color="000000"/>
              <w:right w:val="single" w:sz="4" w:space="0" w:color="000000"/>
            </w:tcBorders>
            <w:shd w:val="clear" w:color="auto" w:fill="auto"/>
            <w:vAlign w:val="bottom"/>
          </w:tcPr>
          <w:p w14:paraId="00000088"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Billion US$</w:t>
            </w:r>
          </w:p>
        </w:tc>
        <w:tc>
          <w:tcPr>
            <w:tcW w:w="992" w:type="dxa"/>
            <w:tcBorders>
              <w:top w:val="nil"/>
              <w:left w:val="nil"/>
              <w:bottom w:val="single" w:sz="4" w:space="0" w:color="000000"/>
              <w:right w:val="single" w:sz="4" w:space="0" w:color="000000"/>
            </w:tcBorders>
            <w:shd w:val="clear" w:color="auto" w:fill="auto"/>
            <w:vAlign w:val="bottom"/>
          </w:tcPr>
          <w:p w14:paraId="00000089"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share</w:t>
            </w:r>
          </w:p>
        </w:tc>
        <w:tc>
          <w:tcPr>
            <w:tcW w:w="1276" w:type="dxa"/>
            <w:tcBorders>
              <w:top w:val="nil"/>
              <w:left w:val="nil"/>
              <w:bottom w:val="single" w:sz="4" w:space="0" w:color="000000"/>
              <w:right w:val="single" w:sz="4" w:space="0" w:color="000000"/>
            </w:tcBorders>
            <w:shd w:val="clear" w:color="auto" w:fill="auto"/>
            <w:vAlign w:val="bottom"/>
          </w:tcPr>
          <w:p w14:paraId="0000008A"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Billion US$</w:t>
            </w:r>
          </w:p>
        </w:tc>
        <w:tc>
          <w:tcPr>
            <w:tcW w:w="992" w:type="dxa"/>
            <w:tcBorders>
              <w:top w:val="nil"/>
              <w:left w:val="nil"/>
              <w:bottom w:val="single" w:sz="4" w:space="0" w:color="000000"/>
              <w:right w:val="single" w:sz="4" w:space="0" w:color="000000"/>
            </w:tcBorders>
            <w:shd w:val="clear" w:color="auto" w:fill="auto"/>
            <w:vAlign w:val="bottom"/>
          </w:tcPr>
          <w:p w14:paraId="0000008B"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share</w:t>
            </w:r>
          </w:p>
        </w:tc>
        <w:tc>
          <w:tcPr>
            <w:tcW w:w="1590" w:type="dxa"/>
            <w:tcBorders>
              <w:top w:val="nil"/>
              <w:left w:val="nil"/>
              <w:bottom w:val="single" w:sz="4" w:space="0" w:color="000000"/>
              <w:right w:val="single" w:sz="4" w:space="0" w:color="000000"/>
            </w:tcBorders>
            <w:shd w:val="clear" w:color="auto" w:fill="auto"/>
            <w:vAlign w:val="bottom"/>
          </w:tcPr>
          <w:p w14:paraId="0000008C"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Billion US$</w:t>
            </w:r>
          </w:p>
        </w:tc>
        <w:tc>
          <w:tcPr>
            <w:tcW w:w="1052" w:type="dxa"/>
            <w:tcBorders>
              <w:top w:val="nil"/>
              <w:left w:val="nil"/>
              <w:bottom w:val="single" w:sz="4" w:space="0" w:color="000000"/>
              <w:right w:val="single" w:sz="4" w:space="0" w:color="000000"/>
            </w:tcBorders>
            <w:shd w:val="clear" w:color="auto" w:fill="auto"/>
            <w:vAlign w:val="bottom"/>
          </w:tcPr>
          <w:p w14:paraId="0000008D"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share</w:t>
            </w:r>
          </w:p>
        </w:tc>
      </w:tr>
      <w:tr w:rsidR="007F7F72" w:rsidRPr="00640CB0" w14:paraId="08B6B3EE" w14:textId="77777777" w:rsidTr="00801B78">
        <w:trPr>
          <w:trHeight w:hRule="exact" w:val="227"/>
        </w:trPr>
        <w:tc>
          <w:tcPr>
            <w:tcW w:w="1838" w:type="dxa"/>
            <w:tcBorders>
              <w:top w:val="nil"/>
              <w:left w:val="single" w:sz="4" w:space="0" w:color="000000"/>
              <w:bottom w:val="single" w:sz="4" w:space="0" w:color="000000"/>
              <w:right w:val="single" w:sz="4" w:space="0" w:color="000000"/>
            </w:tcBorders>
            <w:shd w:val="clear" w:color="auto" w:fill="auto"/>
            <w:vAlign w:val="bottom"/>
          </w:tcPr>
          <w:p w14:paraId="0000008E" w14:textId="77777777" w:rsidR="007F7F72" w:rsidRPr="00640CB0" w:rsidRDefault="00D01ECA" w:rsidP="00801B78">
            <w:pPr>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xml:space="preserve">Developed </w:t>
            </w:r>
          </w:p>
        </w:tc>
        <w:tc>
          <w:tcPr>
            <w:tcW w:w="1276" w:type="dxa"/>
            <w:tcBorders>
              <w:top w:val="nil"/>
              <w:left w:val="nil"/>
              <w:bottom w:val="single" w:sz="4" w:space="0" w:color="000000"/>
              <w:right w:val="single" w:sz="4" w:space="0" w:color="000000"/>
            </w:tcBorders>
            <w:shd w:val="clear" w:color="auto" w:fill="auto"/>
            <w:vAlign w:val="bottom"/>
          </w:tcPr>
          <w:p w14:paraId="0000008F"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274</w:t>
            </w:r>
          </w:p>
        </w:tc>
        <w:tc>
          <w:tcPr>
            <w:tcW w:w="992" w:type="dxa"/>
            <w:tcBorders>
              <w:top w:val="nil"/>
              <w:left w:val="nil"/>
              <w:bottom w:val="single" w:sz="4" w:space="0" w:color="000000"/>
              <w:right w:val="single" w:sz="4" w:space="0" w:color="000000"/>
            </w:tcBorders>
            <w:shd w:val="clear" w:color="auto" w:fill="auto"/>
            <w:vAlign w:val="bottom"/>
          </w:tcPr>
          <w:p w14:paraId="00000090"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35.94</w:t>
            </w:r>
          </w:p>
        </w:tc>
        <w:tc>
          <w:tcPr>
            <w:tcW w:w="1276" w:type="dxa"/>
            <w:tcBorders>
              <w:top w:val="nil"/>
              <w:left w:val="nil"/>
              <w:bottom w:val="single" w:sz="4" w:space="0" w:color="000000"/>
              <w:right w:val="single" w:sz="4" w:space="0" w:color="000000"/>
            </w:tcBorders>
            <w:shd w:val="clear" w:color="auto" w:fill="auto"/>
            <w:vAlign w:val="bottom"/>
          </w:tcPr>
          <w:p w14:paraId="00000091"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310</w:t>
            </w:r>
          </w:p>
        </w:tc>
        <w:tc>
          <w:tcPr>
            <w:tcW w:w="992" w:type="dxa"/>
            <w:tcBorders>
              <w:top w:val="nil"/>
              <w:left w:val="nil"/>
              <w:bottom w:val="single" w:sz="4" w:space="0" w:color="000000"/>
              <w:right w:val="single" w:sz="4" w:space="0" w:color="000000"/>
            </w:tcBorders>
            <w:shd w:val="clear" w:color="auto" w:fill="auto"/>
            <w:vAlign w:val="bottom"/>
          </w:tcPr>
          <w:p w14:paraId="00000092"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28.20</w:t>
            </w:r>
          </w:p>
        </w:tc>
        <w:tc>
          <w:tcPr>
            <w:tcW w:w="1590" w:type="dxa"/>
            <w:tcBorders>
              <w:top w:val="nil"/>
              <w:left w:val="nil"/>
              <w:bottom w:val="single" w:sz="4" w:space="0" w:color="000000"/>
              <w:right w:val="single" w:sz="4" w:space="0" w:color="000000"/>
            </w:tcBorders>
            <w:shd w:val="clear" w:color="auto" w:fill="auto"/>
            <w:vAlign w:val="bottom"/>
          </w:tcPr>
          <w:p w14:paraId="00000093"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345</w:t>
            </w:r>
          </w:p>
        </w:tc>
        <w:tc>
          <w:tcPr>
            <w:tcW w:w="1052" w:type="dxa"/>
            <w:tcBorders>
              <w:top w:val="nil"/>
              <w:left w:val="nil"/>
              <w:bottom w:val="single" w:sz="4" w:space="0" w:color="000000"/>
              <w:right w:val="single" w:sz="4" w:space="0" w:color="000000"/>
            </w:tcBorders>
            <w:shd w:val="clear" w:color="auto" w:fill="auto"/>
            <w:vAlign w:val="bottom"/>
          </w:tcPr>
          <w:p w14:paraId="00000094"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23.36</w:t>
            </w:r>
          </w:p>
        </w:tc>
      </w:tr>
      <w:tr w:rsidR="007F7F72" w:rsidRPr="00640CB0" w14:paraId="642160BD" w14:textId="77777777" w:rsidTr="00801B78">
        <w:trPr>
          <w:trHeight w:hRule="exact" w:val="227"/>
        </w:trPr>
        <w:tc>
          <w:tcPr>
            <w:tcW w:w="1838" w:type="dxa"/>
            <w:tcBorders>
              <w:top w:val="nil"/>
              <w:left w:val="single" w:sz="4" w:space="0" w:color="000000"/>
              <w:bottom w:val="single" w:sz="4" w:space="0" w:color="000000"/>
              <w:right w:val="single" w:sz="4" w:space="0" w:color="000000"/>
            </w:tcBorders>
            <w:shd w:val="clear" w:color="auto" w:fill="auto"/>
            <w:vAlign w:val="bottom"/>
          </w:tcPr>
          <w:p w14:paraId="00000095" w14:textId="77777777" w:rsidR="007F7F72" w:rsidRPr="00640CB0" w:rsidRDefault="00D01ECA" w:rsidP="00801B78">
            <w:pPr>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xml:space="preserve">Developing </w:t>
            </w:r>
          </w:p>
        </w:tc>
        <w:tc>
          <w:tcPr>
            <w:tcW w:w="1276" w:type="dxa"/>
            <w:tcBorders>
              <w:top w:val="nil"/>
              <w:left w:val="nil"/>
              <w:bottom w:val="single" w:sz="4" w:space="0" w:color="000000"/>
              <w:right w:val="single" w:sz="4" w:space="0" w:color="000000"/>
            </w:tcBorders>
            <w:shd w:val="clear" w:color="auto" w:fill="auto"/>
            <w:vAlign w:val="bottom"/>
          </w:tcPr>
          <w:p w14:paraId="00000096"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447</w:t>
            </w:r>
          </w:p>
        </w:tc>
        <w:tc>
          <w:tcPr>
            <w:tcW w:w="992" w:type="dxa"/>
            <w:tcBorders>
              <w:top w:val="nil"/>
              <w:left w:val="nil"/>
              <w:bottom w:val="single" w:sz="4" w:space="0" w:color="000000"/>
              <w:right w:val="single" w:sz="4" w:space="0" w:color="000000"/>
            </w:tcBorders>
            <w:shd w:val="clear" w:color="auto" w:fill="auto"/>
            <w:vAlign w:val="bottom"/>
          </w:tcPr>
          <w:p w14:paraId="00000097"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58.73</w:t>
            </w:r>
          </w:p>
        </w:tc>
        <w:tc>
          <w:tcPr>
            <w:tcW w:w="1276" w:type="dxa"/>
            <w:tcBorders>
              <w:top w:val="nil"/>
              <w:left w:val="nil"/>
              <w:bottom w:val="single" w:sz="4" w:space="0" w:color="000000"/>
              <w:right w:val="single" w:sz="4" w:space="0" w:color="000000"/>
            </w:tcBorders>
            <w:shd w:val="clear" w:color="auto" w:fill="auto"/>
            <w:vAlign w:val="bottom"/>
          </w:tcPr>
          <w:p w14:paraId="00000098"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726</w:t>
            </w:r>
          </w:p>
        </w:tc>
        <w:tc>
          <w:tcPr>
            <w:tcW w:w="992" w:type="dxa"/>
            <w:tcBorders>
              <w:top w:val="nil"/>
              <w:left w:val="nil"/>
              <w:bottom w:val="single" w:sz="4" w:space="0" w:color="000000"/>
              <w:right w:val="single" w:sz="4" w:space="0" w:color="000000"/>
            </w:tcBorders>
            <w:shd w:val="clear" w:color="auto" w:fill="auto"/>
            <w:vAlign w:val="bottom"/>
          </w:tcPr>
          <w:p w14:paraId="00000099"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65.99</w:t>
            </w:r>
          </w:p>
        </w:tc>
        <w:tc>
          <w:tcPr>
            <w:tcW w:w="1590" w:type="dxa"/>
            <w:tcBorders>
              <w:top w:val="nil"/>
              <w:left w:val="nil"/>
              <w:bottom w:val="single" w:sz="4" w:space="0" w:color="000000"/>
              <w:right w:val="single" w:sz="4" w:space="0" w:color="000000"/>
            </w:tcBorders>
            <w:shd w:val="clear" w:color="auto" w:fill="auto"/>
            <w:vAlign w:val="bottom"/>
          </w:tcPr>
          <w:p w14:paraId="0000009A"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1041</w:t>
            </w:r>
          </w:p>
        </w:tc>
        <w:tc>
          <w:tcPr>
            <w:tcW w:w="1052" w:type="dxa"/>
            <w:tcBorders>
              <w:top w:val="nil"/>
              <w:left w:val="nil"/>
              <w:bottom w:val="single" w:sz="4" w:space="0" w:color="000000"/>
              <w:right w:val="single" w:sz="4" w:space="0" w:color="000000"/>
            </w:tcBorders>
            <w:shd w:val="clear" w:color="auto" w:fill="auto"/>
            <w:vAlign w:val="bottom"/>
          </w:tcPr>
          <w:p w14:paraId="0000009B"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70.51</w:t>
            </w:r>
          </w:p>
        </w:tc>
      </w:tr>
      <w:tr w:rsidR="007F7F72" w:rsidRPr="00640CB0" w14:paraId="6F892419" w14:textId="77777777" w:rsidTr="00801B78">
        <w:trPr>
          <w:trHeight w:hRule="exact" w:val="227"/>
        </w:trPr>
        <w:tc>
          <w:tcPr>
            <w:tcW w:w="1838" w:type="dxa"/>
            <w:tcBorders>
              <w:top w:val="nil"/>
              <w:left w:val="single" w:sz="4" w:space="0" w:color="000000"/>
              <w:bottom w:val="single" w:sz="4" w:space="0" w:color="000000"/>
              <w:right w:val="single" w:sz="4" w:space="0" w:color="000000"/>
            </w:tcBorders>
            <w:shd w:val="clear" w:color="auto" w:fill="auto"/>
            <w:vAlign w:val="bottom"/>
          </w:tcPr>
          <w:p w14:paraId="0000009C" w14:textId="77777777" w:rsidR="007F7F72" w:rsidRPr="00640CB0" w:rsidRDefault="00D01ECA" w:rsidP="00801B78">
            <w:pPr>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LDC</w:t>
            </w:r>
          </w:p>
        </w:tc>
        <w:tc>
          <w:tcPr>
            <w:tcW w:w="1276" w:type="dxa"/>
            <w:tcBorders>
              <w:top w:val="nil"/>
              <w:left w:val="nil"/>
              <w:bottom w:val="single" w:sz="4" w:space="0" w:color="000000"/>
              <w:right w:val="single" w:sz="4" w:space="0" w:color="000000"/>
            </w:tcBorders>
            <w:shd w:val="clear" w:color="auto" w:fill="auto"/>
            <w:vAlign w:val="bottom"/>
          </w:tcPr>
          <w:p w14:paraId="0000009D"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41</w:t>
            </w:r>
          </w:p>
        </w:tc>
        <w:tc>
          <w:tcPr>
            <w:tcW w:w="992" w:type="dxa"/>
            <w:tcBorders>
              <w:top w:val="nil"/>
              <w:left w:val="nil"/>
              <w:bottom w:val="single" w:sz="4" w:space="0" w:color="000000"/>
              <w:right w:val="single" w:sz="4" w:space="0" w:color="000000"/>
            </w:tcBorders>
            <w:shd w:val="clear" w:color="auto" w:fill="auto"/>
            <w:vAlign w:val="bottom"/>
          </w:tcPr>
          <w:p w14:paraId="0000009E"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5.33</w:t>
            </w:r>
          </w:p>
        </w:tc>
        <w:tc>
          <w:tcPr>
            <w:tcW w:w="1276" w:type="dxa"/>
            <w:tcBorders>
              <w:top w:val="nil"/>
              <w:left w:val="nil"/>
              <w:bottom w:val="single" w:sz="4" w:space="0" w:color="000000"/>
              <w:right w:val="single" w:sz="4" w:space="0" w:color="000000"/>
            </w:tcBorders>
            <w:shd w:val="clear" w:color="auto" w:fill="auto"/>
            <w:vAlign w:val="bottom"/>
          </w:tcPr>
          <w:p w14:paraId="0000009F"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64</w:t>
            </w:r>
          </w:p>
        </w:tc>
        <w:tc>
          <w:tcPr>
            <w:tcW w:w="992" w:type="dxa"/>
            <w:tcBorders>
              <w:top w:val="nil"/>
              <w:left w:val="nil"/>
              <w:bottom w:val="single" w:sz="4" w:space="0" w:color="000000"/>
              <w:right w:val="single" w:sz="4" w:space="0" w:color="000000"/>
            </w:tcBorders>
            <w:shd w:val="clear" w:color="auto" w:fill="auto"/>
            <w:vAlign w:val="bottom"/>
          </w:tcPr>
          <w:p w14:paraId="000000A0"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5.81</w:t>
            </w:r>
          </w:p>
        </w:tc>
        <w:tc>
          <w:tcPr>
            <w:tcW w:w="1590" w:type="dxa"/>
            <w:tcBorders>
              <w:top w:val="nil"/>
              <w:left w:val="nil"/>
              <w:bottom w:val="single" w:sz="4" w:space="0" w:color="000000"/>
              <w:right w:val="single" w:sz="4" w:space="0" w:color="000000"/>
            </w:tcBorders>
            <w:shd w:val="clear" w:color="auto" w:fill="auto"/>
            <w:vAlign w:val="bottom"/>
          </w:tcPr>
          <w:p w14:paraId="000000A1"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91</w:t>
            </w:r>
          </w:p>
        </w:tc>
        <w:tc>
          <w:tcPr>
            <w:tcW w:w="1052" w:type="dxa"/>
            <w:tcBorders>
              <w:top w:val="nil"/>
              <w:left w:val="nil"/>
              <w:bottom w:val="single" w:sz="4" w:space="0" w:color="000000"/>
              <w:right w:val="single" w:sz="4" w:space="0" w:color="000000"/>
            </w:tcBorders>
            <w:shd w:val="clear" w:color="auto" w:fill="auto"/>
            <w:vAlign w:val="bottom"/>
          </w:tcPr>
          <w:p w14:paraId="000000A2" w14:textId="77777777" w:rsidR="007F7F72" w:rsidRPr="00640CB0" w:rsidRDefault="00D01ECA"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6.13</w:t>
            </w:r>
          </w:p>
        </w:tc>
      </w:tr>
      <w:tr w:rsidR="007F7F72" w:rsidRPr="00640CB0" w14:paraId="7B3AD36E" w14:textId="77777777" w:rsidTr="00801B78">
        <w:trPr>
          <w:trHeight w:hRule="exact" w:val="227"/>
        </w:trPr>
        <w:tc>
          <w:tcPr>
            <w:tcW w:w="1838" w:type="dxa"/>
            <w:tcBorders>
              <w:top w:val="nil"/>
              <w:left w:val="single" w:sz="4" w:space="0" w:color="000000"/>
              <w:bottom w:val="single" w:sz="4" w:space="0" w:color="000000"/>
              <w:right w:val="single" w:sz="4" w:space="0" w:color="000000"/>
            </w:tcBorders>
            <w:shd w:val="clear" w:color="auto" w:fill="auto"/>
            <w:vAlign w:val="bottom"/>
          </w:tcPr>
          <w:p w14:paraId="000000A3" w14:textId="46D5E4D1" w:rsidR="007F7F72" w:rsidRPr="00640CB0" w:rsidRDefault="00D01ECA" w:rsidP="00801B78">
            <w:pPr>
              <w:contextualSpacing/>
              <w:jc w:val="both"/>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 xml:space="preserve">TTDS Entitlement </w:t>
            </w:r>
          </w:p>
        </w:tc>
        <w:tc>
          <w:tcPr>
            <w:tcW w:w="1276" w:type="dxa"/>
            <w:tcBorders>
              <w:top w:val="nil"/>
              <w:left w:val="nil"/>
              <w:bottom w:val="single" w:sz="4" w:space="0" w:color="000000"/>
              <w:right w:val="single" w:sz="4" w:space="0" w:color="000000"/>
            </w:tcBorders>
            <w:shd w:val="clear" w:color="auto" w:fill="auto"/>
            <w:vAlign w:val="bottom"/>
          </w:tcPr>
          <w:p w14:paraId="000000A4" w14:textId="77777777" w:rsidR="007F7F72" w:rsidRPr="00640CB0" w:rsidRDefault="00D01ECA"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761</w:t>
            </w:r>
          </w:p>
        </w:tc>
        <w:tc>
          <w:tcPr>
            <w:tcW w:w="992" w:type="dxa"/>
            <w:tcBorders>
              <w:top w:val="nil"/>
              <w:left w:val="nil"/>
              <w:bottom w:val="single" w:sz="4" w:space="0" w:color="000000"/>
              <w:right w:val="single" w:sz="4" w:space="0" w:color="000000"/>
            </w:tcBorders>
            <w:shd w:val="clear" w:color="auto" w:fill="auto"/>
            <w:vAlign w:val="bottom"/>
          </w:tcPr>
          <w:p w14:paraId="000000A5" w14:textId="7668A91C" w:rsidR="007F7F72" w:rsidRPr="00640CB0" w:rsidRDefault="00D01ECA"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100</w:t>
            </w:r>
          </w:p>
        </w:tc>
        <w:tc>
          <w:tcPr>
            <w:tcW w:w="1276" w:type="dxa"/>
            <w:tcBorders>
              <w:top w:val="nil"/>
              <w:left w:val="nil"/>
              <w:bottom w:val="single" w:sz="4" w:space="0" w:color="000000"/>
              <w:right w:val="single" w:sz="4" w:space="0" w:color="000000"/>
            </w:tcBorders>
            <w:shd w:val="clear" w:color="auto" w:fill="auto"/>
            <w:vAlign w:val="bottom"/>
          </w:tcPr>
          <w:p w14:paraId="000000A6" w14:textId="77777777" w:rsidR="007F7F72" w:rsidRPr="00640CB0" w:rsidRDefault="00D01ECA"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1101</w:t>
            </w:r>
          </w:p>
        </w:tc>
        <w:tc>
          <w:tcPr>
            <w:tcW w:w="992" w:type="dxa"/>
            <w:tcBorders>
              <w:top w:val="nil"/>
              <w:left w:val="nil"/>
              <w:bottom w:val="single" w:sz="4" w:space="0" w:color="000000"/>
              <w:right w:val="single" w:sz="4" w:space="0" w:color="000000"/>
            </w:tcBorders>
            <w:shd w:val="clear" w:color="auto" w:fill="auto"/>
            <w:vAlign w:val="bottom"/>
          </w:tcPr>
          <w:p w14:paraId="000000A7" w14:textId="282C8D7C" w:rsidR="007F7F72" w:rsidRPr="00640CB0" w:rsidRDefault="00D01ECA"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100</w:t>
            </w:r>
          </w:p>
        </w:tc>
        <w:tc>
          <w:tcPr>
            <w:tcW w:w="1590" w:type="dxa"/>
            <w:tcBorders>
              <w:top w:val="nil"/>
              <w:left w:val="nil"/>
              <w:bottom w:val="single" w:sz="4" w:space="0" w:color="000000"/>
              <w:right w:val="single" w:sz="4" w:space="0" w:color="000000"/>
            </w:tcBorders>
            <w:shd w:val="clear" w:color="auto" w:fill="auto"/>
            <w:vAlign w:val="bottom"/>
          </w:tcPr>
          <w:p w14:paraId="000000A8" w14:textId="77777777" w:rsidR="007F7F72" w:rsidRPr="00640CB0" w:rsidRDefault="00D01ECA"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1476</w:t>
            </w:r>
          </w:p>
        </w:tc>
        <w:tc>
          <w:tcPr>
            <w:tcW w:w="1052" w:type="dxa"/>
            <w:tcBorders>
              <w:top w:val="nil"/>
              <w:left w:val="nil"/>
              <w:bottom w:val="single" w:sz="4" w:space="0" w:color="000000"/>
              <w:right w:val="single" w:sz="4" w:space="0" w:color="000000"/>
            </w:tcBorders>
            <w:shd w:val="clear" w:color="auto" w:fill="auto"/>
            <w:vAlign w:val="bottom"/>
          </w:tcPr>
          <w:p w14:paraId="000000A9" w14:textId="503CA0B1" w:rsidR="007F7F72" w:rsidRPr="00640CB0" w:rsidRDefault="00D01ECA"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100</w:t>
            </w:r>
          </w:p>
        </w:tc>
      </w:tr>
    </w:tbl>
    <w:p w14:paraId="000000AA" w14:textId="16B81113" w:rsidR="007F7F72" w:rsidRPr="00640CB0" w:rsidRDefault="00D01ECA" w:rsidP="00801B78">
      <w:pPr>
        <w:spacing w:after="0" w:line="240" w:lineRule="auto"/>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Source: Author</w:t>
      </w:r>
      <w:r w:rsidR="00D96355" w:rsidRPr="00640CB0">
        <w:rPr>
          <w:rFonts w:ascii="Times New Roman" w:eastAsia="Times New Roman" w:hAnsi="Times New Roman" w:cs="Times New Roman"/>
          <w:color w:val="000000"/>
          <w:sz w:val="20"/>
          <w:szCs w:val="20"/>
        </w:rPr>
        <w:t>s</w:t>
      </w:r>
      <w:r w:rsidRPr="00640CB0">
        <w:rPr>
          <w:rFonts w:ascii="Times New Roman" w:eastAsia="Times New Roman" w:hAnsi="Times New Roman" w:cs="Times New Roman"/>
          <w:color w:val="000000"/>
          <w:sz w:val="20"/>
          <w:szCs w:val="20"/>
        </w:rPr>
        <w:t>’ calculation based on FAOSTAT and notified value of production data.</w:t>
      </w:r>
    </w:p>
    <w:p w14:paraId="6BBC8FC7" w14:textId="77777777" w:rsidR="00801B78" w:rsidRDefault="00801B78" w:rsidP="00801B78">
      <w:pPr>
        <w:spacing w:after="0" w:line="360" w:lineRule="auto"/>
        <w:jc w:val="both"/>
        <w:rPr>
          <w:rFonts w:ascii="Times New Roman" w:eastAsia="Times New Roman" w:hAnsi="Times New Roman" w:cs="Times New Roman"/>
          <w:color w:val="000000"/>
          <w:sz w:val="24"/>
          <w:szCs w:val="24"/>
        </w:rPr>
      </w:pPr>
    </w:p>
    <w:p w14:paraId="1E341B69" w14:textId="2B014B90" w:rsidR="002054E9" w:rsidRDefault="00511D10" w:rsidP="003D6D0B">
      <w:pPr>
        <w:spacing w:after="0" w:line="360" w:lineRule="auto"/>
        <w:jc w:val="both"/>
        <w:rPr>
          <w:rFonts w:ascii="Times New Roman" w:eastAsia="Times New Roman" w:hAnsi="Times New Roman" w:cs="Times New Roman"/>
          <w:color w:val="000000" w:themeColor="text1"/>
          <w:sz w:val="24"/>
          <w:szCs w:val="24"/>
        </w:rPr>
      </w:pPr>
      <w:r w:rsidRPr="002552EB">
        <w:rPr>
          <w:rFonts w:ascii="Times New Roman" w:eastAsia="Times New Roman" w:hAnsi="Times New Roman" w:cs="Times New Roman"/>
          <w:color w:val="000000"/>
          <w:sz w:val="24"/>
          <w:szCs w:val="24"/>
        </w:rPr>
        <w:t xml:space="preserve">The global entitlement is projected to increase </w:t>
      </w:r>
      <w:r w:rsidR="00BA68AE" w:rsidRPr="002552EB">
        <w:rPr>
          <w:rFonts w:ascii="Times New Roman" w:eastAsia="Times New Roman" w:hAnsi="Times New Roman" w:cs="Times New Roman"/>
          <w:color w:val="000000"/>
          <w:sz w:val="24"/>
          <w:szCs w:val="24"/>
        </w:rPr>
        <w:t xml:space="preserve">up </w:t>
      </w:r>
      <w:r w:rsidRPr="002552EB">
        <w:rPr>
          <w:rFonts w:ascii="Times New Roman" w:eastAsia="Times New Roman" w:hAnsi="Times New Roman" w:cs="Times New Roman"/>
          <w:color w:val="000000"/>
          <w:sz w:val="24"/>
          <w:szCs w:val="24"/>
        </w:rPr>
        <w:t xml:space="preserve">to US$ 1101 </w:t>
      </w:r>
      <w:r w:rsidR="00BA68AE" w:rsidRPr="002552EB">
        <w:rPr>
          <w:rFonts w:ascii="Times New Roman" w:eastAsia="Times New Roman" w:hAnsi="Times New Roman" w:cs="Times New Roman"/>
          <w:color w:val="000000"/>
          <w:sz w:val="24"/>
          <w:szCs w:val="24"/>
        </w:rPr>
        <w:t>B</w:t>
      </w:r>
      <w:r w:rsidRPr="002552EB">
        <w:rPr>
          <w:rFonts w:ascii="Times New Roman" w:eastAsia="Times New Roman" w:hAnsi="Times New Roman" w:cs="Times New Roman"/>
          <w:color w:val="000000"/>
          <w:sz w:val="24"/>
          <w:szCs w:val="24"/>
        </w:rPr>
        <w:t xml:space="preserve">illion and US$ 1476 </w:t>
      </w:r>
      <w:r w:rsidR="00BA68AE" w:rsidRPr="002552EB">
        <w:rPr>
          <w:rFonts w:ascii="Times New Roman" w:eastAsia="Times New Roman" w:hAnsi="Times New Roman" w:cs="Times New Roman"/>
          <w:color w:val="000000"/>
          <w:sz w:val="24"/>
          <w:szCs w:val="24"/>
        </w:rPr>
        <w:t>B</w:t>
      </w:r>
      <w:r w:rsidRPr="002552EB">
        <w:rPr>
          <w:rFonts w:ascii="Times New Roman" w:eastAsia="Times New Roman" w:hAnsi="Times New Roman" w:cs="Times New Roman"/>
          <w:color w:val="000000"/>
          <w:sz w:val="24"/>
          <w:szCs w:val="24"/>
        </w:rPr>
        <w:t>illion by 2025 and 2030 respectively</w:t>
      </w:r>
      <w:r w:rsidR="00630A9A" w:rsidRPr="002552EB">
        <w:rPr>
          <w:rFonts w:ascii="Times New Roman" w:eastAsia="Times New Roman" w:hAnsi="Times New Roman" w:cs="Times New Roman"/>
          <w:color w:val="000000"/>
          <w:sz w:val="24"/>
          <w:szCs w:val="24"/>
        </w:rPr>
        <w:t xml:space="preserve">, mainly </w:t>
      </w:r>
      <w:r w:rsidR="00E81706" w:rsidRPr="002552EB">
        <w:rPr>
          <w:rFonts w:ascii="Times New Roman" w:eastAsia="Times New Roman" w:hAnsi="Times New Roman" w:cs="Times New Roman"/>
          <w:color w:val="000000"/>
          <w:sz w:val="24"/>
          <w:szCs w:val="24"/>
        </w:rPr>
        <w:t>because of the</w:t>
      </w:r>
      <w:r w:rsidR="00630A9A" w:rsidRPr="002552EB">
        <w:rPr>
          <w:rFonts w:ascii="Times New Roman" w:eastAsia="Times New Roman" w:hAnsi="Times New Roman" w:cs="Times New Roman"/>
          <w:color w:val="000000"/>
          <w:sz w:val="24"/>
          <w:szCs w:val="24"/>
        </w:rPr>
        <w:t xml:space="preserve"> increase in the VoP of agriculture for the WTO members</w:t>
      </w:r>
      <w:r w:rsidRPr="002552EB">
        <w:rPr>
          <w:rFonts w:ascii="Times New Roman" w:eastAsia="Times New Roman" w:hAnsi="Times New Roman" w:cs="Times New Roman"/>
          <w:color w:val="000000"/>
          <w:sz w:val="24"/>
          <w:szCs w:val="24"/>
        </w:rPr>
        <w:t xml:space="preserve"> (Table 3).</w:t>
      </w:r>
      <w:r w:rsidR="00E81706" w:rsidRPr="002552EB">
        <w:rPr>
          <w:rFonts w:ascii="Times New Roman" w:eastAsia="Times New Roman" w:hAnsi="Times New Roman" w:cs="Times New Roman"/>
          <w:color w:val="000000"/>
          <w:sz w:val="24"/>
          <w:szCs w:val="24"/>
        </w:rPr>
        <w:t xml:space="preserve"> </w:t>
      </w:r>
      <w:r w:rsidR="00D81063" w:rsidRPr="002552EB">
        <w:rPr>
          <w:rFonts w:ascii="Times New Roman" w:eastAsia="Times New Roman" w:hAnsi="Times New Roman" w:cs="Times New Roman"/>
          <w:color w:val="000000"/>
          <w:sz w:val="24"/>
          <w:szCs w:val="24"/>
        </w:rPr>
        <w:t>It is to be noted that</w:t>
      </w:r>
      <w:r w:rsidR="00630A9A" w:rsidRPr="002552EB">
        <w:rPr>
          <w:rFonts w:ascii="Times New Roman" w:eastAsia="Times New Roman" w:hAnsi="Times New Roman" w:cs="Times New Roman"/>
          <w:color w:val="000000"/>
          <w:sz w:val="24"/>
          <w:szCs w:val="24"/>
        </w:rPr>
        <w:t xml:space="preserve"> the VoP is projected based on compound annual growth rate based on 1995-2018 data of WTO members. </w:t>
      </w:r>
      <w:r w:rsidR="00977013" w:rsidRPr="002552EB">
        <w:rPr>
          <w:rFonts w:ascii="Times New Roman" w:eastAsia="Times New Roman" w:hAnsi="Times New Roman" w:cs="Times New Roman"/>
          <w:color w:val="000000"/>
          <w:sz w:val="24"/>
          <w:szCs w:val="24"/>
        </w:rPr>
        <w:t xml:space="preserve">Importantly, the projected global entitlement does not include the flexibilities available under the </w:t>
      </w:r>
      <w:r w:rsidR="00BA68AE" w:rsidRPr="002552EB">
        <w:rPr>
          <w:rFonts w:ascii="Times New Roman" w:eastAsia="Times New Roman" w:hAnsi="Times New Roman" w:cs="Times New Roman"/>
          <w:color w:val="000000"/>
          <w:sz w:val="24"/>
          <w:szCs w:val="24"/>
        </w:rPr>
        <w:t>D</w:t>
      </w:r>
      <w:r w:rsidR="00977013" w:rsidRPr="002552EB">
        <w:rPr>
          <w:rFonts w:ascii="Times New Roman" w:eastAsia="Times New Roman" w:hAnsi="Times New Roman" w:cs="Times New Roman"/>
          <w:color w:val="000000"/>
          <w:sz w:val="24"/>
          <w:szCs w:val="24"/>
        </w:rPr>
        <w:t xml:space="preserve">evelopment and </w:t>
      </w:r>
      <w:r w:rsidR="00BA68AE" w:rsidRPr="002552EB">
        <w:rPr>
          <w:rFonts w:ascii="Times New Roman" w:eastAsia="Times New Roman" w:hAnsi="Times New Roman" w:cs="Times New Roman"/>
          <w:color w:val="000000"/>
          <w:sz w:val="24"/>
          <w:szCs w:val="24"/>
        </w:rPr>
        <w:t>B</w:t>
      </w:r>
      <w:r w:rsidR="00977013" w:rsidRPr="002552EB">
        <w:rPr>
          <w:rFonts w:ascii="Times New Roman" w:eastAsia="Times New Roman" w:hAnsi="Times New Roman" w:cs="Times New Roman"/>
          <w:color w:val="000000"/>
          <w:sz w:val="24"/>
          <w:szCs w:val="24"/>
        </w:rPr>
        <w:t xml:space="preserve">lue box. </w:t>
      </w:r>
      <w:r w:rsidR="00D01ECA" w:rsidRPr="002552EB">
        <w:rPr>
          <w:rFonts w:ascii="Times New Roman" w:eastAsia="Times New Roman" w:hAnsi="Times New Roman" w:cs="Times New Roman"/>
          <w:color w:val="000000"/>
          <w:sz w:val="24"/>
          <w:szCs w:val="24"/>
        </w:rPr>
        <w:t xml:space="preserve"> For a given increase in the VoP, </w:t>
      </w:r>
      <w:r w:rsidR="00880C51" w:rsidRPr="002552EB">
        <w:rPr>
          <w:rFonts w:ascii="Times New Roman" w:eastAsia="Times New Roman" w:hAnsi="Times New Roman" w:cs="Times New Roman"/>
          <w:color w:val="000000"/>
          <w:sz w:val="24"/>
          <w:szCs w:val="24"/>
        </w:rPr>
        <w:t xml:space="preserve">the </w:t>
      </w:r>
      <w:r w:rsidR="00D01ECA" w:rsidRPr="002552EB">
        <w:rPr>
          <w:rFonts w:ascii="Times New Roman" w:eastAsia="Times New Roman" w:hAnsi="Times New Roman" w:cs="Times New Roman"/>
          <w:color w:val="000000"/>
          <w:sz w:val="24"/>
          <w:szCs w:val="24"/>
        </w:rPr>
        <w:t xml:space="preserve">entitlement of </w:t>
      </w:r>
      <w:r w:rsidR="00880C51" w:rsidRPr="002552EB">
        <w:rPr>
          <w:rFonts w:ascii="Times New Roman" w:eastAsia="Times New Roman" w:hAnsi="Times New Roman" w:cs="Times New Roman"/>
          <w:color w:val="000000"/>
          <w:sz w:val="24"/>
          <w:szCs w:val="24"/>
        </w:rPr>
        <w:t xml:space="preserve">the </w:t>
      </w:r>
      <w:r w:rsidR="00D01ECA" w:rsidRPr="002552EB">
        <w:rPr>
          <w:rFonts w:ascii="Times New Roman" w:eastAsia="Times New Roman" w:hAnsi="Times New Roman" w:cs="Times New Roman"/>
          <w:color w:val="000000"/>
          <w:sz w:val="24"/>
          <w:szCs w:val="24"/>
        </w:rPr>
        <w:t xml:space="preserve">developing and LDC members would increase at double the rate than the developed countries due to the combined </w:t>
      </w:r>
      <w:r w:rsidR="00D01ECA" w:rsidRPr="002552EB">
        <w:rPr>
          <w:rFonts w:ascii="Times New Roman" w:eastAsia="Times New Roman" w:hAnsi="Times New Roman" w:cs="Times New Roman"/>
          <w:i/>
          <w:color w:val="000000"/>
          <w:sz w:val="24"/>
          <w:szCs w:val="24"/>
        </w:rPr>
        <w:t>de minimis</w:t>
      </w:r>
      <w:r w:rsidR="00D01ECA" w:rsidRPr="002552EB">
        <w:rPr>
          <w:rFonts w:ascii="Times New Roman" w:eastAsia="Times New Roman" w:hAnsi="Times New Roman" w:cs="Times New Roman"/>
          <w:color w:val="000000"/>
          <w:sz w:val="24"/>
          <w:szCs w:val="24"/>
        </w:rPr>
        <w:t xml:space="preserve"> limit.</w:t>
      </w:r>
      <w:r w:rsidR="00625B52" w:rsidRPr="002552EB">
        <w:rPr>
          <w:rFonts w:ascii="Times New Roman" w:eastAsia="Times New Roman" w:hAnsi="Times New Roman" w:cs="Times New Roman"/>
          <w:color w:val="000000"/>
          <w:sz w:val="24"/>
          <w:szCs w:val="24"/>
        </w:rPr>
        <w:t xml:space="preserve"> </w:t>
      </w:r>
      <w:r w:rsidR="00625B52" w:rsidRPr="002552EB">
        <w:rPr>
          <w:rFonts w:ascii="Times New Roman" w:eastAsia="Times New Roman" w:hAnsi="Times New Roman" w:cs="Times New Roman"/>
          <w:color w:val="000000" w:themeColor="text1"/>
          <w:sz w:val="24"/>
          <w:szCs w:val="24"/>
        </w:rPr>
        <w:t xml:space="preserve">Consequently, </w:t>
      </w:r>
      <w:r w:rsidR="009A1DC2" w:rsidRPr="002552EB">
        <w:rPr>
          <w:rFonts w:ascii="Times New Roman" w:eastAsia="Times New Roman" w:hAnsi="Times New Roman" w:cs="Times New Roman"/>
          <w:color w:val="000000" w:themeColor="text1"/>
          <w:sz w:val="24"/>
          <w:szCs w:val="24"/>
        </w:rPr>
        <w:t xml:space="preserve">the share of developing and LDCs in the global trade-distorting entitlement is projected to increase </w:t>
      </w:r>
      <w:r w:rsidR="000B1F8E" w:rsidRPr="002552EB">
        <w:rPr>
          <w:rFonts w:ascii="Times New Roman" w:eastAsia="Times New Roman" w:hAnsi="Times New Roman" w:cs="Times New Roman"/>
          <w:color w:val="000000" w:themeColor="text1"/>
          <w:sz w:val="24"/>
          <w:szCs w:val="24"/>
        </w:rPr>
        <w:t>from 64%</w:t>
      </w:r>
      <w:r w:rsidR="00836673" w:rsidRPr="002552EB">
        <w:rPr>
          <w:rFonts w:ascii="Times New Roman" w:eastAsia="Times New Roman" w:hAnsi="Times New Roman" w:cs="Times New Roman"/>
          <w:color w:val="000000" w:themeColor="text1"/>
          <w:sz w:val="24"/>
          <w:szCs w:val="24"/>
        </w:rPr>
        <w:t xml:space="preserve"> in 2018</w:t>
      </w:r>
      <w:r w:rsidR="000B1F8E" w:rsidRPr="002552EB">
        <w:rPr>
          <w:rFonts w:ascii="Times New Roman" w:eastAsia="Times New Roman" w:hAnsi="Times New Roman" w:cs="Times New Roman"/>
          <w:color w:val="000000" w:themeColor="text1"/>
          <w:sz w:val="24"/>
          <w:szCs w:val="24"/>
        </w:rPr>
        <w:t xml:space="preserve"> to 77%</w:t>
      </w:r>
      <w:r w:rsidR="00836673" w:rsidRPr="002552EB">
        <w:rPr>
          <w:rFonts w:ascii="Times New Roman" w:eastAsia="Times New Roman" w:hAnsi="Times New Roman" w:cs="Times New Roman"/>
          <w:color w:val="000000" w:themeColor="text1"/>
          <w:sz w:val="24"/>
          <w:szCs w:val="24"/>
        </w:rPr>
        <w:t xml:space="preserve"> in</w:t>
      </w:r>
      <w:r w:rsidR="009A1DC2" w:rsidRPr="002552EB">
        <w:rPr>
          <w:rFonts w:ascii="Times New Roman" w:eastAsia="Times New Roman" w:hAnsi="Times New Roman" w:cs="Times New Roman"/>
          <w:color w:val="000000" w:themeColor="text1"/>
          <w:sz w:val="24"/>
          <w:szCs w:val="24"/>
        </w:rPr>
        <w:t xml:space="preserve"> 2030</w:t>
      </w:r>
      <w:r w:rsidR="00DC3D6E" w:rsidRPr="002552EB">
        <w:rPr>
          <w:rFonts w:ascii="Times New Roman" w:eastAsia="Times New Roman" w:hAnsi="Times New Roman" w:cs="Times New Roman"/>
          <w:color w:val="000000" w:themeColor="text1"/>
          <w:sz w:val="24"/>
          <w:szCs w:val="24"/>
        </w:rPr>
        <w:t xml:space="preserve"> </w:t>
      </w:r>
      <w:r w:rsidR="00DC3D6E" w:rsidRPr="002552EB">
        <w:rPr>
          <w:rFonts w:ascii="Times New Roman" w:eastAsia="Times New Roman" w:hAnsi="Times New Roman" w:cs="Times New Roman"/>
          <w:color w:val="000000"/>
          <w:sz w:val="24"/>
          <w:szCs w:val="24"/>
        </w:rPr>
        <w:t>(</w:t>
      </w:r>
      <w:r w:rsidR="00937AFF">
        <w:rPr>
          <w:rFonts w:ascii="Times New Roman" w:eastAsia="Times New Roman" w:hAnsi="Times New Roman" w:cs="Times New Roman"/>
          <w:color w:val="000000"/>
          <w:sz w:val="24"/>
          <w:szCs w:val="24"/>
        </w:rPr>
        <w:t>T</w:t>
      </w:r>
      <w:r w:rsidR="00DC3D6E" w:rsidRPr="002552EB">
        <w:rPr>
          <w:rFonts w:ascii="Times New Roman" w:eastAsia="Times New Roman" w:hAnsi="Times New Roman" w:cs="Times New Roman"/>
          <w:color w:val="000000"/>
          <w:sz w:val="24"/>
          <w:szCs w:val="24"/>
        </w:rPr>
        <w:t>able 3).</w:t>
      </w:r>
      <w:r w:rsidR="00836673" w:rsidRPr="002552EB">
        <w:rPr>
          <w:rFonts w:ascii="Times New Roman" w:eastAsia="Times New Roman" w:hAnsi="Times New Roman" w:cs="Times New Roman"/>
          <w:color w:val="000000"/>
          <w:sz w:val="24"/>
          <w:szCs w:val="24"/>
        </w:rPr>
        <w:t xml:space="preserve"> Importantly, </w:t>
      </w:r>
      <w:r w:rsidR="00625B52" w:rsidRPr="002552EB">
        <w:rPr>
          <w:rFonts w:ascii="Times New Roman" w:eastAsia="Times New Roman" w:hAnsi="Times New Roman" w:cs="Times New Roman"/>
          <w:color w:val="000000"/>
          <w:sz w:val="24"/>
          <w:szCs w:val="24"/>
        </w:rPr>
        <w:t xml:space="preserve">China and India will be the top countries in terms of </w:t>
      </w:r>
      <w:r w:rsidR="00A42305" w:rsidRPr="002552EB">
        <w:rPr>
          <w:rFonts w:ascii="Times New Roman" w:eastAsia="Times New Roman" w:hAnsi="Times New Roman" w:cs="Times New Roman"/>
          <w:color w:val="000000"/>
          <w:sz w:val="24"/>
          <w:szCs w:val="24"/>
        </w:rPr>
        <w:t>trade-distorting domestic support</w:t>
      </w:r>
      <w:r w:rsidR="00625B52" w:rsidRPr="002552EB">
        <w:rPr>
          <w:rFonts w:ascii="Times New Roman" w:eastAsia="Times New Roman" w:hAnsi="Times New Roman" w:cs="Times New Roman"/>
          <w:color w:val="000000"/>
          <w:sz w:val="24"/>
          <w:szCs w:val="24"/>
        </w:rPr>
        <w:t xml:space="preserve"> entitlement by 2030 (Figure </w:t>
      </w:r>
      <w:r w:rsidR="00937AFF">
        <w:rPr>
          <w:rFonts w:ascii="Times New Roman" w:eastAsia="Times New Roman" w:hAnsi="Times New Roman" w:cs="Times New Roman"/>
          <w:color w:val="000000"/>
          <w:sz w:val="24"/>
          <w:szCs w:val="24"/>
        </w:rPr>
        <w:t>2</w:t>
      </w:r>
      <w:r w:rsidR="00625B52" w:rsidRPr="003279E6">
        <w:rPr>
          <w:rFonts w:ascii="Times New Roman" w:eastAsia="Times New Roman" w:hAnsi="Times New Roman" w:cs="Times New Roman"/>
          <w:color w:val="000000"/>
          <w:sz w:val="24"/>
          <w:szCs w:val="24"/>
        </w:rPr>
        <w:t>).</w:t>
      </w:r>
      <w:r w:rsidR="00836673" w:rsidRPr="003279E6">
        <w:rPr>
          <w:rFonts w:ascii="Times New Roman" w:eastAsia="Times New Roman" w:hAnsi="Times New Roman" w:cs="Times New Roman"/>
          <w:color w:val="000000"/>
          <w:sz w:val="24"/>
          <w:szCs w:val="24"/>
        </w:rPr>
        <w:t xml:space="preserve"> </w:t>
      </w:r>
      <w:r w:rsidR="00836673" w:rsidRPr="003279E6">
        <w:rPr>
          <w:rFonts w:ascii="Times New Roman" w:eastAsia="Times New Roman" w:hAnsi="Times New Roman" w:cs="Times New Roman"/>
          <w:color w:val="000000" w:themeColor="text1"/>
          <w:sz w:val="24"/>
          <w:szCs w:val="24"/>
        </w:rPr>
        <w:t xml:space="preserve">For the developed members, </w:t>
      </w:r>
      <w:r w:rsidR="00B21CBF" w:rsidRPr="003279E6">
        <w:rPr>
          <w:rFonts w:ascii="Times New Roman" w:eastAsia="Times New Roman" w:hAnsi="Times New Roman" w:cs="Times New Roman"/>
          <w:color w:val="000000" w:themeColor="text1"/>
          <w:sz w:val="24"/>
          <w:szCs w:val="24"/>
        </w:rPr>
        <w:t xml:space="preserve">the share of </w:t>
      </w:r>
      <w:r w:rsidR="00B463DC" w:rsidRPr="003279E6">
        <w:rPr>
          <w:rFonts w:ascii="Times New Roman" w:eastAsia="Times New Roman" w:hAnsi="Times New Roman" w:cs="Times New Roman"/>
          <w:color w:val="000000" w:themeColor="text1"/>
          <w:sz w:val="24"/>
          <w:szCs w:val="24"/>
        </w:rPr>
        <w:t>global entitlement reduces from 35.9% in 2018 to 23.4%</w:t>
      </w:r>
      <w:r w:rsidR="004F7D9C" w:rsidRPr="003279E6">
        <w:rPr>
          <w:rFonts w:ascii="Times New Roman" w:eastAsia="Times New Roman" w:hAnsi="Times New Roman" w:cs="Times New Roman"/>
          <w:color w:val="000000" w:themeColor="text1"/>
          <w:sz w:val="24"/>
          <w:szCs w:val="24"/>
        </w:rPr>
        <w:t>.</w:t>
      </w:r>
      <w:r w:rsidR="004F7D9C" w:rsidRPr="002552EB">
        <w:rPr>
          <w:rFonts w:ascii="Times New Roman" w:eastAsia="Times New Roman" w:hAnsi="Times New Roman" w:cs="Times New Roman"/>
          <w:color w:val="000000" w:themeColor="text1"/>
          <w:sz w:val="24"/>
          <w:szCs w:val="24"/>
        </w:rPr>
        <w:t xml:space="preserve"> </w:t>
      </w:r>
    </w:p>
    <w:p w14:paraId="68F4C5E8" w14:textId="77777777" w:rsidR="00FF494B" w:rsidRDefault="00FF494B" w:rsidP="003D6D0B">
      <w:pPr>
        <w:spacing w:after="0" w:line="360" w:lineRule="auto"/>
        <w:jc w:val="both"/>
        <w:rPr>
          <w:rFonts w:ascii="Times New Roman" w:eastAsia="Times New Roman" w:hAnsi="Times New Roman" w:cs="Times New Roman"/>
          <w:color w:val="000000" w:themeColor="text1"/>
          <w:sz w:val="24"/>
          <w:szCs w:val="24"/>
        </w:rPr>
      </w:pPr>
    </w:p>
    <w:p w14:paraId="1F20A368" w14:textId="1ADFA233" w:rsidR="00327A0C" w:rsidRDefault="00327A0C" w:rsidP="00801B78">
      <w:pPr>
        <w:spacing w:after="0" w:line="360" w:lineRule="auto"/>
        <w:ind w:right="-46"/>
        <w:jc w:val="both"/>
        <w:rPr>
          <w:rFonts w:ascii="Times New Roman" w:eastAsia="Times New Roman" w:hAnsi="Times New Roman" w:cs="Times New Roman"/>
          <w:color w:val="000000" w:themeColor="text1"/>
          <w:sz w:val="24"/>
          <w:szCs w:val="24"/>
        </w:rPr>
      </w:pPr>
      <w:r w:rsidRPr="002552EB">
        <w:rPr>
          <w:rFonts w:ascii="Times New Roman" w:eastAsia="Times New Roman" w:hAnsi="Times New Roman" w:cs="Times New Roman"/>
          <w:color w:val="000000" w:themeColor="text1"/>
          <w:sz w:val="24"/>
          <w:szCs w:val="24"/>
        </w:rPr>
        <w:lastRenderedPageBreak/>
        <w:t xml:space="preserve">The results of this study are largely in line with the projections made by some WTO members showing </w:t>
      </w:r>
      <w:r w:rsidR="000945D2">
        <w:rPr>
          <w:rFonts w:ascii="Times New Roman" w:eastAsia="Times New Roman" w:hAnsi="Times New Roman" w:cs="Times New Roman"/>
          <w:color w:val="000000" w:themeColor="text1"/>
          <w:sz w:val="24"/>
          <w:szCs w:val="24"/>
        </w:rPr>
        <w:t xml:space="preserve">the </w:t>
      </w:r>
      <w:r w:rsidRPr="002552EB">
        <w:rPr>
          <w:rFonts w:ascii="Times New Roman" w:eastAsia="Times New Roman" w:hAnsi="Times New Roman" w:cs="Times New Roman"/>
          <w:color w:val="000000" w:themeColor="text1"/>
          <w:sz w:val="24"/>
          <w:szCs w:val="24"/>
        </w:rPr>
        <w:t xml:space="preserve">increase in global TTDS entitlement (WTO, 2019a). However, the projected entitlement in monetary terms varies mainly due to data </w:t>
      </w:r>
      <w:r w:rsidR="000945D2">
        <w:rPr>
          <w:rFonts w:ascii="Times New Roman" w:eastAsia="Times New Roman" w:hAnsi="Times New Roman" w:cs="Times New Roman"/>
          <w:color w:val="000000" w:themeColor="text1"/>
          <w:sz w:val="24"/>
          <w:szCs w:val="24"/>
        </w:rPr>
        <w:t>sources</w:t>
      </w:r>
      <w:r w:rsidRPr="002552EB">
        <w:rPr>
          <w:rFonts w:ascii="Times New Roman" w:eastAsia="Times New Roman" w:hAnsi="Times New Roman" w:cs="Times New Roman"/>
          <w:color w:val="000000" w:themeColor="text1"/>
          <w:sz w:val="24"/>
          <w:szCs w:val="24"/>
        </w:rPr>
        <w:t xml:space="preserve"> for </w:t>
      </w:r>
      <w:r w:rsidR="000945D2">
        <w:rPr>
          <w:rFonts w:ascii="Times New Roman" w:eastAsia="Times New Roman" w:hAnsi="Times New Roman" w:cs="Times New Roman"/>
          <w:color w:val="000000" w:themeColor="text1"/>
          <w:sz w:val="24"/>
          <w:szCs w:val="24"/>
        </w:rPr>
        <w:t xml:space="preserve">the </w:t>
      </w:r>
      <w:r w:rsidRPr="002552EB">
        <w:rPr>
          <w:rFonts w:ascii="Times New Roman" w:eastAsia="Times New Roman" w:hAnsi="Times New Roman" w:cs="Times New Roman"/>
          <w:color w:val="000000" w:themeColor="text1"/>
          <w:sz w:val="24"/>
          <w:szCs w:val="24"/>
        </w:rPr>
        <w:t xml:space="preserve">value of agricultural production. This study has used the VoP data based on national statistics, domestic support notifications and FAO statistics. Meanwhile, Cairns Group members have relied on the VoP data published in the FAO statistics. Overall, the TTDS entitlement based on the proposed methodology (summation of combined </w:t>
      </w:r>
      <w:r w:rsidRPr="002552EB">
        <w:rPr>
          <w:rFonts w:ascii="Times New Roman" w:eastAsia="Times New Roman" w:hAnsi="Times New Roman" w:cs="Times New Roman"/>
          <w:i/>
          <w:iCs/>
          <w:color w:val="000000" w:themeColor="text1"/>
          <w:sz w:val="24"/>
          <w:szCs w:val="24"/>
        </w:rPr>
        <w:t>de minimis</w:t>
      </w:r>
      <w:r w:rsidRPr="002552EB">
        <w:rPr>
          <w:rFonts w:ascii="Times New Roman" w:eastAsia="Times New Roman" w:hAnsi="Times New Roman" w:cs="Times New Roman"/>
          <w:color w:val="000000" w:themeColor="text1"/>
          <w:sz w:val="24"/>
          <w:szCs w:val="24"/>
        </w:rPr>
        <w:t xml:space="preserve"> and AMS entitlement) is projected to increase which has prompted the WTO members to repurpose them to facilitate trade in sustainable agriculture. </w:t>
      </w:r>
    </w:p>
    <w:p w14:paraId="628D017C" w14:textId="77777777" w:rsidR="00801B78" w:rsidRPr="00182EF4" w:rsidRDefault="00801B78" w:rsidP="00801B78">
      <w:pPr>
        <w:spacing w:after="0" w:line="360" w:lineRule="auto"/>
        <w:ind w:right="-46"/>
        <w:jc w:val="both"/>
        <w:rPr>
          <w:rFonts w:ascii="Times New Roman" w:eastAsia="Times New Roman" w:hAnsi="Times New Roman" w:cs="Times New Roman"/>
          <w:color w:val="000000" w:themeColor="text1"/>
          <w:sz w:val="24"/>
          <w:szCs w:val="24"/>
        </w:rPr>
      </w:pPr>
    </w:p>
    <w:p w14:paraId="000000AE" w14:textId="105E4AF5" w:rsidR="007F7F72" w:rsidRPr="00640CB0" w:rsidRDefault="00D01ECA" w:rsidP="00801B78">
      <w:pPr>
        <w:spacing w:after="0" w:line="240" w:lineRule="auto"/>
        <w:contextualSpacing/>
        <w:jc w:val="both"/>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Fig</w:t>
      </w:r>
      <w:r w:rsidR="007D1B7C" w:rsidRPr="00640CB0">
        <w:rPr>
          <w:rFonts w:ascii="Times New Roman" w:eastAsia="Times New Roman" w:hAnsi="Times New Roman" w:cs="Times New Roman"/>
          <w:b/>
          <w:color w:val="000000"/>
          <w:sz w:val="20"/>
          <w:szCs w:val="20"/>
        </w:rPr>
        <w:t>.</w:t>
      </w:r>
      <w:r w:rsidR="00855A89" w:rsidRPr="00640CB0">
        <w:rPr>
          <w:rFonts w:ascii="Times New Roman" w:eastAsia="Times New Roman" w:hAnsi="Times New Roman" w:cs="Times New Roman"/>
          <w:b/>
          <w:color w:val="000000"/>
          <w:sz w:val="20"/>
          <w:szCs w:val="20"/>
        </w:rPr>
        <w:t xml:space="preserve"> 2</w:t>
      </w:r>
      <w:r w:rsidRPr="00640CB0">
        <w:rPr>
          <w:rFonts w:ascii="Times New Roman" w:eastAsia="Times New Roman" w:hAnsi="Times New Roman" w:cs="Times New Roman"/>
          <w:b/>
          <w:color w:val="000000"/>
          <w:sz w:val="20"/>
          <w:szCs w:val="20"/>
        </w:rPr>
        <w:t xml:space="preserve"> T</w:t>
      </w:r>
      <w:r w:rsidR="003B6DD6" w:rsidRPr="00640CB0">
        <w:rPr>
          <w:rFonts w:ascii="Times New Roman" w:eastAsia="Times New Roman" w:hAnsi="Times New Roman" w:cs="Times New Roman"/>
          <w:b/>
          <w:color w:val="000000"/>
          <w:sz w:val="20"/>
          <w:szCs w:val="20"/>
        </w:rPr>
        <w:t>rade-distorting domestic support</w:t>
      </w:r>
      <w:r w:rsidRPr="00640CB0">
        <w:rPr>
          <w:rFonts w:ascii="Times New Roman" w:eastAsia="Times New Roman" w:hAnsi="Times New Roman" w:cs="Times New Roman"/>
          <w:b/>
          <w:color w:val="000000"/>
          <w:sz w:val="20"/>
          <w:szCs w:val="20"/>
        </w:rPr>
        <w:t xml:space="preserve"> entitlement of top 5 members based on </w:t>
      </w:r>
      <w:r w:rsidR="000444C8" w:rsidRPr="00640CB0">
        <w:rPr>
          <w:rFonts w:ascii="Times New Roman" w:eastAsia="Times New Roman" w:hAnsi="Times New Roman" w:cs="Times New Roman"/>
          <w:b/>
          <w:color w:val="000000"/>
          <w:sz w:val="20"/>
          <w:szCs w:val="20"/>
        </w:rPr>
        <w:t>p</w:t>
      </w:r>
      <w:r w:rsidRPr="00640CB0">
        <w:rPr>
          <w:rFonts w:ascii="Times New Roman" w:eastAsia="Times New Roman" w:hAnsi="Times New Roman" w:cs="Times New Roman"/>
          <w:b/>
          <w:color w:val="000000"/>
          <w:sz w:val="20"/>
          <w:szCs w:val="20"/>
        </w:rPr>
        <w:t>roposed methodology (US$ Billion)</w:t>
      </w:r>
      <w:r w:rsidR="00804CC4" w:rsidRPr="00640CB0">
        <w:rPr>
          <w:rFonts w:ascii="Times New Roman" w:eastAsia="Times New Roman" w:hAnsi="Times New Roman" w:cs="Times New Roman"/>
          <w:b/>
          <w:color w:val="000000"/>
          <w:sz w:val="20"/>
          <w:szCs w:val="20"/>
        </w:rPr>
        <w:t xml:space="preserve"> for the </w:t>
      </w:r>
      <w:r w:rsidR="000945D2">
        <w:rPr>
          <w:rFonts w:ascii="Times New Roman" w:eastAsia="Times New Roman" w:hAnsi="Times New Roman" w:cs="Times New Roman"/>
          <w:b/>
          <w:color w:val="000000"/>
          <w:sz w:val="20"/>
          <w:szCs w:val="20"/>
        </w:rPr>
        <w:t>years</w:t>
      </w:r>
      <w:r w:rsidR="00804CC4" w:rsidRPr="00640CB0">
        <w:rPr>
          <w:rFonts w:ascii="Times New Roman" w:eastAsia="Times New Roman" w:hAnsi="Times New Roman" w:cs="Times New Roman"/>
          <w:b/>
          <w:color w:val="000000"/>
          <w:sz w:val="20"/>
          <w:szCs w:val="20"/>
        </w:rPr>
        <w:t xml:space="preserve"> 2018</w:t>
      </w:r>
      <w:r w:rsidR="00855A89" w:rsidRPr="00640CB0">
        <w:rPr>
          <w:rFonts w:ascii="Times New Roman" w:eastAsia="Times New Roman" w:hAnsi="Times New Roman" w:cs="Times New Roman"/>
          <w:b/>
          <w:color w:val="000000"/>
          <w:sz w:val="20"/>
          <w:szCs w:val="20"/>
        </w:rPr>
        <w:t>, 2025,</w:t>
      </w:r>
      <w:r w:rsidR="00804CC4" w:rsidRPr="00640CB0">
        <w:rPr>
          <w:rFonts w:ascii="Times New Roman" w:eastAsia="Times New Roman" w:hAnsi="Times New Roman" w:cs="Times New Roman"/>
          <w:b/>
          <w:color w:val="000000"/>
          <w:sz w:val="20"/>
          <w:szCs w:val="20"/>
        </w:rPr>
        <w:t xml:space="preserve"> and 2030</w:t>
      </w:r>
    </w:p>
    <w:p w14:paraId="000000AF" w14:textId="3B5DCCD5" w:rsidR="007F7F72" w:rsidRPr="00640CB0" w:rsidRDefault="00DE5407" w:rsidP="00801B78">
      <w:pPr>
        <w:spacing w:after="0" w:line="240" w:lineRule="auto"/>
        <w:ind w:right="-330"/>
        <w:contextualSpacing/>
        <w:rPr>
          <w:rFonts w:ascii="Times New Roman" w:eastAsia="Times New Roman" w:hAnsi="Times New Roman" w:cs="Times New Roman"/>
          <w:color w:val="000000"/>
          <w:sz w:val="20"/>
          <w:szCs w:val="20"/>
        </w:rPr>
      </w:pPr>
      <w:r w:rsidRPr="00640CB0">
        <w:rPr>
          <w:noProof/>
        </w:rPr>
        <w:drawing>
          <wp:inline distT="0" distB="0" distL="0" distR="0" wp14:anchorId="22F513E5" wp14:editId="6B98966E">
            <wp:extent cx="5687736" cy="2893695"/>
            <wp:effectExtent l="0" t="0" r="14605" b="14605"/>
            <wp:docPr id="897076401" name="Chart 1">
              <a:extLst xmlns:a="http://schemas.openxmlformats.org/drawingml/2006/main">
                <a:ext uri="{FF2B5EF4-FFF2-40B4-BE49-F238E27FC236}">
                  <a16:creationId xmlns:a16="http://schemas.microsoft.com/office/drawing/2014/main" id="{FBBE5CF0-8AD7-B9C8-11B5-0A7004C8B0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0000B0" w14:textId="10FBDA61" w:rsidR="007F7F72" w:rsidRDefault="00D01ECA" w:rsidP="00801B78">
      <w:pPr>
        <w:spacing w:after="0" w:line="240" w:lineRule="auto"/>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Source: Author</w:t>
      </w:r>
      <w:r w:rsidR="009A1DC2" w:rsidRPr="00640CB0">
        <w:rPr>
          <w:rFonts w:ascii="Times New Roman" w:eastAsia="Times New Roman" w:hAnsi="Times New Roman" w:cs="Times New Roman"/>
          <w:color w:val="000000"/>
          <w:sz w:val="20"/>
          <w:szCs w:val="20"/>
        </w:rPr>
        <w:t>s’</w:t>
      </w:r>
      <w:r w:rsidRPr="00640CB0">
        <w:rPr>
          <w:rFonts w:ascii="Times New Roman" w:eastAsia="Times New Roman" w:hAnsi="Times New Roman" w:cs="Times New Roman"/>
          <w:color w:val="000000"/>
          <w:sz w:val="20"/>
          <w:szCs w:val="20"/>
        </w:rPr>
        <w:t xml:space="preserve"> calculation based on FAOSTAT and </w:t>
      </w:r>
      <w:r w:rsidR="00B026FA" w:rsidRPr="00640CB0">
        <w:rPr>
          <w:rFonts w:ascii="Times New Roman" w:eastAsia="Times New Roman" w:hAnsi="Times New Roman" w:cs="Times New Roman"/>
          <w:color w:val="000000"/>
          <w:sz w:val="20"/>
          <w:szCs w:val="20"/>
        </w:rPr>
        <w:t>n</w:t>
      </w:r>
      <w:r w:rsidRPr="00640CB0">
        <w:rPr>
          <w:rFonts w:ascii="Times New Roman" w:eastAsia="Times New Roman" w:hAnsi="Times New Roman" w:cs="Times New Roman"/>
          <w:color w:val="000000"/>
          <w:sz w:val="20"/>
          <w:szCs w:val="20"/>
        </w:rPr>
        <w:t>otified Value of Production data.</w:t>
      </w:r>
    </w:p>
    <w:p w14:paraId="415E6F6C" w14:textId="77777777" w:rsidR="003D6D0B" w:rsidRPr="003D6D0B" w:rsidRDefault="003D6D0B" w:rsidP="003D6D0B">
      <w:pPr>
        <w:spacing w:after="0" w:line="360" w:lineRule="auto"/>
        <w:contextualSpacing/>
        <w:jc w:val="both"/>
        <w:rPr>
          <w:rFonts w:ascii="Times New Roman" w:eastAsia="Times New Roman" w:hAnsi="Times New Roman" w:cs="Times New Roman"/>
          <w:color w:val="000000"/>
          <w:sz w:val="24"/>
          <w:szCs w:val="24"/>
        </w:rPr>
      </w:pPr>
    </w:p>
    <w:p w14:paraId="1838CDDE" w14:textId="563E73AC" w:rsidR="00182EF4" w:rsidRPr="002552EB" w:rsidRDefault="00327A0C" w:rsidP="00327A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0B2" w14:textId="63CAC75B" w:rsidR="007F7F72" w:rsidRPr="002552EB" w:rsidRDefault="00D01ECA" w:rsidP="00327A0C">
      <w:pPr>
        <w:pStyle w:val="Heading1"/>
        <w:numPr>
          <w:ilvl w:val="0"/>
          <w:numId w:val="12"/>
        </w:numPr>
        <w:jc w:val="both"/>
      </w:pPr>
      <w:bookmarkStart w:id="7" w:name="_Toc147322996"/>
      <w:r w:rsidRPr="002552EB">
        <w:lastRenderedPageBreak/>
        <w:t>Reduction in Global Overall Trade-distorting Domestic Support Entitlement</w:t>
      </w:r>
      <w:bookmarkEnd w:id="7"/>
      <w:r w:rsidRPr="002552EB">
        <w:t xml:space="preserve"> </w:t>
      </w:r>
    </w:p>
    <w:p w14:paraId="154D22D1" w14:textId="2406D633" w:rsidR="0049764B" w:rsidRPr="002552EB" w:rsidRDefault="00D01ECA"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Given the trend in the</w:t>
      </w:r>
      <w:r w:rsidR="003A4521" w:rsidRPr="002552EB">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sz w:val="24"/>
          <w:szCs w:val="24"/>
        </w:rPr>
        <w:t>TTDS</w:t>
      </w:r>
      <w:r w:rsidR="003A4521" w:rsidRPr="002552EB">
        <w:rPr>
          <w:rFonts w:ascii="Times New Roman" w:eastAsia="Times New Roman" w:hAnsi="Times New Roman" w:cs="Times New Roman"/>
          <w:color w:val="000000"/>
          <w:sz w:val="24"/>
          <w:szCs w:val="24"/>
        </w:rPr>
        <w:t xml:space="preserve"> expenditure</w:t>
      </w:r>
      <w:r w:rsidRPr="002552EB">
        <w:rPr>
          <w:rFonts w:ascii="Times New Roman" w:eastAsia="Times New Roman" w:hAnsi="Times New Roman" w:cs="Times New Roman"/>
          <w:color w:val="000000"/>
          <w:sz w:val="24"/>
          <w:szCs w:val="24"/>
        </w:rPr>
        <w:t>, some Cairns</w:t>
      </w:r>
      <w:r w:rsidRPr="002552EB">
        <w:rPr>
          <w:rStyle w:val="FootnoteReference"/>
          <w:sz w:val="24"/>
          <w:szCs w:val="24"/>
        </w:rPr>
        <w:footnoteReference w:id="5"/>
      </w:r>
      <w:r w:rsidRPr="002552EB">
        <w:rPr>
          <w:rFonts w:ascii="Times New Roman" w:eastAsia="Times New Roman" w:hAnsi="Times New Roman" w:cs="Times New Roman"/>
          <w:color w:val="000000"/>
          <w:sz w:val="24"/>
          <w:szCs w:val="24"/>
        </w:rPr>
        <w:t xml:space="preserve"> </w:t>
      </w:r>
      <w:r w:rsidR="00A93EAF" w:rsidRPr="002552EB">
        <w:rPr>
          <w:rFonts w:ascii="Times New Roman" w:eastAsia="Times New Roman" w:hAnsi="Times New Roman" w:cs="Times New Roman"/>
          <w:color w:val="000000"/>
          <w:sz w:val="24"/>
          <w:szCs w:val="24"/>
        </w:rPr>
        <w:t>G</w:t>
      </w:r>
      <w:r w:rsidRPr="002552EB">
        <w:rPr>
          <w:rFonts w:ascii="Times New Roman" w:eastAsia="Times New Roman" w:hAnsi="Times New Roman" w:cs="Times New Roman"/>
          <w:color w:val="000000"/>
          <w:sz w:val="24"/>
          <w:szCs w:val="24"/>
        </w:rPr>
        <w:t>roup members and the Chair’s text before the MC12</w:t>
      </w:r>
      <w:r w:rsidR="009C0763" w:rsidRPr="002552EB">
        <w:rPr>
          <w:rFonts w:ascii="Times New Roman" w:eastAsia="Times New Roman" w:hAnsi="Times New Roman" w:cs="Times New Roman"/>
          <w:color w:val="000000"/>
          <w:sz w:val="24"/>
          <w:szCs w:val="24"/>
        </w:rPr>
        <w:t xml:space="preserve"> in 2021</w:t>
      </w:r>
      <w:r w:rsidRPr="002552EB">
        <w:rPr>
          <w:rFonts w:ascii="Times New Roman" w:eastAsia="Times New Roman" w:hAnsi="Times New Roman" w:cs="Times New Roman"/>
          <w:color w:val="000000"/>
          <w:sz w:val="24"/>
          <w:szCs w:val="24"/>
        </w:rPr>
        <w:t xml:space="preserve"> have </w:t>
      </w:r>
      <w:r w:rsidR="005C3EBC" w:rsidRPr="002552EB">
        <w:rPr>
          <w:rFonts w:ascii="Times New Roman" w:eastAsia="Times New Roman" w:hAnsi="Times New Roman" w:cs="Times New Roman"/>
          <w:color w:val="000000"/>
          <w:sz w:val="24"/>
          <w:szCs w:val="24"/>
        </w:rPr>
        <w:t>proposed</w:t>
      </w:r>
      <w:r w:rsidRPr="002552EB">
        <w:rPr>
          <w:rFonts w:ascii="Times New Roman" w:eastAsia="Times New Roman" w:hAnsi="Times New Roman" w:cs="Times New Roman"/>
          <w:color w:val="000000"/>
          <w:sz w:val="24"/>
          <w:szCs w:val="24"/>
        </w:rPr>
        <w:t xml:space="preserve"> </w:t>
      </w:r>
      <w:r w:rsidR="00BA460A" w:rsidRPr="002552EB">
        <w:rPr>
          <w:rFonts w:ascii="Times New Roman" w:eastAsia="Times New Roman" w:hAnsi="Times New Roman" w:cs="Times New Roman"/>
          <w:color w:val="000000"/>
          <w:sz w:val="24"/>
          <w:szCs w:val="24"/>
        </w:rPr>
        <w:t xml:space="preserve">to cap and reduce the sum of current global TTDS entitlement </w:t>
      </w:r>
      <w:r w:rsidR="00501057" w:rsidRPr="002552EB">
        <w:rPr>
          <w:rFonts w:ascii="Times New Roman" w:eastAsia="Times New Roman" w:hAnsi="Times New Roman" w:cs="Times New Roman"/>
          <w:color w:val="000000"/>
          <w:sz w:val="24"/>
          <w:szCs w:val="24"/>
        </w:rPr>
        <w:t>to</w:t>
      </w:r>
      <w:r w:rsidR="00BA460A" w:rsidRPr="002552EB">
        <w:rPr>
          <w:rFonts w:ascii="Times New Roman" w:eastAsia="Times New Roman" w:hAnsi="Times New Roman" w:cs="Times New Roman"/>
          <w:color w:val="000000"/>
          <w:sz w:val="24"/>
          <w:szCs w:val="24"/>
        </w:rPr>
        <w:t xml:space="preserve"> at least half by 2030</w:t>
      </w:r>
      <w:r w:rsidR="0092503C" w:rsidRPr="002552EB">
        <w:rPr>
          <w:rFonts w:ascii="Times New Roman" w:eastAsia="Times New Roman" w:hAnsi="Times New Roman" w:cs="Times New Roman"/>
          <w:color w:val="000000"/>
          <w:sz w:val="24"/>
          <w:szCs w:val="24"/>
        </w:rPr>
        <w:t xml:space="preserve"> (</w:t>
      </w:r>
      <w:r w:rsidR="000F3222" w:rsidRPr="002552EB">
        <w:rPr>
          <w:rFonts w:ascii="Times New Roman" w:eastAsia="Times New Roman" w:hAnsi="Times New Roman" w:cs="Times New Roman"/>
          <w:color w:val="000000"/>
          <w:sz w:val="24"/>
          <w:szCs w:val="24"/>
        </w:rPr>
        <w:t xml:space="preserve">Table </w:t>
      </w:r>
      <w:r w:rsidR="00EE12AA" w:rsidRPr="002552EB">
        <w:rPr>
          <w:rFonts w:ascii="Times New Roman" w:eastAsia="Times New Roman" w:hAnsi="Times New Roman" w:cs="Times New Roman"/>
          <w:color w:val="000000"/>
          <w:sz w:val="24"/>
          <w:szCs w:val="24"/>
        </w:rPr>
        <w:t>4</w:t>
      </w:r>
      <w:r w:rsidR="00D71B71"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xml:space="preserve">. </w:t>
      </w:r>
      <w:r w:rsidR="00F80105" w:rsidRPr="002552EB">
        <w:rPr>
          <w:rFonts w:ascii="Times New Roman" w:eastAsia="Times New Roman" w:hAnsi="Times New Roman" w:cs="Times New Roman"/>
          <w:color w:val="000000"/>
          <w:sz w:val="24"/>
          <w:szCs w:val="24"/>
        </w:rPr>
        <w:t>Cairns Group and Costa Rica defined the TTDS entitlement base</w:t>
      </w:r>
      <w:r w:rsidR="00501057" w:rsidRPr="002552EB">
        <w:rPr>
          <w:rFonts w:ascii="Times New Roman" w:eastAsia="Times New Roman" w:hAnsi="Times New Roman" w:cs="Times New Roman"/>
          <w:color w:val="000000"/>
          <w:sz w:val="24"/>
          <w:szCs w:val="24"/>
        </w:rPr>
        <w:t>d</w:t>
      </w:r>
      <w:r w:rsidR="00F80105" w:rsidRPr="002552EB">
        <w:rPr>
          <w:rFonts w:ascii="Times New Roman" w:eastAsia="Times New Roman" w:hAnsi="Times New Roman" w:cs="Times New Roman"/>
          <w:color w:val="000000"/>
          <w:sz w:val="24"/>
          <w:szCs w:val="24"/>
        </w:rPr>
        <w:t xml:space="preserve"> on all form</w:t>
      </w:r>
      <w:r w:rsidR="00501057" w:rsidRPr="002552EB">
        <w:rPr>
          <w:rFonts w:ascii="Times New Roman" w:eastAsia="Times New Roman" w:hAnsi="Times New Roman" w:cs="Times New Roman"/>
          <w:color w:val="000000"/>
          <w:sz w:val="24"/>
          <w:szCs w:val="24"/>
        </w:rPr>
        <w:t>s</w:t>
      </w:r>
      <w:r w:rsidR="00F80105" w:rsidRPr="002552EB">
        <w:rPr>
          <w:rFonts w:ascii="Times New Roman" w:eastAsia="Times New Roman" w:hAnsi="Times New Roman" w:cs="Times New Roman"/>
          <w:color w:val="000000"/>
          <w:sz w:val="24"/>
          <w:szCs w:val="24"/>
        </w:rPr>
        <w:t xml:space="preserve"> of support </w:t>
      </w:r>
      <w:r w:rsidR="00501057" w:rsidRPr="002552EB">
        <w:rPr>
          <w:rFonts w:ascii="Times New Roman" w:eastAsia="Times New Roman" w:hAnsi="Times New Roman" w:cs="Times New Roman"/>
          <w:color w:val="000000"/>
          <w:sz w:val="24"/>
          <w:szCs w:val="24"/>
        </w:rPr>
        <w:t xml:space="preserve">under Article 6 </w:t>
      </w:r>
      <w:r w:rsidR="00F80105" w:rsidRPr="002552EB">
        <w:rPr>
          <w:rFonts w:ascii="Times New Roman" w:eastAsia="Times New Roman" w:hAnsi="Times New Roman" w:cs="Times New Roman"/>
          <w:color w:val="000000"/>
          <w:sz w:val="24"/>
          <w:szCs w:val="24"/>
        </w:rPr>
        <w:t xml:space="preserve">such as </w:t>
      </w:r>
      <w:r w:rsidR="00D5327D">
        <w:rPr>
          <w:rFonts w:ascii="Times New Roman" w:eastAsia="Times New Roman" w:hAnsi="Times New Roman" w:cs="Times New Roman"/>
          <w:color w:val="000000"/>
          <w:sz w:val="24"/>
          <w:szCs w:val="24"/>
        </w:rPr>
        <w:t xml:space="preserve">the </w:t>
      </w:r>
      <w:r w:rsidR="00F80105" w:rsidRPr="002552EB">
        <w:rPr>
          <w:rFonts w:ascii="Times New Roman" w:eastAsia="Times New Roman" w:hAnsi="Times New Roman" w:cs="Times New Roman"/>
          <w:color w:val="000000"/>
          <w:sz w:val="24"/>
          <w:szCs w:val="24"/>
        </w:rPr>
        <w:t xml:space="preserve">Amber box, Blue box, and </w:t>
      </w:r>
      <w:r w:rsidR="00501057" w:rsidRPr="002552EB">
        <w:rPr>
          <w:rFonts w:ascii="Times New Roman" w:eastAsia="Times New Roman" w:hAnsi="Times New Roman" w:cs="Times New Roman"/>
          <w:color w:val="000000"/>
          <w:sz w:val="24"/>
          <w:szCs w:val="24"/>
        </w:rPr>
        <w:t xml:space="preserve">the </w:t>
      </w:r>
      <w:r w:rsidR="00F80105" w:rsidRPr="002552EB">
        <w:rPr>
          <w:rFonts w:ascii="Times New Roman" w:eastAsia="Times New Roman" w:hAnsi="Times New Roman" w:cs="Times New Roman"/>
          <w:color w:val="000000"/>
          <w:sz w:val="24"/>
          <w:szCs w:val="24"/>
        </w:rPr>
        <w:t xml:space="preserve">Development Box. In order to reduce the TDDS entitlement, </w:t>
      </w:r>
      <w:r w:rsidR="00E6073C" w:rsidRPr="002552EB">
        <w:rPr>
          <w:rFonts w:ascii="Times New Roman" w:eastAsia="Times New Roman" w:hAnsi="Times New Roman" w:cs="Times New Roman"/>
          <w:color w:val="000000"/>
          <w:sz w:val="24"/>
          <w:szCs w:val="24"/>
        </w:rPr>
        <w:t>it is</w:t>
      </w:r>
      <w:r w:rsidR="00F80105" w:rsidRPr="002552EB">
        <w:rPr>
          <w:rFonts w:ascii="Times New Roman" w:eastAsia="Times New Roman" w:hAnsi="Times New Roman" w:cs="Times New Roman"/>
          <w:color w:val="000000"/>
          <w:sz w:val="24"/>
          <w:szCs w:val="24"/>
        </w:rPr>
        <w:t xml:space="preserve"> </w:t>
      </w:r>
      <w:r w:rsidR="00E6073C" w:rsidRPr="002552EB">
        <w:rPr>
          <w:rFonts w:ascii="Times New Roman" w:eastAsia="Times New Roman" w:hAnsi="Times New Roman" w:cs="Times New Roman"/>
          <w:color w:val="000000"/>
          <w:sz w:val="24"/>
          <w:szCs w:val="24"/>
        </w:rPr>
        <w:t>proposed that</w:t>
      </w:r>
      <w:r w:rsidR="00F80105" w:rsidRPr="002552EB">
        <w:rPr>
          <w:rFonts w:ascii="Times New Roman" w:eastAsia="Times New Roman" w:hAnsi="Times New Roman" w:cs="Times New Roman"/>
          <w:color w:val="000000"/>
          <w:sz w:val="24"/>
          <w:szCs w:val="24"/>
        </w:rPr>
        <w:t xml:space="preserve"> the contribution by </w:t>
      </w:r>
      <w:r w:rsidR="0020092F" w:rsidRPr="002552EB">
        <w:rPr>
          <w:rFonts w:ascii="Times New Roman" w:eastAsia="Times New Roman" w:hAnsi="Times New Roman" w:cs="Times New Roman"/>
          <w:color w:val="000000"/>
          <w:sz w:val="24"/>
          <w:szCs w:val="24"/>
        </w:rPr>
        <w:t>i</w:t>
      </w:r>
      <w:r w:rsidR="00F80105" w:rsidRPr="002552EB">
        <w:rPr>
          <w:rFonts w:ascii="Times New Roman" w:eastAsia="Times New Roman" w:hAnsi="Times New Roman" w:cs="Times New Roman"/>
          <w:color w:val="000000"/>
          <w:sz w:val="24"/>
          <w:szCs w:val="24"/>
        </w:rPr>
        <w:t>ndividual members will need to be proportionate to the size of those members’ current entitlements.</w:t>
      </w:r>
    </w:p>
    <w:p w14:paraId="142FB431" w14:textId="6AE54C75" w:rsidR="00E6073C" w:rsidRPr="002552EB" w:rsidRDefault="00E6073C" w:rsidP="00FF494B">
      <w:pPr>
        <w:spacing w:after="0" w:line="360" w:lineRule="auto"/>
        <w:jc w:val="both"/>
        <w:rPr>
          <w:rFonts w:ascii="Times New Roman" w:eastAsia="Times New Roman" w:hAnsi="Times New Roman" w:cs="Times New Roman"/>
          <w:color w:val="000000"/>
          <w:sz w:val="24"/>
          <w:szCs w:val="24"/>
        </w:rPr>
      </w:pPr>
    </w:p>
    <w:p w14:paraId="1B6522DB" w14:textId="68654EF2" w:rsidR="00E6073C" w:rsidRPr="00182EF4" w:rsidRDefault="00E6073C"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It is noteworthy that Costa Rica recently submitted a comprehensive proposal on domestic support where the modality for capping and reducing TTDS was reemphasised (WTO, 2023c). Some of the highlights of the Costa Rica proposals are as follows: </w:t>
      </w:r>
      <w:r w:rsidR="00AC77A3" w:rsidRPr="002552EB">
        <w:rPr>
          <w:rFonts w:ascii="Times New Roman" w:eastAsia="Times New Roman" w:hAnsi="Times New Roman" w:cs="Times New Roman"/>
          <w:color w:val="000000"/>
          <w:sz w:val="24"/>
          <w:szCs w:val="24"/>
        </w:rPr>
        <w:t>F</w:t>
      </w:r>
      <w:r w:rsidRPr="002552EB">
        <w:rPr>
          <w:rFonts w:ascii="Times New Roman" w:eastAsia="Times New Roman" w:hAnsi="Times New Roman" w:cs="Times New Roman"/>
          <w:color w:val="000000"/>
          <w:sz w:val="24"/>
          <w:szCs w:val="24"/>
        </w:rPr>
        <w:t xml:space="preserve">irst, </w:t>
      </w:r>
      <w:r w:rsidR="00AC77A3" w:rsidRPr="002552EB">
        <w:rPr>
          <w:rFonts w:ascii="Times New Roman" w:eastAsia="Times New Roman" w:hAnsi="Times New Roman" w:cs="Times New Roman"/>
          <w:color w:val="000000"/>
          <w:sz w:val="24"/>
          <w:szCs w:val="24"/>
        </w:rPr>
        <w:t xml:space="preserve">it exempted Article 6.2 support below US$ 5 Billion from any reduction. Second, LDCs are exempted from capping and reducing their TTDS entitlement. Third, </w:t>
      </w:r>
      <w:r w:rsidRPr="002552EB">
        <w:rPr>
          <w:rFonts w:ascii="Times New Roman" w:eastAsia="Times New Roman" w:hAnsi="Times New Roman" w:cs="Times New Roman"/>
          <w:color w:val="000000"/>
          <w:sz w:val="24"/>
          <w:szCs w:val="24"/>
        </w:rPr>
        <w:t xml:space="preserve">it </w:t>
      </w:r>
      <w:r w:rsidR="00AC77A3" w:rsidRPr="002552EB">
        <w:rPr>
          <w:rFonts w:ascii="Times New Roman" w:eastAsia="Times New Roman" w:hAnsi="Times New Roman" w:cs="Times New Roman"/>
          <w:color w:val="000000"/>
          <w:sz w:val="24"/>
          <w:szCs w:val="24"/>
        </w:rPr>
        <w:t>proposes</w:t>
      </w:r>
      <w:r w:rsidRPr="002552EB">
        <w:rPr>
          <w:rFonts w:ascii="Times New Roman" w:eastAsia="Times New Roman" w:hAnsi="Times New Roman" w:cs="Times New Roman"/>
          <w:color w:val="000000"/>
          <w:sz w:val="24"/>
          <w:szCs w:val="24"/>
        </w:rPr>
        <w:t xml:space="preserve"> the flexibility to provide product-specific support to a concerned product based on share in global export or share of import in domestic consumption. </w:t>
      </w:r>
      <w:r w:rsidR="00AC77A3" w:rsidRPr="002552EB">
        <w:rPr>
          <w:rFonts w:ascii="Times New Roman" w:eastAsia="Times New Roman" w:hAnsi="Times New Roman" w:cs="Times New Roman"/>
          <w:color w:val="000000"/>
          <w:sz w:val="24"/>
          <w:szCs w:val="24"/>
        </w:rPr>
        <w:t>Fourth</w:t>
      </w:r>
      <w:r w:rsidRPr="002552EB">
        <w:rPr>
          <w:rFonts w:ascii="Times New Roman" w:eastAsia="Times New Roman" w:hAnsi="Times New Roman" w:cs="Times New Roman"/>
          <w:color w:val="000000"/>
          <w:sz w:val="24"/>
          <w:szCs w:val="24"/>
        </w:rPr>
        <w:t xml:space="preserve">, it provides the right to impose special countervailing measures against an exporter country that has high product-specific support. Finally, the resulting reform in domestic support is proposed to be accepted as the permanent solution for food security. </w:t>
      </w:r>
    </w:p>
    <w:p w14:paraId="7AF9C279" w14:textId="77777777" w:rsidR="00FF494B" w:rsidRDefault="00FF494B" w:rsidP="00FF494B">
      <w:pPr>
        <w:spacing w:after="0" w:line="360" w:lineRule="auto"/>
        <w:jc w:val="both"/>
        <w:rPr>
          <w:rFonts w:ascii="Times New Roman" w:hAnsi="Times New Roman" w:cs="Times New Roman"/>
          <w:b/>
          <w:sz w:val="20"/>
          <w:szCs w:val="20"/>
          <w:lang w:val="en-US"/>
        </w:rPr>
      </w:pPr>
    </w:p>
    <w:p w14:paraId="76620221" w14:textId="0E10D20D" w:rsidR="007E5E11" w:rsidRPr="00182EF4" w:rsidRDefault="007E5E11"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Assuming 2018 as the base year, a 50 percent reduction in the global TTDS entitlement of US$ 761 Billion will result in US$ 380 Billion. Therefore, the actual global support under the Amber box including the </w:t>
      </w:r>
      <w:r w:rsidRPr="002552EB">
        <w:rPr>
          <w:rFonts w:ascii="Times New Roman" w:eastAsia="Times New Roman" w:hAnsi="Times New Roman" w:cs="Times New Roman"/>
          <w:i/>
          <w:iCs/>
          <w:color w:val="000000"/>
          <w:sz w:val="24"/>
          <w:szCs w:val="24"/>
        </w:rPr>
        <w:t>de minimis</w:t>
      </w:r>
      <w:r w:rsidRPr="002552EB">
        <w:rPr>
          <w:rFonts w:ascii="Times New Roman" w:eastAsia="Times New Roman" w:hAnsi="Times New Roman" w:cs="Times New Roman"/>
          <w:color w:val="000000"/>
          <w:sz w:val="24"/>
          <w:szCs w:val="24"/>
        </w:rPr>
        <w:t xml:space="preserve"> limit, Blue and Development box cannot exceed US$ 380 Billion for all subsequent years. Based on the proposals tabled by the proponents, all the WTO members except LDCs are required to reduce their individual entitlements proportional to the size of their respective entitlements in the base year i.e. 2018. The TTDS entitlement limit for a member is calculated by reducing the base entitlement of a member by its contribution to </w:t>
      </w:r>
      <w:r w:rsidR="00D5327D">
        <w:rPr>
          <w:rFonts w:ascii="Times New Roman" w:eastAsia="Times New Roman" w:hAnsi="Times New Roman" w:cs="Times New Roman"/>
          <w:color w:val="000000"/>
          <w:sz w:val="24"/>
          <w:szCs w:val="24"/>
        </w:rPr>
        <w:t xml:space="preserve">the </w:t>
      </w:r>
      <w:r w:rsidRPr="002552EB">
        <w:rPr>
          <w:rFonts w:ascii="Times New Roman" w:eastAsia="Times New Roman" w:hAnsi="Times New Roman" w:cs="Times New Roman"/>
          <w:color w:val="000000"/>
          <w:sz w:val="24"/>
          <w:szCs w:val="24"/>
        </w:rPr>
        <w:t>reduction in global entitlement based on proportionate methodology. Importantly, the LDC members are exempted from reductions, therefore non-LDC members are required to undertake more than 50 percent reduction in their individual entitlements. For instance, India’s entitlement in the base year was US$90 Billion, whereas the applicable TTDS limit is US$ 42.5 Billion, amounting to 53 percent reduction in the base entitlement (Figure 3).</w:t>
      </w:r>
    </w:p>
    <w:p w14:paraId="6C61A27B" w14:textId="77777777" w:rsidR="00182EF4" w:rsidRPr="00801B78" w:rsidRDefault="00182EF4" w:rsidP="00801B78">
      <w:pPr>
        <w:spacing w:after="0" w:line="360" w:lineRule="auto"/>
        <w:jc w:val="both"/>
        <w:rPr>
          <w:rFonts w:ascii="Times New Roman" w:hAnsi="Times New Roman" w:cs="Times New Roman"/>
          <w:b/>
          <w:sz w:val="24"/>
          <w:szCs w:val="24"/>
          <w:lang w:val="en-US"/>
        </w:rPr>
      </w:pPr>
    </w:p>
    <w:p w14:paraId="5700D299" w14:textId="09C52D25" w:rsidR="000F3222" w:rsidRPr="002552EB" w:rsidRDefault="000F3222" w:rsidP="00801B78">
      <w:pPr>
        <w:spacing w:after="0" w:line="240" w:lineRule="auto"/>
        <w:contextualSpacing/>
        <w:jc w:val="both"/>
        <w:rPr>
          <w:rFonts w:ascii="Times New Roman" w:hAnsi="Times New Roman" w:cs="Times New Roman"/>
          <w:b/>
          <w:sz w:val="20"/>
          <w:szCs w:val="20"/>
          <w:lang w:val="en-US"/>
        </w:rPr>
      </w:pPr>
      <w:r w:rsidRPr="002552EB">
        <w:rPr>
          <w:rFonts w:ascii="Times New Roman" w:hAnsi="Times New Roman" w:cs="Times New Roman"/>
          <w:b/>
          <w:sz w:val="20"/>
          <w:szCs w:val="20"/>
          <w:lang w:val="en-US"/>
        </w:rPr>
        <w:t xml:space="preserve">Table </w:t>
      </w:r>
      <w:r w:rsidR="00EE12AA" w:rsidRPr="00640CB0">
        <w:rPr>
          <w:rFonts w:ascii="Times New Roman" w:hAnsi="Times New Roman" w:cs="Times New Roman"/>
          <w:b/>
          <w:sz w:val="20"/>
          <w:szCs w:val="20"/>
          <w:lang w:val="en-US"/>
        </w:rPr>
        <w:t>4</w:t>
      </w:r>
      <w:r w:rsidRPr="002552EB">
        <w:rPr>
          <w:rFonts w:ascii="Times New Roman" w:hAnsi="Times New Roman" w:cs="Times New Roman"/>
          <w:b/>
          <w:sz w:val="20"/>
          <w:szCs w:val="20"/>
          <w:lang w:val="en-US"/>
        </w:rPr>
        <w:t xml:space="preserve">: Salient features of WTO domestic support proposals on proportionate methodology </w:t>
      </w:r>
    </w:p>
    <w:tbl>
      <w:tblPr>
        <w:tblStyle w:val="TableGrid"/>
        <w:tblW w:w="0" w:type="auto"/>
        <w:tblLook w:val="04A0" w:firstRow="1" w:lastRow="0" w:firstColumn="1" w:lastColumn="0" w:noHBand="0" w:noVBand="1"/>
      </w:tblPr>
      <w:tblGrid>
        <w:gridCol w:w="2547"/>
        <w:gridCol w:w="2693"/>
        <w:gridCol w:w="1843"/>
        <w:gridCol w:w="1933"/>
      </w:tblGrid>
      <w:tr w:rsidR="000F3222" w:rsidRPr="00640CB0" w14:paraId="2D8BF3A5" w14:textId="77777777" w:rsidTr="009C3380">
        <w:trPr>
          <w:trHeight w:val="284"/>
        </w:trPr>
        <w:tc>
          <w:tcPr>
            <w:tcW w:w="2547" w:type="dxa"/>
          </w:tcPr>
          <w:p w14:paraId="559C0F8C" w14:textId="77777777" w:rsidR="000F3222" w:rsidRPr="002552EB" w:rsidRDefault="000F3222" w:rsidP="00801B78">
            <w:pPr>
              <w:contextualSpacing/>
              <w:rPr>
                <w:rFonts w:ascii="Times New Roman" w:hAnsi="Times New Roman" w:cs="Times New Roman"/>
                <w:b/>
                <w:bCs/>
                <w:sz w:val="20"/>
                <w:szCs w:val="20"/>
                <w:lang w:val="en-US"/>
              </w:rPr>
            </w:pPr>
            <w:r w:rsidRPr="002552EB">
              <w:rPr>
                <w:rFonts w:ascii="Times New Roman" w:hAnsi="Times New Roman" w:cs="Times New Roman"/>
                <w:b/>
                <w:bCs/>
                <w:sz w:val="20"/>
                <w:szCs w:val="20"/>
                <w:lang w:val="en-US"/>
              </w:rPr>
              <w:t>Description</w:t>
            </w:r>
          </w:p>
        </w:tc>
        <w:tc>
          <w:tcPr>
            <w:tcW w:w="2693" w:type="dxa"/>
          </w:tcPr>
          <w:p w14:paraId="5F0D5123" w14:textId="0326E9AA" w:rsidR="000F3222" w:rsidRPr="002552EB" w:rsidRDefault="000F3222" w:rsidP="00801B78">
            <w:pPr>
              <w:contextualSpacing/>
              <w:rPr>
                <w:rFonts w:ascii="Times New Roman" w:hAnsi="Times New Roman" w:cs="Times New Roman"/>
                <w:b/>
                <w:bCs/>
                <w:sz w:val="20"/>
                <w:szCs w:val="20"/>
                <w:lang w:val="en-US"/>
              </w:rPr>
            </w:pPr>
            <w:r w:rsidRPr="002552EB">
              <w:rPr>
                <w:rFonts w:ascii="Times New Roman" w:hAnsi="Times New Roman" w:cs="Times New Roman"/>
                <w:b/>
                <w:sz w:val="20"/>
                <w:szCs w:val="20"/>
                <w:lang w:val="en-US"/>
              </w:rPr>
              <w:t>Chair</w:t>
            </w:r>
            <w:r w:rsidR="0020092F" w:rsidRPr="00640CB0">
              <w:rPr>
                <w:rFonts w:ascii="Times New Roman" w:hAnsi="Times New Roman" w:cs="Times New Roman"/>
                <w:b/>
                <w:sz w:val="20"/>
                <w:szCs w:val="20"/>
                <w:lang w:val="en-US"/>
              </w:rPr>
              <w:t>’s</w:t>
            </w:r>
            <w:r w:rsidRPr="002552EB">
              <w:rPr>
                <w:rFonts w:ascii="Times New Roman" w:hAnsi="Times New Roman" w:cs="Times New Roman"/>
                <w:b/>
                <w:sz w:val="20"/>
                <w:szCs w:val="20"/>
                <w:lang w:val="en-US"/>
              </w:rPr>
              <w:t xml:space="preserve"> text</w:t>
            </w:r>
            <w:r w:rsidRPr="00640CB0">
              <w:rPr>
                <w:rFonts w:ascii="Times New Roman" w:hAnsi="Times New Roman" w:cs="Times New Roman"/>
                <w:b/>
                <w:sz w:val="20"/>
                <w:szCs w:val="20"/>
                <w:lang w:val="en-US"/>
              </w:rPr>
              <w:t xml:space="preserve"> (2021)</w:t>
            </w:r>
          </w:p>
        </w:tc>
        <w:tc>
          <w:tcPr>
            <w:tcW w:w="1843" w:type="dxa"/>
          </w:tcPr>
          <w:p w14:paraId="1CEE9F68" w14:textId="3593EDDD" w:rsidR="000F3222" w:rsidRPr="002552EB" w:rsidRDefault="00805596" w:rsidP="00801B78">
            <w:pPr>
              <w:contextualSpacing/>
              <w:rPr>
                <w:rFonts w:ascii="Times New Roman" w:hAnsi="Times New Roman" w:cs="Times New Roman"/>
                <w:b/>
                <w:bCs/>
                <w:sz w:val="20"/>
                <w:szCs w:val="20"/>
                <w:lang w:val="en-US"/>
              </w:rPr>
            </w:pPr>
            <w:r w:rsidRPr="00640CB0">
              <w:rPr>
                <w:rFonts w:ascii="Times New Roman" w:hAnsi="Times New Roman" w:cs="Times New Roman"/>
                <w:b/>
                <w:sz w:val="20"/>
                <w:szCs w:val="20"/>
                <w:lang w:val="en-US"/>
              </w:rPr>
              <w:t>Cairns Group</w:t>
            </w:r>
            <w:r w:rsidR="00BA460A" w:rsidRPr="00640CB0">
              <w:rPr>
                <w:rFonts w:ascii="Times New Roman" w:hAnsi="Times New Roman" w:cs="Times New Roman"/>
                <w:b/>
                <w:sz w:val="20"/>
                <w:szCs w:val="20"/>
                <w:lang w:val="en-US"/>
              </w:rPr>
              <w:t>*</w:t>
            </w:r>
            <w:r w:rsidR="000F3222" w:rsidRPr="00640CB0">
              <w:rPr>
                <w:rFonts w:ascii="Times New Roman" w:hAnsi="Times New Roman" w:cs="Times New Roman"/>
                <w:b/>
                <w:sz w:val="20"/>
                <w:szCs w:val="20"/>
                <w:lang w:val="en-US"/>
              </w:rPr>
              <w:t xml:space="preserve"> (20</w:t>
            </w:r>
            <w:r w:rsidRPr="00640CB0">
              <w:rPr>
                <w:rFonts w:ascii="Times New Roman" w:hAnsi="Times New Roman" w:cs="Times New Roman"/>
                <w:b/>
                <w:sz w:val="20"/>
                <w:szCs w:val="20"/>
                <w:lang w:val="en-US"/>
              </w:rPr>
              <w:t>21</w:t>
            </w:r>
            <w:r w:rsidR="000F3222" w:rsidRPr="00640CB0">
              <w:rPr>
                <w:rFonts w:ascii="Times New Roman" w:hAnsi="Times New Roman" w:cs="Times New Roman"/>
                <w:b/>
                <w:sz w:val="20"/>
                <w:szCs w:val="20"/>
                <w:lang w:val="en-US"/>
              </w:rPr>
              <w:t>)</w:t>
            </w:r>
          </w:p>
        </w:tc>
        <w:tc>
          <w:tcPr>
            <w:tcW w:w="1933" w:type="dxa"/>
          </w:tcPr>
          <w:p w14:paraId="09661DA5" w14:textId="5AE0CB7E" w:rsidR="000F3222" w:rsidRPr="002552EB" w:rsidRDefault="000F3222" w:rsidP="00801B78">
            <w:pPr>
              <w:contextualSpacing/>
              <w:rPr>
                <w:rFonts w:ascii="Times New Roman" w:hAnsi="Times New Roman" w:cs="Times New Roman"/>
                <w:b/>
                <w:bCs/>
                <w:sz w:val="20"/>
                <w:szCs w:val="20"/>
                <w:lang w:val="en-US"/>
              </w:rPr>
            </w:pPr>
            <w:r w:rsidRPr="002552EB">
              <w:rPr>
                <w:rFonts w:ascii="Times New Roman" w:hAnsi="Times New Roman" w:cs="Times New Roman"/>
                <w:b/>
                <w:sz w:val="20"/>
                <w:szCs w:val="20"/>
                <w:lang w:val="en-US"/>
              </w:rPr>
              <w:t>Costa Rica</w:t>
            </w:r>
            <w:r w:rsidR="00805596" w:rsidRPr="00640CB0">
              <w:rPr>
                <w:rFonts w:ascii="Times New Roman" w:hAnsi="Times New Roman" w:cs="Times New Roman"/>
                <w:b/>
                <w:sz w:val="20"/>
                <w:szCs w:val="20"/>
                <w:lang w:val="en-US"/>
              </w:rPr>
              <w:t xml:space="preserve"> (2021; 2023)</w:t>
            </w:r>
          </w:p>
        </w:tc>
      </w:tr>
      <w:tr w:rsidR="000F3222" w:rsidRPr="00640CB0" w14:paraId="01DADE66" w14:textId="77777777" w:rsidTr="009C3380">
        <w:trPr>
          <w:trHeight w:val="284"/>
        </w:trPr>
        <w:tc>
          <w:tcPr>
            <w:tcW w:w="2547" w:type="dxa"/>
          </w:tcPr>
          <w:p w14:paraId="6D0EDD53" w14:textId="77777777" w:rsidR="000F3222" w:rsidRPr="002552EB" w:rsidRDefault="000F3222" w:rsidP="00801B78">
            <w:pPr>
              <w:contextualSpacing/>
              <w:rPr>
                <w:rFonts w:ascii="Times New Roman" w:hAnsi="Times New Roman" w:cs="Times New Roman"/>
                <w:iCs/>
                <w:sz w:val="20"/>
                <w:szCs w:val="20"/>
                <w:lang w:val="en-US"/>
              </w:rPr>
            </w:pPr>
            <w:r w:rsidRPr="002552EB">
              <w:rPr>
                <w:rFonts w:ascii="Times New Roman" w:hAnsi="Times New Roman" w:cs="Times New Roman"/>
                <w:iCs/>
                <w:sz w:val="20"/>
                <w:szCs w:val="20"/>
                <w:lang w:val="en-US"/>
              </w:rPr>
              <w:t xml:space="preserve">Document No. </w:t>
            </w:r>
          </w:p>
        </w:tc>
        <w:tc>
          <w:tcPr>
            <w:tcW w:w="2693" w:type="dxa"/>
          </w:tcPr>
          <w:p w14:paraId="6E4DB7EE" w14:textId="77777777"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JOB/AG/ 215</w:t>
            </w:r>
          </w:p>
        </w:tc>
        <w:tc>
          <w:tcPr>
            <w:tcW w:w="1843" w:type="dxa"/>
          </w:tcPr>
          <w:p w14:paraId="36960C30" w14:textId="4A582F08"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JOB/AG/1</w:t>
            </w:r>
            <w:r w:rsidR="00BA460A" w:rsidRPr="00640CB0">
              <w:rPr>
                <w:rFonts w:ascii="Times New Roman" w:hAnsi="Times New Roman" w:cs="Times New Roman"/>
                <w:sz w:val="20"/>
                <w:szCs w:val="20"/>
                <w:lang w:val="en-US"/>
              </w:rPr>
              <w:t>77/Rev.3</w:t>
            </w:r>
          </w:p>
        </w:tc>
        <w:tc>
          <w:tcPr>
            <w:tcW w:w="1933" w:type="dxa"/>
          </w:tcPr>
          <w:p w14:paraId="355E687A" w14:textId="77777777"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(JOB/AG/199) and (JOB/AG/243)</w:t>
            </w:r>
          </w:p>
        </w:tc>
      </w:tr>
      <w:tr w:rsidR="000F3222" w:rsidRPr="00640CB0" w14:paraId="4194CD16" w14:textId="77777777" w:rsidTr="009C3380">
        <w:trPr>
          <w:trHeight w:val="284"/>
        </w:trPr>
        <w:tc>
          <w:tcPr>
            <w:tcW w:w="2547" w:type="dxa"/>
          </w:tcPr>
          <w:p w14:paraId="4492ACDF" w14:textId="77777777" w:rsidR="000F3222" w:rsidRPr="002552EB" w:rsidRDefault="000F3222" w:rsidP="00801B78">
            <w:pPr>
              <w:contextualSpacing/>
              <w:rPr>
                <w:rFonts w:ascii="Times New Roman" w:hAnsi="Times New Roman" w:cs="Times New Roman"/>
                <w:iCs/>
                <w:sz w:val="20"/>
                <w:szCs w:val="20"/>
                <w:lang w:val="en-US"/>
              </w:rPr>
            </w:pPr>
            <w:r w:rsidRPr="002552EB">
              <w:rPr>
                <w:rFonts w:ascii="Times New Roman" w:hAnsi="Times New Roman" w:cs="Times New Roman"/>
                <w:iCs/>
                <w:sz w:val="20"/>
                <w:szCs w:val="20"/>
                <w:lang w:val="en-US"/>
              </w:rPr>
              <w:t>TTDS definition</w:t>
            </w:r>
          </w:p>
        </w:tc>
        <w:tc>
          <w:tcPr>
            <w:tcW w:w="2693" w:type="dxa"/>
          </w:tcPr>
          <w:p w14:paraId="49FEBB3C" w14:textId="77777777"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All forms of support under Article 6 (or) All forms of support under Article 6 except the development box (Art. 6.2)</w:t>
            </w:r>
          </w:p>
        </w:tc>
        <w:tc>
          <w:tcPr>
            <w:tcW w:w="1843" w:type="dxa"/>
          </w:tcPr>
          <w:p w14:paraId="4C61BD92" w14:textId="77777777"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All forms of support under Article 6</w:t>
            </w:r>
          </w:p>
        </w:tc>
        <w:tc>
          <w:tcPr>
            <w:tcW w:w="1933" w:type="dxa"/>
          </w:tcPr>
          <w:p w14:paraId="5CB25C89" w14:textId="4CE32FF0"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All forms of support under Article 6</w:t>
            </w:r>
            <w:r w:rsidR="009D44E1" w:rsidRPr="00640CB0">
              <w:rPr>
                <w:rFonts w:ascii="Times New Roman" w:hAnsi="Times New Roman" w:cs="Times New Roman"/>
                <w:sz w:val="20"/>
                <w:szCs w:val="20"/>
                <w:lang w:val="en-US"/>
              </w:rPr>
              <w:t xml:space="preserve"> except Article 6.2 support below US$</w:t>
            </w:r>
            <w:r w:rsidR="00686AF1" w:rsidRPr="00640CB0">
              <w:rPr>
                <w:rFonts w:ascii="Times New Roman" w:hAnsi="Times New Roman" w:cs="Times New Roman"/>
                <w:sz w:val="20"/>
                <w:szCs w:val="20"/>
                <w:lang w:val="en-US"/>
              </w:rPr>
              <w:t xml:space="preserve"> </w:t>
            </w:r>
            <w:r w:rsidR="009D44E1" w:rsidRPr="00640CB0">
              <w:rPr>
                <w:rFonts w:ascii="Times New Roman" w:hAnsi="Times New Roman" w:cs="Times New Roman"/>
                <w:sz w:val="20"/>
                <w:szCs w:val="20"/>
                <w:lang w:val="en-US"/>
              </w:rPr>
              <w:t>5</w:t>
            </w:r>
            <w:r w:rsidR="00686AF1" w:rsidRPr="00640CB0">
              <w:rPr>
                <w:rFonts w:ascii="Times New Roman" w:hAnsi="Times New Roman" w:cs="Times New Roman"/>
                <w:sz w:val="20"/>
                <w:szCs w:val="20"/>
                <w:lang w:val="en-US"/>
              </w:rPr>
              <w:t xml:space="preserve"> B</w:t>
            </w:r>
            <w:r w:rsidR="009D44E1" w:rsidRPr="00640CB0">
              <w:rPr>
                <w:rFonts w:ascii="Times New Roman" w:hAnsi="Times New Roman" w:cs="Times New Roman"/>
                <w:sz w:val="20"/>
                <w:szCs w:val="20"/>
                <w:lang w:val="en-US"/>
              </w:rPr>
              <w:t>illion</w:t>
            </w:r>
          </w:p>
        </w:tc>
      </w:tr>
      <w:tr w:rsidR="000F3222" w:rsidRPr="00640CB0" w14:paraId="3C590A15" w14:textId="77777777" w:rsidTr="009C3380">
        <w:trPr>
          <w:trHeight w:val="284"/>
        </w:trPr>
        <w:tc>
          <w:tcPr>
            <w:tcW w:w="2547" w:type="dxa"/>
          </w:tcPr>
          <w:p w14:paraId="048C8C41" w14:textId="77777777" w:rsidR="000F3222" w:rsidRPr="002552EB" w:rsidRDefault="000F3222" w:rsidP="00801B78">
            <w:pPr>
              <w:contextualSpacing/>
              <w:rPr>
                <w:rFonts w:ascii="Times New Roman" w:hAnsi="Times New Roman" w:cs="Times New Roman"/>
                <w:iCs/>
                <w:sz w:val="20"/>
                <w:szCs w:val="20"/>
                <w:lang w:val="en-US"/>
              </w:rPr>
            </w:pPr>
            <w:r w:rsidRPr="002552EB">
              <w:rPr>
                <w:rFonts w:ascii="Times New Roman" w:hAnsi="Times New Roman" w:cs="Times New Roman"/>
                <w:iCs/>
                <w:sz w:val="20"/>
                <w:szCs w:val="20"/>
                <w:lang w:val="en-US"/>
              </w:rPr>
              <w:t xml:space="preserve">Reduction </w:t>
            </w:r>
          </w:p>
        </w:tc>
        <w:tc>
          <w:tcPr>
            <w:tcW w:w="2693" w:type="dxa"/>
          </w:tcPr>
          <w:p w14:paraId="1EED4320" w14:textId="77777777"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50% reduction from the current global TTDS</w:t>
            </w:r>
          </w:p>
        </w:tc>
        <w:tc>
          <w:tcPr>
            <w:tcW w:w="1843" w:type="dxa"/>
          </w:tcPr>
          <w:p w14:paraId="0F34EE3B" w14:textId="77777777"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50% reduction from the current global TTDS</w:t>
            </w:r>
          </w:p>
        </w:tc>
        <w:tc>
          <w:tcPr>
            <w:tcW w:w="1933" w:type="dxa"/>
          </w:tcPr>
          <w:p w14:paraId="7CA40B79" w14:textId="77777777"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50% reduction from the current global TTDS</w:t>
            </w:r>
          </w:p>
        </w:tc>
      </w:tr>
      <w:tr w:rsidR="000F3222" w:rsidRPr="00640CB0" w14:paraId="0EB01C26" w14:textId="77777777" w:rsidTr="009C3380">
        <w:trPr>
          <w:trHeight w:val="284"/>
        </w:trPr>
        <w:tc>
          <w:tcPr>
            <w:tcW w:w="2547" w:type="dxa"/>
          </w:tcPr>
          <w:p w14:paraId="3EE49B79" w14:textId="77777777" w:rsidR="000F3222" w:rsidRPr="002552EB" w:rsidRDefault="000F3222" w:rsidP="00801B78">
            <w:pPr>
              <w:contextualSpacing/>
              <w:rPr>
                <w:rFonts w:ascii="Times New Roman" w:hAnsi="Times New Roman" w:cs="Times New Roman"/>
                <w:iCs/>
                <w:sz w:val="20"/>
                <w:szCs w:val="20"/>
                <w:lang w:val="en-US"/>
              </w:rPr>
            </w:pPr>
            <w:r w:rsidRPr="002552EB">
              <w:rPr>
                <w:rFonts w:ascii="Times New Roman" w:hAnsi="Times New Roman" w:cs="Times New Roman"/>
                <w:iCs/>
                <w:sz w:val="20"/>
                <w:szCs w:val="20"/>
                <w:lang w:val="en-US"/>
              </w:rPr>
              <w:t xml:space="preserve">Proportionate Methodology </w:t>
            </w:r>
          </w:p>
        </w:tc>
        <w:tc>
          <w:tcPr>
            <w:tcW w:w="2693" w:type="dxa"/>
          </w:tcPr>
          <w:p w14:paraId="632D549C" w14:textId="77777777"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Yes</w:t>
            </w:r>
          </w:p>
        </w:tc>
        <w:tc>
          <w:tcPr>
            <w:tcW w:w="1843" w:type="dxa"/>
          </w:tcPr>
          <w:p w14:paraId="5D13D4D7" w14:textId="2679BBBC" w:rsidR="000F3222" w:rsidRPr="002552EB" w:rsidRDefault="00444E07" w:rsidP="00801B78">
            <w:pPr>
              <w:contextualSpacing/>
              <w:rPr>
                <w:rFonts w:ascii="Times New Roman" w:hAnsi="Times New Roman" w:cs="Times New Roman"/>
                <w:sz w:val="20"/>
                <w:szCs w:val="20"/>
                <w:lang w:val="en-US"/>
              </w:rPr>
            </w:pPr>
            <w:r w:rsidRPr="00640CB0">
              <w:rPr>
                <w:rFonts w:ascii="Times New Roman" w:hAnsi="Times New Roman" w:cs="Times New Roman"/>
                <w:sz w:val="20"/>
                <w:szCs w:val="20"/>
                <w:lang w:val="en-US"/>
              </w:rPr>
              <w:t>Yes</w:t>
            </w:r>
          </w:p>
        </w:tc>
        <w:tc>
          <w:tcPr>
            <w:tcW w:w="1933" w:type="dxa"/>
          </w:tcPr>
          <w:p w14:paraId="5CD912B9" w14:textId="77777777"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Yes</w:t>
            </w:r>
          </w:p>
        </w:tc>
      </w:tr>
      <w:tr w:rsidR="000F3222" w:rsidRPr="00640CB0" w14:paraId="3118863D" w14:textId="77777777" w:rsidTr="009C3380">
        <w:trPr>
          <w:trHeight w:val="284"/>
        </w:trPr>
        <w:tc>
          <w:tcPr>
            <w:tcW w:w="2547" w:type="dxa"/>
          </w:tcPr>
          <w:p w14:paraId="1534A896" w14:textId="77777777" w:rsidR="000F3222" w:rsidRPr="002552EB" w:rsidRDefault="000F3222" w:rsidP="00801B78">
            <w:pPr>
              <w:contextualSpacing/>
              <w:rPr>
                <w:rFonts w:ascii="Times New Roman" w:hAnsi="Times New Roman" w:cs="Times New Roman"/>
                <w:iCs/>
                <w:sz w:val="20"/>
                <w:szCs w:val="20"/>
                <w:lang w:val="en-US"/>
              </w:rPr>
            </w:pPr>
            <w:r w:rsidRPr="002552EB">
              <w:rPr>
                <w:rFonts w:ascii="Times New Roman" w:hAnsi="Times New Roman" w:cs="Times New Roman"/>
                <w:iCs/>
                <w:sz w:val="20"/>
                <w:szCs w:val="20"/>
                <w:lang w:val="en-US"/>
              </w:rPr>
              <w:t>Product-specific support (PSS) limit</w:t>
            </w:r>
          </w:p>
        </w:tc>
        <w:tc>
          <w:tcPr>
            <w:tcW w:w="2693" w:type="dxa"/>
          </w:tcPr>
          <w:p w14:paraId="2034409C" w14:textId="5501EB18"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N</w:t>
            </w:r>
            <w:r w:rsidR="00E6073C" w:rsidRPr="00640CB0">
              <w:rPr>
                <w:rFonts w:ascii="Times New Roman" w:hAnsi="Times New Roman" w:cs="Times New Roman"/>
                <w:sz w:val="20"/>
                <w:szCs w:val="20"/>
                <w:lang w:val="en-US"/>
              </w:rPr>
              <w:t>o</w:t>
            </w:r>
          </w:p>
        </w:tc>
        <w:tc>
          <w:tcPr>
            <w:tcW w:w="1843" w:type="dxa"/>
          </w:tcPr>
          <w:p w14:paraId="0F9F6A68" w14:textId="5D283E36"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N</w:t>
            </w:r>
            <w:r w:rsidR="00E6073C" w:rsidRPr="00640CB0">
              <w:rPr>
                <w:rFonts w:ascii="Times New Roman" w:hAnsi="Times New Roman" w:cs="Times New Roman"/>
                <w:sz w:val="20"/>
                <w:szCs w:val="20"/>
                <w:lang w:val="en-US"/>
              </w:rPr>
              <w:t>o</w:t>
            </w:r>
          </w:p>
        </w:tc>
        <w:tc>
          <w:tcPr>
            <w:tcW w:w="1933" w:type="dxa"/>
          </w:tcPr>
          <w:p w14:paraId="71C1C110" w14:textId="3C8B3AAD"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PSS limits are based on market share in global exports. *</w:t>
            </w:r>
            <w:r w:rsidR="00935629" w:rsidRPr="00640CB0">
              <w:rPr>
                <w:rFonts w:ascii="Times New Roman" w:hAnsi="Times New Roman" w:cs="Times New Roman"/>
                <w:sz w:val="20"/>
                <w:szCs w:val="20"/>
                <w:lang w:val="en-US"/>
              </w:rPr>
              <w:t>*</w:t>
            </w:r>
          </w:p>
        </w:tc>
      </w:tr>
      <w:tr w:rsidR="000F3222" w:rsidRPr="00640CB0" w14:paraId="186B1B6D" w14:textId="77777777" w:rsidTr="009C3380">
        <w:trPr>
          <w:trHeight w:val="284"/>
        </w:trPr>
        <w:tc>
          <w:tcPr>
            <w:tcW w:w="2547" w:type="dxa"/>
          </w:tcPr>
          <w:p w14:paraId="14E29CB7" w14:textId="77777777" w:rsidR="000F3222" w:rsidRPr="002552EB" w:rsidRDefault="000F3222" w:rsidP="00801B78">
            <w:pPr>
              <w:contextualSpacing/>
              <w:rPr>
                <w:rFonts w:ascii="Times New Roman" w:hAnsi="Times New Roman" w:cs="Times New Roman"/>
                <w:iCs/>
                <w:sz w:val="20"/>
                <w:szCs w:val="20"/>
                <w:lang w:val="en-US"/>
              </w:rPr>
            </w:pPr>
            <w:r w:rsidRPr="002552EB">
              <w:rPr>
                <w:rFonts w:ascii="Times New Roman" w:hAnsi="Times New Roman" w:cs="Times New Roman"/>
                <w:iCs/>
                <w:sz w:val="20"/>
                <w:szCs w:val="20"/>
                <w:lang w:val="en-US"/>
              </w:rPr>
              <w:t>LDCs</w:t>
            </w:r>
          </w:p>
        </w:tc>
        <w:tc>
          <w:tcPr>
            <w:tcW w:w="2693" w:type="dxa"/>
          </w:tcPr>
          <w:p w14:paraId="54A2E80E" w14:textId="77777777"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 xml:space="preserve">No reduction commitments. But have to cap their TTDS entitlements. </w:t>
            </w:r>
          </w:p>
        </w:tc>
        <w:tc>
          <w:tcPr>
            <w:tcW w:w="1843" w:type="dxa"/>
          </w:tcPr>
          <w:p w14:paraId="08AD372F" w14:textId="7143EF1D" w:rsidR="000F3222" w:rsidRPr="002552EB" w:rsidRDefault="00E6073C" w:rsidP="00801B78">
            <w:pPr>
              <w:contextualSpacing/>
              <w:rPr>
                <w:rFonts w:ascii="Times New Roman" w:hAnsi="Times New Roman" w:cs="Times New Roman"/>
                <w:sz w:val="20"/>
                <w:szCs w:val="20"/>
                <w:lang w:val="en-US"/>
              </w:rPr>
            </w:pPr>
            <w:r w:rsidRPr="00640CB0">
              <w:rPr>
                <w:rFonts w:ascii="Times New Roman" w:hAnsi="Times New Roman" w:cs="Times New Roman"/>
                <w:sz w:val="20"/>
                <w:szCs w:val="20"/>
                <w:lang w:val="en-US"/>
              </w:rPr>
              <w:t>Not mentioned</w:t>
            </w:r>
          </w:p>
        </w:tc>
        <w:tc>
          <w:tcPr>
            <w:tcW w:w="1933" w:type="dxa"/>
          </w:tcPr>
          <w:p w14:paraId="782AAE3C" w14:textId="77777777" w:rsidR="000F3222" w:rsidRPr="002552EB" w:rsidRDefault="000F3222" w:rsidP="00801B78">
            <w:pPr>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No capping and reduction required for LDCs</w:t>
            </w:r>
          </w:p>
        </w:tc>
      </w:tr>
    </w:tbl>
    <w:p w14:paraId="70049F32" w14:textId="77777777" w:rsidR="00805596" w:rsidRPr="00640CB0" w:rsidRDefault="000F3222" w:rsidP="00801B78">
      <w:pPr>
        <w:spacing w:after="0" w:line="240" w:lineRule="auto"/>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Source: Authors’ compilation based on WTO proposals to discipline agricultural domestic support</w:t>
      </w:r>
      <w:r w:rsidRPr="00640CB0">
        <w:rPr>
          <w:rFonts w:ascii="Times New Roman" w:hAnsi="Times New Roman" w:cs="Times New Roman"/>
          <w:sz w:val="20"/>
          <w:szCs w:val="20"/>
          <w:lang w:val="en-US"/>
        </w:rPr>
        <w:t>.</w:t>
      </w:r>
    </w:p>
    <w:p w14:paraId="4AF09172" w14:textId="0D2A3A45" w:rsidR="00935629" w:rsidRPr="00640CB0" w:rsidRDefault="000F3222" w:rsidP="00801B78">
      <w:pPr>
        <w:spacing w:after="0" w:line="240" w:lineRule="auto"/>
        <w:contextualSpacing/>
        <w:rPr>
          <w:rFonts w:ascii="Times New Roman" w:hAnsi="Times New Roman" w:cs="Times New Roman"/>
          <w:sz w:val="20"/>
          <w:szCs w:val="20"/>
          <w:lang w:val="en-US"/>
        </w:rPr>
      </w:pPr>
      <w:r w:rsidRPr="002552EB">
        <w:rPr>
          <w:rFonts w:ascii="Times New Roman" w:hAnsi="Times New Roman" w:cs="Times New Roman"/>
          <w:sz w:val="20"/>
          <w:szCs w:val="20"/>
          <w:lang w:val="en-US"/>
        </w:rPr>
        <w:t xml:space="preserve">Note: </w:t>
      </w:r>
      <w:r w:rsidR="00935629" w:rsidRPr="00640CB0">
        <w:rPr>
          <w:rFonts w:ascii="Times New Roman" w:hAnsi="Times New Roman" w:cs="Times New Roman"/>
          <w:sz w:val="20"/>
          <w:szCs w:val="20"/>
          <w:lang w:val="en-US"/>
        </w:rPr>
        <w:t xml:space="preserve">*Cairns Group excluding South Africa, Cambodia, El Salvador, Lao PDR, and Ukraine. </w:t>
      </w:r>
    </w:p>
    <w:p w14:paraId="292F949C" w14:textId="42B2E1EE" w:rsidR="000F3222" w:rsidRPr="002552EB" w:rsidRDefault="00935629" w:rsidP="00801B78">
      <w:pPr>
        <w:spacing w:after="0" w:line="240" w:lineRule="auto"/>
        <w:contextualSpacing/>
        <w:rPr>
          <w:rFonts w:ascii="Times New Roman" w:hAnsi="Times New Roman" w:cs="Times New Roman"/>
          <w:sz w:val="20"/>
          <w:szCs w:val="20"/>
          <w:lang w:val="en-US"/>
        </w:rPr>
      </w:pPr>
      <w:r w:rsidRPr="00640CB0">
        <w:rPr>
          <w:rFonts w:ascii="Times New Roman" w:hAnsi="Times New Roman" w:cs="Times New Roman"/>
          <w:sz w:val="20"/>
          <w:szCs w:val="20"/>
          <w:lang w:val="en-US"/>
        </w:rPr>
        <w:t xml:space="preserve">        </w:t>
      </w:r>
      <w:r w:rsidR="000F3222" w:rsidRPr="002552EB">
        <w:rPr>
          <w:rFonts w:ascii="Times New Roman" w:hAnsi="Times New Roman" w:cs="Times New Roman"/>
          <w:sz w:val="20"/>
          <w:szCs w:val="20"/>
          <w:lang w:val="en-US"/>
        </w:rPr>
        <w:t>*</w:t>
      </w:r>
      <w:r w:rsidRPr="00640CB0">
        <w:rPr>
          <w:rFonts w:ascii="Times New Roman" w:hAnsi="Times New Roman" w:cs="Times New Roman"/>
          <w:sz w:val="20"/>
          <w:szCs w:val="20"/>
          <w:lang w:val="en-US"/>
        </w:rPr>
        <w:t>*</w:t>
      </w:r>
      <w:r w:rsidR="000F3222" w:rsidRPr="002552EB">
        <w:rPr>
          <w:rFonts w:ascii="Times New Roman" w:hAnsi="Times New Roman" w:cs="Times New Roman"/>
          <w:sz w:val="20"/>
          <w:szCs w:val="20"/>
          <w:lang w:val="en-US"/>
        </w:rPr>
        <w:t>PSS limit was proposed only in JOB/AG/243.</w:t>
      </w:r>
    </w:p>
    <w:p w14:paraId="7CF4561D" w14:textId="77777777" w:rsidR="00182EF4" w:rsidRPr="00801B78" w:rsidRDefault="00182EF4" w:rsidP="00801B78">
      <w:pPr>
        <w:spacing w:after="0" w:line="360" w:lineRule="auto"/>
        <w:contextualSpacing/>
        <w:jc w:val="both"/>
        <w:rPr>
          <w:rFonts w:ascii="Times New Roman" w:eastAsia="Times New Roman" w:hAnsi="Times New Roman" w:cs="Times New Roman"/>
          <w:b/>
          <w:bCs/>
          <w:color w:val="000000"/>
          <w:sz w:val="24"/>
          <w:szCs w:val="24"/>
        </w:rPr>
      </w:pPr>
    </w:p>
    <w:p w14:paraId="4A17A439" w14:textId="4115D0B4" w:rsidR="008C274F" w:rsidRPr="002552EB" w:rsidRDefault="00855A89" w:rsidP="00801B78">
      <w:pPr>
        <w:spacing w:after="0" w:line="240" w:lineRule="auto"/>
        <w:contextualSpacing/>
        <w:jc w:val="both"/>
        <w:rPr>
          <w:rFonts w:ascii="Times New Roman" w:eastAsia="Times New Roman" w:hAnsi="Times New Roman" w:cs="Times New Roman"/>
          <w:b/>
          <w:bCs/>
          <w:color w:val="000000"/>
          <w:sz w:val="20"/>
          <w:szCs w:val="20"/>
        </w:rPr>
      </w:pPr>
      <w:r w:rsidRPr="002552EB">
        <w:rPr>
          <w:rFonts w:ascii="Times New Roman" w:eastAsia="Times New Roman" w:hAnsi="Times New Roman" w:cs="Times New Roman"/>
          <w:b/>
          <w:bCs/>
          <w:color w:val="000000"/>
          <w:sz w:val="20"/>
          <w:szCs w:val="20"/>
        </w:rPr>
        <w:t>Fig</w:t>
      </w:r>
      <w:r w:rsidR="007D1B7C" w:rsidRPr="00640CB0">
        <w:rPr>
          <w:rFonts w:ascii="Times New Roman" w:eastAsia="Times New Roman" w:hAnsi="Times New Roman" w:cs="Times New Roman"/>
          <w:b/>
          <w:bCs/>
          <w:color w:val="000000"/>
          <w:sz w:val="20"/>
          <w:szCs w:val="20"/>
        </w:rPr>
        <w:t>.</w:t>
      </w:r>
      <w:r w:rsidRPr="002552EB">
        <w:rPr>
          <w:rFonts w:ascii="Times New Roman" w:eastAsia="Times New Roman" w:hAnsi="Times New Roman" w:cs="Times New Roman"/>
          <w:b/>
          <w:bCs/>
          <w:color w:val="000000"/>
          <w:sz w:val="20"/>
          <w:szCs w:val="20"/>
        </w:rPr>
        <w:t xml:space="preserve"> 3 </w:t>
      </w:r>
      <w:r w:rsidR="001F16FF" w:rsidRPr="002552EB">
        <w:rPr>
          <w:rFonts w:ascii="Times New Roman" w:eastAsia="Times New Roman" w:hAnsi="Times New Roman" w:cs="Times New Roman"/>
          <w:b/>
          <w:bCs/>
          <w:color w:val="000000"/>
          <w:sz w:val="20"/>
          <w:szCs w:val="20"/>
        </w:rPr>
        <w:t xml:space="preserve">TTDS </w:t>
      </w:r>
      <w:r w:rsidR="00C91DE8" w:rsidRPr="00640CB0">
        <w:rPr>
          <w:rFonts w:ascii="Times New Roman" w:eastAsia="Times New Roman" w:hAnsi="Times New Roman" w:cs="Times New Roman"/>
          <w:b/>
          <w:bCs/>
          <w:color w:val="000000"/>
          <w:sz w:val="20"/>
          <w:szCs w:val="20"/>
        </w:rPr>
        <w:t>e</w:t>
      </w:r>
      <w:r w:rsidR="000F5D27" w:rsidRPr="002552EB">
        <w:rPr>
          <w:rFonts w:ascii="Times New Roman" w:eastAsia="Times New Roman" w:hAnsi="Times New Roman" w:cs="Times New Roman"/>
          <w:b/>
          <w:bCs/>
          <w:color w:val="000000"/>
          <w:sz w:val="20"/>
          <w:szCs w:val="20"/>
        </w:rPr>
        <w:t>ntitlement</w:t>
      </w:r>
      <w:r w:rsidR="001F16FF" w:rsidRPr="002552EB">
        <w:rPr>
          <w:rFonts w:ascii="Times New Roman" w:eastAsia="Times New Roman" w:hAnsi="Times New Roman" w:cs="Times New Roman"/>
          <w:b/>
          <w:bCs/>
          <w:color w:val="000000"/>
          <w:sz w:val="20"/>
          <w:szCs w:val="20"/>
        </w:rPr>
        <w:t xml:space="preserve"> </w:t>
      </w:r>
      <w:r w:rsidR="00C91DE8" w:rsidRPr="00640CB0">
        <w:rPr>
          <w:rFonts w:ascii="Times New Roman" w:eastAsia="Times New Roman" w:hAnsi="Times New Roman" w:cs="Times New Roman"/>
          <w:b/>
          <w:bCs/>
          <w:color w:val="000000"/>
          <w:sz w:val="20"/>
          <w:szCs w:val="20"/>
        </w:rPr>
        <w:t>l</w:t>
      </w:r>
      <w:r w:rsidR="001F16FF" w:rsidRPr="002552EB">
        <w:rPr>
          <w:rFonts w:ascii="Times New Roman" w:eastAsia="Times New Roman" w:hAnsi="Times New Roman" w:cs="Times New Roman"/>
          <w:b/>
          <w:bCs/>
          <w:color w:val="000000"/>
          <w:sz w:val="20"/>
          <w:szCs w:val="20"/>
        </w:rPr>
        <w:t>imit for select members</w:t>
      </w:r>
      <w:r w:rsidR="000F5D27" w:rsidRPr="002552EB">
        <w:rPr>
          <w:rFonts w:ascii="Times New Roman" w:eastAsia="Times New Roman" w:hAnsi="Times New Roman" w:cs="Times New Roman"/>
          <w:b/>
          <w:bCs/>
          <w:color w:val="000000"/>
          <w:sz w:val="20"/>
          <w:szCs w:val="20"/>
        </w:rPr>
        <w:t xml:space="preserve"> f</w:t>
      </w:r>
      <w:r w:rsidR="000F5D27" w:rsidRPr="00640CB0">
        <w:rPr>
          <w:rFonts w:ascii="Times New Roman" w:eastAsia="Times New Roman" w:hAnsi="Times New Roman" w:cs="Times New Roman"/>
          <w:b/>
          <w:bCs/>
          <w:color w:val="000000"/>
          <w:sz w:val="20"/>
          <w:szCs w:val="20"/>
        </w:rPr>
        <w:t>rom</w:t>
      </w:r>
      <w:r w:rsidR="000F5D27" w:rsidRPr="002552EB">
        <w:rPr>
          <w:rFonts w:ascii="Times New Roman" w:eastAsia="Times New Roman" w:hAnsi="Times New Roman" w:cs="Times New Roman"/>
          <w:b/>
          <w:bCs/>
          <w:color w:val="000000"/>
          <w:sz w:val="20"/>
          <w:szCs w:val="20"/>
        </w:rPr>
        <w:t xml:space="preserve"> 2018</w:t>
      </w:r>
      <w:r w:rsidR="00745CB9" w:rsidRPr="00640CB0">
        <w:rPr>
          <w:rFonts w:ascii="Times New Roman" w:eastAsia="Times New Roman" w:hAnsi="Times New Roman" w:cs="Times New Roman"/>
          <w:b/>
          <w:bCs/>
          <w:color w:val="000000"/>
          <w:sz w:val="20"/>
          <w:szCs w:val="20"/>
        </w:rPr>
        <w:t xml:space="preserve"> </w:t>
      </w:r>
      <w:proofErr w:type="gramStart"/>
      <w:r w:rsidR="00745CB9" w:rsidRPr="00640CB0">
        <w:rPr>
          <w:rFonts w:ascii="Times New Roman" w:eastAsia="Times New Roman" w:hAnsi="Times New Roman" w:cs="Times New Roman"/>
          <w:b/>
          <w:bCs/>
          <w:color w:val="000000"/>
          <w:sz w:val="20"/>
          <w:szCs w:val="20"/>
        </w:rPr>
        <w:t xml:space="preserve">onwards </w:t>
      </w:r>
      <w:r w:rsidR="00CA0B70" w:rsidRPr="00640CB0">
        <w:rPr>
          <w:rFonts w:ascii="Times New Roman" w:eastAsia="Times New Roman" w:hAnsi="Times New Roman" w:cs="Times New Roman"/>
          <w:b/>
          <w:bCs/>
          <w:color w:val="000000"/>
          <w:sz w:val="20"/>
          <w:szCs w:val="20"/>
        </w:rPr>
        <w:t xml:space="preserve"> </w:t>
      </w:r>
      <w:r w:rsidR="00745CB9" w:rsidRPr="00640CB0">
        <w:rPr>
          <w:rFonts w:ascii="Times New Roman" w:eastAsia="Times New Roman" w:hAnsi="Times New Roman" w:cs="Times New Roman"/>
          <w:b/>
          <w:bCs/>
          <w:color w:val="000000"/>
          <w:sz w:val="20"/>
          <w:szCs w:val="20"/>
        </w:rPr>
        <w:t>(</w:t>
      </w:r>
      <w:proofErr w:type="gramEnd"/>
      <w:r w:rsidR="00CA0B70" w:rsidRPr="00640CB0">
        <w:rPr>
          <w:rFonts w:ascii="Times New Roman" w:eastAsia="Times New Roman" w:hAnsi="Times New Roman" w:cs="Times New Roman"/>
          <w:b/>
          <w:bCs/>
          <w:color w:val="000000"/>
          <w:sz w:val="20"/>
          <w:szCs w:val="20"/>
        </w:rPr>
        <w:t>US$ Billion</w:t>
      </w:r>
      <w:r w:rsidR="00745CB9" w:rsidRPr="00640CB0">
        <w:rPr>
          <w:rFonts w:ascii="Times New Roman" w:eastAsia="Times New Roman" w:hAnsi="Times New Roman" w:cs="Times New Roman"/>
          <w:b/>
          <w:bCs/>
          <w:color w:val="000000"/>
          <w:sz w:val="20"/>
          <w:szCs w:val="20"/>
        </w:rPr>
        <w:t>)</w:t>
      </w:r>
    </w:p>
    <w:p w14:paraId="5D2B8F3D" w14:textId="41A88E85" w:rsidR="000F5D27" w:rsidRPr="00640CB0" w:rsidRDefault="001F16FF" w:rsidP="00801B78">
      <w:pPr>
        <w:spacing w:after="0" w:line="240" w:lineRule="auto"/>
        <w:contextualSpacing/>
        <w:jc w:val="center"/>
        <w:rPr>
          <w:rFonts w:ascii="Times New Roman" w:eastAsia="Times New Roman" w:hAnsi="Times New Roman" w:cs="Times New Roman"/>
          <w:color w:val="000000"/>
          <w:sz w:val="20"/>
          <w:szCs w:val="20"/>
        </w:rPr>
      </w:pPr>
      <w:r w:rsidRPr="00640CB0">
        <w:rPr>
          <w:noProof/>
        </w:rPr>
        <w:drawing>
          <wp:inline distT="0" distB="0" distL="0" distR="0" wp14:anchorId="7A70541D" wp14:editId="4026107E">
            <wp:extent cx="5704514" cy="2500630"/>
            <wp:effectExtent l="0" t="0" r="10795" b="13970"/>
            <wp:docPr id="1298316392" name="Chart 1">
              <a:extLst xmlns:a="http://schemas.openxmlformats.org/drawingml/2006/main">
                <a:ext uri="{FF2B5EF4-FFF2-40B4-BE49-F238E27FC236}">
                  <a16:creationId xmlns:a16="http://schemas.microsoft.com/office/drawing/2014/main" id="{87509576-54C1-9296-F40B-B9BE162A3E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CBFFB5" w14:textId="0CA82A73" w:rsidR="000F5D27" w:rsidRPr="00640CB0" w:rsidRDefault="000F5D27" w:rsidP="00801B78">
      <w:pPr>
        <w:spacing w:after="0" w:line="240" w:lineRule="auto"/>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Source: Author</w:t>
      </w:r>
      <w:r w:rsidR="00745CB9" w:rsidRPr="00640CB0">
        <w:rPr>
          <w:rFonts w:ascii="Times New Roman" w:eastAsia="Times New Roman" w:hAnsi="Times New Roman" w:cs="Times New Roman"/>
          <w:color w:val="000000"/>
          <w:sz w:val="20"/>
          <w:szCs w:val="20"/>
        </w:rPr>
        <w:t>s’</w:t>
      </w:r>
      <w:r w:rsidRPr="00640CB0">
        <w:rPr>
          <w:rFonts w:ascii="Times New Roman" w:eastAsia="Times New Roman" w:hAnsi="Times New Roman" w:cs="Times New Roman"/>
          <w:color w:val="000000"/>
          <w:sz w:val="20"/>
          <w:szCs w:val="20"/>
        </w:rPr>
        <w:t xml:space="preserve"> calculation based on FAOSTAT and </w:t>
      </w:r>
      <w:r w:rsidR="00745CB9" w:rsidRPr="00640CB0">
        <w:rPr>
          <w:rFonts w:ascii="Times New Roman" w:eastAsia="Times New Roman" w:hAnsi="Times New Roman" w:cs="Times New Roman"/>
          <w:color w:val="000000"/>
          <w:sz w:val="20"/>
          <w:szCs w:val="20"/>
        </w:rPr>
        <w:t>n</w:t>
      </w:r>
      <w:r w:rsidRPr="00640CB0">
        <w:rPr>
          <w:rFonts w:ascii="Times New Roman" w:eastAsia="Times New Roman" w:hAnsi="Times New Roman" w:cs="Times New Roman"/>
          <w:color w:val="000000"/>
          <w:sz w:val="20"/>
          <w:szCs w:val="20"/>
        </w:rPr>
        <w:t>otified Value of Production data.</w:t>
      </w:r>
    </w:p>
    <w:p w14:paraId="04F0691F" w14:textId="449896BD" w:rsidR="00182EF4" w:rsidRDefault="001F16FF" w:rsidP="00801B78">
      <w:pPr>
        <w:spacing w:after="0" w:line="240" w:lineRule="auto"/>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xml:space="preserve">Note: These 10 countries have the </w:t>
      </w:r>
      <w:r w:rsidR="002E0493" w:rsidRPr="002552EB">
        <w:rPr>
          <w:rFonts w:ascii="Times New Roman" w:eastAsia="Times New Roman" w:hAnsi="Times New Roman" w:cs="Times New Roman"/>
          <w:color w:val="000000" w:themeColor="text1"/>
          <w:sz w:val="20"/>
          <w:szCs w:val="20"/>
        </w:rPr>
        <w:t>highest</w:t>
      </w:r>
      <w:r w:rsidRPr="002552EB">
        <w:rPr>
          <w:rFonts w:ascii="Times New Roman" w:eastAsia="Times New Roman" w:hAnsi="Times New Roman" w:cs="Times New Roman"/>
          <w:color w:val="000000" w:themeColor="text1"/>
          <w:sz w:val="20"/>
          <w:szCs w:val="20"/>
        </w:rPr>
        <w:t xml:space="preserve"> entitlements in 2018</w:t>
      </w:r>
      <w:r w:rsidRPr="00640CB0">
        <w:rPr>
          <w:rFonts w:ascii="Times New Roman" w:eastAsia="Times New Roman" w:hAnsi="Times New Roman" w:cs="Times New Roman"/>
          <w:color w:val="000000"/>
          <w:sz w:val="20"/>
          <w:szCs w:val="20"/>
        </w:rPr>
        <w:t xml:space="preserve">. </w:t>
      </w:r>
    </w:p>
    <w:p w14:paraId="3202DBE8" w14:textId="32BB2687" w:rsidR="00607173" w:rsidRPr="00801B78" w:rsidRDefault="00607173" w:rsidP="00801B78">
      <w:pPr>
        <w:spacing w:after="0" w:line="360" w:lineRule="auto"/>
        <w:jc w:val="both"/>
        <w:rPr>
          <w:rFonts w:ascii="Times New Roman" w:eastAsia="Times New Roman" w:hAnsi="Times New Roman" w:cs="Times New Roman"/>
          <w:color w:val="000000" w:themeColor="text1"/>
          <w:sz w:val="24"/>
          <w:szCs w:val="24"/>
        </w:rPr>
      </w:pPr>
    </w:p>
    <w:p w14:paraId="6D1C09F4" w14:textId="0C6E56F9" w:rsidR="00E20B7D" w:rsidRDefault="00D436D5" w:rsidP="002552EB">
      <w:pPr>
        <w:spacing w:after="0" w:line="360" w:lineRule="auto"/>
        <w:jc w:val="both"/>
        <w:rPr>
          <w:rFonts w:ascii="Times New Roman" w:eastAsia="Times New Roman" w:hAnsi="Times New Roman" w:cs="Times New Roman"/>
          <w:color w:val="000000" w:themeColor="text1"/>
          <w:sz w:val="24"/>
          <w:szCs w:val="24"/>
        </w:rPr>
      </w:pPr>
      <w:r w:rsidRPr="002552EB">
        <w:rPr>
          <w:rFonts w:ascii="Times New Roman" w:eastAsia="Times New Roman" w:hAnsi="Times New Roman" w:cs="Times New Roman"/>
          <w:color w:val="000000" w:themeColor="text1"/>
          <w:sz w:val="24"/>
          <w:szCs w:val="24"/>
        </w:rPr>
        <w:t xml:space="preserve">For a member, the new TTDS entitlement fixed in monetary terms is the difference between </w:t>
      </w:r>
      <w:r w:rsidR="00843D7C" w:rsidRPr="002552EB">
        <w:rPr>
          <w:rFonts w:ascii="Times New Roman" w:eastAsia="Times New Roman" w:hAnsi="Times New Roman" w:cs="Times New Roman"/>
          <w:color w:val="000000" w:themeColor="text1"/>
          <w:sz w:val="24"/>
          <w:szCs w:val="24"/>
        </w:rPr>
        <w:t xml:space="preserve">its </w:t>
      </w:r>
      <w:r w:rsidRPr="002552EB">
        <w:rPr>
          <w:rFonts w:ascii="Times New Roman" w:eastAsia="Times New Roman" w:hAnsi="Times New Roman" w:cs="Times New Roman"/>
          <w:color w:val="000000" w:themeColor="text1"/>
          <w:sz w:val="24"/>
          <w:szCs w:val="24"/>
        </w:rPr>
        <w:t>base year</w:t>
      </w:r>
      <w:r w:rsidR="00843D7C" w:rsidRPr="002552EB">
        <w:rPr>
          <w:rFonts w:ascii="Times New Roman" w:eastAsia="Times New Roman" w:hAnsi="Times New Roman" w:cs="Times New Roman"/>
          <w:color w:val="000000" w:themeColor="text1"/>
          <w:sz w:val="24"/>
          <w:szCs w:val="24"/>
        </w:rPr>
        <w:t>’s</w:t>
      </w:r>
      <w:r w:rsidRPr="002552EB">
        <w:rPr>
          <w:rFonts w:ascii="Times New Roman" w:eastAsia="Times New Roman" w:hAnsi="Times New Roman" w:cs="Times New Roman"/>
          <w:color w:val="000000" w:themeColor="text1"/>
          <w:sz w:val="24"/>
          <w:szCs w:val="24"/>
        </w:rPr>
        <w:t xml:space="preserve"> entitlement and its contribution towards the reduction in global entitlement. A</w:t>
      </w:r>
      <w:r w:rsidR="00843D7C" w:rsidRPr="002552EB">
        <w:rPr>
          <w:rFonts w:ascii="Times New Roman" w:eastAsia="Times New Roman" w:hAnsi="Times New Roman" w:cs="Times New Roman"/>
          <w:color w:val="000000" w:themeColor="text1"/>
          <w:sz w:val="24"/>
          <w:szCs w:val="24"/>
        </w:rPr>
        <w:t>ccording to</w:t>
      </w:r>
      <w:r w:rsidRPr="002552EB">
        <w:rPr>
          <w:rFonts w:ascii="Times New Roman" w:eastAsia="Times New Roman" w:hAnsi="Times New Roman" w:cs="Times New Roman"/>
          <w:color w:val="000000" w:themeColor="text1"/>
          <w:sz w:val="24"/>
          <w:szCs w:val="24"/>
        </w:rPr>
        <w:t xml:space="preserve"> the proponents, the new fixed TTDS entitlement limit would cover the actual support under the AMS entitlement, </w:t>
      </w:r>
      <w:r w:rsidRPr="002552EB">
        <w:rPr>
          <w:rFonts w:ascii="Times New Roman" w:eastAsia="Times New Roman" w:hAnsi="Times New Roman" w:cs="Times New Roman"/>
          <w:i/>
          <w:color w:val="000000" w:themeColor="text1"/>
          <w:sz w:val="24"/>
          <w:szCs w:val="24"/>
        </w:rPr>
        <w:t>de minimis</w:t>
      </w:r>
      <w:r w:rsidRPr="002552EB">
        <w:rPr>
          <w:rFonts w:ascii="Times New Roman" w:eastAsia="Times New Roman" w:hAnsi="Times New Roman" w:cs="Times New Roman"/>
          <w:color w:val="000000" w:themeColor="text1"/>
          <w:sz w:val="24"/>
          <w:szCs w:val="24"/>
        </w:rPr>
        <w:t xml:space="preserve"> limit, Blue box and </w:t>
      </w:r>
      <w:r w:rsidR="00F659EA" w:rsidRPr="002552EB">
        <w:rPr>
          <w:rFonts w:ascii="Times New Roman" w:eastAsia="Times New Roman" w:hAnsi="Times New Roman" w:cs="Times New Roman"/>
          <w:color w:val="000000" w:themeColor="text1"/>
          <w:sz w:val="24"/>
          <w:szCs w:val="24"/>
        </w:rPr>
        <w:t xml:space="preserve">the </w:t>
      </w:r>
      <w:r w:rsidRPr="002552EB">
        <w:rPr>
          <w:rFonts w:ascii="Times New Roman" w:eastAsia="Times New Roman" w:hAnsi="Times New Roman" w:cs="Times New Roman"/>
          <w:color w:val="000000" w:themeColor="text1"/>
          <w:sz w:val="24"/>
          <w:szCs w:val="24"/>
        </w:rPr>
        <w:t xml:space="preserve">Development box. As the new TTDS entitlement is fixed in monetary terms, the limit is projected to decline in percentage terms with the increase in the VoP. The new TTDS entitlement cap will shrink the </w:t>
      </w:r>
      <w:r w:rsidRPr="002552EB">
        <w:rPr>
          <w:rFonts w:ascii="Times New Roman" w:eastAsia="Times New Roman" w:hAnsi="Times New Roman" w:cs="Times New Roman"/>
          <w:color w:val="000000" w:themeColor="text1"/>
          <w:sz w:val="24"/>
          <w:szCs w:val="24"/>
        </w:rPr>
        <w:lastRenderedPageBreak/>
        <w:t xml:space="preserve">policy space for all members under the proportionate reduction methodology. </w:t>
      </w:r>
      <w:r w:rsidR="00D5327D">
        <w:rPr>
          <w:rFonts w:ascii="Times New Roman" w:eastAsia="Times New Roman" w:hAnsi="Times New Roman" w:cs="Times New Roman"/>
          <w:color w:val="000000" w:themeColor="text1"/>
          <w:sz w:val="24"/>
          <w:szCs w:val="24"/>
        </w:rPr>
        <w:t>The result</w:t>
      </w:r>
      <w:r w:rsidR="00E20B7D" w:rsidRPr="002552EB">
        <w:rPr>
          <w:rFonts w:ascii="Times New Roman" w:eastAsia="Times New Roman" w:hAnsi="Times New Roman" w:cs="Times New Roman"/>
          <w:color w:val="000000" w:themeColor="text1"/>
          <w:sz w:val="24"/>
          <w:szCs w:val="24"/>
        </w:rPr>
        <w:t xml:space="preserve"> shows that developing countries flexibility to provide trade-distorting support would </w:t>
      </w:r>
      <w:r w:rsidR="00F659EA" w:rsidRPr="002552EB">
        <w:rPr>
          <w:rFonts w:ascii="Times New Roman" w:eastAsia="Times New Roman" w:hAnsi="Times New Roman" w:cs="Times New Roman"/>
          <w:color w:val="000000" w:themeColor="text1"/>
          <w:sz w:val="24"/>
          <w:szCs w:val="24"/>
        </w:rPr>
        <w:t>plummet</w:t>
      </w:r>
      <w:r w:rsidR="00E20B7D" w:rsidRPr="002552EB">
        <w:rPr>
          <w:rFonts w:ascii="Times New Roman" w:eastAsia="Times New Roman" w:hAnsi="Times New Roman" w:cs="Times New Roman"/>
          <w:color w:val="000000" w:themeColor="text1"/>
          <w:sz w:val="24"/>
          <w:szCs w:val="24"/>
        </w:rPr>
        <w:t xml:space="preserve"> from 18.9 to 3.8 percent for 2030 (Table </w:t>
      </w:r>
      <w:r w:rsidR="00EE12AA" w:rsidRPr="002552EB">
        <w:rPr>
          <w:rFonts w:ascii="Times New Roman" w:eastAsia="Times New Roman" w:hAnsi="Times New Roman" w:cs="Times New Roman"/>
          <w:color w:val="000000" w:themeColor="text1"/>
          <w:sz w:val="24"/>
          <w:szCs w:val="24"/>
        </w:rPr>
        <w:t>5</w:t>
      </w:r>
      <w:r w:rsidR="00E20B7D" w:rsidRPr="002552EB">
        <w:rPr>
          <w:rFonts w:ascii="Times New Roman" w:eastAsia="Times New Roman" w:hAnsi="Times New Roman" w:cs="Times New Roman"/>
          <w:color w:val="000000" w:themeColor="text1"/>
          <w:sz w:val="24"/>
          <w:szCs w:val="24"/>
        </w:rPr>
        <w:t xml:space="preserve">). In monetary terms, the projected loss </w:t>
      </w:r>
      <w:r w:rsidR="00F659EA" w:rsidRPr="002552EB">
        <w:rPr>
          <w:rFonts w:ascii="Times New Roman" w:eastAsia="Times New Roman" w:hAnsi="Times New Roman" w:cs="Times New Roman"/>
          <w:color w:val="000000" w:themeColor="text1"/>
          <w:sz w:val="24"/>
          <w:szCs w:val="24"/>
        </w:rPr>
        <w:t xml:space="preserve">of policy space </w:t>
      </w:r>
      <w:r w:rsidR="00E20B7D" w:rsidRPr="002552EB">
        <w:rPr>
          <w:rFonts w:ascii="Times New Roman" w:eastAsia="Times New Roman" w:hAnsi="Times New Roman" w:cs="Times New Roman"/>
          <w:color w:val="000000" w:themeColor="text1"/>
          <w:sz w:val="24"/>
          <w:szCs w:val="24"/>
        </w:rPr>
        <w:t>for the developing members would be US$</w:t>
      </w:r>
      <w:r w:rsidR="00F659EA" w:rsidRPr="002552EB">
        <w:rPr>
          <w:rFonts w:ascii="Times New Roman" w:eastAsia="Times New Roman" w:hAnsi="Times New Roman" w:cs="Times New Roman"/>
          <w:color w:val="000000" w:themeColor="text1"/>
          <w:sz w:val="24"/>
          <w:szCs w:val="24"/>
        </w:rPr>
        <w:t xml:space="preserve"> </w:t>
      </w:r>
      <w:r w:rsidR="00E20B7D" w:rsidRPr="002552EB">
        <w:rPr>
          <w:rFonts w:ascii="Times New Roman" w:eastAsia="Times New Roman" w:hAnsi="Times New Roman" w:cs="Times New Roman"/>
          <w:color w:val="000000" w:themeColor="text1"/>
          <w:sz w:val="24"/>
          <w:szCs w:val="24"/>
        </w:rPr>
        <w:t xml:space="preserve">830 </w:t>
      </w:r>
      <w:r w:rsidR="00F659EA" w:rsidRPr="002552EB">
        <w:rPr>
          <w:rFonts w:ascii="Times New Roman" w:eastAsia="Times New Roman" w:hAnsi="Times New Roman" w:cs="Times New Roman"/>
          <w:color w:val="000000" w:themeColor="text1"/>
          <w:sz w:val="24"/>
          <w:szCs w:val="24"/>
        </w:rPr>
        <w:t>B</w:t>
      </w:r>
      <w:r w:rsidR="00E20B7D" w:rsidRPr="002552EB">
        <w:rPr>
          <w:rFonts w:ascii="Times New Roman" w:eastAsia="Times New Roman" w:hAnsi="Times New Roman" w:cs="Times New Roman"/>
          <w:color w:val="000000" w:themeColor="text1"/>
          <w:sz w:val="24"/>
          <w:szCs w:val="24"/>
        </w:rPr>
        <w:t xml:space="preserve">illion which is approximately 4 times </w:t>
      </w:r>
      <w:r w:rsidR="00F659EA" w:rsidRPr="002552EB">
        <w:rPr>
          <w:rFonts w:ascii="Times New Roman" w:eastAsia="Times New Roman" w:hAnsi="Times New Roman" w:cs="Times New Roman"/>
          <w:color w:val="000000" w:themeColor="text1"/>
          <w:sz w:val="24"/>
          <w:szCs w:val="24"/>
        </w:rPr>
        <w:t>the loss incurred by</w:t>
      </w:r>
      <w:r w:rsidR="00E20B7D" w:rsidRPr="002552EB">
        <w:rPr>
          <w:rFonts w:ascii="Times New Roman" w:eastAsia="Times New Roman" w:hAnsi="Times New Roman" w:cs="Times New Roman"/>
          <w:color w:val="000000" w:themeColor="text1"/>
          <w:sz w:val="24"/>
          <w:szCs w:val="24"/>
        </w:rPr>
        <w:t xml:space="preserve"> the developed members (US$ 216 </w:t>
      </w:r>
      <w:r w:rsidR="00F659EA" w:rsidRPr="002552EB">
        <w:rPr>
          <w:rFonts w:ascii="Times New Roman" w:eastAsia="Times New Roman" w:hAnsi="Times New Roman" w:cs="Times New Roman"/>
          <w:color w:val="000000" w:themeColor="text1"/>
          <w:sz w:val="24"/>
          <w:szCs w:val="24"/>
        </w:rPr>
        <w:t>B</w:t>
      </w:r>
      <w:r w:rsidR="00E20B7D" w:rsidRPr="002552EB">
        <w:rPr>
          <w:rFonts w:ascii="Times New Roman" w:eastAsia="Times New Roman" w:hAnsi="Times New Roman" w:cs="Times New Roman"/>
          <w:color w:val="000000" w:themeColor="text1"/>
          <w:sz w:val="24"/>
          <w:szCs w:val="24"/>
        </w:rPr>
        <w:t xml:space="preserve">illion). </w:t>
      </w:r>
      <w:r w:rsidR="005B6597" w:rsidRPr="002552EB">
        <w:rPr>
          <w:rFonts w:ascii="Times New Roman" w:eastAsia="Times New Roman" w:hAnsi="Times New Roman" w:cs="Times New Roman"/>
          <w:color w:val="000000" w:themeColor="text1"/>
          <w:sz w:val="24"/>
          <w:szCs w:val="24"/>
        </w:rPr>
        <w:t xml:space="preserve">As the TDDS limit is pegged at US$ 71 </w:t>
      </w:r>
      <w:r w:rsidR="005039CC" w:rsidRPr="002552EB">
        <w:rPr>
          <w:rFonts w:ascii="Times New Roman" w:eastAsia="Times New Roman" w:hAnsi="Times New Roman" w:cs="Times New Roman"/>
          <w:color w:val="000000" w:themeColor="text1"/>
          <w:sz w:val="24"/>
          <w:szCs w:val="24"/>
        </w:rPr>
        <w:t>B</w:t>
      </w:r>
      <w:r w:rsidR="005B6597" w:rsidRPr="002552EB">
        <w:rPr>
          <w:rFonts w:ascii="Times New Roman" w:eastAsia="Times New Roman" w:hAnsi="Times New Roman" w:cs="Times New Roman"/>
          <w:color w:val="000000" w:themeColor="text1"/>
          <w:sz w:val="24"/>
          <w:szCs w:val="24"/>
        </w:rPr>
        <w:t xml:space="preserve">illion, </w:t>
      </w:r>
      <w:r w:rsidR="00E20B7D" w:rsidRPr="002552EB">
        <w:rPr>
          <w:rFonts w:ascii="Times New Roman" w:eastAsia="Times New Roman" w:hAnsi="Times New Roman" w:cs="Times New Roman"/>
          <w:color w:val="000000" w:themeColor="text1"/>
          <w:sz w:val="24"/>
          <w:szCs w:val="24"/>
        </w:rPr>
        <w:t>China w</w:t>
      </w:r>
      <w:r w:rsidR="005B6597" w:rsidRPr="002552EB">
        <w:rPr>
          <w:rFonts w:ascii="Times New Roman" w:eastAsia="Times New Roman" w:hAnsi="Times New Roman" w:cs="Times New Roman"/>
          <w:color w:val="000000" w:themeColor="text1"/>
          <w:sz w:val="24"/>
          <w:szCs w:val="24"/>
        </w:rPr>
        <w:t>ill have to forgo</w:t>
      </w:r>
      <w:r w:rsidR="00E20B7D" w:rsidRPr="002552EB">
        <w:rPr>
          <w:rFonts w:ascii="Times New Roman" w:eastAsia="Times New Roman" w:hAnsi="Times New Roman" w:cs="Times New Roman"/>
          <w:color w:val="000000" w:themeColor="text1"/>
          <w:sz w:val="24"/>
          <w:szCs w:val="24"/>
        </w:rPr>
        <w:t xml:space="preserve"> US$ 315 </w:t>
      </w:r>
      <w:r w:rsidR="005039CC" w:rsidRPr="002552EB">
        <w:rPr>
          <w:rFonts w:ascii="Times New Roman" w:eastAsia="Times New Roman" w:hAnsi="Times New Roman" w:cs="Times New Roman"/>
          <w:color w:val="000000" w:themeColor="text1"/>
          <w:sz w:val="24"/>
          <w:szCs w:val="24"/>
        </w:rPr>
        <w:t>B</w:t>
      </w:r>
      <w:r w:rsidR="00E20B7D" w:rsidRPr="002552EB">
        <w:rPr>
          <w:rFonts w:ascii="Times New Roman" w:eastAsia="Times New Roman" w:hAnsi="Times New Roman" w:cs="Times New Roman"/>
          <w:color w:val="000000" w:themeColor="text1"/>
          <w:sz w:val="24"/>
          <w:szCs w:val="24"/>
        </w:rPr>
        <w:t>illion of its entitlement to provide trade-distorting support to agriculture</w:t>
      </w:r>
      <w:r w:rsidR="005B6597" w:rsidRPr="002552EB">
        <w:rPr>
          <w:rFonts w:ascii="Times New Roman" w:eastAsia="Times New Roman" w:hAnsi="Times New Roman" w:cs="Times New Roman"/>
          <w:color w:val="000000" w:themeColor="text1"/>
          <w:sz w:val="24"/>
          <w:szCs w:val="24"/>
        </w:rPr>
        <w:t xml:space="preserve"> in 2030</w:t>
      </w:r>
      <w:r w:rsidR="00E20B7D" w:rsidRPr="002552EB">
        <w:rPr>
          <w:rFonts w:ascii="Times New Roman" w:eastAsia="Times New Roman" w:hAnsi="Times New Roman" w:cs="Times New Roman"/>
          <w:color w:val="000000" w:themeColor="text1"/>
          <w:sz w:val="24"/>
          <w:szCs w:val="24"/>
        </w:rPr>
        <w:t xml:space="preserve">. </w:t>
      </w:r>
      <w:r w:rsidR="005B6597" w:rsidRPr="002552EB">
        <w:rPr>
          <w:rFonts w:ascii="Times New Roman" w:eastAsia="Times New Roman" w:hAnsi="Times New Roman" w:cs="Times New Roman"/>
          <w:color w:val="000000" w:themeColor="text1"/>
          <w:sz w:val="24"/>
          <w:szCs w:val="24"/>
        </w:rPr>
        <w:t xml:space="preserve">As a percentage of the </w:t>
      </w:r>
      <w:r w:rsidR="006E485B" w:rsidRPr="002552EB">
        <w:rPr>
          <w:rFonts w:ascii="Times New Roman" w:eastAsia="Times New Roman" w:hAnsi="Times New Roman" w:cs="Times New Roman"/>
          <w:color w:val="000000" w:themeColor="text1"/>
          <w:sz w:val="24"/>
          <w:szCs w:val="24"/>
        </w:rPr>
        <w:t>v</w:t>
      </w:r>
      <w:r w:rsidR="005B6597" w:rsidRPr="002552EB">
        <w:rPr>
          <w:rFonts w:ascii="Times New Roman" w:eastAsia="Times New Roman" w:hAnsi="Times New Roman" w:cs="Times New Roman"/>
          <w:color w:val="000000" w:themeColor="text1"/>
          <w:sz w:val="24"/>
          <w:szCs w:val="24"/>
        </w:rPr>
        <w:t xml:space="preserve">alue of </w:t>
      </w:r>
      <w:r w:rsidR="006E485B" w:rsidRPr="002552EB">
        <w:rPr>
          <w:rFonts w:ascii="Times New Roman" w:eastAsia="Times New Roman" w:hAnsi="Times New Roman" w:cs="Times New Roman"/>
          <w:color w:val="000000" w:themeColor="text1"/>
          <w:sz w:val="24"/>
          <w:szCs w:val="24"/>
        </w:rPr>
        <w:t>p</w:t>
      </w:r>
      <w:r w:rsidR="005B6597" w:rsidRPr="002552EB">
        <w:rPr>
          <w:rFonts w:ascii="Times New Roman" w:eastAsia="Times New Roman" w:hAnsi="Times New Roman" w:cs="Times New Roman"/>
          <w:color w:val="000000" w:themeColor="text1"/>
          <w:sz w:val="24"/>
          <w:szCs w:val="24"/>
        </w:rPr>
        <w:t xml:space="preserve">roduction, the </w:t>
      </w:r>
      <w:r w:rsidR="00082D77" w:rsidRPr="002552EB">
        <w:rPr>
          <w:rFonts w:ascii="Times New Roman" w:eastAsia="Times New Roman" w:hAnsi="Times New Roman" w:cs="Times New Roman"/>
          <w:color w:val="000000" w:themeColor="text1"/>
          <w:sz w:val="24"/>
          <w:szCs w:val="24"/>
        </w:rPr>
        <w:t xml:space="preserve">new </w:t>
      </w:r>
      <w:r w:rsidR="005B6597" w:rsidRPr="002552EB">
        <w:rPr>
          <w:rFonts w:ascii="Times New Roman" w:eastAsia="Times New Roman" w:hAnsi="Times New Roman" w:cs="Times New Roman"/>
          <w:color w:val="000000" w:themeColor="text1"/>
          <w:sz w:val="24"/>
          <w:szCs w:val="24"/>
        </w:rPr>
        <w:t xml:space="preserve">TDDS limit </w:t>
      </w:r>
      <w:r w:rsidRPr="002552EB">
        <w:rPr>
          <w:rFonts w:ascii="Times New Roman" w:eastAsia="Times New Roman" w:hAnsi="Times New Roman" w:cs="Times New Roman"/>
          <w:color w:val="000000" w:themeColor="text1"/>
          <w:sz w:val="24"/>
          <w:szCs w:val="24"/>
        </w:rPr>
        <w:t xml:space="preserve">for China </w:t>
      </w:r>
      <w:r w:rsidR="005B6597" w:rsidRPr="002552EB">
        <w:rPr>
          <w:rFonts w:ascii="Times New Roman" w:eastAsia="Times New Roman" w:hAnsi="Times New Roman" w:cs="Times New Roman"/>
          <w:color w:val="000000" w:themeColor="text1"/>
          <w:sz w:val="24"/>
          <w:szCs w:val="24"/>
        </w:rPr>
        <w:t xml:space="preserve">would be 3.1 percent in comparison to 17 percent of combined </w:t>
      </w:r>
      <w:r w:rsidR="005B6597" w:rsidRPr="002552EB">
        <w:rPr>
          <w:rFonts w:ascii="Times New Roman" w:eastAsia="Times New Roman" w:hAnsi="Times New Roman" w:cs="Times New Roman"/>
          <w:i/>
          <w:iCs/>
          <w:color w:val="000000" w:themeColor="text1"/>
          <w:sz w:val="24"/>
          <w:szCs w:val="24"/>
        </w:rPr>
        <w:t>de minimis</w:t>
      </w:r>
      <w:r w:rsidR="005B6597" w:rsidRPr="002552EB">
        <w:rPr>
          <w:rFonts w:ascii="Times New Roman" w:eastAsia="Times New Roman" w:hAnsi="Times New Roman" w:cs="Times New Roman"/>
          <w:color w:val="000000" w:themeColor="text1"/>
          <w:sz w:val="24"/>
          <w:szCs w:val="24"/>
        </w:rPr>
        <w:t xml:space="preserve"> entitlement (figure</w:t>
      </w:r>
      <w:r w:rsidR="008465B0" w:rsidRPr="002552EB">
        <w:rPr>
          <w:rFonts w:ascii="Times New Roman" w:eastAsia="Times New Roman" w:hAnsi="Times New Roman" w:cs="Times New Roman"/>
          <w:color w:val="000000" w:themeColor="text1"/>
          <w:sz w:val="24"/>
          <w:szCs w:val="24"/>
        </w:rPr>
        <w:t xml:space="preserve"> 4</w:t>
      </w:r>
      <w:r w:rsidR="005B6597" w:rsidRPr="002552EB">
        <w:rPr>
          <w:rFonts w:ascii="Times New Roman" w:eastAsia="Times New Roman" w:hAnsi="Times New Roman" w:cs="Times New Roman"/>
          <w:color w:val="000000" w:themeColor="text1"/>
          <w:sz w:val="24"/>
          <w:szCs w:val="24"/>
        </w:rPr>
        <w:t xml:space="preserve">). </w:t>
      </w:r>
    </w:p>
    <w:p w14:paraId="21BD1A0E" w14:textId="77777777" w:rsidR="007E5E11" w:rsidRDefault="007E5E11" w:rsidP="002552EB">
      <w:pPr>
        <w:spacing w:after="0" w:line="360" w:lineRule="auto"/>
        <w:jc w:val="both"/>
        <w:rPr>
          <w:rFonts w:ascii="Times New Roman" w:eastAsia="Times New Roman" w:hAnsi="Times New Roman" w:cs="Times New Roman"/>
          <w:color w:val="000000" w:themeColor="text1"/>
          <w:sz w:val="24"/>
          <w:szCs w:val="24"/>
        </w:rPr>
      </w:pPr>
    </w:p>
    <w:p w14:paraId="63C92322" w14:textId="77777777" w:rsidR="007E5E11" w:rsidRPr="00801B78" w:rsidRDefault="007E5E11" w:rsidP="00801B78">
      <w:pPr>
        <w:spacing w:after="0" w:line="240" w:lineRule="auto"/>
        <w:contextualSpacing/>
        <w:jc w:val="both"/>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Table 5: Comparison of the projected TTDS entitlement in 2030 with the proposed limits</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276"/>
        <w:gridCol w:w="992"/>
        <w:gridCol w:w="1276"/>
        <w:gridCol w:w="1134"/>
        <w:gridCol w:w="1276"/>
        <w:gridCol w:w="1224"/>
      </w:tblGrid>
      <w:tr w:rsidR="007E5E11" w:rsidRPr="00801B78" w14:paraId="69EBEE5C" w14:textId="77777777" w:rsidTr="00BF4207">
        <w:trPr>
          <w:trHeight w:hRule="exact" w:val="618"/>
        </w:trPr>
        <w:tc>
          <w:tcPr>
            <w:tcW w:w="1838" w:type="dxa"/>
            <w:tcBorders>
              <w:top w:val="single" w:sz="4" w:space="0" w:color="000000"/>
              <w:left w:val="single" w:sz="4" w:space="0" w:color="000000"/>
              <w:bottom w:val="single" w:sz="4" w:space="0" w:color="000000"/>
              <w:right w:val="single" w:sz="4" w:space="0" w:color="000000"/>
            </w:tcBorders>
            <w:shd w:val="clear" w:color="auto" w:fill="auto"/>
          </w:tcPr>
          <w:p w14:paraId="3655B3AE" w14:textId="77777777" w:rsidR="007E5E11" w:rsidRPr="00801B78" w:rsidRDefault="007E5E11" w:rsidP="00801B78">
            <w:pPr>
              <w:spacing w:line="240" w:lineRule="auto"/>
              <w:contextualSpacing/>
              <w:jc w:val="both"/>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Members</w:t>
            </w:r>
          </w:p>
        </w:tc>
        <w:tc>
          <w:tcPr>
            <w:tcW w:w="2268" w:type="dxa"/>
            <w:gridSpan w:val="2"/>
            <w:tcBorders>
              <w:top w:val="single" w:sz="4" w:space="0" w:color="000000"/>
              <w:left w:val="nil"/>
              <w:bottom w:val="single" w:sz="4" w:space="0" w:color="000000"/>
              <w:right w:val="single" w:sz="4" w:space="0" w:color="000000"/>
            </w:tcBorders>
            <w:shd w:val="clear" w:color="auto" w:fill="auto"/>
          </w:tcPr>
          <w:p w14:paraId="10DAFC5F" w14:textId="77777777" w:rsidR="007E5E11" w:rsidRPr="00801B78" w:rsidRDefault="007E5E11" w:rsidP="00801B78">
            <w:pPr>
              <w:spacing w:line="240" w:lineRule="auto"/>
              <w:contextualSpacing/>
              <w:jc w:val="both"/>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*Projected TTDS entitlement in 2030</w:t>
            </w:r>
          </w:p>
        </w:tc>
        <w:tc>
          <w:tcPr>
            <w:tcW w:w="2410" w:type="dxa"/>
            <w:gridSpan w:val="2"/>
            <w:tcBorders>
              <w:top w:val="single" w:sz="4" w:space="0" w:color="000000"/>
              <w:left w:val="nil"/>
              <w:bottom w:val="single" w:sz="4" w:space="0" w:color="000000"/>
              <w:right w:val="single" w:sz="4" w:space="0" w:color="000000"/>
            </w:tcBorders>
            <w:shd w:val="clear" w:color="auto" w:fill="auto"/>
          </w:tcPr>
          <w:p w14:paraId="3C107A0A" w14:textId="77777777" w:rsidR="007E5E11" w:rsidRPr="00801B78" w:rsidRDefault="007E5E11" w:rsidP="00801B78">
            <w:pPr>
              <w:spacing w:line="240" w:lineRule="auto"/>
              <w:contextualSpacing/>
              <w:jc w:val="both"/>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 xml:space="preserve">Fixed TTDS entitlement limit </w:t>
            </w:r>
          </w:p>
        </w:tc>
        <w:tc>
          <w:tcPr>
            <w:tcW w:w="2500" w:type="dxa"/>
            <w:gridSpan w:val="2"/>
            <w:tcBorders>
              <w:top w:val="single" w:sz="4" w:space="0" w:color="000000"/>
              <w:left w:val="nil"/>
              <w:bottom w:val="single" w:sz="4" w:space="0" w:color="000000"/>
              <w:right w:val="single" w:sz="4" w:space="0" w:color="000000"/>
            </w:tcBorders>
            <w:shd w:val="clear" w:color="auto" w:fill="auto"/>
          </w:tcPr>
          <w:p w14:paraId="5F26ADF1" w14:textId="77777777" w:rsidR="007E5E11" w:rsidRPr="00801B78" w:rsidRDefault="007E5E11" w:rsidP="00801B78">
            <w:pPr>
              <w:spacing w:line="240" w:lineRule="auto"/>
              <w:contextualSpacing/>
              <w:jc w:val="both"/>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 xml:space="preserve">Impact on policy space </w:t>
            </w:r>
          </w:p>
        </w:tc>
      </w:tr>
      <w:tr w:rsidR="007E5E11" w:rsidRPr="00801B78" w14:paraId="7FA51639"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1B242A46" w14:textId="77777777" w:rsidR="007E5E11" w:rsidRPr="00801B78" w:rsidRDefault="007E5E11" w:rsidP="00801B78">
            <w:pPr>
              <w:spacing w:line="240" w:lineRule="auto"/>
              <w:contextualSpacing/>
              <w:jc w:val="both"/>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 </w:t>
            </w:r>
          </w:p>
        </w:tc>
        <w:tc>
          <w:tcPr>
            <w:tcW w:w="1276" w:type="dxa"/>
            <w:tcBorders>
              <w:top w:val="nil"/>
              <w:left w:val="nil"/>
              <w:bottom w:val="single" w:sz="4" w:space="0" w:color="000000"/>
              <w:right w:val="single" w:sz="4" w:space="0" w:color="000000"/>
            </w:tcBorders>
            <w:shd w:val="clear" w:color="auto" w:fill="auto"/>
          </w:tcPr>
          <w:p w14:paraId="557673A7"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Billion US$</w:t>
            </w:r>
          </w:p>
        </w:tc>
        <w:tc>
          <w:tcPr>
            <w:tcW w:w="992" w:type="dxa"/>
            <w:tcBorders>
              <w:top w:val="nil"/>
              <w:left w:val="nil"/>
              <w:bottom w:val="single" w:sz="4" w:space="0" w:color="000000"/>
              <w:right w:val="single" w:sz="4" w:space="0" w:color="000000"/>
            </w:tcBorders>
            <w:shd w:val="clear" w:color="auto" w:fill="auto"/>
          </w:tcPr>
          <w:p w14:paraId="3C3FBEA9"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 VoP</w:t>
            </w:r>
          </w:p>
        </w:tc>
        <w:tc>
          <w:tcPr>
            <w:tcW w:w="1276" w:type="dxa"/>
            <w:tcBorders>
              <w:top w:val="nil"/>
              <w:left w:val="nil"/>
              <w:bottom w:val="single" w:sz="4" w:space="0" w:color="000000"/>
              <w:right w:val="single" w:sz="4" w:space="0" w:color="000000"/>
            </w:tcBorders>
            <w:shd w:val="clear" w:color="auto" w:fill="auto"/>
          </w:tcPr>
          <w:p w14:paraId="74822FEF"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Billion US$</w:t>
            </w:r>
          </w:p>
        </w:tc>
        <w:tc>
          <w:tcPr>
            <w:tcW w:w="1134" w:type="dxa"/>
            <w:tcBorders>
              <w:top w:val="nil"/>
              <w:left w:val="nil"/>
              <w:bottom w:val="single" w:sz="4" w:space="0" w:color="000000"/>
              <w:right w:val="single" w:sz="4" w:space="0" w:color="000000"/>
            </w:tcBorders>
            <w:shd w:val="clear" w:color="auto" w:fill="auto"/>
          </w:tcPr>
          <w:p w14:paraId="4175DC29"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 of VoP</w:t>
            </w:r>
          </w:p>
        </w:tc>
        <w:tc>
          <w:tcPr>
            <w:tcW w:w="1276" w:type="dxa"/>
            <w:tcBorders>
              <w:top w:val="nil"/>
              <w:left w:val="nil"/>
              <w:bottom w:val="single" w:sz="4" w:space="0" w:color="000000"/>
              <w:right w:val="single" w:sz="4" w:space="0" w:color="000000"/>
            </w:tcBorders>
            <w:shd w:val="clear" w:color="auto" w:fill="auto"/>
          </w:tcPr>
          <w:p w14:paraId="618BDFF1"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Billion US$</w:t>
            </w:r>
          </w:p>
        </w:tc>
        <w:tc>
          <w:tcPr>
            <w:tcW w:w="1224" w:type="dxa"/>
            <w:tcBorders>
              <w:top w:val="nil"/>
              <w:left w:val="nil"/>
              <w:bottom w:val="single" w:sz="4" w:space="0" w:color="000000"/>
              <w:right w:val="single" w:sz="4" w:space="0" w:color="000000"/>
            </w:tcBorders>
            <w:shd w:val="clear" w:color="auto" w:fill="auto"/>
          </w:tcPr>
          <w:p w14:paraId="4E1B1297"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 of VoP</w:t>
            </w:r>
          </w:p>
        </w:tc>
      </w:tr>
      <w:tr w:rsidR="007E5E11" w:rsidRPr="00801B78" w14:paraId="3493D860"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7B529412" w14:textId="77777777" w:rsidR="007E5E11" w:rsidRPr="00801B78" w:rsidRDefault="007E5E11" w:rsidP="00801B78">
            <w:pPr>
              <w:spacing w:line="240" w:lineRule="auto"/>
              <w:contextualSpacing/>
              <w:jc w:val="center"/>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1</w:t>
            </w:r>
          </w:p>
        </w:tc>
        <w:tc>
          <w:tcPr>
            <w:tcW w:w="1276" w:type="dxa"/>
            <w:tcBorders>
              <w:top w:val="nil"/>
              <w:left w:val="nil"/>
              <w:bottom w:val="single" w:sz="4" w:space="0" w:color="000000"/>
              <w:right w:val="single" w:sz="4" w:space="0" w:color="000000"/>
            </w:tcBorders>
            <w:shd w:val="clear" w:color="auto" w:fill="auto"/>
          </w:tcPr>
          <w:p w14:paraId="2A07710C" w14:textId="77777777" w:rsidR="007E5E11" w:rsidRPr="00801B78" w:rsidRDefault="007E5E11" w:rsidP="00801B78">
            <w:pPr>
              <w:spacing w:line="240" w:lineRule="auto"/>
              <w:contextualSpacing/>
              <w:jc w:val="center"/>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2</w:t>
            </w:r>
          </w:p>
        </w:tc>
        <w:tc>
          <w:tcPr>
            <w:tcW w:w="992" w:type="dxa"/>
            <w:tcBorders>
              <w:top w:val="nil"/>
              <w:left w:val="nil"/>
              <w:bottom w:val="single" w:sz="4" w:space="0" w:color="000000"/>
              <w:right w:val="single" w:sz="4" w:space="0" w:color="000000"/>
            </w:tcBorders>
            <w:shd w:val="clear" w:color="auto" w:fill="auto"/>
          </w:tcPr>
          <w:p w14:paraId="7A88B299" w14:textId="77777777" w:rsidR="007E5E11" w:rsidRPr="00801B78" w:rsidRDefault="007E5E11" w:rsidP="00801B78">
            <w:pPr>
              <w:spacing w:line="240" w:lineRule="auto"/>
              <w:contextualSpacing/>
              <w:jc w:val="center"/>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3</w:t>
            </w:r>
          </w:p>
        </w:tc>
        <w:tc>
          <w:tcPr>
            <w:tcW w:w="1276" w:type="dxa"/>
            <w:tcBorders>
              <w:top w:val="nil"/>
              <w:left w:val="nil"/>
              <w:bottom w:val="single" w:sz="4" w:space="0" w:color="000000"/>
              <w:right w:val="single" w:sz="4" w:space="0" w:color="000000"/>
            </w:tcBorders>
            <w:shd w:val="clear" w:color="auto" w:fill="auto"/>
          </w:tcPr>
          <w:p w14:paraId="69387E3B" w14:textId="77777777" w:rsidR="007E5E11" w:rsidRPr="00801B78" w:rsidRDefault="007E5E11" w:rsidP="00801B78">
            <w:pPr>
              <w:spacing w:line="240" w:lineRule="auto"/>
              <w:contextualSpacing/>
              <w:jc w:val="center"/>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4</w:t>
            </w:r>
          </w:p>
        </w:tc>
        <w:tc>
          <w:tcPr>
            <w:tcW w:w="1134" w:type="dxa"/>
            <w:tcBorders>
              <w:top w:val="nil"/>
              <w:left w:val="nil"/>
              <w:bottom w:val="single" w:sz="4" w:space="0" w:color="000000"/>
              <w:right w:val="single" w:sz="4" w:space="0" w:color="000000"/>
            </w:tcBorders>
            <w:shd w:val="clear" w:color="auto" w:fill="auto"/>
          </w:tcPr>
          <w:p w14:paraId="374F97F1" w14:textId="77777777" w:rsidR="007E5E11" w:rsidRPr="00801B78" w:rsidRDefault="007E5E11" w:rsidP="00801B78">
            <w:pPr>
              <w:spacing w:line="240" w:lineRule="auto"/>
              <w:contextualSpacing/>
              <w:jc w:val="center"/>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5</w:t>
            </w:r>
          </w:p>
        </w:tc>
        <w:tc>
          <w:tcPr>
            <w:tcW w:w="1276" w:type="dxa"/>
            <w:tcBorders>
              <w:top w:val="nil"/>
              <w:left w:val="nil"/>
              <w:bottom w:val="single" w:sz="4" w:space="0" w:color="000000"/>
              <w:right w:val="single" w:sz="4" w:space="0" w:color="000000"/>
            </w:tcBorders>
            <w:shd w:val="clear" w:color="auto" w:fill="auto"/>
          </w:tcPr>
          <w:p w14:paraId="0384D1B8" w14:textId="77777777" w:rsidR="007E5E11" w:rsidRPr="00801B78" w:rsidRDefault="007E5E11" w:rsidP="00801B78">
            <w:pPr>
              <w:spacing w:line="240" w:lineRule="auto"/>
              <w:contextualSpacing/>
              <w:jc w:val="center"/>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6 = (2-4)</w:t>
            </w:r>
          </w:p>
        </w:tc>
        <w:tc>
          <w:tcPr>
            <w:tcW w:w="1224" w:type="dxa"/>
            <w:tcBorders>
              <w:top w:val="nil"/>
              <w:left w:val="nil"/>
              <w:bottom w:val="single" w:sz="4" w:space="0" w:color="000000"/>
              <w:right w:val="single" w:sz="4" w:space="0" w:color="000000"/>
            </w:tcBorders>
            <w:shd w:val="clear" w:color="auto" w:fill="auto"/>
          </w:tcPr>
          <w:p w14:paraId="196E392B" w14:textId="77777777" w:rsidR="007E5E11" w:rsidRPr="00801B78" w:rsidRDefault="007E5E11" w:rsidP="00801B78">
            <w:pPr>
              <w:spacing w:line="240" w:lineRule="auto"/>
              <w:contextualSpacing/>
              <w:jc w:val="center"/>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7 = (3-5)</w:t>
            </w:r>
          </w:p>
        </w:tc>
      </w:tr>
      <w:tr w:rsidR="007E5E11" w:rsidRPr="00801B78" w14:paraId="26D55D3B"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26E0A5BB" w14:textId="77777777" w:rsidR="007E5E11" w:rsidRPr="00801B78" w:rsidRDefault="007E5E11" w:rsidP="00801B78">
            <w:pPr>
              <w:spacing w:line="240" w:lineRule="auto"/>
              <w:contextualSpacing/>
              <w:jc w:val="both"/>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Developed Total</w:t>
            </w:r>
          </w:p>
        </w:tc>
        <w:tc>
          <w:tcPr>
            <w:tcW w:w="1276" w:type="dxa"/>
            <w:tcBorders>
              <w:top w:val="nil"/>
              <w:left w:val="nil"/>
              <w:bottom w:val="single" w:sz="4" w:space="0" w:color="000000"/>
              <w:right w:val="single" w:sz="4" w:space="0" w:color="000000"/>
            </w:tcBorders>
            <w:shd w:val="clear" w:color="auto" w:fill="auto"/>
          </w:tcPr>
          <w:p w14:paraId="1342BC05"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345</w:t>
            </w:r>
          </w:p>
        </w:tc>
        <w:tc>
          <w:tcPr>
            <w:tcW w:w="992" w:type="dxa"/>
            <w:tcBorders>
              <w:top w:val="nil"/>
              <w:left w:val="nil"/>
              <w:bottom w:val="single" w:sz="4" w:space="0" w:color="000000"/>
              <w:right w:val="single" w:sz="4" w:space="0" w:color="000000"/>
            </w:tcBorders>
            <w:shd w:val="clear" w:color="auto" w:fill="auto"/>
          </w:tcPr>
          <w:p w14:paraId="0233D16E"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18.2</w:t>
            </w:r>
          </w:p>
        </w:tc>
        <w:tc>
          <w:tcPr>
            <w:tcW w:w="1276" w:type="dxa"/>
            <w:tcBorders>
              <w:top w:val="nil"/>
              <w:left w:val="nil"/>
              <w:bottom w:val="single" w:sz="4" w:space="0" w:color="000000"/>
              <w:right w:val="single" w:sz="4" w:space="0" w:color="000000"/>
            </w:tcBorders>
            <w:shd w:val="clear" w:color="auto" w:fill="auto"/>
          </w:tcPr>
          <w:p w14:paraId="18F612A0"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129</w:t>
            </w:r>
          </w:p>
        </w:tc>
        <w:tc>
          <w:tcPr>
            <w:tcW w:w="1134" w:type="dxa"/>
            <w:tcBorders>
              <w:top w:val="nil"/>
              <w:left w:val="nil"/>
              <w:bottom w:val="single" w:sz="4" w:space="0" w:color="000000"/>
              <w:right w:val="single" w:sz="4" w:space="0" w:color="000000"/>
            </w:tcBorders>
            <w:shd w:val="clear" w:color="auto" w:fill="auto"/>
          </w:tcPr>
          <w:p w14:paraId="3335374E"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6.8</w:t>
            </w:r>
          </w:p>
        </w:tc>
        <w:tc>
          <w:tcPr>
            <w:tcW w:w="1276" w:type="dxa"/>
            <w:tcBorders>
              <w:top w:val="nil"/>
              <w:left w:val="nil"/>
              <w:bottom w:val="single" w:sz="4" w:space="0" w:color="000000"/>
              <w:right w:val="single" w:sz="4" w:space="0" w:color="000000"/>
            </w:tcBorders>
            <w:shd w:val="clear" w:color="auto" w:fill="auto"/>
          </w:tcPr>
          <w:p w14:paraId="1B977824"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216</w:t>
            </w:r>
          </w:p>
        </w:tc>
        <w:tc>
          <w:tcPr>
            <w:tcW w:w="1224" w:type="dxa"/>
            <w:tcBorders>
              <w:top w:val="nil"/>
              <w:left w:val="nil"/>
              <w:bottom w:val="single" w:sz="4" w:space="0" w:color="000000"/>
              <w:right w:val="single" w:sz="4" w:space="0" w:color="000000"/>
            </w:tcBorders>
            <w:shd w:val="clear" w:color="auto" w:fill="auto"/>
          </w:tcPr>
          <w:p w14:paraId="1CE8B786"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11.4</w:t>
            </w:r>
          </w:p>
        </w:tc>
      </w:tr>
      <w:tr w:rsidR="007E5E11" w:rsidRPr="00801B78" w14:paraId="1A04223A"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62667A32"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Australia</w:t>
            </w:r>
          </w:p>
        </w:tc>
        <w:tc>
          <w:tcPr>
            <w:tcW w:w="1276" w:type="dxa"/>
            <w:tcBorders>
              <w:top w:val="nil"/>
              <w:left w:val="nil"/>
              <w:bottom w:val="single" w:sz="4" w:space="0" w:color="000000"/>
              <w:right w:val="single" w:sz="4" w:space="0" w:color="000000"/>
            </w:tcBorders>
            <w:shd w:val="clear" w:color="auto" w:fill="auto"/>
          </w:tcPr>
          <w:p w14:paraId="106AC13C"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9</w:t>
            </w:r>
          </w:p>
        </w:tc>
        <w:tc>
          <w:tcPr>
            <w:tcW w:w="992" w:type="dxa"/>
            <w:tcBorders>
              <w:top w:val="nil"/>
              <w:left w:val="nil"/>
              <w:bottom w:val="single" w:sz="4" w:space="0" w:color="000000"/>
              <w:right w:val="single" w:sz="4" w:space="0" w:color="000000"/>
            </w:tcBorders>
            <w:shd w:val="clear" w:color="auto" w:fill="auto"/>
          </w:tcPr>
          <w:p w14:paraId="6A83D1F1"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10.4</w:t>
            </w:r>
          </w:p>
        </w:tc>
        <w:tc>
          <w:tcPr>
            <w:tcW w:w="1276" w:type="dxa"/>
            <w:tcBorders>
              <w:top w:val="nil"/>
              <w:left w:val="nil"/>
              <w:bottom w:val="single" w:sz="4" w:space="0" w:color="000000"/>
              <w:right w:val="single" w:sz="4" w:space="0" w:color="000000"/>
            </w:tcBorders>
            <w:shd w:val="clear" w:color="auto" w:fill="auto"/>
          </w:tcPr>
          <w:p w14:paraId="5E19FEC3"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2</w:t>
            </w:r>
          </w:p>
        </w:tc>
        <w:tc>
          <w:tcPr>
            <w:tcW w:w="1134" w:type="dxa"/>
            <w:tcBorders>
              <w:top w:val="nil"/>
              <w:left w:val="nil"/>
              <w:bottom w:val="single" w:sz="4" w:space="0" w:color="000000"/>
              <w:right w:val="single" w:sz="4" w:space="0" w:color="000000"/>
            </w:tcBorders>
            <w:shd w:val="clear" w:color="auto" w:fill="auto"/>
          </w:tcPr>
          <w:p w14:paraId="264F747B"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2.7</w:t>
            </w:r>
          </w:p>
        </w:tc>
        <w:tc>
          <w:tcPr>
            <w:tcW w:w="1276" w:type="dxa"/>
            <w:tcBorders>
              <w:top w:val="nil"/>
              <w:left w:val="nil"/>
              <w:bottom w:val="single" w:sz="4" w:space="0" w:color="000000"/>
              <w:right w:val="single" w:sz="4" w:space="0" w:color="000000"/>
            </w:tcBorders>
            <w:shd w:val="clear" w:color="auto" w:fill="auto"/>
          </w:tcPr>
          <w:p w14:paraId="51344CE7"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7</w:t>
            </w:r>
          </w:p>
        </w:tc>
        <w:tc>
          <w:tcPr>
            <w:tcW w:w="1224" w:type="dxa"/>
            <w:tcBorders>
              <w:top w:val="nil"/>
              <w:left w:val="nil"/>
              <w:bottom w:val="single" w:sz="4" w:space="0" w:color="000000"/>
              <w:right w:val="single" w:sz="4" w:space="0" w:color="000000"/>
            </w:tcBorders>
            <w:shd w:val="clear" w:color="auto" w:fill="auto"/>
          </w:tcPr>
          <w:p w14:paraId="5E7718ED"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7.7</w:t>
            </w:r>
          </w:p>
        </w:tc>
      </w:tr>
      <w:tr w:rsidR="007E5E11" w:rsidRPr="00801B78" w14:paraId="7AA5014C"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2BA1D4A7"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Canada</w:t>
            </w:r>
          </w:p>
        </w:tc>
        <w:tc>
          <w:tcPr>
            <w:tcW w:w="1276" w:type="dxa"/>
            <w:tcBorders>
              <w:top w:val="nil"/>
              <w:left w:val="nil"/>
              <w:bottom w:val="single" w:sz="4" w:space="0" w:color="000000"/>
              <w:right w:val="single" w:sz="4" w:space="0" w:color="000000"/>
            </w:tcBorders>
            <w:shd w:val="clear" w:color="auto" w:fill="auto"/>
          </w:tcPr>
          <w:p w14:paraId="7A67CC60"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13</w:t>
            </w:r>
          </w:p>
        </w:tc>
        <w:tc>
          <w:tcPr>
            <w:tcW w:w="992" w:type="dxa"/>
            <w:tcBorders>
              <w:top w:val="nil"/>
              <w:left w:val="nil"/>
              <w:bottom w:val="single" w:sz="4" w:space="0" w:color="000000"/>
              <w:right w:val="single" w:sz="4" w:space="0" w:color="000000"/>
            </w:tcBorders>
            <w:shd w:val="clear" w:color="auto" w:fill="auto"/>
          </w:tcPr>
          <w:p w14:paraId="7B188A8A"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13.4</w:t>
            </w:r>
          </w:p>
        </w:tc>
        <w:tc>
          <w:tcPr>
            <w:tcW w:w="1276" w:type="dxa"/>
            <w:tcBorders>
              <w:top w:val="nil"/>
              <w:left w:val="nil"/>
              <w:bottom w:val="single" w:sz="4" w:space="0" w:color="000000"/>
              <w:right w:val="single" w:sz="4" w:space="0" w:color="000000"/>
            </w:tcBorders>
            <w:shd w:val="clear" w:color="auto" w:fill="auto"/>
          </w:tcPr>
          <w:p w14:paraId="7787C026"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4</w:t>
            </w:r>
          </w:p>
        </w:tc>
        <w:tc>
          <w:tcPr>
            <w:tcW w:w="1134" w:type="dxa"/>
            <w:tcBorders>
              <w:top w:val="nil"/>
              <w:left w:val="nil"/>
              <w:bottom w:val="single" w:sz="4" w:space="0" w:color="000000"/>
              <w:right w:val="single" w:sz="4" w:space="0" w:color="000000"/>
            </w:tcBorders>
            <w:shd w:val="clear" w:color="auto" w:fill="auto"/>
          </w:tcPr>
          <w:p w14:paraId="2DE360ED"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4.1</w:t>
            </w:r>
          </w:p>
        </w:tc>
        <w:tc>
          <w:tcPr>
            <w:tcW w:w="1276" w:type="dxa"/>
            <w:tcBorders>
              <w:top w:val="nil"/>
              <w:left w:val="nil"/>
              <w:bottom w:val="single" w:sz="4" w:space="0" w:color="000000"/>
              <w:right w:val="single" w:sz="4" w:space="0" w:color="000000"/>
            </w:tcBorders>
            <w:shd w:val="clear" w:color="auto" w:fill="auto"/>
          </w:tcPr>
          <w:p w14:paraId="070A25F7"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9</w:t>
            </w:r>
          </w:p>
        </w:tc>
        <w:tc>
          <w:tcPr>
            <w:tcW w:w="1224" w:type="dxa"/>
            <w:tcBorders>
              <w:top w:val="nil"/>
              <w:left w:val="nil"/>
              <w:bottom w:val="single" w:sz="4" w:space="0" w:color="000000"/>
              <w:right w:val="single" w:sz="4" w:space="0" w:color="000000"/>
            </w:tcBorders>
            <w:shd w:val="clear" w:color="auto" w:fill="auto"/>
          </w:tcPr>
          <w:p w14:paraId="2B5F1B3F"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9.3</w:t>
            </w:r>
          </w:p>
        </w:tc>
      </w:tr>
      <w:tr w:rsidR="007E5E11" w:rsidRPr="00801B78" w14:paraId="5F803F40"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272FB067"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 xml:space="preserve">EU </w:t>
            </w:r>
          </w:p>
        </w:tc>
        <w:tc>
          <w:tcPr>
            <w:tcW w:w="1276" w:type="dxa"/>
            <w:tcBorders>
              <w:top w:val="nil"/>
              <w:left w:val="nil"/>
              <w:bottom w:val="single" w:sz="4" w:space="0" w:color="000000"/>
              <w:right w:val="single" w:sz="4" w:space="0" w:color="000000"/>
            </w:tcBorders>
            <w:shd w:val="clear" w:color="auto" w:fill="auto"/>
          </w:tcPr>
          <w:p w14:paraId="6B8F398E"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156</w:t>
            </w:r>
          </w:p>
        </w:tc>
        <w:tc>
          <w:tcPr>
            <w:tcW w:w="992" w:type="dxa"/>
            <w:tcBorders>
              <w:top w:val="nil"/>
              <w:left w:val="nil"/>
              <w:bottom w:val="single" w:sz="4" w:space="0" w:color="000000"/>
              <w:right w:val="single" w:sz="4" w:space="0" w:color="000000"/>
            </w:tcBorders>
            <w:shd w:val="clear" w:color="auto" w:fill="auto"/>
          </w:tcPr>
          <w:p w14:paraId="709FEA21"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22.0</w:t>
            </w:r>
          </w:p>
        </w:tc>
        <w:tc>
          <w:tcPr>
            <w:tcW w:w="1276" w:type="dxa"/>
            <w:tcBorders>
              <w:top w:val="nil"/>
              <w:left w:val="nil"/>
              <w:bottom w:val="single" w:sz="4" w:space="0" w:color="000000"/>
              <w:right w:val="single" w:sz="4" w:space="0" w:color="000000"/>
            </w:tcBorders>
            <w:shd w:val="clear" w:color="auto" w:fill="auto"/>
          </w:tcPr>
          <w:p w14:paraId="41E5E368"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62</w:t>
            </w:r>
          </w:p>
        </w:tc>
        <w:tc>
          <w:tcPr>
            <w:tcW w:w="1134" w:type="dxa"/>
            <w:tcBorders>
              <w:top w:val="nil"/>
              <w:left w:val="nil"/>
              <w:bottom w:val="single" w:sz="4" w:space="0" w:color="000000"/>
              <w:right w:val="single" w:sz="4" w:space="0" w:color="000000"/>
            </w:tcBorders>
            <w:shd w:val="clear" w:color="auto" w:fill="auto"/>
          </w:tcPr>
          <w:p w14:paraId="2B51EA85"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8.8</w:t>
            </w:r>
          </w:p>
        </w:tc>
        <w:tc>
          <w:tcPr>
            <w:tcW w:w="1276" w:type="dxa"/>
            <w:tcBorders>
              <w:top w:val="nil"/>
              <w:left w:val="nil"/>
              <w:bottom w:val="single" w:sz="4" w:space="0" w:color="000000"/>
              <w:right w:val="single" w:sz="4" w:space="0" w:color="000000"/>
            </w:tcBorders>
            <w:shd w:val="clear" w:color="auto" w:fill="auto"/>
          </w:tcPr>
          <w:p w14:paraId="009EACB6"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94</w:t>
            </w:r>
          </w:p>
        </w:tc>
        <w:tc>
          <w:tcPr>
            <w:tcW w:w="1224" w:type="dxa"/>
            <w:tcBorders>
              <w:top w:val="nil"/>
              <w:left w:val="nil"/>
              <w:bottom w:val="single" w:sz="4" w:space="0" w:color="000000"/>
              <w:right w:val="single" w:sz="4" w:space="0" w:color="000000"/>
            </w:tcBorders>
            <w:shd w:val="clear" w:color="auto" w:fill="auto"/>
          </w:tcPr>
          <w:p w14:paraId="62548507"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13.3</w:t>
            </w:r>
          </w:p>
        </w:tc>
      </w:tr>
      <w:tr w:rsidR="007E5E11" w:rsidRPr="00801B78" w14:paraId="333491CE"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56075A28"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Norway</w:t>
            </w:r>
          </w:p>
        </w:tc>
        <w:tc>
          <w:tcPr>
            <w:tcW w:w="1276" w:type="dxa"/>
            <w:tcBorders>
              <w:top w:val="nil"/>
              <w:left w:val="nil"/>
              <w:bottom w:val="single" w:sz="4" w:space="0" w:color="000000"/>
              <w:right w:val="single" w:sz="4" w:space="0" w:color="000000"/>
            </w:tcBorders>
            <w:shd w:val="clear" w:color="auto" w:fill="auto"/>
          </w:tcPr>
          <w:p w14:paraId="731A9D8D"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2</w:t>
            </w:r>
          </w:p>
        </w:tc>
        <w:tc>
          <w:tcPr>
            <w:tcW w:w="992" w:type="dxa"/>
            <w:tcBorders>
              <w:top w:val="nil"/>
              <w:left w:val="nil"/>
              <w:bottom w:val="single" w:sz="4" w:space="0" w:color="000000"/>
              <w:right w:val="single" w:sz="4" w:space="0" w:color="000000"/>
            </w:tcBorders>
            <w:shd w:val="clear" w:color="auto" w:fill="auto"/>
          </w:tcPr>
          <w:p w14:paraId="5F1B0F13"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37.1</w:t>
            </w:r>
          </w:p>
        </w:tc>
        <w:tc>
          <w:tcPr>
            <w:tcW w:w="1276" w:type="dxa"/>
            <w:tcBorders>
              <w:top w:val="nil"/>
              <w:left w:val="nil"/>
              <w:bottom w:val="single" w:sz="4" w:space="0" w:color="000000"/>
              <w:right w:val="single" w:sz="4" w:space="0" w:color="000000"/>
            </w:tcBorders>
            <w:shd w:val="clear" w:color="auto" w:fill="auto"/>
          </w:tcPr>
          <w:p w14:paraId="2C1E38A0"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w:t>
            </w:r>
          </w:p>
        </w:tc>
        <w:tc>
          <w:tcPr>
            <w:tcW w:w="1134" w:type="dxa"/>
            <w:tcBorders>
              <w:top w:val="nil"/>
              <w:left w:val="nil"/>
              <w:bottom w:val="single" w:sz="4" w:space="0" w:color="000000"/>
              <w:right w:val="single" w:sz="4" w:space="0" w:color="000000"/>
            </w:tcBorders>
            <w:shd w:val="clear" w:color="auto" w:fill="auto"/>
          </w:tcPr>
          <w:p w14:paraId="1E6F1B1C"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16.5</w:t>
            </w:r>
          </w:p>
        </w:tc>
        <w:tc>
          <w:tcPr>
            <w:tcW w:w="1276" w:type="dxa"/>
            <w:tcBorders>
              <w:top w:val="nil"/>
              <w:left w:val="nil"/>
              <w:bottom w:val="single" w:sz="4" w:space="0" w:color="000000"/>
              <w:right w:val="single" w:sz="4" w:space="0" w:color="000000"/>
            </w:tcBorders>
            <w:shd w:val="clear" w:color="auto" w:fill="auto"/>
          </w:tcPr>
          <w:p w14:paraId="276FB181"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w:t>
            </w:r>
          </w:p>
        </w:tc>
        <w:tc>
          <w:tcPr>
            <w:tcW w:w="1224" w:type="dxa"/>
            <w:tcBorders>
              <w:top w:val="nil"/>
              <w:left w:val="nil"/>
              <w:bottom w:val="single" w:sz="4" w:space="0" w:color="000000"/>
              <w:right w:val="single" w:sz="4" w:space="0" w:color="000000"/>
            </w:tcBorders>
            <w:shd w:val="clear" w:color="auto" w:fill="auto"/>
          </w:tcPr>
          <w:p w14:paraId="02F95B6A"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20.6</w:t>
            </w:r>
          </w:p>
        </w:tc>
      </w:tr>
      <w:tr w:rsidR="007E5E11" w:rsidRPr="00801B78" w14:paraId="0E68CA76"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02CA4A55"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US</w:t>
            </w:r>
          </w:p>
        </w:tc>
        <w:tc>
          <w:tcPr>
            <w:tcW w:w="1276" w:type="dxa"/>
            <w:tcBorders>
              <w:top w:val="nil"/>
              <w:left w:val="nil"/>
              <w:bottom w:val="single" w:sz="4" w:space="0" w:color="000000"/>
              <w:right w:val="single" w:sz="4" w:space="0" w:color="000000"/>
            </w:tcBorders>
            <w:shd w:val="clear" w:color="auto" w:fill="auto"/>
          </w:tcPr>
          <w:p w14:paraId="259255BA"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78</w:t>
            </w:r>
          </w:p>
        </w:tc>
        <w:tc>
          <w:tcPr>
            <w:tcW w:w="992" w:type="dxa"/>
            <w:tcBorders>
              <w:top w:val="nil"/>
              <w:left w:val="nil"/>
              <w:bottom w:val="single" w:sz="4" w:space="0" w:color="000000"/>
              <w:right w:val="single" w:sz="4" w:space="0" w:color="000000"/>
            </w:tcBorders>
            <w:shd w:val="clear" w:color="auto" w:fill="auto"/>
          </w:tcPr>
          <w:p w14:paraId="79EF98E9"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13.2</w:t>
            </w:r>
          </w:p>
        </w:tc>
        <w:tc>
          <w:tcPr>
            <w:tcW w:w="1276" w:type="dxa"/>
            <w:tcBorders>
              <w:top w:val="nil"/>
              <w:left w:val="nil"/>
              <w:bottom w:val="single" w:sz="4" w:space="0" w:color="000000"/>
              <w:right w:val="single" w:sz="4" w:space="0" w:color="000000"/>
            </w:tcBorders>
            <w:shd w:val="clear" w:color="auto" w:fill="auto"/>
          </w:tcPr>
          <w:p w14:paraId="77CA1967"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26</w:t>
            </w:r>
          </w:p>
        </w:tc>
        <w:tc>
          <w:tcPr>
            <w:tcW w:w="1134" w:type="dxa"/>
            <w:tcBorders>
              <w:top w:val="nil"/>
              <w:left w:val="nil"/>
              <w:bottom w:val="single" w:sz="4" w:space="0" w:color="000000"/>
              <w:right w:val="single" w:sz="4" w:space="0" w:color="000000"/>
            </w:tcBorders>
            <w:shd w:val="clear" w:color="auto" w:fill="auto"/>
          </w:tcPr>
          <w:p w14:paraId="1F3D80E0"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4.5</w:t>
            </w:r>
          </w:p>
        </w:tc>
        <w:tc>
          <w:tcPr>
            <w:tcW w:w="1276" w:type="dxa"/>
            <w:tcBorders>
              <w:top w:val="nil"/>
              <w:left w:val="nil"/>
              <w:bottom w:val="single" w:sz="4" w:space="0" w:color="000000"/>
              <w:right w:val="single" w:sz="4" w:space="0" w:color="000000"/>
            </w:tcBorders>
            <w:shd w:val="clear" w:color="auto" w:fill="auto"/>
          </w:tcPr>
          <w:p w14:paraId="1585DFFA"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52</w:t>
            </w:r>
          </w:p>
        </w:tc>
        <w:tc>
          <w:tcPr>
            <w:tcW w:w="1224" w:type="dxa"/>
            <w:tcBorders>
              <w:top w:val="nil"/>
              <w:left w:val="nil"/>
              <w:bottom w:val="single" w:sz="4" w:space="0" w:color="000000"/>
              <w:right w:val="single" w:sz="4" w:space="0" w:color="000000"/>
            </w:tcBorders>
            <w:shd w:val="clear" w:color="auto" w:fill="auto"/>
          </w:tcPr>
          <w:p w14:paraId="4BEE420D"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8.8</w:t>
            </w:r>
          </w:p>
        </w:tc>
      </w:tr>
      <w:tr w:rsidR="007E5E11" w:rsidRPr="00801B78" w14:paraId="2CF4A642"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652BCD42" w14:textId="77777777" w:rsidR="007E5E11" w:rsidRPr="00801B78" w:rsidRDefault="007E5E11" w:rsidP="00801B78">
            <w:pPr>
              <w:spacing w:line="240" w:lineRule="auto"/>
              <w:contextualSpacing/>
              <w:jc w:val="both"/>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Developing Total</w:t>
            </w:r>
          </w:p>
        </w:tc>
        <w:tc>
          <w:tcPr>
            <w:tcW w:w="1276" w:type="dxa"/>
            <w:tcBorders>
              <w:top w:val="nil"/>
              <w:left w:val="nil"/>
              <w:bottom w:val="single" w:sz="4" w:space="0" w:color="000000"/>
              <w:right w:val="single" w:sz="4" w:space="0" w:color="000000"/>
            </w:tcBorders>
            <w:shd w:val="clear" w:color="auto" w:fill="auto"/>
          </w:tcPr>
          <w:p w14:paraId="5C6E4640"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1041</w:t>
            </w:r>
          </w:p>
        </w:tc>
        <w:tc>
          <w:tcPr>
            <w:tcW w:w="992" w:type="dxa"/>
            <w:tcBorders>
              <w:top w:val="nil"/>
              <w:left w:val="nil"/>
              <w:bottom w:val="single" w:sz="4" w:space="0" w:color="000000"/>
              <w:right w:val="single" w:sz="4" w:space="0" w:color="000000"/>
            </w:tcBorders>
            <w:shd w:val="clear" w:color="auto" w:fill="auto"/>
          </w:tcPr>
          <w:p w14:paraId="0D89E6F6"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18.9</w:t>
            </w:r>
          </w:p>
        </w:tc>
        <w:tc>
          <w:tcPr>
            <w:tcW w:w="1276" w:type="dxa"/>
            <w:tcBorders>
              <w:top w:val="nil"/>
              <w:left w:val="nil"/>
              <w:bottom w:val="single" w:sz="4" w:space="0" w:color="000000"/>
              <w:right w:val="single" w:sz="4" w:space="0" w:color="000000"/>
            </w:tcBorders>
            <w:shd w:val="clear" w:color="auto" w:fill="auto"/>
          </w:tcPr>
          <w:p w14:paraId="7E6E1972"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211</w:t>
            </w:r>
          </w:p>
        </w:tc>
        <w:tc>
          <w:tcPr>
            <w:tcW w:w="1134" w:type="dxa"/>
            <w:tcBorders>
              <w:top w:val="nil"/>
              <w:left w:val="nil"/>
              <w:bottom w:val="single" w:sz="4" w:space="0" w:color="000000"/>
              <w:right w:val="single" w:sz="4" w:space="0" w:color="000000"/>
            </w:tcBorders>
            <w:shd w:val="clear" w:color="auto" w:fill="auto"/>
          </w:tcPr>
          <w:p w14:paraId="60D31F73"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3.8</w:t>
            </w:r>
          </w:p>
        </w:tc>
        <w:tc>
          <w:tcPr>
            <w:tcW w:w="1276" w:type="dxa"/>
            <w:tcBorders>
              <w:top w:val="nil"/>
              <w:left w:val="nil"/>
              <w:bottom w:val="single" w:sz="4" w:space="0" w:color="000000"/>
              <w:right w:val="single" w:sz="4" w:space="0" w:color="000000"/>
            </w:tcBorders>
            <w:shd w:val="clear" w:color="auto" w:fill="auto"/>
          </w:tcPr>
          <w:p w14:paraId="1E6A747E"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830</w:t>
            </w:r>
          </w:p>
        </w:tc>
        <w:tc>
          <w:tcPr>
            <w:tcW w:w="1224" w:type="dxa"/>
            <w:tcBorders>
              <w:top w:val="nil"/>
              <w:left w:val="nil"/>
              <w:bottom w:val="single" w:sz="4" w:space="0" w:color="000000"/>
              <w:right w:val="single" w:sz="4" w:space="0" w:color="000000"/>
            </w:tcBorders>
            <w:shd w:val="clear" w:color="auto" w:fill="auto"/>
          </w:tcPr>
          <w:p w14:paraId="7503C6F5"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15.1</w:t>
            </w:r>
          </w:p>
        </w:tc>
      </w:tr>
      <w:tr w:rsidR="007E5E11" w:rsidRPr="00801B78" w14:paraId="19DCA0DA"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409AF231"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Brazil</w:t>
            </w:r>
          </w:p>
        </w:tc>
        <w:tc>
          <w:tcPr>
            <w:tcW w:w="1276" w:type="dxa"/>
            <w:tcBorders>
              <w:top w:val="nil"/>
              <w:left w:val="nil"/>
              <w:bottom w:val="single" w:sz="4" w:space="0" w:color="000000"/>
              <w:right w:val="single" w:sz="4" w:space="0" w:color="000000"/>
            </w:tcBorders>
            <w:shd w:val="clear" w:color="auto" w:fill="auto"/>
          </w:tcPr>
          <w:p w14:paraId="134A0ED5"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62</w:t>
            </w:r>
          </w:p>
        </w:tc>
        <w:tc>
          <w:tcPr>
            <w:tcW w:w="992" w:type="dxa"/>
            <w:tcBorders>
              <w:top w:val="nil"/>
              <w:left w:val="nil"/>
              <w:bottom w:val="single" w:sz="4" w:space="0" w:color="000000"/>
              <w:right w:val="single" w:sz="4" w:space="0" w:color="000000"/>
            </w:tcBorders>
            <w:shd w:val="clear" w:color="auto" w:fill="auto"/>
          </w:tcPr>
          <w:p w14:paraId="1B27AA5E"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20.3</w:t>
            </w:r>
          </w:p>
        </w:tc>
        <w:tc>
          <w:tcPr>
            <w:tcW w:w="1276" w:type="dxa"/>
            <w:tcBorders>
              <w:top w:val="nil"/>
              <w:left w:val="nil"/>
              <w:bottom w:val="single" w:sz="4" w:space="0" w:color="000000"/>
              <w:right w:val="single" w:sz="4" w:space="0" w:color="000000"/>
            </w:tcBorders>
            <w:shd w:val="clear" w:color="auto" w:fill="auto"/>
          </w:tcPr>
          <w:p w14:paraId="5BBF9956"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14</w:t>
            </w:r>
          </w:p>
        </w:tc>
        <w:tc>
          <w:tcPr>
            <w:tcW w:w="1134" w:type="dxa"/>
            <w:tcBorders>
              <w:top w:val="nil"/>
              <w:left w:val="nil"/>
              <w:bottom w:val="single" w:sz="4" w:space="0" w:color="000000"/>
              <w:right w:val="single" w:sz="4" w:space="0" w:color="000000"/>
            </w:tcBorders>
            <w:shd w:val="clear" w:color="auto" w:fill="auto"/>
          </w:tcPr>
          <w:p w14:paraId="606A5321"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4.7</w:t>
            </w:r>
          </w:p>
        </w:tc>
        <w:tc>
          <w:tcPr>
            <w:tcW w:w="1276" w:type="dxa"/>
            <w:tcBorders>
              <w:top w:val="nil"/>
              <w:left w:val="nil"/>
              <w:bottom w:val="single" w:sz="4" w:space="0" w:color="000000"/>
              <w:right w:val="single" w:sz="4" w:space="0" w:color="000000"/>
            </w:tcBorders>
            <w:shd w:val="clear" w:color="auto" w:fill="auto"/>
          </w:tcPr>
          <w:p w14:paraId="6A03FF7D"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47</w:t>
            </w:r>
          </w:p>
        </w:tc>
        <w:tc>
          <w:tcPr>
            <w:tcW w:w="1224" w:type="dxa"/>
            <w:tcBorders>
              <w:top w:val="nil"/>
              <w:left w:val="nil"/>
              <w:bottom w:val="single" w:sz="4" w:space="0" w:color="000000"/>
              <w:right w:val="single" w:sz="4" w:space="0" w:color="000000"/>
            </w:tcBorders>
            <w:shd w:val="clear" w:color="auto" w:fill="auto"/>
          </w:tcPr>
          <w:p w14:paraId="366D4AD5"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15.6</w:t>
            </w:r>
          </w:p>
        </w:tc>
      </w:tr>
      <w:tr w:rsidR="007E5E11" w:rsidRPr="00801B78" w14:paraId="3286E1D4"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40138C02"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China</w:t>
            </w:r>
          </w:p>
        </w:tc>
        <w:tc>
          <w:tcPr>
            <w:tcW w:w="1276" w:type="dxa"/>
            <w:tcBorders>
              <w:top w:val="nil"/>
              <w:left w:val="nil"/>
              <w:bottom w:val="single" w:sz="4" w:space="0" w:color="000000"/>
              <w:right w:val="single" w:sz="4" w:space="0" w:color="000000"/>
            </w:tcBorders>
            <w:shd w:val="clear" w:color="auto" w:fill="auto"/>
          </w:tcPr>
          <w:p w14:paraId="48EF0723"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386</w:t>
            </w:r>
          </w:p>
        </w:tc>
        <w:tc>
          <w:tcPr>
            <w:tcW w:w="992" w:type="dxa"/>
            <w:tcBorders>
              <w:top w:val="nil"/>
              <w:left w:val="nil"/>
              <w:bottom w:val="single" w:sz="4" w:space="0" w:color="000000"/>
              <w:right w:val="single" w:sz="4" w:space="0" w:color="000000"/>
            </w:tcBorders>
            <w:shd w:val="clear" w:color="auto" w:fill="auto"/>
          </w:tcPr>
          <w:p w14:paraId="14F19E76"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17.0</w:t>
            </w:r>
          </w:p>
        </w:tc>
        <w:tc>
          <w:tcPr>
            <w:tcW w:w="1276" w:type="dxa"/>
            <w:tcBorders>
              <w:top w:val="nil"/>
              <w:left w:val="nil"/>
              <w:bottom w:val="single" w:sz="4" w:space="0" w:color="000000"/>
              <w:right w:val="single" w:sz="4" w:space="0" w:color="000000"/>
            </w:tcBorders>
            <w:shd w:val="clear" w:color="auto" w:fill="auto"/>
          </w:tcPr>
          <w:p w14:paraId="1458D90E"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71</w:t>
            </w:r>
          </w:p>
        </w:tc>
        <w:tc>
          <w:tcPr>
            <w:tcW w:w="1134" w:type="dxa"/>
            <w:tcBorders>
              <w:top w:val="nil"/>
              <w:left w:val="nil"/>
              <w:bottom w:val="single" w:sz="4" w:space="0" w:color="000000"/>
              <w:right w:val="single" w:sz="4" w:space="0" w:color="000000"/>
            </w:tcBorders>
            <w:shd w:val="clear" w:color="auto" w:fill="auto"/>
          </w:tcPr>
          <w:p w14:paraId="2F8BACCD"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3.1</w:t>
            </w:r>
          </w:p>
        </w:tc>
        <w:tc>
          <w:tcPr>
            <w:tcW w:w="1276" w:type="dxa"/>
            <w:tcBorders>
              <w:top w:val="nil"/>
              <w:left w:val="nil"/>
              <w:bottom w:val="single" w:sz="4" w:space="0" w:color="000000"/>
              <w:right w:val="single" w:sz="4" w:space="0" w:color="000000"/>
            </w:tcBorders>
            <w:shd w:val="clear" w:color="auto" w:fill="auto"/>
          </w:tcPr>
          <w:p w14:paraId="1C710F97"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315</w:t>
            </w:r>
          </w:p>
        </w:tc>
        <w:tc>
          <w:tcPr>
            <w:tcW w:w="1224" w:type="dxa"/>
            <w:tcBorders>
              <w:top w:val="nil"/>
              <w:left w:val="nil"/>
              <w:bottom w:val="single" w:sz="4" w:space="0" w:color="000000"/>
              <w:right w:val="single" w:sz="4" w:space="0" w:color="000000"/>
            </w:tcBorders>
            <w:shd w:val="clear" w:color="auto" w:fill="auto"/>
          </w:tcPr>
          <w:p w14:paraId="386FC289"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13.9</w:t>
            </w:r>
          </w:p>
        </w:tc>
      </w:tr>
      <w:tr w:rsidR="007E5E11" w:rsidRPr="00801B78" w14:paraId="218102D5"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7B92569B"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India</w:t>
            </w:r>
          </w:p>
        </w:tc>
        <w:tc>
          <w:tcPr>
            <w:tcW w:w="1276" w:type="dxa"/>
            <w:tcBorders>
              <w:top w:val="nil"/>
              <w:left w:val="nil"/>
              <w:bottom w:val="single" w:sz="4" w:space="0" w:color="000000"/>
              <w:right w:val="single" w:sz="4" w:space="0" w:color="000000"/>
            </w:tcBorders>
            <w:shd w:val="clear" w:color="auto" w:fill="auto"/>
          </w:tcPr>
          <w:p w14:paraId="38117B49"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224</w:t>
            </w:r>
          </w:p>
        </w:tc>
        <w:tc>
          <w:tcPr>
            <w:tcW w:w="992" w:type="dxa"/>
            <w:tcBorders>
              <w:top w:val="nil"/>
              <w:left w:val="nil"/>
              <w:bottom w:val="single" w:sz="4" w:space="0" w:color="000000"/>
              <w:right w:val="single" w:sz="4" w:space="0" w:color="000000"/>
            </w:tcBorders>
            <w:shd w:val="clear" w:color="auto" w:fill="auto"/>
          </w:tcPr>
          <w:p w14:paraId="11B3667B"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20.0</w:t>
            </w:r>
          </w:p>
        </w:tc>
        <w:tc>
          <w:tcPr>
            <w:tcW w:w="1276" w:type="dxa"/>
            <w:tcBorders>
              <w:top w:val="nil"/>
              <w:left w:val="nil"/>
              <w:bottom w:val="single" w:sz="4" w:space="0" w:color="000000"/>
              <w:right w:val="single" w:sz="4" w:space="0" w:color="000000"/>
            </w:tcBorders>
            <w:shd w:val="clear" w:color="auto" w:fill="auto"/>
          </w:tcPr>
          <w:p w14:paraId="2A6F30AF"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43</w:t>
            </w:r>
          </w:p>
        </w:tc>
        <w:tc>
          <w:tcPr>
            <w:tcW w:w="1134" w:type="dxa"/>
            <w:tcBorders>
              <w:top w:val="nil"/>
              <w:left w:val="nil"/>
              <w:bottom w:val="single" w:sz="4" w:space="0" w:color="000000"/>
              <w:right w:val="single" w:sz="4" w:space="0" w:color="000000"/>
            </w:tcBorders>
            <w:shd w:val="clear" w:color="auto" w:fill="auto"/>
          </w:tcPr>
          <w:p w14:paraId="06AB85AA"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3.8</w:t>
            </w:r>
          </w:p>
        </w:tc>
        <w:tc>
          <w:tcPr>
            <w:tcW w:w="1276" w:type="dxa"/>
            <w:tcBorders>
              <w:top w:val="nil"/>
              <w:left w:val="nil"/>
              <w:bottom w:val="single" w:sz="4" w:space="0" w:color="000000"/>
              <w:right w:val="single" w:sz="4" w:space="0" w:color="000000"/>
            </w:tcBorders>
            <w:shd w:val="clear" w:color="auto" w:fill="auto"/>
          </w:tcPr>
          <w:p w14:paraId="7D33874C"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182</w:t>
            </w:r>
          </w:p>
        </w:tc>
        <w:tc>
          <w:tcPr>
            <w:tcW w:w="1224" w:type="dxa"/>
            <w:tcBorders>
              <w:top w:val="nil"/>
              <w:left w:val="nil"/>
              <w:bottom w:val="single" w:sz="4" w:space="0" w:color="000000"/>
              <w:right w:val="single" w:sz="4" w:space="0" w:color="000000"/>
            </w:tcBorders>
            <w:shd w:val="clear" w:color="auto" w:fill="auto"/>
          </w:tcPr>
          <w:p w14:paraId="3CDA65D2"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16.2</w:t>
            </w:r>
          </w:p>
        </w:tc>
      </w:tr>
      <w:tr w:rsidR="007E5E11" w:rsidRPr="00801B78" w14:paraId="5742FFA2"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6D565B2D"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Indonesia</w:t>
            </w:r>
          </w:p>
        </w:tc>
        <w:tc>
          <w:tcPr>
            <w:tcW w:w="1276" w:type="dxa"/>
            <w:tcBorders>
              <w:top w:val="nil"/>
              <w:left w:val="nil"/>
              <w:bottom w:val="single" w:sz="4" w:space="0" w:color="000000"/>
              <w:right w:val="single" w:sz="4" w:space="0" w:color="000000"/>
            </w:tcBorders>
            <w:shd w:val="clear" w:color="auto" w:fill="auto"/>
          </w:tcPr>
          <w:p w14:paraId="24F4B739"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66</w:t>
            </w:r>
          </w:p>
        </w:tc>
        <w:tc>
          <w:tcPr>
            <w:tcW w:w="992" w:type="dxa"/>
            <w:tcBorders>
              <w:top w:val="nil"/>
              <w:left w:val="nil"/>
              <w:bottom w:val="single" w:sz="4" w:space="0" w:color="000000"/>
              <w:right w:val="single" w:sz="4" w:space="0" w:color="000000"/>
            </w:tcBorders>
            <w:shd w:val="clear" w:color="auto" w:fill="auto"/>
          </w:tcPr>
          <w:p w14:paraId="5B25D282"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20.0</w:t>
            </w:r>
          </w:p>
        </w:tc>
        <w:tc>
          <w:tcPr>
            <w:tcW w:w="1276" w:type="dxa"/>
            <w:tcBorders>
              <w:top w:val="nil"/>
              <w:left w:val="nil"/>
              <w:bottom w:val="single" w:sz="4" w:space="0" w:color="000000"/>
              <w:right w:val="single" w:sz="4" w:space="0" w:color="000000"/>
            </w:tcBorders>
            <w:shd w:val="clear" w:color="auto" w:fill="auto"/>
          </w:tcPr>
          <w:p w14:paraId="5509A608"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10</w:t>
            </w:r>
          </w:p>
        </w:tc>
        <w:tc>
          <w:tcPr>
            <w:tcW w:w="1134" w:type="dxa"/>
            <w:tcBorders>
              <w:top w:val="nil"/>
              <w:left w:val="nil"/>
              <w:bottom w:val="single" w:sz="4" w:space="0" w:color="000000"/>
              <w:right w:val="single" w:sz="4" w:space="0" w:color="000000"/>
            </w:tcBorders>
            <w:shd w:val="clear" w:color="auto" w:fill="auto"/>
          </w:tcPr>
          <w:p w14:paraId="6E3374D1"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3.2</w:t>
            </w:r>
          </w:p>
        </w:tc>
        <w:tc>
          <w:tcPr>
            <w:tcW w:w="1276" w:type="dxa"/>
            <w:tcBorders>
              <w:top w:val="nil"/>
              <w:left w:val="nil"/>
              <w:bottom w:val="single" w:sz="4" w:space="0" w:color="000000"/>
              <w:right w:val="single" w:sz="4" w:space="0" w:color="000000"/>
            </w:tcBorders>
            <w:shd w:val="clear" w:color="auto" w:fill="auto"/>
          </w:tcPr>
          <w:p w14:paraId="4715760E"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56</w:t>
            </w:r>
          </w:p>
        </w:tc>
        <w:tc>
          <w:tcPr>
            <w:tcW w:w="1224" w:type="dxa"/>
            <w:tcBorders>
              <w:top w:val="nil"/>
              <w:left w:val="nil"/>
              <w:bottom w:val="single" w:sz="4" w:space="0" w:color="000000"/>
              <w:right w:val="single" w:sz="4" w:space="0" w:color="000000"/>
            </w:tcBorders>
            <w:shd w:val="clear" w:color="auto" w:fill="auto"/>
          </w:tcPr>
          <w:p w14:paraId="1D5EC1F1"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16.8</w:t>
            </w:r>
          </w:p>
        </w:tc>
      </w:tr>
      <w:tr w:rsidR="007E5E11" w:rsidRPr="00801B78" w14:paraId="3EAE5151"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4055D5D3" w14:textId="77777777" w:rsidR="007E5E11" w:rsidRPr="00801B78" w:rsidRDefault="007E5E11" w:rsidP="00801B78">
            <w:pPr>
              <w:spacing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Kenya</w:t>
            </w:r>
          </w:p>
        </w:tc>
        <w:tc>
          <w:tcPr>
            <w:tcW w:w="1276" w:type="dxa"/>
            <w:tcBorders>
              <w:top w:val="nil"/>
              <w:left w:val="nil"/>
              <w:bottom w:val="single" w:sz="4" w:space="0" w:color="000000"/>
              <w:right w:val="single" w:sz="4" w:space="0" w:color="000000"/>
            </w:tcBorders>
            <w:shd w:val="clear" w:color="auto" w:fill="auto"/>
          </w:tcPr>
          <w:p w14:paraId="37F8CFAD"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8</w:t>
            </w:r>
          </w:p>
        </w:tc>
        <w:tc>
          <w:tcPr>
            <w:tcW w:w="992" w:type="dxa"/>
            <w:tcBorders>
              <w:top w:val="nil"/>
              <w:left w:val="nil"/>
              <w:bottom w:val="single" w:sz="4" w:space="0" w:color="000000"/>
              <w:right w:val="single" w:sz="4" w:space="0" w:color="000000"/>
            </w:tcBorders>
            <w:shd w:val="clear" w:color="auto" w:fill="auto"/>
          </w:tcPr>
          <w:p w14:paraId="5F43F963"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20.0</w:t>
            </w:r>
          </w:p>
        </w:tc>
        <w:tc>
          <w:tcPr>
            <w:tcW w:w="1276" w:type="dxa"/>
            <w:tcBorders>
              <w:top w:val="nil"/>
              <w:left w:val="nil"/>
              <w:bottom w:val="single" w:sz="4" w:space="0" w:color="000000"/>
              <w:right w:val="single" w:sz="4" w:space="0" w:color="000000"/>
            </w:tcBorders>
            <w:shd w:val="clear" w:color="auto" w:fill="auto"/>
          </w:tcPr>
          <w:p w14:paraId="4DC32720"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2</w:t>
            </w:r>
          </w:p>
        </w:tc>
        <w:tc>
          <w:tcPr>
            <w:tcW w:w="1134" w:type="dxa"/>
            <w:tcBorders>
              <w:top w:val="nil"/>
              <w:left w:val="nil"/>
              <w:bottom w:val="single" w:sz="4" w:space="0" w:color="000000"/>
              <w:right w:val="single" w:sz="4" w:space="0" w:color="000000"/>
            </w:tcBorders>
            <w:shd w:val="clear" w:color="auto" w:fill="auto"/>
          </w:tcPr>
          <w:p w14:paraId="52C0E07F"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4.1</w:t>
            </w:r>
          </w:p>
        </w:tc>
        <w:tc>
          <w:tcPr>
            <w:tcW w:w="1276" w:type="dxa"/>
            <w:tcBorders>
              <w:top w:val="nil"/>
              <w:left w:val="nil"/>
              <w:bottom w:val="single" w:sz="4" w:space="0" w:color="000000"/>
              <w:right w:val="single" w:sz="4" w:space="0" w:color="000000"/>
            </w:tcBorders>
            <w:shd w:val="clear" w:color="auto" w:fill="auto"/>
          </w:tcPr>
          <w:p w14:paraId="4C715B3A"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6</w:t>
            </w:r>
          </w:p>
        </w:tc>
        <w:tc>
          <w:tcPr>
            <w:tcW w:w="1224" w:type="dxa"/>
            <w:tcBorders>
              <w:top w:val="nil"/>
              <w:left w:val="nil"/>
              <w:bottom w:val="single" w:sz="4" w:space="0" w:color="000000"/>
              <w:right w:val="single" w:sz="4" w:space="0" w:color="000000"/>
            </w:tcBorders>
            <w:shd w:val="clear" w:color="auto" w:fill="auto"/>
          </w:tcPr>
          <w:p w14:paraId="33C599E9" w14:textId="77777777" w:rsidR="007E5E11" w:rsidRPr="00801B78" w:rsidRDefault="007E5E11" w:rsidP="00801B78">
            <w:pPr>
              <w:spacing w:line="240" w:lineRule="auto"/>
              <w:contextualSpacing/>
              <w:jc w:val="right"/>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15.9</w:t>
            </w:r>
          </w:p>
        </w:tc>
      </w:tr>
      <w:tr w:rsidR="007E5E11" w:rsidRPr="00801B78" w14:paraId="2EFBFA61" w14:textId="77777777" w:rsidTr="00BF4207">
        <w:trPr>
          <w:trHeight w:hRule="exact" w:val="284"/>
        </w:trPr>
        <w:tc>
          <w:tcPr>
            <w:tcW w:w="1838" w:type="dxa"/>
            <w:tcBorders>
              <w:top w:val="nil"/>
              <w:left w:val="single" w:sz="4" w:space="0" w:color="000000"/>
              <w:bottom w:val="single" w:sz="4" w:space="0" w:color="000000"/>
              <w:right w:val="single" w:sz="4" w:space="0" w:color="000000"/>
            </w:tcBorders>
            <w:shd w:val="clear" w:color="auto" w:fill="auto"/>
          </w:tcPr>
          <w:p w14:paraId="407269D1" w14:textId="77777777" w:rsidR="007E5E11" w:rsidRPr="00801B78" w:rsidRDefault="007E5E11" w:rsidP="00801B78">
            <w:pPr>
              <w:spacing w:line="240" w:lineRule="auto"/>
              <w:contextualSpacing/>
              <w:jc w:val="both"/>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LDC Total</w:t>
            </w:r>
          </w:p>
        </w:tc>
        <w:tc>
          <w:tcPr>
            <w:tcW w:w="1276" w:type="dxa"/>
            <w:tcBorders>
              <w:top w:val="nil"/>
              <w:left w:val="nil"/>
              <w:bottom w:val="single" w:sz="4" w:space="0" w:color="000000"/>
              <w:right w:val="single" w:sz="4" w:space="0" w:color="000000"/>
            </w:tcBorders>
            <w:shd w:val="clear" w:color="auto" w:fill="auto"/>
          </w:tcPr>
          <w:p w14:paraId="00524528"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91</w:t>
            </w:r>
          </w:p>
        </w:tc>
        <w:tc>
          <w:tcPr>
            <w:tcW w:w="992" w:type="dxa"/>
            <w:tcBorders>
              <w:top w:val="nil"/>
              <w:left w:val="nil"/>
              <w:bottom w:val="single" w:sz="4" w:space="0" w:color="000000"/>
              <w:right w:val="single" w:sz="4" w:space="0" w:color="000000"/>
            </w:tcBorders>
            <w:shd w:val="clear" w:color="auto" w:fill="auto"/>
          </w:tcPr>
          <w:p w14:paraId="6F33B4EB"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20.0</w:t>
            </w:r>
          </w:p>
        </w:tc>
        <w:tc>
          <w:tcPr>
            <w:tcW w:w="1276" w:type="dxa"/>
            <w:tcBorders>
              <w:top w:val="nil"/>
              <w:left w:val="nil"/>
              <w:bottom w:val="single" w:sz="4" w:space="0" w:color="000000"/>
              <w:right w:val="single" w:sz="4" w:space="0" w:color="000000"/>
            </w:tcBorders>
            <w:shd w:val="clear" w:color="auto" w:fill="auto"/>
          </w:tcPr>
          <w:p w14:paraId="2DB08DB7"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41</w:t>
            </w:r>
          </w:p>
        </w:tc>
        <w:tc>
          <w:tcPr>
            <w:tcW w:w="1134" w:type="dxa"/>
            <w:tcBorders>
              <w:top w:val="nil"/>
              <w:left w:val="nil"/>
              <w:bottom w:val="single" w:sz="4" w:space="0" w:color="000000"/>
              <w:right w:val="single" w:sz="4" w:space="0" w:color="000000"/>
            </w:tcBorders>
            <w:shd w:val="clear" w:color="auto" w:fill="auto"/>
          </w:tcPr>
          <w:p w14:paraId="69396E62"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9.0</w:t>
            </w:r>
          </w:p>
        </w:tc>
        <w:tc>
          <w:tcPr>
            <w:tcW w:w="1276" w:type="dxa"/>
            <w:tcBorders>
              <w:top w:val="nil"/>
              <w:left w:val="nil"/>
              <w:bottom w:val="single" w:sz="4" w:space="0" w:color="000000"/>
              <w:right w:val="single" w:sz="4" w:space="0" w:color="000000"/>
            </w:tcBorders>
            <w:shd w:val="clear" w:color="auto" w:fill="auto"/>
          </w:tcPr>
          <w:p w14:paraId="5B4C9BB0"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50</w:t>
            </w:r>
          </w:p>
        </w:tc>
        <w:tc>
          <w:tcPr>
            <w:tcW w:w="1224" w:type="dxa"/>
            <w:tcBorders>
              <w:top w:val="nil"/>
              <w:left w:val="nil"/>
              <w:bottom w:val="single" w:sz="4" w:space="0" w:color="000000"/>
              <w:right w:val="single" w:sz="4" w:space="0" w:color="000000"/>
            </w:tcBorders>
            <w:shd w:val="clear" w:color="auto" w:fill="auto"/>
          </w:tcPr>
          <w:p w14:paraId="24FD92F8"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11.0</w:t>
            </w:r>
          </w:p>
        </w:tc>
      </w:tr>
      <w:tr w:rsidR="007E5E11" w:rsidRPr="00801B78" w14:paraId="229F0E13" w14:textId="77777777" w:rsidTr="00BF4207">
        <w:trPr>
          <w:trHeight w:hRule="exact" w:val="556"/>
        </w:trPr>
        <w:tc>
          <w:tcPr>
            <w:tcW w:w="1838" w:type="dxa"/>
            <w:tcBorders>
              <w:top w:val="nil"/>
              <w:left w:val="single" w:sz="4" w:space="0" w:color="000000"/>
              <w:bottom w:val="single" w:sz="4" w:space="0" w:color="000000"/>
              <w:right w:val="single" w:sz="4" w:space="0" w:color="000000"/>
            </w:tcBorders>
            <w:shd w:val="clear" w:color="auto" w:fill="auto"/>
          </w:tcPr>
          <w:p w14:paraId="13C11D41" w14:textId="77777777" w:rsidR="007E5E11" w:rsidRPr="00801B78" w:rsidRDefault="007E5E11" w:rsidP="00801B78">
            <w:pPr>
              <w:spacing w:line="240" w:lineRule="auto"/>
              <w:contextualSpacing/>
              <w:jc w:val="both"/>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Current Global TTDS Entitlement</w:t>
            </w:r>
          </w:p>
        </w:tc>
        <w:tc>
          <w:tcPr>
            <w:tcW w:w="1276" w:type="dxa"/>
            <w:tcBorders>
              <w:top w:val="nil"/>
              <w:left w:val="nil"/>
              <w:bottom w:val="single" w:sz="4" w:space="0" w:color="000000"/>
              <w:right w:val="single" w:sz="4" w:space="0" w:color="000000"/>
            </w:tcBorders>
            <w:shd w:val="clear" w:color="auto" w:fill="auto"/>
          </w:tcPr>
          <w:p w14:paraId="728BFB0F"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1476</w:t>
            </w:r>
          </w:p>
        </w:tc>
        <w:tc>
          <w:tcPr>
            <w:tcW w:w="992" w:type="dxa"/>
            <w:tcBorders>
              <w:top w:val="nil"/>
              <w:left w:val="nil"/>
              <w:bottom w:val="single" w:sz="4" w:space="0" w:color="000000"/>
              <w:right w:val="single" w:sz="4" w:space="0" w:color="000000"/>
            </w:tcBorders>
            <w:shd w:val="clear" w:color="auto" w:fill="auto"/>
          </w:tcPr>
          <w:p w14:paraId="7F2B7458"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18.8</w:t>
            </w:r>
          </w:p>
        </w:tc>
        <w:tc>
          <w:tcPr>
            <w:tcW w:w="1276" w:type="dxa"/>
            <w:tcBorders>
              <w:top w:val="nil"/>
              <w:left w:val="nil"/>
              <w:bottom w:val="single" w:sz="4" w:space="0" w:color="000000"/>
              <w:right w:val="single" w:sz="4" w:space="0" w:color="000000"/>
            </w:tcBorders>
            <w:shd w:val="clear" w:color="auto" w:fill="auto"/>
          </w:tcPr>
          <w:p w14:paraId="411B4496"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380</w:t>
            </w:r>
          </w:p>
        </w:tc>
        <w:tc>
          <w:tcPr>
            <w:tcW w:w="1134" w:type="dxa"/>
            <w:tcBorders>
              <w:top w:val="nil"/>
              <w:left w:val="nil"/>
              <w:bottom w:val="single" w:sz="4" w:space="0" w:color="000000"/>
              <w:right w:val="single" w:sz="4" w:space="0" w:color="000000"/>
            </w:tcBorders>
            <w:shd w:val="clear" w:color="auto" w:fill="auto"/>
          </w:tcPr>
          <w:p w14:paraId="4E2308A1"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4.8</w:t>
            </w:r>
          </w:p>
        </w:tc>
        <w:tc>
          <w:tcPr>
            <w:tcW w:w="1276" w:type="dxa"/>
            <w:tcBorders>
              <w:top w:val="nil"/>
              <w:left w:val="nil"/>
              <w:bottom w:val="single" w:sz="4" w:space="0" w:color="000000"/>
              <w:right w:val="single" w:sz="4" w:space="0" w:color="000000"/>
            </w:tcBorders>
            <w:shd w:val="clear" w:color="auto" w:fill="auto"/>
          </w:tcPr>
          <w:p w14:paraId="310EF609"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1095</w:t>
            </w:r>
          </w:p>
        </w:tc>
        <w:tc>
          <w:tcPr>
            <w:tcW w:w="1224" w:type="dxa"/>
            <w:tcBorders>
              <w:top w:val="nil"/>
              <w:left w:val="nil"/>
              <w:bottom w:val="single" w:sz="4" w:space="0" w:color="000000"/>
              <w:right w:val="single" w:sz="4" w:space="0" w:color="000000"/>
            </w:tcBorders>
            <w:shd w:val="clear" w:color="auto" w:fill="auto"/>
          </w:tcPr>
          <w:p w14:paraId="2601802D" w14:textId="77777777" w:rsidR="007E5E11" w:rsidRPr="00801B78" w:rsidRDefault="007E5E11" w:rsidP="00801B78">
            <w:pPr>
              <w:spacing w:line="240" w:lineRule="auto"/>
              <w:contextualSpacing/>
              <w:jc w:val="right"/>
              <w:rPr>
                <w:rFonts w:ascii="Times New Roman" w:eastAsia="Times New Roman" w:hAnsi="Times New Roman" w:cs="Times New Roman"/>
                <w:b/>
                <w:color w:val="000000"/>
                <w:sz w:val="20"/>
                <w:szCs w:val="20"/>
              </w:rPr>
            </w:pPr>
            <w:r w:rsidRPr="00801B78">
              <w:rPr>
                <w:rFonts w:ascii="Times New Roman" w:eastAsia="Times New Roman" w:hAnsi="Times New Roman" w:cs="Times New Roman"/>
                <w:b/>
                <w:color w:val="000000"/>
                <w:sz w:val="20"/>
                <w:szCs w:val="20"/>
              </w:rPr>
              <w:t>13.9</w:t>
            </w:r>
          </w:p>
        </w:tc>
      </w:tr>
    </w:tbl>
    <w:p w14:paraId="4AEBAC91" w14:textId="77777777" w:rsidR="007E5E11" w:rsidRPr="00801B78" w:rsidRDefault="007E5E11" w:rsidP="00801B78">
      <w:pPr>
        <w:spacing w:after="0"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Source: Authors’ calculation based on FAOSTAT and notified Value of Production data.</w:t>
      </w:r>
    </w:p>
    <w:p w14:paraId="4E482352" w14:textId="01CDEB3F" w:rsidR="007E5E11" w:rsidRPr="00801B78" w:rsidRDefault="007E5E11" w:rsidP="00801B78">
      <w:pPr>
        <w:spacing w:after="0" w:line="240" w:lineRule="auto"/>
        <w:contextualSpacing/>
        <w:jc w:val="both"/>
        <w:rPr>
          <w:rFonts w:ascii="Times New Roman" w:eastAsia="Times New Roman" w:hAnsi="Times New Roman" w:cs="Times New Roman"/>
          <w:color w:val="000000"/>
          <w:sz w:val="20"/>
          <w:szCs w:val="20"/>
        </w:rPr>
      </w:pPr>
      <w:r w:rsidRPr="00801B78">
        <w:rPr>
          <w:rFonts w:ascii="Times New Roman" w:eastAsia="Times New Roman" w:hAnsi="Times New Roman" w:cs="Times New Roman"/>
          <w:color w:val="000000"/>
          <w:sz w:val="20"/>
          <w:szCs w:val="20"/>
        </w:rPr>
        <w:t xml:space="preserve">Note: *TTDS entitlement is based on the projected value of agricultural production in 2030. It is calculated as the monetary value of </w:t>
      </w:r>
      <w:r w:rsidR="00D5327D">
        <w:rPr>
          <w:rFonts w:ascii="Times New Roman" w:eastAsia="Times New Roman" w:hAnsi="Times New Roman" w:cs="Times New Roman"/>
          <w:color w:val="000000"/>
          <w:sz w:val="20"/>
          <w:szCs w:val="20"/>
        </w:rPr>
        <w:t xml:space="preserve">the </w:t>
      </w:r>
      <w:r w:rsidRPr="00801B78">
        <w:rPr>
          <w:rFonts w:ascii="Times New Roman" w:eastAsia="Times New Roman" w:hAnsi="Times New Roman" w:cs="Times New Roman"/>
          <w:color w:val="000000"/>
          <w:sz w:val="20"/>
          <w:szCs w:val="20"/>
        </w:rPr>
        <w:t xml:space="preserve">combined </w:t>
      </w:r>
      <w:r w:rsidRPr="00801B78">
        <w:rPr>
          <w:rFonts w:ascii="Times New Roman" w:eastAsia="Times New Roman" w:hAnsi="Times New Roman" w:cs="Times New Roman"/>
          <w:i/>
          <w:iCs/>
          <w:color w:val="000000"/>
          <w:sz w:val="20"/>
          <w:szCs w:val="20"/>
        </w:rPr>
        <w:t>de minimis</w:t>
      </w:r>
      <w:r w:rsidRPr="00801B78">
        <w:rPr>
          <w:rFonts w:ascii="Times New Roman" w:eastAsia="Times New Roman" w:hAnsi="Times New Roman" w:cs="Times New Roman"/>
          <w:color w:val="000000"/>
          <w:sz w:val="20"/>
          <w:szCs w:val="20"/>
        </w:rPr>
        <w:t xml:space="preserve"> limit and final bound AMS entitlement </w:t>
      </w:r>
    </w:p>
    <w:p w14:paraId="000000B4" w14:textId="77777777" w:rsidR="007F7F72" w:rsidRPr="00801B78" w:rsidRDefault="007F7F72" w:rsidP="00801B78">
      <w:pPr>
        <w:spacing w:after="0" w:line="360" w:lineRule="auto"/>
        <w:jc w:val="both"/>
        <w:rPr>
          <w:rFonts w:ascii="Times New Roman" w:eastAsia="Times New Roman" w:hAnsi="Times New Roman" w:cs="Times New Roman"/>
          <w:color w:val="000000"/>
          <w:sz w:val="24"/>
          <w:szCs w:val="24"/>
        </w:rPr>
      </w:pPr>
    </w:p>
    <w:p w14:paraId="21C25F89" w14:textId="000B4A41" w:rsidR="004D7F86" w:rsidRPr="002552EB" w:rsidRDefault="004D7F86"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The steep reduction in policy space to provide trade distorting domestic support would incentivise countries to repurpose their agriculture subsidies from more trade distorting Amber box to least trade distorting Green box. In a report on repurposing agriculture subsidies (FAO, UNDP and UNEP, 2021) it has been suggested to phase out most distortive </w:t>
      </w:r>
      <w:r w:rsidR="00D5327D">
        <w:rPr>
          <w:rFonts w:ascii="Times New Roman" w:eastAsia="Times New Roman" w:hAnsi="Times New Roman" w:cs="Times New Roman"/>
          <w:color w:val="000000"/>
          <w:sz w:val="24"/>
          <w:szCs w:val="24"/>
        </w:rPr>
        <w:t>subsidies</w:t>
      </w:r>
      <w:r w:rsidRPr="002552EB">
        <w:rPr>
          <w:rFonts w:ascii="Times New Roman" w:eastAsia="Times New Roman" w:hAnsi="Times New Roman" w:cs="Times New Roman"/>
          <w:color w:val="000000"/>
          <w:sz w:val="24"/>
          <w:szCs w:val="24"/>
        </w:rPr>
        <w:t xml:space="preserve"> and encourage subsidies with environmental conditionalities. In the context of the AoA, Green box (Annex 2) has many provisions like the direct payments </w:t>
      </w:r>
      <w:r w:rsidR="00C879D6" w:rsidRPr="002552EB">
        <w:rPr>
          <w:rFonts w:ascii="Times New Roman" w:eastAsia="Times New Roman" w:hAnsi="Times New Roman" w:cs="Times New Roman"/>
          <w:color w:val="000000"/>
          <w:sz w:val="24"/>
          <w:szCs w:val="24"/>
        </w:rPr>
        <w:t>including decoupled</w:t>
      </w:r>
      <w:r w:rsidRPr="002552EB">
        <w:rPr>
          <w:rFonts w:ascii="Times New Roman" w:eastAsia="Times New Roman" w:hAnsi="Times New Roman" w:cs="Times New Roman"/>
          <w:color w:val="000000"/>
          <w:sz w:val="24"/>
          <w:szCs w:val="24"/>
        </w:rPr>
        <w:t xml:space="preserve"> income support and support for environmental programs which are least distortive as well as environment </w:t>
      </w:r>
      <w:r w:rsidRPr="002552EB">
        <w:rPr>
          <w:rFonts w:ascii="Times New Roman" w:eastAsia="Times New Roman" w:hAnsi="Times New Roman" w:cs="Times New Roman"/>
          <w:color w:val="000000"/>
          <w:sz w:val="24"/>
          <w:szCs w:val="24"/>
        </w:rPr>
        <w:lastRenderedPageBreak/>
        <w:t xml:space="preserve">friendly when compared to Amber box support. However, these provisions were negotiated more than 25 years ago. The socio-economic conditions of most members, especially the developing and LDC members have changed drastically. Hence, these provisions need to be updated to address </w:t>
      </w:r>
      <w:r w:rsidR="008B1137" w:rsidRPr="002552EB">
        <w:rPr>
          <w:rFonts w:ascii="Times New Roman" w:eastAsia="Times New Roman" w:hAnsi="Times New Roman" w:cs="Times New Roman"/>
          <w:color w:val="000000"/>
          <w:sz w:val="24"/>
          <w:szCs w:val="24"/>
        </w:rPr>
        <w:t xml:space="preserve">the </w:t>
      </w:r>
      <w:r w:rsidRPr="002552EB">
        <w:rPr>
          <w:rFonts w:ascii="Times New Roman" w:eastAsia="Times New Roman" w:hAnsi="Times New Roman" w:cs="Times New Roman"/>
          <w:color w:val="000000"/>
          <w:sz w:val="24"/>
          <w:szCs w:val="24"/>
        </w:rPr>
        <w:t xml:space="preserve">21st century policy concern of ensuring food security and livelihood security for farmers in an environmentally sustainable way </w:t>
      </w:r>
      <w:r w:rsidR="000B564A" w:rsidRPr="002552EB">
        <w:rPr>
          <w:rFonts w:ascii="Times New Roman" w:eastAsia="Times New Roman" w:hAnsi="Times New Roman" w:cs="Times New Roman"/>
          <w:color w:val="000000"/>
          <w:sz w:val="24"/>
          <w:szCs w:val="24"/>
        </w:rPr>
        <w:t>(Brink &amp; Orden, 2023).</w:t>
      </w:r>
    </w:p>
    <w:p w14:paraId="38D7E103" w14:textId="77777777" w:rsidR="004D7F86" w:rsidRDefault="004D7F86" w:rsidP="002552EB">
      <w:pPr>
        <w:spacing w:after="0" w:line="360" w:lineRule="auto"/>
        <w:jc w:val="both"/>
        <w:rPr>
          <w:rFonts w:ascii="Times New Roman" w:eastAsia="Times New Roman" w:hAnsi="Times New Roman" w:cs="Times New Roman"/>
          <w:color w:val="000000"/>
          <w:sz w:val="24"/>
          <w:szCs w:val="24"/>
        </w:rPr>
      </w:pPr>
    </w:p>
    <w:p w14:paraId="6DF2E785" w14:textId="77777777" w:rsidR="007E5E11" w:rsidRPr="002552EB" w:rsidRDefault="007E5E11" w:rsidP="00801B78">
      <w:pPr>
        <w:spacing w:after="0" w:line="240" w:lineRule="auto"/>
        <w:contextualSpacing/>
        <w:jc w:val="both"/>
        <w:rPr>
          <w:rFonts w:ascii="Times New Roman" w:eastAsia="Times New Roman" w:hAnsi="Times New Roman" w:cs="Times New Roman"/>
          <w:b/>
          <w:bCs/>
          <w:color w:val="000000" w:themeColor="text1"/>
          <w:sz w:val="20"/>
          <w:szCs w:val="20"/>
        </w:rPr>
      </w:pPr>
      <w:r w:rsidRPr="002552EB">
        <w:rPr>
          <w:rFonts w:ascii="Times New Roman" w:eastAsia="Times New Roman" w:hAnsi="Times New Roman" w:cs="Times New Roman"/>
          <w:b/>
          <w:bCs/>
          <w:color w:val="000000" w:themeColor="text1"/>
          <w:sz w:val="20"/>
          <w:szCs w:val="20"/>
        </w:rPr>
        <w:t>Fig</w:t>
      </w:r>
      <w:r w:rsidRPr="00640CB0">
        <w:rPr>
          <w:rFonts w:ascii="Times New Roman" w:eastAsia="Times New Roman" w:hAnsi="Times New Roman" w:cs="Times New Roman"/>
          <w:b/>
          <w:bCs/>
          <w:color w:val="000000" w:themeColor="text1"/>
          <w:sz w:val="20"/>
          <w:szCs w:val="20"/>
        </w:rPr>
        <w:t>. 4</w:t>
      </w:r>
      <w:r w:rsidRPr="002552EB">
        <w:rPr>
          <w:rFonts w:ascii="Times New Roman" w:eastAsia="Times New Roman" w:hAnsi="Times New Roman" w:cs="Times New Roman"/>
          <w:b/>
          <w:bCs/>
          <w:color w:val="000000" w:themeColor="text1"/>
          <w:sz w:val="20"/>
          <w:szCs w:val="20"/>
        </w:rPr>
        <w:t xml:space="preserve"> </w:t>
      </w:r>
      <w:r w:rsidRPr="00640CB0">
        <w:rPr>
          <w:rFonts w:ascii="Times New Roman" w:eastAsia="Times New Roman" w:hAnsi="Times New Roman" w:cs="Times New Roman"/>
          <w:b/>
          <w:bCs/>
          <w:color w:val="000000"/>
          <w:sz w:val="20"/>
          <w:szCs w:val="20"/>
        </w:rPr>
        <w:t>Impact of proportionate reduction methodology on China’s TTDS entitlement</w:t>
      </w:r>
    </w:p>
    <w:p w14:paraId="1AA8BDF3" w14:textId="77777777" w:rsidR="007E5E11" w:rsidRPr="002552EB" w:rsidRDefault="007E5E11" w:rsidP="00801B78">
      <w:pPr>
        <w:spacing w:after="0" w:line="240" w:lineRule="auto"/>
        <w:contextualSpacing/>
        <w:jc w:val="both"/>
        <w:rPr>
          <w:rFonts w:ascii="Times New Roman" w:eastAsia="Times New Roman" w:hAnsi="Times New Roman" w:cs="Times New Roman"/>
          <w:color w:val="FF0000"/>
          <w:sz w:val="20"/>
          <w:szCs w:val="20"/>
        </w:rPr>
      </w:pPr>
      <w:r w:rsidRPr="00640CB0">
        <w:rPr>
          <w:noProof/>
        </w:rPr>
        <mc:AlternateContent>
          <mc:Choice Requires="wps">
            <w:drawing>
              <wp:anchor distT="0" distB="0" distL="114300" distR="114300" simplePos="0" relativeHeight="251676672" behindDoc="0" locked="0" layoutInCell="1" allowOverlap="1" wp14:anchorId="4B042F68" wp14:editId="7A9B8278">
                <wp:simplePos x="0" y="0"/>
                <wp:positionH relativeFrom="column">
                  <wp:posOffset>4496499</wp:posOffset>
                </wp:positionH>
                <wp:positionV relativeFrom="paragraph">
                  <wp:posOffset>1142015</wp:posOffset>
                </wp:positionV>
                <wp:extent cx="847119" cy="662731"/>
                <wp:effectExtent l="0" t="0" r="16510" b="10795"/>
                <wp:wrapNone/>
                <wp:docPr id="10" name="TextBox 9">
                  <a:extLst xmlns:a="http://schemas.openxmlformats.org/drawingml/2006/main">
                    <a:ext uri="{FF2B5EF4-FFF2-40B4-BE49-F238E27FC236}">
                      <a16:creationId xmlns:a16="http://schemas.microsoft.com/office/drawing/2014/main" id="{B3771420-93CF-964F-A444-3D013CB3E1A6}"/>
                    </a:ext>
                  </a:extLst>
                </wp:docPr>
                <wp:cNvGraphicFramePr/>
                <a:graphic xmlns:a="http://schemas.openxmlformats.org/drawingml/2006/main">
                  <a:graphicData uri="http://schemas.microsoft.com/office/word/2010/wordprocessingShape">
                    <wps:wsp>
                      <wps:cNvSpPr txBox="1"/>
                      <wps:spPr>
                        <a:xfrm>
                          <a:off x="0" y="0"/>
                          <a:ext cx="847119" cy="662731"/>
                        </a:xfrm>
                        <a:prstGeom prst="rect">
                          <a:avLst/>
                        </a:prstGeom>
                        <a:solidFill>
                          <a:schemeClr val="bg1"/>
                        </a:solidFill>
                        <a:ln>
                          <a:solidFill>
                            <a:schemeClr val="tx1"/>
                          </a:solidFill>
                        </a:ln>
                      </wps:spPr>
                      <wps:style>
                        <a:lnRef idx="0">
                          <a:scrgbClr r="0" g="0" b="0"/>
                        </a:lnRef>
                        <a:fillRef idx="0">
                          <a:scrgbClr r="0" g="0" b="0"/>
                        </a:fillRef>
                        <a:effectRef idx="0">
                          <a:scrgbClr r="0" g="0" b="0"/>
                        </a:effectRef>
                        <a:fontRef idx="minor">
                          <a:schemeClr val="tx1"/>
                        </a:fontRef>
                      </wps:style>
                      <wps:txbx>
                        <w:txbxContent>
                          <w:p w14:paraId="4C683CCC" w14:textId="77777777" w:rsidR="007E5E11" w:rsidRPr="002552EB" w:rsidRDefault="007E5E11" w:rsidP="007E5E11">
                            <w:pPr>
                              <w:spacing w:after="0" w:line="240" w:lineRule="auto"/>
                              <w:jc w:val="center"/>
                              <w:rPr>
                                <w:rFonts w:ascii="Times New Roman" w:hAnsi="Times New Roman" w:cs="Times New Roman"/>
                                <w:color w:val="000000" w:themeColor="text1"/>
                                <w:sz w:val="20"/>
                                <w:szCs w:val="20"/>
                                <w:lang w:val="en-GB"/>
                              </w:rPr>
                            </w:pPr>
                            <w:r w:rsidRPr="002552EB">
                              <w:rPr>
                                <w:rFonts w:ascii="Times New Roman" w:hAnsi="Times New Roman" w:cs="Times New Roman"/>
                                <w:color w:val="000000" w:themeColor="text1"/>
                                <w:sz w:val="20"/>
                                <w:szCs w:val="20"/>
                                <w:lang w:val="en-GB"/>
                              </w:rPr>
                              <w:t xml:space="preserve">Loss in </w:t>
                            </w:r>
                          </w:p>
                          <w:p w14:paraId="55F12D15" w14:textId="77777777" w:rsidR="007E5E11" w:rsidRPr="002552EB" w:rsidRDefault="007E5E11" w:rsidP="007E5E11">
                            <w:pPr>
                              <w:spacing w:after="0" w:line="240" w:lineRule="auto"/>
                              <w:jc w:val="center"/>
                              <w:rPr>
                                <w:rFonts w:ascii="Times New Roman" w:hAnsi="Times New Roman" w:cs="Times New Roman"/>
                                <w:color w:val="000000" w:themeColor="text1"/>
                                <w:sz w:val="20"/>
                                <w:szCs w:val="20"/>
                                <w:lang w:val="en-GB"/>
                              </w:rPr>
                            </w:pPr>
                            <w:r w:rsidRPr="002552EB">
                              <w:rPr>
                                <w:rFonts w:ascii="Times New Roman" w:hAnsi="Times New Roman" w:cs="Times New Roman"/>
                                <w:color w:val="000000" w:themeColor="text1"/>
                                <w:sz w:val="20"/>
                                <w:szCs w:val="20"/>
                                <w:lang w:val="en-GB"/>
                              </w:rPr>
                              <w:t>Policy Space</w:t>
                            </w:r>
                          </w:p>
                          <w:p w14:paraId="205B69B4" w14:textId="77777777" w:rsidR="007E5E11" w:rsidRPr="002552EB" w:rsidRDefault="007E5E11" w:rsidP="007E5E11">
                            <w:pPr>
                              <w:spacing w:after="0" w:line="240" w:lineRule="auto"/>
                              <w:jc w:val="center"/>
                              <w:rPr>
                                <w:rFonts w:ascii="Times New Roman" w:hAnsi="Times New Roman" w:cs="Times New Roman"/>
                                <w:color w:val="000000" w:themeColor="text1"/>
                                <w:sz w:val="20"/>
                                <w:szCs w:val="20"/>
                                <w:lang w:val="en-GB"/>
                              </w:rPr>
                            </w:pPr>
                            <w:r w:rsidRPr="002552EB">
                              <w:rPr>
                                <w:rFonts w:ascii="Times New Roman" w:hAnsi="Times New Roman" w:cs="Times New Roman"/>
                                <w:color w:val="000000" w:themeColor="text1"/>
                                <w:sz w:val="20"/>
                                <w:szCs w:val="20"/>
                                <w:lang w:val="en-GB"/>
                              </w:rPr>
                              <w:t>USD -315 Billion</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042F68" id="TextBox 9" o:spid="_x0000_s1028" type="#_x0000_t202" style="position:absolute;left:0;text-align:left;margin-left:354.05pt;margin-top:89.9pt;width:66.7pt;height:5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" fillcolor="white [3212]" strokecolor="black [3213]">
                <v:textbox>
                  <w:txbxContent>
                    <w:p w14:paraId="4C683CCC" w14:textId="77777777" w:rsidR="007E5E11" w:rsidRPr="002552EB" w:rsidRDefault="007E5E11" w:rsidP="007E5E11">
                      <w:pPr>
                        <w:spacing w:after="0" w:line="240" w:lineRule="auto"/>
                        <w:jc w:val="center"/>
                        <w:rPr>
                          <w:rFonts w:ascii="Times New Roman" w:hAnsi="Times New Roman" w:cs="Times New Roman"/>
                          <w:color w:val="000000" w:themeColor="text1"/>
                          <w:sz w:val="20"/>
                          <w:szCs w:val="20"/>
                          <w:lang w:val="en-GB"/>
                        </w:rPr>
                      </w:pPr>
                      <w:r w:rsidRPr="002552EB">
                        <w:rPr>
                          <w:rFonts w:ascii="Times New Roman" w:hAnsi="Times New Roman" w:cs="Times New Roman"/>
                          <w:color w:val="000000" w:themeColor="text1"/>
                          <w:sz w:val="20"/>
                          <w:szCs w:val="20"/>
                          <w:lang w:val="en-GB"/>
                        </w:rPr>
                        <w:t xml:space="preserve">Loss in </w:t>
                      </w:r>
                    </w:p>
                    <w:p w14:paraId="55F12D15" w14:textId="77777777" w:rsidR="007E5E11" w:rsidRPr="002552EB" w:rsidRDefault="007E5E11" w:rsidP="007E5E11">
                      <w:pPr>
                        <w:spacing w:after="0" w:line="240" w:lineRule="auto"/>
                        <w:jc w:val="center"/>
                        <w:rPr>
                          <w:rFonts w:ascii="Times New Roman" w:hAnsi="Times New Roman" w:cs="Times New Roman"/>
                          <w:color w:val="000000" w:themeColor="text1"/>
                          <w:sz w:val="20"/>
                          <w:szCs w:val="20"/>
                          <w:lang w:val="en-GB"/>
                        </w:rPr>
                      </w:pPr>
                      <w:r w:rsidRPr="002552EB">
                        <w:rPr>
                          <w:rFonts w:ascii="Times New Roman" w:hAnsi="Times New Roman" w:cs="Times New Roman"/>
                          <w:color w:val="000000" w:themeColor="text1"/>
                          <w:sz w:val="20"/>
                          <w:szCs w:val="20"/>
                          <w:lang w:val="en-GB"/>
                        </w:rPr>
                        <w:t>Policy Space</w:t>
                      </w:r>
                    </w:p>
                    <w:p w14:paraId="205B69B4" w14:textId="77777777" w:rsidR="007E5E11" w:rsidRPr="002552EB" w:rsidRDefault="007E5E11" w:rsidP="007E5E11">
                      <w:pPr>
                        <w:spacing w:after="0" w:line="240" w:lineRule="auto"/>
                        <w:jc w:val="center"/>
                        <w:rPr>
                          <w:rFonts w:ascii="Times New Roman" w:hAnsi="Times New Roman" w:cs="Times New Roman"/>
                          <w:color w:val="000000" w:themeColor="text1"/>
                          <w:sz w:val="20"/>
                          <w:szCs w:val="20"/>
                          <w:lang w:val="en-GB"/>
                        </w:rPr>
                      </w:pPr>
                      <w:r w:rsidRPr="002552EB">
                        <w:rPr>
                          <w:rFonts w:ascii="Times New Roman" w:hAnsi="Times New Roman" w:cs="Times New Roman"/>
                          <w:color w:val="000000" w:themeColor="text1"/>
                          <w:sz w:val="20"/>
                          <w:szCs w:val="20"/>
                          <w:lang w:val="en-GB"/>
                        </w:rPr>
                        <w:t>USD -315 Billion</w:t>
                      </w:r>
                    </w:p>
                  </w:txbxContent>
                </v:textbox>
              </v:shape>
            </w:pict>
          </mc:Fallback>
        </mc:AlternateContent>
      </w:r>
      <w:r w:rsidRPr="002552EB">
        <w:rPr>
          <w:rFonts w:ascii="Times New Roman" w:hAnsi="Times New Roman" w:cs="Times New Roman"/>
          <w:noProof/>
        </w:rPr>
        <w:drawing>
          <wp:inline distT="0" distB="0" distL="0" distR="0" wp14:anchorId="3AE91FB1" wp14:editId="1C71AAEF">
            <wp:extent cx="5731510" cy="2860040"/>
            <wp:effectExtent l="0" t="0" r="8890" b="10160"/>
            <wp:docPr id="1730591633" name="Chart 1">
              <a:extLst xmlns:a="http://schemas.openxmlformats.org/drawingml/2006/main">
                <a:ext uri="{FF2B5EF4-FFF2-40B4-BE49-F238E27FC236}">
                  <a16:creationId xmlns:a16="http://schemas.microsoft.com/office/drawing/2014/main" id="{82CA2CD0-A1BC-E984-00A2-68E80A965E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8BC4A7" w14:textId="77777777" w:rsidR="007E5E11" w:rsidRPr="002552EB" w:rsidRDefault="007E5E11" w:rsidP="00801B78">
      <w:pPr>
        <w:spacing w:after="0" w:line="240" w:lineRule="auto"/>
        <w:contextualSpacing/>
        <w:jc w:val="both"/>
        <w:rPr>
          <w:rFonts w:ascii="Times New Roman" w:eastAsia="Times New Roman" w:hAnsi="Times New Roman" w:cs="Times New Roman"/>
          <w:i/>
          <w:color w:val="FF0000"/>
          <w:sz w:val="20"/>
          <w:szCs w:val="20"/>
        </w:rPr>
      </w:pPr>
      <w:r w:rsidRPr="002552EB">
        <w:rPr>
          <w:rFonts w:ascii="Times New Roman" w:eastAsia="Times New Roman" w:hAnsi="Times New Roman" w:cs="Times New Roman"/>
          <w:color w:val="000000" w:themeColor="text1"/>
          <w:sz w:val="20"/>
          <w:szCs w:val="20"/>
        </w:rPr>
        <w:t>Source: Authors’ calculation based on FAOSTAT Value of Production data.</w:t>
      </w:r>
      <w:r w:rsidRPr="002552EB" w:rsidDel="00675B4D">
        <w:rPr>
          <w:rFonts w:ascii="Times New Roman" w:eastAsia="Times New Roman" w:hAnsi="Times New Roman" w:cs="Times New Roman"/>
          <w:color w:val="000000" w:themeColor="text1"/>
          <w:sz w:val="20"/>
          <w:szCs w:val="20"/>
        </w:rPr>
        <w:t xml:space="preserve"> </w:t>
      </w:r>
    </w:p>
    <w:p w14:paraId="175253DE" w14:textId="77777777" w:rsidR="007E5E11" w:rsidRPr="002552EB" w:rsidRDefault="007E5E11" w:rsidP="002552EB">
      <w:pPr>
        <w:spacing w:after="0" w:line="360" w:lineRule="auto"/>
        <w:jc w:val="both"/>
        <w:rPr>
          <w:rFonts w:ascii="Times New Roman" w:eastAsia="Times New Roman" w:hAnsi="Times New Roman" w:cs="Times New Roman"/>
          <w:color w:val="000000"/>
          <w:sz w:val="24"/>
          <w:szCs w:val="24"/>
        </w:rPr>
      </w:pPr>
    </w:p>
    <w:p w14:paraId="4BB83576" w14:textId="159615F9" w:rsidR="007B3662" w:rsidRDefault="004D7F86" w:rsidP="002552E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In the upshot, </w:t>
      </w:r>
      <w:r w:rsidR="000B564A" w:rsidRPr="002552EB">
        <w:rPr>
          <w:rFonts w:ascii="Times New Roman" w:eastAsia="Times New Roman" w:hAnsi="Times New Roman" w:cs="Times New Roman"/>
          <w:color w:val="000000"/>
          <w:sz w:val="24"/>
          <w:szCs w:val="24"/>
        </w:rPr>
        <w:t>s</w:t>
      </w:r>
      <w:r w:rsidRPr="002552EB">
        <w:rPr>
          <w:rFonts w:ascii="Times New Roman" w:eastAsia="Times New Roman" w:hAnsi="Times New Roman" w:cs="Times New Roman"/>
          <w:color w:val="000000"/>
          <w:sz w:val="24"/>
          <w:szCs w:val="24"/>
        </w:rPr>
        <w:t xml:space="preserve">ome WTO members have proposed to discipline, </w:t>
      </w:r>
      <w:r w:rsidR="006A0C88" w:rsidRPr="002552EB">
        <w:rPr>
          <w:rFonts w:ascii="Times New Roman" w:eastAsia="Times New Roman" w:hAnsi="Times New Roman" w:cs="Times New Roman"/>
          <w:color w:val="000000"/>
          <w:sz w:val="24"/>
          <w:szCs w:val="24"/>
        </w:rPr>
        <w:t xml:space="preserve">and </w:t>
      </w:r>
      <w:r w:rsidRPr="002552EB">
        <w:rPr>
          <w:rFonts w:ascii="Times New Roman" w:eastAsia="Times New Roman" w:hAnsi="Times New Roman" w:cs="Times New Roman"/>
          <w:color w:val="000000"/>
          <w:sz w:val="24"/>
          <w:szCs w:val="24"/>
        </w:rPr>
        <w:t>repurpos</w:t>
      </w:r>
      <w:r w:rsidR="006A0C88" w:rsidRPr="002552EB">
        <w:rPr>
          <w:rFonts w:ascii="Times New Roman" w:eastAsia="Times New Roman" w:hAnsi="Times New Roman" w:cs="Times New Roman"/>
          <w:color w:val="000000"/>
          <w:sz w:val="24"/>
          <w:szCs w:val="24"/>
        </w:rPr>
        <w:t>e</w:t>
      </w:r>
      <w:r w:rsidRPr="002552EB">
        <w:rPr>
          <w:rFonts w:ascii="Times New Roman" w:eastAsia="Times New Roman" w:hAnsi="Times New Roman" w:cs="Times New Roman"/>
          <w:color w:val="000000"/>
          <w:sz w:val="24"/>
          <w:szCs w:val="24"/>
        </w:rPr>
        <w:t xml:space="preserve"> the financial resources from concentrating on trade distorting support to addressing climate change and biodiversity loss. However, whether the proposed approach ensures </w:t>
      </w:r>
      <w:r w:rsidR="006A0C88" w:rsidRPr="002552EB">
        <w:rPr>
          <w:rFonts w:ascii="Times New Roman" w:eastAsia="Times New Roman" w:hAnsi="Times New Roman" w:cs="Times New Roman"/>
          <w:color w:val="000000"/>
          <w:sz w:val="24"/>
          <w:szCs w:val="24"/>
        </w:rPr>
        <w:t xml:space="preserve">sustainability comprehensively i.e. </w:t>
      </w:r>
      <w:r w:rsidRPr="002552EB">
        <w:rPr>
          <w:rFonts w:ascii="Times New Roman" w:eastAsia="Times New Roman" w:hAnsi="Times New Roman" w:cs="Times New Roman"/>
          <w:color w:val="000000"/>
          <w:sz w:val="24"/>
          <w:szCs w:val="24"/>
        </w:rPr>
        <w:t xml:space="preserve">environmental, social and </w:t>
      </w:r>
      <w:r w:rsidR="00BA6C9A" w:rsidRPr="002552EB">
        <w:rPr>
          <w:rFonts w:ascii="Times New Roman" w:eastAsia="Times New Roman" w:hAnsi="Times New Roman" w:cs="Times New Roman"/>
          <w:color w:val="000000"/>
          <w:sz w:val="24"/>
          <w:szCs w:val="24"/>
        </w:rPr>
        <w:t>economic will</w:t>
      </w:r>
      <w:r w:rsidRPr="002552EB">
        <w:rPr>
          <w:rFonts w:ascii="Times New Roman" w:eastAsia="Times New Roman" w:hAnsi="Times New Roman" w:cs="Times New Roman"/>
          <w:color w:val="000000"/>
          <w:sz w:val="24"/>
          <w:szCs w:val="24"/>
        </w:rPr>
        <w:t xml:space="preserve"> be assessed in the next section.</w:t>
      </w:r>
    </w:p>
    <w:p w14:paraId="748BED18" w14:textId="3713A21D" w:rsidR="00B61320" w:rsidRPr="002552EB" w:rsidRDefault="007E5E11" w:rsidP="007E5E1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77E80C1A" w14:textId="1B62A75B" w:rsidR="00DD638C" w:rsidRPr="0059381C" w:rsidRDefault="008B1137" w:rsidP="007E5E11">
      <w:pPr>
        <w:pStyle w:val="Heading1"/>
        <w:numPr>
          <w:ilvl w:val="0"/>
          <w:numId w:val="12"/>
        </w:numPr>
        <w:jc w:val="both"/>
      </w:pPr>
      <w:bookmarkStart w:id="8" w:name="_Toc147322997"/>
      <w:r w:rsidRPr="0059381C">
        <w:lastRenderedPageBreak/>
        <w:t>Are</w:t>
      </w:r>
      <w:r w:rsidR="00D01ECA" w:rsidRPr="0059381C">
        <w:t xml:space="preserve"> the Proposed Discipline Undermining or Furthering Sustainability?</w:t>
      </w:r>
      <w:bookmarkEnd w:id="8"/>
    </w:p>
    <w:p w14:paraId="2F54BCF6" w14:textId="5B31AE64" w:rsidR="00531A2B" w:rsidRPr="00640CB0" w:rsidRDefault="00B82DB7" w:rsidP="007C51E6">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Th</w:t>
      </w:r>
      <w:r w:rsidR="00531A2B" w:rsidRPr="002552EB">
        <w:rPr>
          <w:rFonts w:ascii="Times New Roman" w:eastAsia="Times New Roman" w:hAnsi="Times New Roman" w:cs="Times New Roman"/>
          <w:color w:val="000000"/>
          <w:sz w:val="24"/>
          <w:szCs w:val="24"/>
        </w:rPr>
        <w:t>is</w:t>
      </w:r>
      <w:r w:rsidRPr="002552EB">
        <w:rPr>
          <w:rFonts w:ascii="Times New Roman" w:eastAsia="Times New Roman" w:hAnsi="Times New Roman" w:cs="Times New Roman"/>
          <w:color w:val="000000"/>
          <w:sz w:val="24"/>
          <w:szCs w:val="24"/>
        </w:rPr>
        <w:t xml:space="preserve"> section examine</w:t>
      </w:r>
      <w:r w:rsidR="00531A2B" w:rsidRPr="002552EB">
        <w:rPr>
          <w:rFonts w:ascii="Times New Roman" w:eastAsia="Times New Roman" w:hAnsi="Times New Roman" w:cs="Times New Roman"/>
          <w:color w:val="000000"/>
          <w:sz w:val="24"/>
          <w:szCs w:val="24"/>
        </w:rPr>
        <w:t>s</w:t>
      </w:r>
      <w:r w:rsidRPr="002552EB">
        <w:rPr>
          <w:rFonts w:ascii="Times New Roman" w:eastAsia="Times New Roman" w:hAnsi="Times New Roman" w:cs="Times New Roman"/>
          <w:color w:val="000000"/>
          <w:sz w:val="24"/>
          <w:szCs w:val="24"/>
        </w:rPr>
        <w:t xml:space="preserve"> the implication</w:t>
      </w:r>
      <w:r w:rsidR="00C86690" w:rsidRPr="002552EB">
        <w:rPr>
          <w:rFonts w:ascii="Times New Roman" w:eastAsia="Times New Roman" w:hAnsi="Times New Roman" w:cs="Times New Roman"/>
          <w:color w:val="000000"/>
          <w:sz w:val="24"/>
          <w:szCs w:val="24"/>
        </w:rPr>
        <w:t>s</w:t>
      </w:r>
      <w:r w:rsidRPr="002552EB">
        <w:rPr>
          <w:rFonts w:ascii="Times New Roman" w:eastAsia="Times New Roman" w:hAnsi="Times New Roman" w:cs="Times New Roman"/>
          <w:color w:val="000000"/>
          <w:sz w:val="24"/>
          <w:szCs w:val="24"/>
        </w:rPr>
        <w:t xml:space="preserve"> of the proposed methodology to discipline </w:t>
      </w:r>
      <w:r w:rsidR="00C5061D" w:rsidRPr="002552EB">
        <w:rPr>
          <w:rFonts w:ascii="Times New Roman" w:eastAsia="Times New Roman" w:hAnsi="Times New Roman" w:cs="Times New Roman"/>
          <w:color w:val="000000"/>
          <w:sz w:val="24"/>
          <w:szCs w:val="24"/>
        </w:rPr>
        <w:t>agriculture</w:t>
      </w:r>
      <w:r w:rsidRPr="002552EB">
        <w:rPr>
          <w:rFonts w:ascii="Times New Roman" w:eastAsia="Times New Roman" w:hAnsi="Times New Roman" w:cs="Times New Roman"/>
          <w:color w:val="000000"/>
          <w:sz w:val="24"/>
          <w:szCs w:val="24"/>
        </w:rPr>
        <w:t xml:space="preserve"> domestic support on sustainability as well as on the policy space of WTO members.</w:t>
      </w:r>
      <w:r w:rsidR="00C86690" w:rsidRPr="002552EB">
        <w:rPr>
          <w:rFonts w:ascii="Times New Roman" w:eastAsia="Times New Roman" w:hAnsi="Times New Roman" w:cs="Times New Roman"/>
          <w:color w:val="000000"/>
          <w:sz w:val="24"/>
          <w:szCs w:val="24"/>
        </w:rPr>
        <w:t xml:space="preserve"> </w:t>
      </w:r>
      <w:r w:rsidR="003C11CF" w:rsidRPr="002552EB">
        <w:rPr>
          <w:rFonts w:ascii="Times New Roman" w:eastAsia="Times New Roman" w:hAnsi="Times New Roman" w:cs="Times New Roman"/>
          <w:color w:val="000000"/>
          <w:sz w:val="24"/>
          <w:szCs w:val="24"/>
        </w:rPr>
        <w:t xml:space="preserve">The results suggest that the approach is fundamentally questionable, </w:t>
      </w:r>
      <w:r w:rsidR="00847874" w:rsidRPr="002552EB">
        <w:rPr>
          <w:rFonts w:ascii="Times New Roman" w:eastAsia="Times New Roman" w:hAnsi="Times New Roman" w:cs="Times New Roman"/>
          <w:color w:val="000000"/>
          <w:sz w:val="24"/>
          <w:szCs w:val="24"/>
        </w:rPr>
        <w:t xml:space="preserve">and </w:t>
      </w:r>
      <w:r w:rsidR="003C11CF" w:rsidRPr="002552EB">
        <w:rPr>
          <w:rFonts w:ascii="Times New Roman" w:eastAsia="Times New Roman" w:hAnsi="Times New Roman" w:cs="Times New Roman"/>
          <w:color w:val="000000"/>
          <w:sz w:val="24"/>
          <w:szCs w:val="24"/>
        </w:rPr>
        <w:t xml:space="preserve">adversely </w:t>
      </w:r>
      <w:r w:rsidR="00D5327D">
        <w:rPr>
          <w:rFonts w:ascii="Times New Roman" w:eastAsia="Times New Roman" w:hAnsi="Times New Roman" w:cs="Times New Roman"/>
          <w:color w:val="000000"/>
          <w:sz w:val="24"/>
          <w:szCs w:val="24"/>
        </w:rPr>
        <w:t>affects</w:t>
      </w:r>
      <w:r w:rsidR="003C11CF" w:rsidRPr="002552EB">
        <w:rPr>
          <w:rFonts w:ascii="Times New Roman" w:eastAsia="Times New Roman" w:hAnsi="Times New Roman" w:cs="Times New Roman"/>
          <w:color w:val="000000"/>
          <w:sz w:val="24"/>
          <w:szCs w:val="24"/>
        </w:rPr>
        <w:t xml:space="preserve"> </w:t>
      </w:r>
      <w:r w:rsidR="0001358D" w:rsidRPr="002552EB">
        <w:rPr>
          <w:rFonts w:ascii="Times New Roman" w:eastAsia="Times New Roman" w:hAnsi="Times New Roman" w:cs="Times New Roman"/>
          <w:color w:val="000000"/>
          <w:sz w:val="24"/>
          <w:szCs w:val="24"/>
        </w:rPr>
        <w:t xml:space="preserve">social and economic </w:t>
      </w:r>
      <w:r w:rsidR="003C11CF" w:rsidRPr="002552EB">
        <w:rPr>
          <w:rFonts w:ascii="Times New Roman" w:eastAsia="Times New Roman" w:hAnsi="Times New Roman" w:cs="Times New Roman"/>
          <w:color w:val="000000"/>
          <w:sz w:val="24"/>
          <w:szCs w:val="24"/>
        </w:rPr>
        <w:t>sustainability</w:t>
      </w:r>
      <w:r w:rsidR="0001358D" w:rsidRPr="002552EB">
        <w:rPr>
          <w:rFonts w:ascii="Times New Roman" w:eastAsia="Times New Roman" w:hAnsi="Times New Roman" w:cs="Times New Roman"/>
          <w:color w:val="000000"/>
          <w:sz w:val="24"/>
          <w:szCs w:val="24"/>
        </w:rPr>
        <w:t xml:space="preserve"> in agriculture trade. The implications are elaborated as follows.</w:t>
      </w:r>
      <w:r w:rsidR="003C11CF" w:rsidRPr="002552EB">
        <w:rPr>
          <w:rFonts w:ascii="Times New Roman" w:eastAsia="Times New Roman" w:hAnsi="Times New Roman" w:cs="Times New Roman"/>
          <w:color w:val="000000"/>
          <w:sz w:val="24"/>
          <w:szCs w:val="24"/>
        </w:rPr>
        <w:t xml:space="preserve"> </w:t>
      </w:r>
    </w:p>
    <w:p w14:paraId="30E8C8D8" w14:textId="77777777" w:rsidR="007C51E6" w:rsidRPr="002552EB" w:rsidRDefault="007C51E6" w:rsidP="002552EB">
      <w:pPr>
        <w:spacing w:after="0" w:line="360" w:lineRule="auto"/>
        <w:jc w:val="both"/>
        <w:rPr>
          <w:rFonts w:ascii="Times New Roman" w:eastAsia="Times New Roman" w:hAnsi="Times New Roman" w:cs="Times New Roman"/>
          <w:color w:val="000000"/>
          <w:sz w:val="24"/>
          <w:szCs w:val="24"/>
        </w:rPr>
      </w:pPr>
    </w:p>
    <w:p w14:paraId="0000012F" w14:textId="570D5876" w:rsidR="007F7F72" w:rsidRPr="002552EB" w:rsidRDefault="006A5520" w:rsidP="00801B78">
      <w:pPr>
        <w:pStyle w:val="Heading2"/>
        <w:numPr>
          <w:ilvl w:val="1"/>
          <w:numId w:val="12"/>
        </w:numPr>
        <w:spacing w:before="0"/>
        <w:jc w:val="left"/>
        <w:rPr>
          <w:szCs w:val="24"/>
        </w:rPr>
      </w:pPr>
      <w:bookmarkStart w:id="9" w:name="_Toc147322998"/>
      <w:r w:rsidRPr="002552EB">
        <w:rPr>
          <w:szCs w:val="24"/>
        </w:rPr>
        <w:t>Questionable approach</w:t>
      </w:r>
      <w:r w:rsidR="00D01ECA" w:rsidRPr="002552EB">
        <w:rPr>
          <w:szCs w:val="24"/>
        </w:rPr>
        <w:t xml:space="preserve"> to Estimate Overall Trade-distorting Domestic Support Entitlement</w:t>
      </w:r>
      <w:bookmarkEnd w:id="9"/>
    </w:p>
    <w:p w14:paraId="0955C275" w14:textId="688847D0" w:rsidR="0059381C" w:rsidRPr="00B61320" w:rsidRDefault="00D01ECA" w:rsidP="00801B78">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The proposed methodology deliberately ignores the fundamental difference in flexibility between the final bound AMS and </w:t>
      </w:r>
      <w:r w:rsidR="00C5061D" w:rsidRPr="002552EB">
        <w:rPr>
          <w:rFonts w:ascii="Times New Roman" w:eastAsia="Times New Roman" w:hAnsi="Times New Roman" w:cs="Times New Roman"/>
          <w:color w:val="000000"/>
          <w:sz w:val="24"/>
          <w:szCs w:val="24"/>
        </w:rPr>
        <w:t xml:space="preserve">the </w:t>
      </w:r>
      <w:r w:rsidRPr="002552EB">
        <w:rPr>
          <w:rFonts w:ascii="Times New Roman" w:eastAsia="Times New Roman" w:hAnsi="Times New Roman" w:cs="Times New Roman"/>
          <w:color w:val="000000"/>
          <w:sz w:val="24"/>
          <w:szCs w:val="24"/>
        </w:rPr>
        <w:t xml:space="preserve">combined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For instance, </w:t>
      </w:r>
      <w:r w:rsidR="00B07C35" w:rsidRPr="002552EB">
        <w:rPr>
          <w:rFonts w:ascii="Times New Roman" w:eastAsia="Times New Roman" w:hAnsi="Times New Roman" w:cs="Times New Roman"/>
          <w:color w:val="000000"/>
          <w:sz w:val="24"/>
          <w:szCs w:val="24"/>
        </w:rPr>
        <w:t xml:space="preserve">despite the fixed TTDS entitlement of US$ 10.48 </w:t>
      </w:r>
      <w:r w:rsidR="005B7DBA" w:rsidRPr="002552EB">
        <w:rPr>
          <w:rFonts w:ascii="Times New Roman" w:eastAsia="Times New Roman" w:hAnsi="Times New Roman" w:cs="Times New Roman"/>
          <w:color w:val="000000"/>
          <w:sz w:val="24"/>
          <w:szCs w:val="24"/>
        </w:rPr>
        <w:t>B</w:t>
      </w:r>
      <w:r w:rsidR="00B07C35" w:rsidRPr="002552EB">
        <w:rPr>
          <w:rFonts w:ascii="Times New Roman" w:eastAsia="Times New Roman" w:hAnsi="Times New Roman" w:cs="Times New Roman"/>
          <w:color w:val="000000"/>
          <w:sz w:val="24"/>
          <w:szCs w:val="24"/>
        </w:rPr>
        <w:t xml:space="preserve">illion under the proposed methodology, Indonesia cannot provide product-specific support </w:t>
      </w:r>
      <w:r w:rsidR="00B07C35" w:rsidRPr="002552EB">
        <w:rPr>
          <w:rFonts w:ascii="Times New Roman" w:eastAsia="Times New Roman" w:hAnsi="Times New Roman" w:cs="Times New Roman"/>
          <w:sz w:val="24"/>
          <w:szCs w:val="24"/>
        </w:rPr>
        <w:t>beyond 10 percent</w:t>
      </w:r>
      <w:r w:rsidR="00B07C35" w:rsidRPr="002552EB">
        <w:rPr>
          <w:rFonts w:ascii="Times New Roman" w:eastAsia="Times New Roman" w:hAnsi="Times New Roman" w:cs="Times New Roman"/>
          <w:color w:val="000000"/>
          <w:sz w:val="24"/>
          <w:szCs w:val="24"/>
        </w:rPr>
        <w:t xml:space="preserve"> </w:t>
      </w:r>
      <w:r w:rsidR="00B07C35" w:rsidRPr="002552EB">
        <w:rPr>
          <w:rFonts w:ascii="Times New Roman" w:eastAsia="Times New Roman" w:hAnsi="Times New Roman" w:cs="Times New Roman"/>
          <w:i/>
          <w:iCs/>
          <w:color w:val="000000"/>
          <w:sz w:val="24"/>
          <w:szCs w:val="24"/>
        </w:rPr>
        <w:t>de minimis</w:t>
      </w:r>
      <w:r w:rsidR="00B07C35" w:rsidRPr="002552EB">
        <w:rPr>
          <w:rFonts w:ascii="Times New Roman" w:eastAsia="Times New Roman" w:hAnsi="Times New Roman" w:cs="Times New Roman"/>
          <w:color w:val="000000"/>
          <w:sz w:val="24"/>
          <w:szCs w:val="24"/>
        </w:rPr>
        <w:t xml:space="preserve"> limit since it doesn’t possess an AMS entitlement.</w:t>
      </w:r>
      <w:r w:rsidRPr="002552EB">
        <w:rPr>
          <w:rFonts w:ascii="Times New Roman" w:eastAsia="Times New Roman" w:hAnsi="Times New Roman" w:cs="Times New Roman"/>
          <w:color w:val="000000"/>
          <w:sz w:val="24"/>
          <w:szCs w:val="24"/>
        </w:rPr>
        <w:t xml:space="preserve"> This is not the case with members such as the United States, Japan, and the European Union who have </w:t>
      </w:r>
      <w:r w:rsidR="00802591" w:rsidRPr="002552EB">
        <w:rPr>
          <w:rFonts w:ascii="Times New Roman" w:eastAsia="Times New Roman" w:hAnsi="Times New Roman" w:cs="Times New Roman"/>
          <w:color w:val="000000"/>
          <w:sz w:val="24"/>
          <w:szCs w:val="24"/>
        </w:rPr>
        <w:t xml:space="preserve">an </w:t>
      </w:r>
      <w:r w:rsidRPr="002552EB">
        <w:rPr>
          <w:rFonts w:ascii="Times New Roman" w:eastAsia="Times New Roman" w:hAnsi="Times New Roman" w:cs="Times New Roman"/>
          <w:iCs/>
          <w:color w:val="000000"/>
          <w:sz w:val="24"/>
          <w:szCs w:val="24"/>
        </w:rPr>
        <w:t>AMS entitlement</w:t>
      </w:r>
      <w:r w:rsidR="005B7DBA" w:rsidRPr="002552EB">
        <w:rPr>
          <w:rFonts w:ascii="Times New Roman" w:eastAsia="Times New Roman" w:hAnsi="Times New Roman" w:cs="Times New Roman"/>
          <w:iCs/>
          <w:color w:val="000000"/>
          <w:sz w:val="24"/>
          <w:szCs w:val="24"/>
        </w:rPr>
        <w:t>.</w:t>
      </w:r>
      <w:r w:rsidRPr="002552EB">
        <w:rPr>
          <w:rFonts w:ascii="Times New Roman" w:eastAsia="Times New Roman" w:hAnsi="Times New Roman" w:cs="Times New Roman"/>
          <w:iCs/>
          <w:color w:val="000000"/>
          <w:sz w:val="24"/>
          <w:szCs w:val="24"/>
        </w:rPr>
        <w:t xml:space="preserve"> </w:t>
      </w:r>
      <w:r w:rsidRPr="002552EB">
        <w:rPr>
          <w:rFonts w:ascii="Times New Roman" w:eastAsia="Times New Roman" w:hAnsi="Times New Roman" w:cs="Times New Roman"/>
          <w:color w:val="000000"/>
          <w:sz w:val="24"/>
          <w:szCs w:val="24"/>
        </w:rPr>
        <w:t xml:space="preserve">These members can </w:t>
      </w:r>
      <w:r w:rsidR="00272AEC" w:rsidRPr="002552EB">
        <w:rPr>
          <w:rFonts w:ascii="Times New Roman" w:eastAsia="Times New Roman" w:hAnsi="Times New Roman" w:cs="Times New Roman"/>
          <w:color w:val="000000"/>
          <w:sz w:val="24"/>
          <w:szCs w:val="24"/>
        </w:rPr>
        <w:t xml:space="preserve">not only </w:t>
      </w:r>
      <w:r w:rsidRPr="002552EB">
        <w:rPr>
          <w:rFonts w:ascii="Times New Roman" w:eastAsia="Times New Roman" w:hAnsi="Times New Roman" w:cs="Times New Roman"/>
          <w:color w:val="000000"/>
          <w:sz w:val="24"/>
          <w:szCs w:val="24"/>
        </w:rPr>
        <w:t xml:space="preserve">provide massive product-specific support </w:t>
      </w:r>
      <w:r w:rsidRPr="002552EB">
        <w:rPr>
          <w:rFonts w:ascii="Times New Roman" w:eastAsia="Times New Roman" w:hAnsi="Times New Roman" w:cs="Times New Roman"/>
          <w:sz w:val="24"/>
          <w:szCs w:val="24"/>
        </w:rPr>
        <w:t>beyond the</w:t>
      </w:r>
      <w:r w:rsidR="00802591" w:rsidRPr="002552EB">
        <w:rPr>
          <w:rFonts w:ascii="Times New Roman" w:eastAsia="Times New Roman" w:hAnsi="Times New Roman" w:cs="Times New Roman"/>
          <w:sz w:val="24"/>
          <w:szCs w:val="24"/>
        </w:rPr>
        <w:t>ir</w:t>
      </w:r>
      <w:r w:rsidR="00B07C35" w:rsidRPr="002552EB">
        <w:rPr>
          <w:rFonts w:ascii="Times New Roman" w:eastAsia="Times New Roman" w:hAnsi="Times New Roman" w:cs="Times New Roman"/>
          <w:sz w:val="24"/>
          <w:szCs w:val="24"/>
        </w:rPr>
        <w:t xml:space="preserve"> </w:t>
      </w:r>
      <w:r w:rsidRPr="002552EB">
        <w:rPr>
          <w:rFonts w:ascii="Times New Roman" w:eastAsia="Times New Roman" w:hAnsi="Times New Roman" w:cs="Times New Roman"/>
          <w:sz w:val="24"/>
          <w:szCs w:val="24"/>
        </w:rPr>
        <w:t>five</w:t>
      </w:r>
      <w:r w:rsidRPr="002552EB">
        <w:rPr>
          <w:rFonts w:ascii="Times New Roman" w:eastAsia="Times New Roman" w:hAnsi="Times New Roman" w:cs="Times New Roman"/>
          <w:color w:val="000000"/>
          <w:sz w:val="24"/>
          <w:szCs w:val="24"/>
        </w:rPr>
        <w:t xml:space="preserve"> percent </w:t>
      </w:r>
      <w:r w:rsidR="00802591" w:rsidRPr="002552EB">
        <w:rPr>
          <w:rFonts w:ascii="Times New Roman" w:eastAsia="Times New Roman" w:hAnsi="Times New Roman" w:cs="Times New Roman"/>
          <w:i/>
          <w:iCs/>
          <w:color w:val="000000"/>
          <w:sz w:val="24"/>
          <w:szCs w:val="24"/>
        </w:rPr>
        <w:t>de minimis</w:t>
      </w:r>
      <w:r w:rsidR="00802591" w:rsidRPr="002552EB">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sz w:val="24"/>
          <w:szCs w:val="24"/>
        </w:rPr>
        <w:t>limit</w:t>
      </w:r>
      <w:r w:rsidR="00802591"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xml:space="preserve"> </w:t>
      </w:r>
      <w:r w:rsidR="00272AEC" w:rsidRPr="002552EB">
        <w:rPr>
          <w:rFonts w:ascii="Times New Roman" w:eastAsia="Times New Roman" w:hAnsi="Times New Roman" w:cs="Times New Roman"/>
          <w:color w:val="000000"/>
          <w:sz w:val="24"/>
          <w:szCs w:val="24"/>
        </w:rPr>
        <w:t>but also</w:t>
      </w:r>
      <w:r w:rsidR="00802591" w:rsidRPr="002552EB">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sz w:val="24"/>
          <w:szCs w:val="24"/>
        </w:rPr>
        <w:t xml:space="preserve">concentrate </w:t>
      </w:r>
      <w:r w:rsidR="00272AEC" w:rsidRPr="002552EB">
        <w:rPr>
          <w:rFonts w:ascii="Times New Roman" w:eastAsia="Times New Roman" w:hAnsi="Times New Roman" w:cs="Times New Roman"/>
          <w:color w:val="000000"/>
          <w:sz w:val="24"/>
          <w:szCs w:val="24"/>
        </w:rPr>
        <w:t xml:space="preserve">such </w:t>
      </w:r>
      <w:r w:rsidRPr="002552EB">
        <w:rPr>
          <w:rFonts w:ascii="Times New Roman" w:eastAsia="Times New Roman" w:hAnsi="Times New Roman" w:cs="Times New Roman"/>
          <w:color w:val="000000"/>
          <w:sz w:val="24"/>
          <w:szCs w:val="24"/>
        </w:rPr>
        <w:t>support in a few products</w:t>
      </w:r>
      <w:r w:rsidR="00E917D1" w:rsidRPr="002552EB">
        <w:rPr>
          <w:rFonts w:ascii="Times New Roman" w:eastAsia="Times New Roman" w:hAnsi="Times New Roman" w:cs="Times New Roman"/>
          <w:color w:val="000000"/>
          <w:sz w:val="24"/>
          <w:szCs w:val="24"/>
        </w:rPr>
        <w:t xml:space="preserve"> and heavily distort </w:t>
      </w:r>
      <w:r w:rsidR="00D5327D">
        <w:rPr>
          <w:rFonts w:ascii="Times New Roman" w:eastAsia="Times New Roman" w:hAnsi="Times New Roman" w:cs="Times New Roman"/>
          <w:color w:val="000000"/>
          <w:sz w:val="24"/>
          <w:szCs w:val="24"/>
        </w:rPr>
        <w:t xml:space="preserve">the </w:t>
      </w:r>
      <w:r w:rsidR="00E917D1" w:rsidRPr="002552EB">
        <w:rPr>
          <w:rFonts w:ascii="Times New Roman" w:eastAsia="Times New Roman" w:hAnsi="Times New Roman" w:cs="Times New Roman"/>
          <w:color w:val="000000"/>
          <w:sz w:val="24"/>
          <w:szCs w:val="24"/>
        </w:rPr>
        <w:t>international market.</w:t>
      </w:r>
      <w:r w:rsidR="00272AEC" w:rsidRPr="002552EB">
        <w:rPr>
          <w:rFonts w:ascii="Times New Roman" w:eastAsia="Times New Roman" w:hAnsi="Times New Roman" w:cs="Times New Roman"/>
          <w:color w:val="000000"/>
          <w:sz w:val="24"/>
          <w:szCs w:val="24"/>
        </w:rPr>
        <w:t xml:space="preserve"> </w:t>
      </w:r>
    </w:p>
    <w:p w14:paraId="531ABFE4" w14:textId="77777777" w:rsidR="0059381C" w:rsidRPr="00801B78" w:rsidRDefault="0059381C" w:rsidP="00801B78">
      <w:pPr>
        <w:spacing w:after="0" w:line="360" w:lineRule="auto"/>
        <w:rPr>
          <w:rFonts w:ascii="Times New Roman" w:hAnsi="Times New Roman" w:cs="Times New Roman"/>
          <w:b/>
          <w:bCs/>
          <w:sz w:val="24"/>
          <w:szCs w:val="24"/>
        </w:rPr>
      </w:pPr>
    </w:p>
    <w:p w14:paraId="21E2DD5B" w14:textId="3A11ACB0" w:rsidR="00072B20" w:rsidRPr="002552EB" w:rsidRDefault="00072B20" w:rsidP="00801B78">
      <w:pPr>
        <w:spacing w:after="0" w:line="240" w:lineRule="auto"/>
        <w:contextualSpacing/>
        <w:rPr>
          <w:rFonts w:ascii="Times New Roman" w:hAnsi="Times New Roman" w:cs="Times New Roman"/>
          <w:b/>
          <w:bCs/>
          <w:sz w:val="20"/>
          <w:szCs w:val="20"/>
        </w:rPr>
      </w:pPr>
      <w:r w:rsidRPr="002552EB">
        <w:rPr>
          <w:rFonts w:ascii="Times New Roman" w:hAnsi="Times New Roman" w:cs="Times New Roman"/>
          <w:b/>
          <w:bCs/>
          <w:sz w:val="20"/>
          <w:szCs w:val="20"/>
        </w:rPr>
        <w:t>Fi</w:t>
      </w:r>
      <w:r w:rsidR="007D1B7C" w:rsidRPr="00640CB0">
        <w:rPr>
          <w:rFonts w:ascii="Times New Roman" w:hAnsi="Times New Roman" w:cs="Times New Roman"/>
          <w:b/>
          <w:bCs/>
          <w:sz w:val="20"/>
          <w:szCs w:val="20"/>
        </w:rPr>
        <w:t xml:space="preserve">g. </w:t>
      </w:r>
      <w:r w:rsidR="003674A8" w:rsidRPr="00640CB0">
        <w:rPr>
          <w:rFonts w:ascii="Times New Roman" w:hAnsi="Times New Roman" w:cs="Times New Roman"/>
          <w:b/>
          <w:bCs/>
          <w:sz w:val="20"/>
          <w:szCs w:val="20"/>
        </w:rPr>
        <w:t>5</w:t>
      </w:r>
      <w:r w:rsidRPr="002552EB">
        <w:rPr>
          <w:rFonts w:ascii="Times New Roman" w:hAnsi="Times New Roman" w:cs="Times New Roman"/>
          <w:b/>
          <w:bCs/>
          <w:sz w:val="20"/>
          <w:szCs w:val="20"/>
        </w:rPr>
        <w:t xml:space="preserve"> Trend in </w:t>
      </w:r>
      <w:r w:rsidR="001B7BF1" w:rsidRPr="00640CB0">
        <w:rPr>
          <w:rFonts w:ascii="Times New Roman" w:hAnsi="Times New Roman" w:cs="Times New Roman"/>
          <w:b/>
          <w:bCs/>
          <w:sz w:val="20"/>
          <w:szCs w:val="20"/>
        </w:rPr>
        <w:t>p</w:t>
      </w:r>
      <w:r w:rsidRPr="002552EB">
        <w:rPr>
          <w:rFonts w:ascii="Times New Roman" w:hAnsi="Times New Roman" w:cs="Times New Roman"/>
          <w:b/>
          <w:bCs/>
          <w:sz w:val="20"/>
          <w:szCs w:val="20"/>
        </w:rPr>
        <w:t xml:space="preserve">roduct- </w:t>
      </w:r>
      <w:r w:rsidR="001B7BF1" w:rsidRPr="00640CB0">
        <w:rPr>
          <w:rFonts w:ascii="Times New Roman" w:hAnsi="Times New Roman" w:cs="Times New Roman"/>
          <w:b/>
          <w:bCs/>
          <w:sz w:val="20"/>
          <w:szCs w:val="20"/>
        </w:rPr>
        <w:t>s</w:t>
      </w:r>
      <w:r w:rsidRPr="002552EB">
        <w:rPr>
          <w:rFonts w:ascii="Times New Roman" w:hAnsi="Times New Roman" w:cs="Times New Roman"/>
          <w:b/>
          <w:bCs/>
          <w:sz w:val="20"/>
          <w:szCs w:val="20"/>
        </w:rPr>
        <w:t xml:space="preserve">pecific </w:t>
      </w:r>
      <w:r w:rsidR="001B7BF1" w:rsidRPr="00640CB0">
        <w:rPr>
          <w:rFonts w:ascii="Times New Roman" w:hAnsi="Times New Roman" w:cs="Times New Roman"/>
          <w:b/>
          <w:bCs/>
          <w:sz w:val="20"/>
          <w:szCs w:val="20"/>
        </w:rPr>
        <w:t>s</w:t>
      </w:r>
      <w:r w:rsidRPr="002552EB">
        <w:rPr>
          <w:rFonts w:ascii="Times New Roman" w:hAnsi="Times New Roman" w:cs="Times New Roman"/>
          <w:b/>
          <w:bCs/>
          <w:sz w:val="20"/>
          <w:szCs w:val="20"/>
        </w:rPr>
        <w:t xml:space="preserve">upport for </w:t>
      </w:r>
      <w:r w:rsidR="001B7BF1" w:rsidRPr="00640CB0">
        <w:rPr>
          <w:rFonts w:ascii="Times New Roman" w:hAnsi="Times New Roman" w:cs="Times New Roman"/>
          <w:b/>
          <w:bCs/>
          <w:sz w:val="20"/>
          <w:szCs w:val="20"/>
        </w:rPr>
        <w:t>s</w:t>
      </w:r>
      <w:r w:rsidRPr="002552EB">
        <w:rPr>
          <w:rFonts w:ascii="Times New Roman" w:hAnsi="Times New Roman" w:cs="Times New Roman"/>
          <w:b/>
          <w:bCs/>
          <w:sz w:val="20"/>
          <w:szCs w:val="20"/>
        </w:rPr>
        <w:t xml:space="preserve">ugar as a % of Value of Production in the US </w:t>
      </w:r>
    </w:p>
    <w:p w14:paraId="1752AADA" w14:textId="303CB993" w:rsidR="00072B20" w:rsidRPr="00640CB0" w:rsidRDefault="00072B20" w:rsidP="00801B78">
      <w:pPr>
        <w:spacing w:after="0" w:line="240" w:lineRule="auto"/>
        <w:contextualSpacing/>
        <w:jc w:val="center"/>
        <w:rPr>
          <w:b/>
          <w:bCs/>
        </w:rPr>
      </w:pPr>
      <w:r w:rsidRPr="00640CB0">
        <w:rPr>
          <w:noProof/>
        </w:rPr>
        <w:drawing>
          <wp:inline distT="0" distB="0" distL="0" distR="0" wp14:anchorId="11952616" wp14:editId="60E22B4F">
            <wp:extent cx="5692140" cy="2423160"/>
            <wp:effectExtent l="0" t="0" r="10160" b="15240"/>
            <wp:docPr id="668414034" name="Chart 1">
              <a:extLst xmlns:a="http://schemas.openxmlformats.org/drawingml/2006/main">
                <a:ext uri="{FF2B5EF4-FFF2-40B4-BE49-F238E27FC236}">
                  <a16:creationId xmlns:a16="http://schemas.microsoft.com/office/drawing/2014/main" id="{750498D4-7E8F-0364-72D9-D4B71165AB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05FCCF" w14:textId="1701D281" w:rsidR="0066070F" w:rsidRPr="002552EB" w:rsidRDefault="00072B20" w:rsidP="00801B78">
      <w:pPr>
        <w:spacing w:after="0" w:line="240" w:lineRule="auto"/>
        <w:contextualSpacing/>
        <w:rPr>
          <w:rFonts w:ascii="Times New Roman" w:hAnsi="Times New Roman" w:cs="Times New Roman"/>
          <w:sz w:val="20"/>
          <w:szCs w:val="20"/>
        </w:rPr>
      </w:pPr>
      <w:r w:rsidRPr="002552EB">
        <w:rPr>
          <w:rFonts w:ascii="Times New Roman" w:hAnsi="Times New Roman" w:cs="Times New Roman"/>
          <w:sz w:val="20"/>
          <w:szCs w:val="20"/>
        </w:rPr>
        <w:t>Source: Authors</w:t>
      </w:r>
      <w:r w:rsidRPr="00640CB0">
        <w:rPr>
          <w:rFonts w:ascii="Times New Roman" w:hAnsi="Times New Roman" w:cs="Times New Roman"/>
          <w:sz w:val="20"/>
          <w:szCs w:val="20"/>
        </w:rPr>
        <w:t>’</w:t>
      </w:r>
      <w:r w:rsidRPr="002552EB">
        <w:rPr>
          <w:rFonts w:ascii="Times New Roman" w:hAnsi="Times New Roman" w:cs="Times New Roman"/>
          <w:sz w:val="20"/>
          <w:szCs w:val="20"/>
        </w:rPr>
        <w:t xml:space="preserve"> calculation based on the U</w:t>
      </w:r>
      <w:r w:rsidR="00B07C35" w:rsidRPr="00640CB0">
        <w:rPr>
          <w:rFonts w:ascii="Times New Roman" w:hAnsi="Times New Roman" w:cs="Times New Roman"/>
          <w:sz w:val="20"/>
          <w:szCs w:val="20"/>
        </w:rPr>
        <w:t xml:space="preserve">S’s </w:t>
      </w:r>
      <w:r w:rsidR="001B7BF1" w:rsidRPr="00640CB0">
        <w:rPr>
          <w:rFonts w:ascii="Times New Roman" w:hAnsi="Times New Roman" w:cs="Times New Roman"/>
          <w:sz w:val="20"/>
          <w:szCs w:val="20"/>
        </w:rPr>
        <w:t>D</w:t>
      </w:r>
      <w:r w:rsidRPr="002552EB">
        <w:rPr>
          <w:rFonts w:ascii="Times New Roman" w:hAnsi="Times New Roman" w:cs="Times New Roman"/>
          <w:sz w:val="20"/>
          <w:szCs w:val="20"/>
        </w:rPr>
        <w:t xml:space="preserve">omestic </w:t>
      </w:r>
      <w:r w:rsidR="001B7BF1" w:rsidRPr="00640CB0">
        <w:rPr>
          <w:rFonts w:ascii="Times New Roman" w:hAnsi="Times New Roman" w:cs="Times New Roman"/>
          <w:sz w:val="20"/>
          <w:szCs w:val="20"/>
        </w:rPr>
        <w:t>S</w:t>
      </w:r>
      <w:r w:rsidRPr="002552EB">
        <w:rPr>
          <w:rFonts w:ascii="Times New Roman" w:hAnsi="Times New Roman" w:cs="Times New Roman"/>
          <w:sz w:val="20"/>
          <w:szCs w:val="20"/>
        </w:rPr>
        <w:t>upport notification</w:t>
      </w:r>
      <w:r w:rsidR="001B7BF1" w:rsidRPr="00640CB0">
        <w:rPr>
          <w:rFonts w:ascii="Times New Roman" w:hAnsi="Times New Roman" w:cs="Times New Roman"/>
          <w:sz w:val="20"/>
          <w:szCs w:val="20"/>
        </w:rPr>
        <w:t>s</w:t>
      </w:r>
      <w:r w:rsidRPr="002552EB">
        <w:rPr>
          <w:rFonts w:ascii="Times New Roman" w:hAnsi="Times New Roman" w:cs="Times New Roman"/>
          <w:sz w:val="20"/>
          <w:szCs w:val="20"/>
        </w:rPr>
        <w:t xml:space="preserve"> for the relevant year</w:t>
      </w:r>
      <w:r w:rsidR="00CB6061" w:rsidRPr="00640CB0">
        <w:rPr>
          <w:rFonts w:ascii="Times New Roman" w:hAnsi="Times New Roman" w:cs="Times New Roman"/>
          <w:sz w:val="20"/>
          <w:szCs w:val="20"/>
        </w:rPr>
        <w:t>s</w:t>
      </w:r>
      <w:r w:rsidRPr="002552EB">
        <w:rPr>
          <w:rFonts w:ascii="Times New Roman" w:hAnsi="Times New Roman" w:cs="Times New Roman"/>
          <w:sz w:val="20"/>
          <w:szCs w:val="20"/>
        </w:rPr>
        <w:t xml:space="preserve">.  </w:t>
      </w:r>
    </w:p>
    <w:p w14:paraId="59FBB1E7" w14:textId="77777777" w:rsidR="004409E5" w:rsidRPr="00801B78" w:rsidRDefault="004409E5" w:rsidP="00801B78">
      <w:pPr>
        <w:spacing w:after="0" w:line="360" w:lineRule="auto"/>
        <w:jc w:val="both"/>
        <w:rPr>
          <w:rFonts w:ascii="Times New Roman" w:eastAsia="Times New Roman" w:hAnsi="Times New Roman" w:cs="Times New Roman"/>
          <w:color w:val="000000"/>
          <w:sz w:val="24"/>
          <w:szCs w:val="24"/>
        </w:rPr>
      </w:pPr>
    </w:p>
    <w:p w14:paraId="0561D907" w14:textId="0BD56E7E" w:rsidR="007C4E5D" w:rsidRPr="002552EB" w:rsidRDefault="00CC21CA"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To illustrate</w:t>
      </w:r>
      <w:r w:rsidR="000C2D92" w:rsidRPr="002552EB">
        <w:rPr>
          <w:rFonts w:ascii="Times New Roman" w:eastAsia="Times New Roman" w:hAnsi="Times New Roman" w:cs="Times New Roman"/>
          <w:color w:val="000000"/>
          <w:sz w:val="24"/>
          <w:szCs w:val="24"/>
        </w:rPr>
        <w:t>, the US has</w:t>
      </w:r>
      <w:r w:rsidR="00B07C35" w:rsidRPr="002552EB">
        <w:rPr>
          <w:rFonts w:ascii="Times New Roman" w:eastAsia="Times New Roman" w:hAnsi="Times New Roman" w:cs="Times New Roman"/>
          <w:color w:val="000000"/>
          <w:sz w:val="24"/>
          <w:szCs w:val="24"/>
        </w:rPr>
        <w:t xml:space="preserve"> consistently provided high product-specific support to its sugar industry (</w:t>
      </w:r>
      <w:r w:rsidR="003D6D0B">
        <w:rPr>
          <w:rFonts w:ascii="Times New Roman" w:eastAsia="Times New Roman" w:hAnsi="Times New Roman" w:cs="Times New Roman"/>
          <w:color w:val="000000"/>
          <w:sz w:val="24"/>
          <w:szCs w:val="24"/>
        </w:rPr>
        <w:t>F</w:t>
      </w:r>
      <w:r w:rsidR="00B07C35" w:rsidRPr="002552EB">
        <w:rPr>
          <w:rFonts w:ascii="Times New Roman" w:eastAsia="Times New Roman" w:hAnsi="Times New Roman" w:cs="Times New Roman"/>
          <w:color w:val="000000"/>
          <w:sz w:val="24"/>
          <w:szCs w:val="24"/>
        </w:rPr>
        <w:t>igure 5).</w:t>
      </w:r>
      <w:r w:rsidR="00516DDB" w:rsidRPr="002552EB">
        <w:rPr>
          <w:rFonts w:ascii="Times New Roman" w:eastAsia="Times New Roman" w:hAnsi="Times New Roman" w:cs="Times New Roman"/>
          <w:color w:val="000000"/>
          <w:sz w:val="24"/>
          <w:szCs w:val="24"/>
        </w:rPr>
        <w:t xml:space="preserve"> </w:t>
      </w:r>
      <w:r w:rsidR="002A1515" w:rsidRPr="002552EB">
        <w:rPr>
          <w:rFonts w:ascii="Times New Roman" w:eastAsia="Times New Roman" w:hAnsi="Times New Roman" w:cs="Times New Roman"/>
          <w:color w:val="000000"/>
          <w:sz w:val="24"/>
          <w:szCs w:val="24"/>
        </w:rPr>
        <w:t xml:space="preserve">Likewise, the EU has provided </w:t>
      </w:r>
      <w:r w:rsidR="006B4791" w:rsidRPr="002552EB">
        <w:rPr>
          <w:rFonts w:ascii="Times New Roman" w:eastAsia="Times New Roman" w:hAnsi="Times New Roman" w:cs="Times New Roman"/>
          <w:color w:val="000000"/>
          <w:sz w:val="24"/>
          <w:szCs w:val="24"/>
        </w:rPr>
        <w:t xml:space="preserve">support of </w:t>
      </w:r>
      <w:r w:rsidR="00BD1606" w:rsidRPr="002552EB">
        <w:rPr>
          <w:rFonts w:ascii="Times New Roman" w:eastAsia="Times New Roman" w:hAnsi="Times New Roman" w:cs="Times New Roman"/>
          <w:color w:val="000000"/>
          <w:sz w:val="24"/>
          <w:szCs w:val="24"/>
        </w:rPr>
        <w:t>up</w:t>
      </w:r>
      <w:r w:rsidR="0075362F" w:rsidRPr="002552EB">
        <w:rPr>
          <w:rFonts w:ascii="Times New Roman" w:eastAsia="Times New Roman" w:hAnsi="Times New Roman" w:cs="Times New Roman"/>
          <w:color w:val="000000"/>
          <w:sz w:val="24"/>
          <w:szCs w:val="24"/>
        </w:rPr>
        <w:t xml:space="preserve"> </w:t>
      </w:r>
      <w:r w:rsidR="00BD1606" w:rsidRPr="002552EB">
        <w:rPr>
          <w:rFonts w:ascii="Times New Roman" w:eastAsia="Times New Roman" w:hAnsi="Times New Roman" w:cs="Times New Roman"/>
          <w:color w:val="000000"/>
          <w:sz w:val="24"/>
          <w:szCs w:val="24"/>
        </w:rPr>
        <w:t xml:space="preserve">to </w:t>
      </w:r>
      <w:r w:rsidR="006B4791" w:rsidRPr="002552EB">
        <w:rPr>
          <w:rFonts w:ascii="Times New Roman" w:eastAsia="Times New Roman" w:hAnsi="Times New Roman" w:cs="Times New Roman"/>
          <w:color w:val="000000"/>
          <w:sz w:val="24"/>
          <w:szCs w:val="24"/>
        </w:rPr>
        <w:t>120 percent of VoP for white sugar and 67 percent of VoP for skimmed milk powder</w:t>
      </w:r>
      <w:r w:rsidR="00395897" w:rsidRPr="002552EB">
        <w:rPr>
          <w:rFonts w:ascii="Times New Roman" w:eastAsia="Times New Roman" w:hAnsi="Times New Roman" w:cs="Times New Roman"/>
          <w:color w:val="000000"/>
          <w:sz w:val="24"/>
          <w:szCs w:val="24"/>
        </w:rPr>
        <w:t xml:space="preserve"> </w:t>
      </w:r>
      <w:r w:rsidR="00BD1606" w:rsidRPr="002552EB">
        <w:rPr>
          <w:rFonts w:ascii="Times New Roman" w:eastAsia="Times New Roman" w:hAnsi="Times New Roman" w:cs="Times New Roman"/>
          <w:color w:val="000000"/>
          <w:sz w:val="24"/>
          <w:szCs w:val="24"/>
        </w:rPr>
        <w:t>in the period 2000-2013</w:t>
      </w:r>
      <w:r w:rsidR="00D85865" w:rsidRPr="002552EB">
        <w:rPr>
          <w:rFonts w:ascii="Times New Roman" w:eastAsia="Times New Roman" w:hAnsi="Times New Roman" w:cs="Times New Roman"/>
          <w:color w:val="000000"/>
          <w:sz w:val="24"/>
          <w:szCs w:val="24"/>
        </w:rPr>
        <w:t xml:space="preserve"> (WTO, 2017)</w:t>
      </w:r>
      <w:r w:rsidR="006B4791" w:rsidRPr="002552EB">
        <w:rPr>
          <w:rFonts w:ascii="Times New Roman" w:eastAsia="Times New Roman" w:hAnsi="Times New Roman" w:cs="Times New Roman"/>
          <w:color w:val="000000"/>
          <w:sz w:val="24"/>
          <w:szCs w:val="24"/>
        </w:rPr>
        <w:t>.</w:t>
      </w:r>
      <w:r w:rsidR="00B07C35" w:rsidRPr="002552EB">
        <w:rPr>
          <w:rFonts w:ascii="Times New Roman" w:eastAsia="Times New Roman" w:hAnsi="Times New Roman" w:cs="Times New Roman"/>
          <w:color w:val="000000"/>
          <w:sz w:val="24"/>
          <w:szCs w:val="24"/>
        </w:rPr>
        <w:t xml:space="preserve"> </w:t>
      </w:r>
      <w:r w:rsidR="006B4791" w:rsidRPr="002552EB">
        <w:rPr>
          <w:rFonts w:ascii="Times New Roman" w:eastAsia="Times New Roman" w:hAnsi="Times New Roman" w:cs="Times New Roman"/>
          <w:color w:val="000000"/>
          <w:sz w:val="24"/>
          <w:szCs w:val="24"/>
        </w:rPr>
        <w:t xml:space="preserve"> </w:t>
      </w:r>
      <w:r w:rsidR="001E3459" w:rsidRPr="002552EB">
        <w:rPr>
          <w:rFonts w:ascii="Times New Roman" w:eastAsia="Times New Roman" w:hAnsi="Times New Roman" w:cs="Times New Roman"/>
          <w:color w:val="000000"/>
          <w:sz w:val="24"/>
          <w:szCs w:val="24"/>
        </w:rPr>
        <w:t>In contrast, t</w:t>
      </w:r>
      <w:r w:rsidR="00880881" w:rsidRPr="002552EB">
        <w:rPr>
          <w:rFonts w:ascii="Times New Roman" w:eastAsia="Times New Roman" w:hAnsi="Times New Roman" w:cs="Times New Roman"/>
          <w:color w:val="000000"/>
          <w:sz w:val="24"/>
          <w:szCs w:val="24"/>
        </w:rPr>
        <w:t xml:space="preserve">he combined </w:t>
      </w:r>
      <w:r w:rsidR="00880881" w:rsidRPr="002552EB">
        <w:rPr>
          <w:rFonts w:ascii="Times New Roman" w:eastAsia="Times New Roman" w:hAnsi="Times New Roman" w:cs="Times New Roman"/>
          <w:i/>
          <w:color w:val="000000"/>
          <w:sz w:val="24"/>
          <w:szCs w:val="24"/>
        </w:rPr>
        <w:t>de minimis</w:t>
      </w:r>
      <w:r w:rsidR="00880881" w:rsidRPr="002552EB">
        <w:rPr>
          <w:rFonts w:ascii="Times New Roman" w:eastAsia="Times New Roman" w:hAnsi="Times New Roman" w:cs="Times New Roman"/>
          <w:color w:val="000000"/>
          <w:sz w:val="24"/>
          <w:szCs w:val="24"/>
        </w:rPr>
        <w:t xml:space="preserve"> entitlement does not allow member</w:t>
      </w:r>
      <w:r w:rsidR="00216212" w:rsidRPr="002552EB">
        <w:rPr>
          <w:rFonts w:ascii="Times New Roman" w:eastAsia="Times New Roman" w:hAnsi="Times New Roman" w:cs="Times New Roman"/>
          <w:color w:val="000000"/>
          <w:sz w:val="24"/>
          <w:szCs w:val="24"/>
        </w:rPr>
        <w:t>s</w:t>
      </w:r>
      <w:r w:rsidR="00880881" w:rsidRPr="002552EB">
        <w:rPr>
          <w:rFonts w:ascii="Times New Roman" w:eastAsia="Times New Roman" w:hAnsi="Times New Roman" w:cs="Times New Roman"/>
          <w:color w:val="000000"/>
          <w:sz w:val="24"/>
          <w:szCs w:val="24"/>
        </w:rPr>
        <w:t xml:space="preserve"> to provide </w:t>
      </w:r>
      <w:r w:rsidR="00880881" w:rsidRPr="002552EB">
        <w:rPr>
          <w:rFonts w:ascii="Times New Roman" w:eastAsia="Times New Roman" w:hAnsi="Times New Roman" w:cs="Times New Roman"/>
          <w:color w:val="000000"/>
          <w:sz w:val="24"/>
          <w:szCs w:val="24"/>
        </w:rPr>
        <w:lastRenderedPageBreak/>
        <w:t xml:space="preserve">product-specific support beyond </w:t>
      </w:r>
      <w:r w:rsidR="00216212" w:rsidRPr="002552EB">
        <w:rPr>
          <w:rFonts w:ascii="Times New Roman" w:eastAsia="Times New Roman" w:hAnsi="Times New Roman" w:cs="Times New Roman"/>
          <w:color w:val="000000"/>
          <w:sz w:val="24"/>
          <w:szCs w:val="24"/>
        </w:rPr>
        <w:t>their</w:t>
      </w:r>
      <w:r w:rsidR="00880881" w:rsidRPr="002552EB">
        <w:rPr>
          <w:rFonts w:ascii="Times New Roman" w:eastAsia="Times New Roman" w:hAnsi="Times New Roman" w:cs="Times New Roman"/>
          <w:color w:val="000000"/>
          <w:sz w:val="24"/>
          <w:szCs w:val="24"/>
        </w:rPr>
        <w:t xml:space="preserve"> respective </w:t>
      </w:r>
      <w:r w:rsidR="00880881" w:rsidRPr="002552EB">
        <w:rPr>
          <w:rFonts w:ascii="Times New Roman" w:eastAsia="Times New Roman" w:hAnsi="Times New Roman" w:cs="Times New Roman"/>
          <w:i/>
          <w:color w:val="000000"/>
          <w:sz w:val="24"/>
          <w:szCs w:val="24"/>
        </w:rPr>
        <w:t>de minimis</w:t>
      </w:r>
      <w:r w:rsidR="00880881" w:rsidRPr="002552EB">
        <w:rPr>
          <w:rFonts w:ascii="Times New Roman" w:eastAsia="Times New Roman" w:hAnsi="Times New Roman" w:cs="Times New Roman"/>
          <w:color w:val="000000"/>
          <w:sz w:val="24"/>
          <w:szCs w:val="24"/>
        </w:rPr>
        <w:t xml:space="preserve"> limit. </w:t>
      </w:r>
      <w:r w:rsidR="00390217" w:rsidRPr="002552EB">
        <w:rPr>
          <w:rFonts w:ascii="Times New Roman" w:eastAsia="Times New Roman" w:hAnsi="Times New Roman" w:cs="Times New Roman"/>
          <w:color w:val="000000"/>
          <w:sz w:val="24"/>
          <w:szCs w:val="24"/>
        </w:rPr>
        <w:t xml:space="preserve">The proposed methodology overlooks or ignores this key difference in policy space offered by the </w:t>
      </w:r>
      <w:r w:rsidR="00390217" w:rsidRPr="002552EB">
        <w:rPr>
          <w:rFonts w:ascii="Times New Roman" w:eastAsia="Times New Roman" w:hAnsi="Times New Roman" w:cs="Times New Roman"/>
          <w:i/>
          <w:iCs/>
          <w:color w:val="000000"/>
          <w:sz w:val="24"/>
          <w:szCs w:val="24"/>
        </w:rPr>
        <w:t>de minimis</w:t>
      </w:r>
      <w:r w:rsidR="00390217" w:rsidRPr="002552EB">
        <w:rPr>
          <w:rFonts w:ascii="Times New Roman" w:eastAsia="Times New Roman" w:hAnsi="Times New Roman" w:cs="Times New Roman"/>
          <w:color w:val="000000"/>
          <w:sz w:val="24"/>
          <w:szCs w:val="24"/>
        </w:rPr>
        <w:t xml:space="preserve"> and AMS entitlements</w:t>
      </w:r>
      <w:r w:rsidR="0075362F" w:rsidRPr="002552EB">
        <w:rPr>
          <w:rFonts w:ascii="Times New Roman" w:eastAsia="Times New Roman" w:hAnsi="Times New Roman" w:cs="Times New Roman"/>
          <w:color w:val="000000"/>
          <w:sz w:val="24"/>
          <w:szCs w:val="24"/>
        </w:rPr>
        <w:t>.</w:t>
      </w:r>
    </w:p>
    <w:p w14:paraId="5957FE2F" w14:textId="1FBF2FA3" w:rsidR="007C4E5D" w:rsidRPr="002552EB" w:rsidRDefault="007C4E5D" w:rsidP="00FF494B">
      <w:pPr>
        <w:spacing w:after="0" w:line="360" w:lineRule="auto"/>
        <w:jc w:val="both"/>
        <w:rPr>
          <w:rFonts w:ascii="Times New Roman" w:eastAsia="Times New Roman" w:hAnsi="Times New Roman" w:cs="Times New Roman"/>
          <w:color w:val="000000"/>
          <w:sz w:val="24"/>
          <w:szCs w:val="24"/>
        </w:rPr>
      </w:pPr>
    </w:p>
    <w:p w14:paraId="56331D57" w14:textId="3DE9FEA2" w:rsidR="001A7CE9" w:rsidRDefault="007C4E5D" w:rsidP="00FF494B">
      <w:pPr>
        <w:spacing w:after="0" w:line="360" w:lineRule="auto"/>
        <w:jc w:val="both"/>
        <w:rPr>
          <w:rFonts w:ascii="Times New Roman" w:hAnsi="Times New Roman" w:cs="Times New Roman"/>
          <w:sz w:val="24"/>
          <w:szCs w:val="24"/>
        </w:rPr>
      </w:pPr>
      <w:r w:rsidRPr="002552EB">
        <w:rPr>
          <w:rFonts w:ascii="Times New Roman" w:eastAsia="Times New Roman" w:hAnsi="Times New Roman" w:cs="Times New Roman"/>
          <w:color w:val="000000"/>
          <w:sz w:val="24"/>
          <w:szCs w:val="24"/>
        </w:rPr>
        <w:t xml:space="preserve">Additionally, </w:t>
      </w:r>
      <w:r w:rsidR="00216212" w:rsidRPr="002552EB">
        <w:rPr>
          <w:rFonts w:ascii="Times New Roman" w:eastAsia="Times New Roman" w:hAnsi="Times New Roman" w:cs="Times New Roman"/>
          <w:color w:val="000000"/>
          <w:sz w:val="24"/>
          <w:szCs w:val="24"/>
        </w:rPr>
        <w:t>i</w:t>
      </w:r>
      <w:r w:rsidRPr="002552EB">
        <w:rPr>
          <w:rFonts w:ascii="Times New Roman" w:eastAsia="Times New Roman" w:hAnsi="Times New Roman" w:cs="Times New Roman"/>
          <w:color w:val="000000"/>
          <w:sz w:val="24"/>
          <w:szCs w:val="24"/>
        </w:rPr>
        <w:t xml:space="preserve">t is a long-standing demand </w:t>
      </w:r>
      <w:r w:rsidRPr="002552EB">
        <w:rPr>
          <w:rFonts w:ascii="Times New Roman" w:eastAsia="Times New Roman" w:hAnsi="Times New Roman" w:cs="Times New Roman"/>
          <w:sz w:val="24"/>
          <w:szCs w:val="24"/>
        </w:rPr>
        <w:t>of m</w:t>
      </w:r>
      <w:r w:rsidR="00216212" w:rsidRPr="002552EB">
        <w:rPr>
          <w:rFonts w:ascii="Times New Roman" w:eastAsia="Times New Roman" w:hAnsi="Times New Roman" w:cs="Times New Roman"/>
          <w:sz w:val="24"/>
          <w:szCs w:val="24"/>
        </w:rPr>
        <w:t>any</w:t>
      </w:r>
      <w:r w:rsidRPr="002552EB">
        <w:rPr>
          <w:rFonts w:ascii="Times New Roman" w:eastAsia="Times New Roman" w:hAnsi="Times New Roman" w:cs="Times New Roman"/>
          <w:color w:val="000000"/>
          <w:sz w:val="24"/>
          <w:szCs w:val="24"/>
        </w:rPr>
        <w:t xml:space="preserve"> WTO members and groups including the G33, ACP, LDC, and African Group to eliminate the </w:t>
      </w:r>
      <w:r w:rsidRPr="002552EB">
        <w:rPr>
          <w:rFonts w:ascii="Times New Roman" w:eastAsia="Times New Roman" w:hAnsi="Times New Roman" w:cs="Times New Roman"/>
          <w:iCs/>
          <w:color w:val="000000"/>
          <w:sz w:val="24"/>
          <w:szCs w:val="24"/>
        </w:rPr>
        <w:t>AMS entitlement</w:t>
      </w:r>
      <w:r w:rsidRPr="002552EB">
        <w:rPr>
          <w:rFonts w:ascii="Times New Roman" w:eastAsia="Times New Roman" w:hAnsi="Times New Roman" w:cs="Times New Roman"/>
          <w:color w:val="000000"/>
          <w:sz w:val="24"/>
          <w:szCs w:val="24"/>
        </w:rPr>
        <w:t xml:space="preserve"> as a first step towards domestic support reforms. Importantly, the developed members account for over 95 percent share in global </w:t>
      </w:r>
      <w:r w:rsidRPr="002552EB">
        <w:rPr>
          <w:rFonts w:ascii="Times New Roman" w:eastAsia="Times New Roman" w:hAnsi="Times New Roman" w:cs="Times New Roman"/>
          <w:iCs/>
          <w:color w:val="000000" w:themeColor="text1"/>
          <w:sz w:val="24"/>
          <w:szCs w:val="24"/>
        </w:rPr>
        <w:t>final bound AMS entitlement</w:t>
      </w:r>
      <w:r w:rsidRPr="002552EB">
        <w:rPr>
          <w:rFonts w:ascii="Times New Roman" w:eastAsia="Times New Roman" w:hAnsi="Times New Roman" w:cs="Times New Roman"/>
          <w:i/>
          <w:color w:val="000000" w:themeColor="text1"/>
          <w:sz w:val="24"/>
          <w:szCs w:val="24"/>
        </w:rPr>
        <w:t xml:space="preserve"> </w:t>
      </w:r>
      <w:r w:rsidRPr="002552EB">
        <w:rPr>
          <w:rFonts w:ascii="Times New Roman" w:eastAsia="Times New Roman" w:hAnsi="Times New Roman" w:cs="Times New Roman"/>
          <w:iCs/>
          <w:color w:val="000000" w:themeColor="text1"/>
          <w:sz w:val="24"/>
          <w:szCs w:val="24"/>
        </w:rPr>
        <w:t>(WTO, 2021c; 2023a)</w:t>
      </w:r>
      <w:r w:rsidRPr="002552EB">
        <w:rPr>
          <w:rFonts w:ascii="Times New Roman" w:eastAsia="Times New Roman" w:hAnsi="Times New Roman" w:cs="Times New Roman"/>
          <w:color w:val="000000" w:themeColor="text1"/>
          <w:sz w:val="24"/>
          <w:szCs w:val="24"/>
        </w:rPr>
        <w:t xml:space="preserve">. Though the proposed TTDS entitlement will cap </w:t>
      </w:r>
      <w:r w:rsidR="006D5EC6" w:rsidRPr="002552EB">
        <w:rPr>
          <w:rFonts w:ascii="Times New Roman" w:eastAsia="Times New Roman" w:hAnsi="Times New Roman" w:cs="Times New Roman"/>
          <w:color w:val="000000" w:themeColor="text1"/>
          <w:sz w:val="24"/>
          <w:szCs w:val="24"/>
        </w:rPr>
        <w:t xml:space="preserve">all forms of </w:t>
      </w:r>
      <w:r w:rsidRPr="002552EB">
        <w:rPr>
          <w:rFonts w:ascii="Times New Roman" w:eastAsia="Times New Roman" w:hAnsi="Times New Roman" w:cs="Times New Roman"/>
          <w:color w:val="000000" w:themeColor="text1"/>
          <w:sz w:val="24"/>
          <w:szCs w:val="24"/>
        </w:rPr>
        <w:t xml:space="preserve">support under </w:t>
      </w:r>
      <w:r w:rsidR="00D5327D">
        <w:rPr>
          <w:rFonts w:ascii="Times New Roman" w:eastAsia="Times New Roman" w:hAnsi="Times New Roman" w:cs="Times New Roman"/>
          <w:color w:val="000000" w:themeColor="text1"/>
          <w:sz w:val="24"/>
          <w:szCs w:val="24"/>
        </w:rPr>
        <w:t>Article</w:t>
      </w:r>
      <w:r w:rsidR="006D5EC6" w:rsidRPr="002552EB">
        <w:rPr>
          <w:rFonts w:ascii="Times New Roman" w:eastAsia="Times New Roman" w:hAnsi="Times New Roman" w:cs="Times New Roman"/>
          <w:color w:val="000000" w:themeColor="text1"/>
          <w:sz w:val="24"/>
          <w:szCs w:val="24"/>
        </w:rPr>
        <w:t xml:space="preserve"> 6</w:t>
      </w:r>
      <w:r w:rsidRPr="002552EB">
        <w:rPr>
          <w:rFonts w:ascii="Times New Roman" w:eastAsia="Times New Roman" w:hAnsi="Times New Roman" w:cs="Times New Roman"/>
          <w:color w:val="000000" w:themeColor="text1"/>
          <w:sz w:val="24"/>
          <w:szCs w:val="24"/>
        </w:rPr>
        <w:t xml:space="preserve">, members with </w:t>
      </w:r>
      <w:r w:rsidRPr="002552EB">
        <w:rPr>
          <w:rFonts w:ascii="Times New Roman" w:eastAsia="Times New Roman" w:hAnsi="Times New Roman" w:cs="Times New Roman"/>
          <w:iCs/>
          <w:color w:val="000000" w:themeColor="text1"/>
          <w:sz w:val="24"/>
          <w:szCs w:val="24"/>
        </w:rPr>
        <w:t>AMS entitlement</w:t>
      </w:r>
      <w:r w:rsidRPr="002552EB">
        <w:rPr>
          <w:rFonts w:ascii="Times New Roman" w:eastAsia="Times New Roman" w:hAnsi="Times New Roman" w:cs="Times New Roman"/>
          <w:color w:val="000000" w:themeColor="text1"/>
          <w:sz w:val="24"/>
          <w:szCs w:val="24"/>
        </w:rPr>
        <w:t xml:space="preserve"> can continue to give high-level product-specific support. Thus, asymmetry in terms of </w:t>
      </w:r>
      <w:r w:rsidR="00074200" w:rsidRPr="002552EB">
        <w:rPr>
          <w:rFonts w:ascii="Times New Roman" w:eastAsia="Times New Roman" w:hAnsi="Times New Roman" w:cs="Times New Roman"/>
          <w:iCs/>
          <w:color w:val="000000" w:themeColor="text1"/>
          <w:sz w:val="24"/>
          <w:szCs w:val="24"/>
        </w:rPr>
        <w:t xml:space="preserve">flexibility to provide support beyond </w:t>
      </w:r>
      <w:r w:rsidR="00074200" w:rsidRPr="002552EB">
        <w:rPr>
          <w:rFonts w:ascii="Times New Roman" w:eastAsia="Times New Roman" w:hAnsi="Times New Roman" w:cs="Times New Roman"/>
          <w:i/>
          <w:color w:val="000000" w:themeColor="text1"/>
          <w:sz w:val="24"/>
          <w:szCs w:val="24"/>
        </w:rPr>
        <w:t>de minimis</w:t>
      </w:r>
      <w:r w:rsidRPr="002552EB">
        <w:rPr>
          <w:rFonts w:ascii="Times New Roman" w:eastAsia="Times New Roman" w:hAnsi="Times New Roman" w:cs="Times New Roman"/>
          <w:color w:val="000000" w:themeColor="text1"/>
          <w:sz w:val="24"/>
          <w:szCs w:val="24"/>
        </w:rPr>
        <w:t xml:space="preserve"> remains under this approach. However, Costa Rica in its latest proposal has addressed this issue by suggesting limits on product specific support</w:t>
      </w:r>
      <w:r w:rsidR="00B82DB7" w:rsidRPr="002552EB">
        <w:rPr>
          <w:rFonts w:ascii="Times New Roman" w:eastAsia="Times New Roman" w:hAnsi="Times New Roman" w:cs="Times New Roman"/>
          <w:color w:val="000000" w:themeColor="text1"/>
          <w:sz w:val="24"/>
          <w:szCs w:val="24"/>
        </w:rPr>
        <w:t xml:space="preserve"> </w:t>
      </w:r>
      <w:r w:rsidR="00883265" w:rsidRPr="002552EB">
        <w:rPr>
          <w:rFonts w:ascii="Times New Roman" w:hAnsi="Times New Roman" w:cs="Times New Roman"/>
          <w:color w:val="000000" w:themeColor="text1"/>
          <w:sz w:val="24"/>
          <w:szCs w:val="24"/>
        </w:rPr>
        <w:t>(WTO, 2023c)</w:t>
      </w:r>
      <w:r w:rsidRPr="002552EB">
        <w:rPr>
          <w:rFonts w:ascii="Times New Roman" w:eastAsia="Times New Roman" w:hAnsi="Times New Roman" w:cs="Times New Roman"/>
          <w:color w:val="000000" w:themeColor="text1"/>
          <w:sz w:val="24"/>
          <w:szCs w:val="24"/>
        </w:rPr>
        <w:t xml:space="preserve">. The proposal suggests the </w:t>
      </w:r>
      <w:r w:rsidRPr="002552EB">
        <w:rPr>
          <w:rFonts w:ascii="Times New Roman" w:hAnsi="Times New Roman" w:cs="Times New Roman"/>
          <w:color w:val="000000" w:themeColor="text1"/>
          <w:sz w:val="24"/>
          <w:szCs w:val="24"/>
        </w:rPr>
        <w:t xml:space="preserve">product-specific support of all the products to be aggregated to establish a </w:t>
      </w:r>
      <w:r w:rsidR="00C17F54" w:rsidRPr="002552EB">
        <w:rPr>
          <w:rFonts w:ascii="Times New Roman" w:hAnsi="Times New Roman" w:cs="Times New Roman"/>
          <w:color w:val="000000" w:themeColor="text1"/>
          <w:sz w:val="24"/>
          <w:szCs w:val="24"/>
        </w:rPr>
        <w:t>p</w:t>
      </w:r>
      <w:r w:rsidRPr="002552EB">
        <w:rPr>
          <w:rFonts w:ascii="Times New Roman" w:hAnsi="Times New Roman" w:cs="Times New Roman"/>
          <w:color w:val="000000" w:themeColor="text1"/>
          <w:sz w:val="24"/>
          <w:szCs w:val="24"/>
        </w:rPr>
        <w:t xml:space="preserve">roduct-specific AMS limit, which would be subject to the overall trade-distorting domestic support limit. Furthermore, members benefit from the flexibility to provide product-specific support, based on their </w:t>
      </w:r>
      <w:r w:rsidRPr="002552EB">
        <w:rPr>
          <w:rFonts w:ascii="Times New Roman" w:hAnsi="Times New Roman" w:cs="Times New Roman"/>
          <w:sz w:val="24"/>
          <w:szCs w:val="24"/>
        </w:rPr>
        <w:t xml:space="preserve">share in global </w:t>
      </w:r>
      <w:r w:rsidR="005642E7">
        <w:rPr>
          <w:rFonts w:ascii="Times New Roman" w:hAnsi="Times New Roman" w:cs="Times New Roman"/>
          <w:sz w:val="24"/>
          <w:szCs w:val="24"/>
        </w:rPr>
        <w:t>e</w:t>
      </w:r>
      <w:r w:rsidR="00D5327D">
        <w:rPr>
          <w:rFonts w:ascii="Times New Roman" w:hAnsi="Times New Roman" w:cs="Times New Roman"/>
          <w:sz w:val="24"/>
          <w:szCs w:val="24"/>
        </w:rPr>
        <w:t>xports</w:t>
      </w:r>
      <w:r w:rsidRPr="002552EB">
        <w:rPr>
          <w:rFonts w:ascii="Times New Roman" w:hAnsi="Times New Roman" w:cs="Times New Roman"/>
          <w:sz w:val="24"/>
          <w:szCs w:val="24"/>
        </w:rPr>
        <w:t xml:space="preserve"> or share of </w:t>
      </w:r>
      <w:r w:rsidR="00D5327D">
        <w:rPr>
          <w:rFonts w:ascii="Times New Roman" w:hAnsi="Times New Roman" w:cs="Times New Roman"/>
          <w:sz w:val="24"/>
          <w:szCs w:val="24"/>
        </w:rPr>
        <w:t>imports</w:t>
      </w:r>
      <w:r w:rsidRPr="002552EB">
        <w:rPr>
          <w:rFonts w:ascii="Times New Roman" w:hAnsi="Times New Roman" w:cs="Times New Roman"/>
          <w:sz w:val="24"/>
          <w:szCs w:val="24"/>
        </w:rPr>
        <w:t xml:space="preserve"> in their domestic consumption</w:t>
      </w:r>
      <w:r w:rsidR="00A83544" w:rsidRPr="002552EB">
        <w:rPr>
          <w:rFonts w:ascii="Times New Roman" w:hAnsi="Times New Roman" w:cs="Times New Roman"/>
          <w:sz w:val="24"/>
          <w:szCs w:val="24"/>
        </w:rPr>
        <w:t>.</w:t>
      </w:r>
    </w:p>
    <w:p w14:paraId="2D4B0016" w14:textId="77777777" w:rsidR="001A7CE9" w:rsidRPr="002552EB" w:rsidRDefault="001A7CE9" w:rsidP="00FF494B">
      <w:pPr>
        <w:spacing w:after="0" w:line="360" w:lineRule="auto"/>
        <w:jc w:val="both"/>
        <w:rPr>
          <w:rFonts w:ascii="Times New Roman" w:hAnsi="Times New Roman" w:cs="Times New Roman"/>
          <w:sz w:val="24"/>
          <w:szCs w:val="24"/>
        </w:rPr>
      </w:pPr>
    </w:p>
    <w:p w14:paraId="65729C23" w14:textId="6832D5E0" w:rsidR="00644262" w:rsidRPr="002552EB" w:rsidRDefault="00644262" w:rsidP="00FF494B">
      <w:pPr>
        <w:pStyle w:val="Heading2"/>
        <w:numPr>
          <w:ilvl w:val="1"/>
          <w:numId w:val="12"/>
        </w:numPr>
        <w:spacing w:before="0"/>
        <w:jc w:val="left"/>
        <w:rPr>
          <w:szCs w:val="24"/>
        </w:rPr>
      </w:pPr>
      <w:bookmarkStart w:id="10" w:name="_Toc147322999"/>
      <w:r w:rsidRPr="002552EB">
        <w:rPr>
          <w:szCs w:val="24"/>
        </w:rPr>
        <w:t>Undermining social and economic sustainability</w:t>
      </w:r>
      <w:bookmarkEnd w:id="10"/>
      <w:r w:rsidRPr="002552EB">
        <w:rPr>
          <w:szCs w:val="24"/>
        </w:rPr>
        <w:t xml:space="preserve"> </w:t>
      </w:r>
    </w:p>
    <w:p w14:paraId="209DD914" w14:textId="77227CC4" w:rsidR="00182EF4" w:rsidRPr="00801B78" w:rsidRDefault="00644262"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The TTDS entitlement limit </w:t>
      </w:r>
      <w:r w:rsidR="00A83544" w:rsidRPr="002552EB">
        <w:rPr>
          <w:rFonts w:ascii="Times New Roman" w:eastAsia="Times New Roman" w:hAnsi="Times New Roman" w:cs="Times New Roman"/>
          <w:color w:val="000000"/>
          <w:sz w:val="24"/>
          <w:szCs w:val="24"/>
        </w:rPr>
        <w:t xml:space="preserve">for WTO members </w:t>
      </w:r>
      <w:r w:rsidRPr="002552EB">
        <w:rPr>
          <w:rFonts w:ascii="Times New Roman" w:eastAsia="Times New Roman" w:hAnsi="Times New Roman" w:cs="Times New Roman"/>
          <w:color w:val="000000"/>
          <w:sz w:val="24"/>
          <w:szCs w:val="24"/>
        </w:rPr>
        <w:t xml:space="preserve">in percentage terms would steeply decline in future with growth in the VoP. For instance, the TTDS entitlement of Indonesia before the reduction was US$ 22 </w:t>
      </w:r>
      <w:r w:rsidR="00A83544" w:rsidRPr="002552EB">
        <w:rPr>
          <w:rFonts w:ascii="Times New Roman" w:eastAsia="Times New Roman" w:hAnsi="Times New Roman" w:cs="Times New Roman"/>
          <w:color w:val="000000"/>
          <w:sz w:val="24"/>
          <w:szCs w:val="24"/>
        </w:rPr>
        <w:t>B</w:t>
      </w:r>
      <w:r w:rsidRPr="002552EB">
        <w:rPr>
          <w:rFonts w:ascii="Times New Roman" w:eastAsia="Times New Roman" w:hAnsi="Times New Roman" w:cs="Times New Roman"/>
          <w:color w:val="000000"/>
          <w:sz w:val="24"/>
          <w:szCs w:val="24"/>
        </w:rPr>
        <w:t xml:space="preserve">illion in 2018, which will </w:t>
      </w:r>
      <w:r w:rsidR="00A83544" w:rsidRPr="002552EB">
        <w:rPr>
          <w:rFonts w:ascii="Times New Roman" w:eastAsia="Times New Roman" w:hAnsi="Times New Roman" w:cs="Times New Roman"/>
          <w:color w:val="000000"/>
          <w:sz w:val="24"/>
          <w:szCs w:val="24"/>
        </w:rPr>
        <w:t xml:space="preserve">be </w:t>
      </w:r>
      <w:r w:rsidRPr="002552EB">
        <w:rPr>
          <w:rFonts w:ascii="Times New Roman" w:eastAsia="Times New Roman" w:hAnsi="Times New Roman" w:cs="Times New Roman"/>
          <w:color w:val="000000"/>
          <w:sz w:val="24"/>
          <w:szCs w:val="24"/>
        </w:rPr>
        <w:t>reduce</w:t>
      </w:r>
      <w:r w:rsidR="00A83544" w:rsidRPr="002552EB">
        <w:rPr>
          <w:rFonts w:ascii="Times New Roman" w:eastAsia="Times New Roman" w:hAnsi="Times New Roman" w:cs="Times New Roman"/>
          <w:color w:val="000000"/>
          <w:sz w:val="24"/>
          <w:szCs w:val="24"/>
        </w:rPr>
        <w:t>d</w:t>
      </w:r>
      <w:r w:rsidRPr="002552EB">
        <w:rPr>
          <w:rFonts w:ascii="Times New Roman" w:eastAsia="Times New Roman" w:hAnsi="Times New Roman" w:cs="Times New Roman"/>
          <w:color w:val="000000"/>
          <w:sz w:val="24"/>
          <w:szCs w:val="24"/>
        </w:rPr>
        <w:t xml:space="preserve"> to US$ 10.48 </w:t>
      </w:r>
      <w:r w:rsidR="00A83544" w:rsidRPr="002552EB">
        <w:rPr>
          <w:rFonts w:ascii="Times New Roman" w:eastAsia="Times New Roman" w:hAnsi="Times New Roman" w:cs="Times New Roman"/>
          <w:color w:val="000000"/>
          <w:sz w:val="24"/>
          <w:szCs w:val="24"/>
        </w:rPr>
        <w:t>B</w:t>
      </w:r>
      <w:r w:rsidRPr="002552EB">
        <w:rPr>
          <w:rFonts w:ascii="Times New Roman" w:eastAsia="Times New Roman" w:hAnsi="Times New Roman" w:cs="Times New Roman"/>
          <w:color w:val="000000"/>
          <w:sz w:val="24"/>
          <w:szCs w:val="24"/>
        </w:rPr>
        <w:t xml:space="preserve">illion under the proposed methodology. As per this approach, the actual support of Indonesia under the current AMS, within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Blue and Development box cannot exceed the fixed TTDS </w:t>
      </w:r>
      <w:sdt>
        <w:sdtPr>
          <w:rPr>
            <w:sz w:val="24"/>
            <w:szCs w:val="24"/>
          </w:rPr>
          <w:tag w:val="goog_rdk_19"/>
          <w:id w:val="1898081819"/>
        </w:sdtPr>
        <w:sdtEndPr/>
        <w:sdtContent>
          <w:r w:rsidRPr="002552EB">
            <w:rPr>
              <w:rFonts w:ascii="Times New Roman" w:eastAsia="Times New Roman" w:hAnsi="Times New Roman" w:cs="Times New Roman"/>
              <w:color w:val="000000"/>
              <w:sz w:val="24"/>
              <w:szCs w:val="24"/>
            </w:rPr>
            <w:t>entitlement</w:t>
          </w:r>
        </w:sdtContent>
      </w:sdt>
      <w:r w:rsidRPr="002552EB">
        <w:rPr>
          <w:rFonts w:ascii="Times New Roman" w:eastAsia="Times New Roman" w:hAnsi="Times New Roman" w:cs="Times New Roman"/>
          <w:color w:val="000000"/>
          <w:sz w:val="24"/>
          <w:szCs w:val="24"/>
        </w:rPr>
        <w:t xml:space="preserve"> limit of US$10.48 </w:t>
      </w:r>
      <w:r w:rsidR="00EF7D67" w:rsidRPr="002552EB">
        <w:rPr>
          <w:rFonts w:ascii="Times New Roman" w:eastAsia="Times New Roman" w:hAnsi="Times New Roman" w:cs="Times New Roman"/>
          <w:color w:val="000000"/>
          <w:sz w:val="24"/>
          <w:szCs w:val="24"/>
        </w:rPr>
        <w:t>B</w:t>
      </w:r>
      <w:r w:rsidRPr="002552EB">
        <w:rPr>
          <w:rFonts w:ascii="Times New Roman" w:eastAsia="Times New Roman" w:hAnsi="Times New Roman" w:cs="Times New Roman"/>
          <w:color w:val="000000"/>
          <w:sz w:val="24"/>
          <w:szCs w:val="24"/>
        </w:rPr>
        <w:t xml:space="preserve">illion from the base year onwards. As it is fixed in monetary terms, the TTDS limit would become extremely constraining as it first reduces from 20 to 9.4 percent in the base year 2018 and is projected to decline to 3.2 percent in 2030 (Figure </w:t>
      </w:r>
      <w:r w:rsidR="009D33E0">
        <w:rPr>
          <w:rFonts w:ascii="Times New Roman" w:eastAsia="Times New Roman" w:hAnsi="Times New Roman" w:cs="Times New Roman"/>
          <w:color w:val="000000"/>
          <w:sz w:val="24"/>
          <w:szCs w:val="24"/>
        </w:rPr>
        <w:t>6</w:t>
      </w:r>
      <w:r w:rsidRPr="002552EB">
        <w:rPr>
          <w:rFonts w:ascii="Times New Roman" w:eastAsia="Times New Roman" w:hAnsi="Times New Roman" w:cs="Times New Roman"/>
          <w:color w:val="000000"/>
          <w:sz w:val="24"/>
          <w:szCs w:val="24"/>
        </w:rPr>
        <w:t xml:space="preserve">). It will further tend to zero from 2030 onwards as the value of </w:t>
      </w:r>
      <w:r w:rsidR="00D5327D">
        <w:rPr>
          <w:rFonts w:ascii="Times New Roman" w:eastAsia="Times New Roman" w:hAnsi="Times New Roman" w:cs="Times New Roman"/>
          <w:color w:val="000000"/>
          <w:sz w:val="24"/>
          <w:szCs w:val="24"/>
        </w:rPr>
        <w:t xml:space="preserve">the </w:t>
      </w:r>
      <w:r w:rsidRPr="002552EB">
        <w:rPr>
          <w:rFonts w:ascii="Times New Roman" w:eastAsia="Times New Roman" w:hAnsi="Times New Roman" w:cs="Times New Roman"/>
          <w:color w:val="000000"/>
          <w:sz w:val="24"/>
          <w:szCs w:val="24"/>
        </w:rPr>
        <w:t xml:space="preserve">new entitlement limit relative to growing VoP would decline. It implies the methodology will leave no policy space for the developing members to implement domestic support measures compatible with their prevailing socio-economic conditions. Farmers from developing and LDC members presently face numerous capacity constraints such as small landholding size, lack of appropriate infrastructure, and marketing problems, among others </w:t>
      </w:r>
      <w:r w:rsidRPr="002552EB">
        <w:rPr>
          <w:rFonts w:ascii="Times New Roman" w:eastAsia="Times New Roman" w:hAnsi="Times New Roman" w:cs="Times New Roman"/>
          <w:color w:val="000000" w:themeColor="text1"/>
          <w:sz w:val="24"/>
          <w:szCs w:val="24"/>
        </w:rPr>
        <w:t xml:space="preserve">(IFAD, 2015; </w:t>
      </w:r>
      <w:proofErr w:type="spellStart"/>
      <w:r w:rsidRPr="002552EB">
        <w:rPr>
          <w:rFonts w:ascii="Times New Roman" w:eastAsia="Times New Roman" w:hAnsi="Times New Roman" w:cs="Times New Roman"/>
          <w:color w:val="000000" w:themeColor="text1"/>
          <w:sz w:val="24"/>
          <w:szCs w:val="24"/>
        </w:rPr>
        <w:t>Merriott</w:t>
      </w:r>
      <w:proofErr w:type="spellEnd"/>
      <w:r w:rsidRPr="002552EB">
        <w:rPr>
          <w:rFonts w:ascii="Times New Roman" w:eastAsia="Times New Roman" w:hAnsi="Times New Roman" w:cs="Times New Roman"/>
          <w:color w:val="000000" w:themeColor="text1"/>
          <w:sz w:val="24"/>
          <w:szCs w:val="24"/>
        </w:rPr>
        <w:t>, 2016).</w:t>
      </w:r>
      <w:r w:rsidRPr="002552EB">
        <w:rPr>
          <w:rFonts w:ascii="Times New Roman" w:eastAsia="Times New Roman" w:hAnsi="Times New Roman" w:cs="Times New Roman"/>
          <w:color w:val="FF0000"/>
          <w:sz w:val="24"/>
          <w:szCs w:val="24"/>
        </w:rPr>
        <w:t xml:space="preserve"> </w:t>
      </w:r>
      <w:r w:rsidRPr="002552EB">
        <w:rPr>
          <w:rFonts w:ascii="Times New Roman" w:eastAsia="Times New Roman" w:hAnsi="Times New Roman" w:cs="Times New Roman"/>
          <w:color w:val="000000"/>
          <w:sz w:val="24"/>
          <w:szCs w:val="24"/>
        </w:rPr>
        <w:t xml:space="preserve">The average farm-size in Kenya (0.86 hectares), and Bangladesh (0.54 hectares), for instance, is negligible in </w:t>
      </w:r>
      <w:r w:rsidRPr="002552EB">
        <w:rPr>
          <w:rFonts w:ascii="Times New Roman" w:eastAsia="Times New Roman" w:hAnsi="Times New Roman" w:cs="Times New Roman"/>
          <w:color w:val="000000"/>
          <w:sz w:val="24"/>
          <w:szCs w:val="24"/>
        </w:rPr>
        <w:lastRenderedPageBreak/>
        <w:t xml:space="preserve">comparison to Australia (4331 hectares), </w:t>
      </w:r>
      <w:r w:rsidR="00D5327D">
        <w:rPr>
          <w:rFonts w:ascii="Times New Roman" w:eastAsia="Times New Roman" w:hAnsi="Times New Roman" w:cs="Times New Roman"/>
          <w:color w:val="000000"/>
          <w:sz w:val="24"/>
          <w:szCs w:val="24"/>
        </w:rPr>
        <w:t xml:space="preserve">and </w:t>
      </w:r>
      <w:r w:rsidRPr="002552EB">
        <w:rPr>
          <w:rFonts w:ascii="Times New Roman" w:eastAsia="Times New Roman" w:hAnsi="Times New Roman" w:cs="Times New Roman"/>
          <w:color w:val="000000"/>
          <w:sz w:val="24"/>
          <w:szCs w:val="24"/>
        </w:rPr>
        <w:t xml:space="preserve">Canada (315 hectares) </w:t>
      </w:r>
      <w:r w:rsidRPr="002552EB">
        <w:rPr>
          <w:rFonts w:ascii="Times New Roman" w:eastAsia="Times New Roman" w:hAnsi="Times New Roman" w:cs="Times New Roman"/>
          <w:color w:val="000000" w:themeColor="text1"/>
          <w:sz w:val="24"/>
          <w:szCs w:val="24"/>
        </w:rPr>
        <w:t>(Sharma et al. 2021)</w:t>
      </w:r>
      <w:r w:rsidRPr="002552EB">
        <w:rPr>
          <w:rFonts w:ascii="Times New Roman" w:eastAsia="Times New Roman" w:hAnsi="Times New Roman" w:cs="Times New Roman"/>
          <w:color w:val="000000"/>
          <w:sz w:val="24"/>
          <w:szCs w:val="24"/>
        </w:rPr>
        <w:t>. Inadequate support measures will expose low-income or resource-poor farmers to market risks, which compounds existing farm issues in developing and LDC members and leads to acute farm distress. In conclusion, the reduction of TTDS entitlement will further tilt the playing field against such poor farmers instead of levelling the playing field as claimed by the proponents of the proposals.</w:t>
      </w:r>
      <w:r w:rsidRPr="00640CB0">
        <w:rPr>
          <w:rFonts w:ascii="Times New Roman" w:eastAsia="Times New Roman" w:hAnsi="Times New Roman" w:cs="Times New Roman"/>
          <w:color w:val="000000"/>
          <w:sz w:val="20"/>
          <w:szCs w:val="20"/>
        </w:rPr>
        <w:t xml:space="preserve"> </w:t>
      </w:r>
    </w:p>
    <w:p w14:paraId="6248FD13" w14:textId="77777777" w:rsidR="00801B78" w:rsidRPr="00801B78" w:rsidRDefault="00801B78" w:rsidP="00801B78">
      <w:pPr>
        <w:spacing w:after="0" w:line="360" w:lineRule="auto"/>
        <w:jc w:val="both"/>
        <w:rPr>
          <w:rFonts w:ascii="Times New Roman" w:eastAsia="Times New Roman" w:hAnsi="Times New Roman" w:cs="Times New Roman"/>
          <w:color w:val="000000"/>
          <w:sz w:val="24"/>
          <w:szCs w:val="24"/>
        </w:rPr>
      </w:pPr>
    </w:p>
    <w:p w14:paraId="1853E9B5" w14:textId="629D9C58" w:rsidR="00644262" w:rsidRPr="00640CB0" w:rsidRDefault="00644262" w:rsidP="00801B78">
      <w:pPr>
        <w:spacing w:after="0" w:line="240" w:lineRule="auto"/>
        <w:contextualSpacing/>
        <w:jc w:val="both"/>
        <w:rPr>
          <w:rFonts w:ascii="Times New Roman" w:eastAsia="Times New Roman" w:hAnsi="Times New Roman" w:cs="Times New Roman"/>
          <w:noProof/>
          <w:color w:val="000000"/>
          <w:sz w:val="20"/>
          <w:szCs w:val="20"/>
        </w:rPr>
      </w:pPr>
      <w:r w:rsidRPr="00640CB0">
        <w:rPr>
          <w:rFonts w:ascii="Times New Roman" w:eastAsia="Times New Roman" w:hAnsi="Times New Roman" w:cs="Times New Roman"/>
          <w:b/>
          <w:color w:val="000000"/>
          <w:sz w:val="20"/>
          <w:szCs w:val="20"/>
        </w:rPr>
        <w:t xml:space="preserve">Fig. </w:t>
      </w:r>
      <w:r w:rsidR="009D33E0">
        <w:rPr>
          <w:rFonts w:ascii="Times New Roman" w:eastAsia="Times New Roman" w:hAnsi="Times New Roman" w:cs="Times New Roman"/>
          <w:b/>
          <w:color w:val="000000"/>
          <w:sz w:val="20"/>
          <w:szCs w:val="20"/>
        </w:rPr>
        <w:t>6</w:t>
      </w:r>
      <w:r w:rsidRPr="00640CB0">
        <w:rPr>
          <w:rFonts w:ascii="Times New Roman" w:eastAsia="Times New Roman" w:hAnsi="Times New Roman" w:cs="Times New Roman"/>
          <w:b/>
          <w:color w:val="000000"/>
          <w:sz w:val="20"/>
          <w:szCs w:val="20"/>
        </w:rPr>
        <w:t xml:space="preserve"> Impact of proportionate reduction </w:t>
      </w:r>
      <w:r w:rsidR="00EF7D67" w:rsidRPr="00640CB0">
        <w:rPr>
          <w:rFonts w:ascii="Times New Roman" w:eastAsia="Times New Roman" w:hAnsi="Times New Roman" w:cs="Times New Roman"/>
          <w:b/>
          <w:color w:val="000000"/>
          <w:sz w:val="20"/>
          <w:szCs w:val="20"/>
        </w:rPr>
        <w:t>m</w:t>
      </w:r>
      <w:r w:rsidRPr="00640CB0">
        <w:rPr>
          <w:rFonts w:ascii="Times New Roman" w:eastAsia="Times New Roman" w:hAnsi="Times New Roman" w:cs="Times New Roman"/>
          <w:b/>
          <w:color w:val="000000"/>
          <w:sz w:val="20"/>
          <w:szCs w:val="20"/>
        </w:rPr>
        <w:t xml:space="preserve">ethodology on Indonesia’s TTDS </w:t>
      </w:r>
      <w:r w:rsidR="00EF7D67" w:rsidRPr="00640CB0">
        <w:rPr>
          <w:rFonts w:ascii="Times New Roman" w:eastAsia="Times New Roman" w:hAnsi="Times New Roman" w:cs="Times New Roman"/>
          <w:b/>
          <w:color w:val="000000"/>
          <w:sz w:val="20"/>
          <w:szCs w:val="20"/>
        </w:rPr>
        <w:t>e</w:t>
      </w:r>
      <w:r w:rsidRPr="00640CB0">
        <w:rPr>
          <w:rFonts w:ascii="Times New Roman" w:eastAsia="Times New Roman" w:hAnsi="Times New Roman" w:cs="Times New Roman"/>
          <w:b/>
          <w:color w:val="000000"/>
          <w:sz w:val="20"/>
          <w:szCs w:val="20"/>
        </w:rPr>
        <w:t xml:space="preserve">ntitlement </w:t>
      </w:r>
    </w:p>
    <w:p w14:paraId="17C829C2" w14:textId="760F4781" w:rsidR="00BE1A47" w:rsidRDefault="00644262" w:rsidP="00801B78">
      <w:pPr>
        <w:spacing w:line="240" w:lineRule="auto"/>
        <w:contextualSpacing/>
        <w:jc w:val="both"/>
        <w:rPr>
          <w:rFonts w:ascii="Times New Roman" w:eastAsia="Times New Roman" w:hAnsi="Times New Roman" w:cs="Times New Roman"/>
          <w:color w:val="000000"/>
          <w:sz w:val="20"/>
          <w:szCs w:val="20"/>
        </w:rPr>
      </w:pPr>
      <w:r w:rsidRPr="00640CB0">
        <w:rPr>
          <w:rFonts w:ascii="Helvetica" w:hAnsi="Helvetica"/>
          <w:noProof/>
          <w:sz w:val="20"/>
          <w:szCs w:val="20"/>
        </w:rPr>
        <w:drawing>
          <wp:inline distT="0" distB="0" distL="0" distR="0" wp14:anchorId="4897C0A5" wp14:editId="442DB6E4">
            <wp:extent cx="5687695" cy="2600325"/>
            <wp:effectExtent l="0" t="0" r="14605" b="15875"/>
            <wp:docPr id="1984353551" name="Chart 1984353551">
              <a:extLst xmlns:a="http://schemas.openxmlformats.org/drawingml/2006/main">
                <a:ext uri="{FF2B5EF4-FFF2-40B4-BE49-F238E27FC236}">
                  <a16:creationId xmlns:a16="http://schemas.microsoft.com/office/drawing/2014/main" id="{BC1EA692-48FB-CF4A-9867-485128920E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640CB0">
        <w:rPr>
          <w:rFonts w:ascii="Times New Roman" w:eastAsia="Times New Roman" w:hAnsi="Times New Roman" w:cs="Times New Roman"/>
          <w:color w:val="000000"/>
          <w:sz w:val="20"/>
          <w:szCs w:val="20"/>
        </w:rPr>
        <w:t>Source: Authors’ calculation based on FAOSTAT Value of Production data.</w:t>
      </w:r>
    </w:p>
    <w:p w14:paraId="4512ECBB" w14:textId="77777777" w:rsidR="00801B78" w:rsidRPr="001A7CE9" w:rsidRDefault="00801B78" w:rsidP="00801B78">
      <w:pPr>
        <w:spacing w:after="0" w:line="360" w:lineRule="auto"/>
        <w:contextualSpacing/>
        <w:jc w:val="both"/>
        <w:rPr>
          <w:rFonts w:ascii="Times New Roman" w:eastAsia="Times New Roman" w:hAnsi="Times New Roman" w:cs="Times New Roman"/>
          <w:iCs/>
          <w:color w:val="000000"/>
          <w:sz w:val="24"/>
          <w:szCs w:val="24"/>
        </w:rPr>
      </w:pPr>
    </w:p>
    <w:p w14:paraId="00000132" w14:textId="41B706A3" w:rsidR="007F7F72" w:rsidRPr="002552EB" w:rsidRDefault="00D01ECA" w:rsidP="00801B78">
      <w:pPr>
        <w:pStyle w:val="Heading2"/>
        <w:numPr>
          <w:ilvl w:val="1"/>
          <w:numId w:val="12"/>
        </w:numPr>
        <w:spacing w:before="0"/>
        <w:jc w:val="left"/>
        <w:rPr>
          <w:szCs w:val="24"/>
        </w:rPr>
      </w:pPr>
      <w:bookmarkStart w:id="11" w:name="_Toc147323000"/>
      <w:r w:rsidRPr="002552EB">
        <w:rPr>
          <w:szCs w:val="24"/>
        </w:rPr>
        <w:t>Higher Reductions for Developing Members</w:t>
      </w:r>
      <w:bookmarkEnd w:id="11"/>
    </w:p>
    <w:p w14:paraId="00000133" w14:textId="65467A2E" w:rsidR="007F7F72" w:rsidRDefault="00D01ECA" w:rsidP="00801B78">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As per this </w:t>
      </w:r>
      <w:r w:rsidR="00B07C35" w:rsidRPr="002552EB">
        <w:rPr>
          <w:rFonts w:ascii="Times New Roman" w:eastAsia="Times New Roman" w:hAnsi="Times New Roman" w:cs="Times New Roman"/>
          <w:color w:val="000000"/>
          <w:sz w:val="24"/>
          <w:szCs w:val="24"/>
        </w:rPr>
        <w:t>approach</w:t>
      </w:r>
      <w:r w:rsidRPr="002552EB">
        <w:rPr>
          <w:rFonts w:ascii="Times New Roman" w:eastAsia="Times New Roman" w:hAnsi="Times New Roman" w:cs="Times New Roman"/>
          <w:color w:val="000000"/>
          <w:sz w:val="24"/>
          <w:szCs w:val="24"/>
        </w:rPr>
        <w:t>, the contribution</w:t>
      </w:r>
      <w:r w:rsidR="000E21A7" w:rsidRPr="002552EB">
        <w:rPr>
          <w:rFonts w:ascii="Times New Roman" w:eastAsia="Times New Roman" w:hAnsi="Times New Roman" w:cs="Times New Roman"/>
          <w:color w:val="000000"/>
          <w:sz w:val="24"/>
          <w:szCs w:val="24"/>
        </w:rPr>
        <w:t xml:space="preserve"> to be made</w:t>
      </w:r>
      <w:r w:rsidRPr="002552EB">
        <w:rPr>
          <w:rFonts w:ascii="Times New Roman" w:eastAsia="Times New Roman" w:hAnsi="Times New Roman" w:cs="Times New Roman"/>
          <w:color w:val="000000"/>
          <w:sz w:val="24"/>
          <w:szCs w:val="24"/>
        </w:rPr>
        <w:t xml:space="preserve"> by developing members</w:t>
      </w:r>
      <w:r w:rsidR="00B07C35" w:rsidRPr="002552EB">
        <w:rPr>
          <w:rFonts w:ascii="Times New Roman" w:eastAsia="Times New Roman" w:hAnsi="Times New Roman" w:cs="Times New Roman"/>
          <w:color w:val="000000"/>
          <w:sz w:val="24"/>
          <w:szCs w:val="24"/>
        </w:rPr>
        <w:t xml:space="preserve"> in the reduction of global TTDS</w:t>
      </w:r>
      <w:r w:rsidRPr="002552EB">
        <w:rPr>
          <w:rFonts w:ascii="Times New Roman" w:eastAsia="Times New Roman" w:hAnsi="Times New Roman" w:cs="Times New Roman"/>
          <w:color w:val="000000"/>
          <w:sz w:val="24"/>
          <w:szCs w:val="24"/>
        </w:rPr>
        <w:t xml:space="preserve"> would be much higher than the developed members. Before the reduction, the TTDS entitlement of the developing countries is estimated to be 19 percent of the </w:t>
      </w:r>
      <w:r w:rsidRPr="002552EB">
        <w:rPr>
          <w:rFonts w:ascii="Times New Roman" w:eastAsia="Times New Roman" w:hAnsi="Times New Roman" w:cs="Times New Roman"/>
          <w:iCs/>
          <w:color w:val="000000"/>
          <w:sz w:val="24"/>
          <w:szCs w:val="24"/>
        </w:rPr>
        <w:t>Value of Production</w:t>
      </w:r>
      <w:r w:rsidRPr="002552EB">
        <w:rPr>
          <w:rFonts w:ascii="Times New Roman" w:eastAsia="Times New Roman" w:hAnsi="Times New Roman" w:cs="Times New Roman"/>
          <w:color w:val="000000"/>
          <w:sz w:val="24"/>
          <w:szCs w:val="24"/>
        </w:rPr>
        <w:t>. This limit is projected to reduce to 3.8 percent by 2030 under the proposed methodology. On the other hand, the projected TTDS entitlement limit for the developed members is projected to</w:t>
      </w:r>
      <w:r w:rsidR="00395897" w:rsidRPr="002552EB">
        <w:rPr>
          <w:rFonts w:ascii="Times New Roman" w:eastAsia="Times New Roman" w:hAnsi="Times New Roman" w:cs="Times New Roman"/>
          <w:color w:val="000000"/>
          <w:sz w:val="24"/>
          <w:szCs w:val="24"/>
        </w:rPr>
        <w:t xml:space="preserve"> decline from 18.2 percent in 2018 to</w:t>
      </w:r>
      <w:r w:rsidRPr="002552EB">
        <w:rPr>
          <w:rFonts w:ascii="Times New Roman" w:eastAsia="Times New Roman" w:hAnsi="Times New Roman" w:cs="Times New Roman"/>
          <w:color w:val="000000"/>
          <w:sz w:val="24"/>
          <w:szCs w:val="24"/>
        </w:rPr>
        <w:t xml:space="preserve"> 6.8 percent in 2030</w:t>
      </w:r>
      <w:r w:rsidR="00395897" w:rsidRPr="002552EB">
        <w:rPr>
          <w:rFonts w:ascii="Times New Roman" w:eastAsia="Times New Roman" w:hAnsi="Times New Roman" w:cs="Times New Roman"/>
          <w:color w:val="000000"/>
          <w:sz w:val="24"/>
          <w:szCs w:val="24"/>
        </w:rPr>
        <w:t xml:space="preserve"> (</w:t>
      </w:r>
      <w:r w:rsidR="00413BF5">
        <w:rPr>
          <w:rFonts w:ascii="Times New Roman" w:eastAsia="Times New Roman" w:hAnsi="Times New Roman" w:cs="Times New Roman"/>
          <w:color w:val="000000"/>
          <w:sz w:val="24"/>
          <w:szCs w:val="24"/>
        </w:rPr>
        <w:t>T</w:t>
      </w:r>
      <w:r w:rsidR="00395897" w:rsidRPr="002552EB">
        <w:rPr>
          <w:rFonts w:ascii="Times New Roman" w:eastAsia="Times New Roman" w:hAnsi="Times New Roman" w:cs="Times New Roman"/>
          <w:color w:val="000000"/>
          <w:sz w:val="24"/>
          <w:szCs w:val="24"/>
        </w:rPr>
        <w:t xml:space="preserve">able </w:t>
      </w:r>
      <w:r w:rsidR="00413BF5">
        <w:rPr>
          <w:rFonts w:ascii="Times New Roman" w:eastAsia="Times New Roman" w:hAnsi="Times New Roman" w:cs="Times New Roman"/>
          <w:color w:val="000000"/>
          <w:sz w:val="24"/>
          <w:szCs w:val="24"/>
        </w:rPr>
        <w:t>5</w:t>
      </w:r>
      <w:r w:rsidR="00395897"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xml:space="preserve">. </w:t>
      </w:r>
    </w:p>
    <w:p w14:paraId="1FDC540E" w14:textId="77777777" w:rsidR="00801B78" w:rsidRPr="002552EB" w:rsidRDefault="00801B78" w:rsidP="002552EB">
      <w:pPr>
        <w:spacing w:after="0" w:line="360" w:lineRule="auto"/>
        <w:jc w:val="both"/>
        <w:rPr>
          <w:rFonts w:ascii="Times New Roman" w:eastAsia="Times New Roman" w:hAnsi="Times New Roman" w:cs="Times New Roman"/>
          <w:color w:val="000000"/>
          <w:sz w:val="24"/>
          <w:szCs w:val="24"/>
        </w:rPr>
      </w:pPr>
    </w:p>
    <w:p w14:paraId="7CCB86B9" w14:textId="77777777" w:rsidR="00801B78" w:rsidRPr="002552EB" w:rsidRDefault="00801B78" w:rsidP="00801B78">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For developing members such as China, India, and Indonesia, the TTDS limit would range between three to four percent of their VoP, which is much lower than that of developed members such as the United States and Norway (Table 5). Additionally, per farmer TTDS entitlement limit for developing countries such as India, Egypt, Nigeria, and Nepal would be just a fraction of the entitlement of developed countries such as Switzerland, Canada, Japan, and the United States (Figure </w:t>
      </w:r>
      <w:r>
        <w:rPr>
          <w:rFonts w:ascii="Times New Roman" w:eastAsia="Times New Roman" w:hAnsi="Times New Roman" w:cs="Times New Roman"/>
          <w:color w:val="000000"/>
          <w:sz w:val="24"/>
          <w:szCs w:val="24"/>
        </w:rPr>
        <w:t>7</w:t>
      </w:r>
      <w:r w:rsidRPr="002552EB">
        <w:rPr>
          <w:rFonts w:ascii="Times New Roman" w:eastAsia="Times New Roman" w:hAnsi="Times New Roman" w:cs="Times New Roman"/>
          <w:color w:val="000000"/>
          <w:sz w:val="24"/>
          <w:szCs w:val="24"/>
        </w:rPr>
        <w:t>).</w:t>
      </w:r>
    </w:p>
    <w:p w14:paraId="6336678C" w14:textId="77777777" w:rsidR="00F07A42" w:rsidRDefault="00F07A42" w:rsidP="004E1BC8">
      <w:pPr>
        <w:spacing w:after="0" w:line="276" w:lineRule="auto"/>
        <w:jc w:val="both"/>
        <w:rPr>
          <w:rFonts w:ascii="Times New Roman" w:eastAsia="Times New Roman" w:hAnsi="Times New Roman" w:cs="Times New Roman"/>
          <w:b/>
          <w:color w:val="000000"/>
          <w:sz w:val="20"/>
          <w:szCs w:val="20"/>
        </w:rPr>
      </w:pPr>
    </w:p>
    <w:p w14:paraId="00000136" w14:textId="37A58043" w:rsidR="007F7F72" w:rsidRPr="00640CB0" w:rsidRDefault="00D01ECA" w:rsidP="00801B78">
      <w:pPr>
        <w:spacing w:after="0" w:line="240" w:lineRule="auto"/>
        <w:contextualSpacing/>
        <w:jc w:val="both"/>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lastRenderedPageBreak/>
        <w:t>Fig</w:t>
      </w:r>
      <w:r w:rsidR="003C0BC9" w:rsidRPr="00640CB0">
        <w:rPr>
          <w:rFonts w:ascii="Times New Roman" w:eastAsia="Times New Roman" w:hAnsi="Times New Roman" w:cs="Times New Roman"/>
          <w:b/>
          <w:color w:val="000000"/>
          <w:sz w:val="20"/>
          <w:szCs w:val="20"/>
        </w:rPr>
        <w:t>.</w:t>
      </w:r>
      <w:r w:rsidR="007D1B7C" w:rsidRPr="00640CB0">
        <w:rPr>
          <w:rFonts w:ascii="Times New Roman" w:eastAsia="Times New Roman" w:hAnsi="Times New Roman" w:cs="Times New Roman"/>
          <w:b/>
          <w:color w:val="000000"/>
          <w:sz w:val="20"/>
          <w:szCs w:val="20"/>
        </w:rPr>
        <w:t xml:space="preserve"> </w:t>
      </w:r>
      <w:r w:rsidR="009D33E0">
        <w:rPr>
          <w:rFonts w:ascii="Times New Roman" w:eastAsia="Times New Roman" w:hAnsi="Times New Roman" w:cs="Times New Roman"/>
          <w:b/>
          <w:color w:val="000000"/>
          <w:sz w:val="20"/>
          <w:szCs w:val="20"/>
        </w:rPr>
        <w:t>7</w:t>
      </w:r>
      <w:r w:rsidRPr="00640CB0">
        <w:rPr>
          <w:rFonts w:ascii="Times New Roman" w:eastAsia="Times New Roman" w:hAnsi="Times New Roman" w:cs="Times New Roman"/>
          <w:b/>
          <w:color w:val="000000"/>
          <w:sz w:val="20"/>
          <w:szCs w:val="20"/>
        </w:rPr>
        <w:t xml:space="preserve"> Per-farmer support based on proposed TTDS </w:t>
      </w:r>
      <w:r w:rsidR="000E21A7" w:rsidRPr="00640CB0">
        <w:rPr>
          <w:rFonts w:ascii="Times New Roman" w:eastAsia="Times New Roman" w:hAnsi="Times New Roman" w:cs="Times New Roman"/>
          <w:b/>
          <w:color w:val="000000"/>
          <w:sz w:val="20"/>
          <w:szCs w:val="20"/>
        </w:rPr>
        <w:t>e</w:t>
      </w:r>
      <w:r w:rsidRPr="00640CB0">
        <w:rPr>
          <w:rFonts w:ascii="Times New Roman" w:eastAsia="Times New Roman" w:hAnsi="Times New Roman" w:cs="Times New Roman"/>
          <w:b/>
          <w:color w:val="000000"/>
          <w:sz w:val="20"/>
          <w:szCs w:val="20"/>
        </w:rPr>
        <w:t>ntitlement for 2030 in US$</w:t>
      </w:r>
    </w:p>
    <w:p w14:paraId="00000137" w14:textId="10A3A346" w:rsidR="007F7F72" w:rsidRPr="00640CB0" w:rsidRDefault="00D01ECA" w:rsidP="00801B78">
      <w:pPr>
        <w:spacing w:after="0" w:line="240" w:lineRule="auto"/>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noProof/>
          <w:color w:val="000000"/>
          <w:sz w:val="20"/>
          <w:szCs w:val="20"/>
        </w:rPr>
        <w:drawing>
          <wp:inline distT="0" distB="0" distL="0" distR="0" wp14:anchorId="5D00C252" wp14:editId="49F660EA">
            <wp:extent cx="5683885" cy="2449286"/>
            <wp:effectExtent l="0" t="0" r="18415" b="14605"/>
            <wp:docPr id="1954359509" name="Chart 19543595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9A93DE" w14:textId="6980C956" w:rsidR="0034401D" w:rsidRPr="002552EB" w:rsidRDefault="00D01ECA" w:rsidP="00801B78">
      <w:pPr>
        <w:spacing w:after="0" w:line="240" w:lineRule="auto"/>
        <w:contextualSpacing/>
        <w:jc w:val="both"/>
        <w:rPr>
          <w:rFonts w:ascii="Times New Roman" w:eastAsia="Times New Roman" w:hAnsi="Times New Roman" w:cs="Times New Roman"/>
          <w:color w:val="000000"/>
          <w:sz w:val="24"/>
          <w:szCs w:val="24"/>
        </w:rPr>
      </w:pPr>
      <w:r w:rsidRPr="00640CB0">
        <w:rPr>
          <w:rFonts w:ascii="Times New Roman" w:eastAsia="Times New Roman" w:hAnsi="Times New Roman" w:cs="Times New Roman"/>
          <w:color w:val="000000"/>
          <w:sz w:val="20"/>
          <w:szCs w:val="20"/>
        </w:rPr>
        <w:t>Source: Authors</w:t>
      </w:r>
      <w:r w:rsidR="0028072E" w:rsidRPr="00640CB0">
        <w:rPr>
          <w:rFonts w:ascii="Times New Roman" w:eastAsia="Times New Roman" w:hAnsi="Times New Roman" w:cs="Times New Roman"/>
          <w:color w:val="000000"/>
          <w:sz w:val="20"/>
          <w:szCs w:val="20"/>
        </w:rPr>
        <w:t>’</w:t>
      </w:r>
      <w:r w:rsidRPr="00640CB0">
        <w:rPr>
          <w:rFonts w:ascii="Times New Roman" w:eastAsia="Times New Roman" w:hAnsi="Times New Roman" w:cs="Times New Roman"/>
          <w:color w:val="000000"/>
          <w:sz w:val="20"/>
          <w:szCs w:val="20"/>
        </w:rPr>
        <w:t xml:space="preserve"> calculation based on FAOSTAT Value of Production data and employment data from ILOSTAT.</w:t>
      </w:r>
    </w:p>
    <w:p w14:paraId="7ECA7D6C" w14:textId="77777777" w:rsidR="002044A4" w:rsidRPr="002552EB" w:rsidRDefault="002044A4" w:rsidP="002552EB">
      <w:pPr>
        <w:spacing w:line="360" w:lineRule="auto"/>
        <w:jc w:val="both"/>
        <w:rPr>
          <w:rFonts w:ascii="Times New Roman" w:eastAsia="Times New Roman" w:hAnsi="Times New Roman" w:cs="Times New Roman"/>
          <w:color w:val="000000"/>
          <w:sz w:val="24"/>
          <w:szCs w:val="24"/>
        </w:rPr>
      </w:pPr>
    </w:p>
    <w:p w14:paraId="6EE7F90F" w14:textId="3C6FDEF4" w:rsidR="002044A4" w:rsidRPr="002552EB" w:rsidRDefault="002044A4" w:rsidP="00801B78">
      <w:pPr>
        <w:pStyle w:val="Heading2"/>
        <w:numPr>
          <w:ilvl w:val="1"/>
          <w:numId w:val="12"/>
        </w:numPr>
        <w:spacing w:before="0"/>
        <w:jc w:val="left"/>
        <w:rPr>
          <w:szCs w:val="24"/>
        </w:rPr>
      </w:pPr>
      <w:bookmarkStart w:id="12" w:name="_Toc147323001"/>
      <w:r w:rsidRPr="002552EB">
        <w:rPr>
          <w:szCs w:val="24"/>
        </w:rPr>
        <w:t>Adverse Impact on LDC Members</w:t>
      </w:r>
      <w:bookmarkEnd w:id="12"/>
      <w:r w:rsidRPr="002552EB">
        <w:rPr>
          <w:szCs w:val="24"/>
        </w:rPr>
        <w:t xml:space="preserve"> </w:t>
      </w:r>
    </w:p>
    <w:p w14:paraId="544AAD3C" w14:textId="52499317" w:rsidR="002044A4" w:rsidRDefault="002044A4" w:rsidP="00801B78">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The Chair</w:t>
      </w:r>
      <w:r w:rsidR="009F67AF" w:rsidRPr="002552EB">
        <w:rPr>
          <w:rFonts w:ascii="Times New Roman" w:eastAsia="Times New Roman" w:hAnsi="Times New Roman" w:cs="Times New Roman"/>
          <w:color w:val="000000"/>
          <w:sz w:val="24"/>
          <w:szCs w:val="24"/>
        </w:rPr>
        <w:t>’s</w:t>
      </w:r>
      <w:r w:rsidRPr="002552EB">
        <w:rPr>
          <w:rFonts w:ascii="Times New Roman" w:eastAsia="Times New Roman" w:hAnsi="Times New Roman" w:cs="Times New Roman"/>
          <w:color w:val="000000"/>
          <w:sz w:val="24"/>
          <w:szCs w:val="24"/>
        </w:rPr>
        <w:t xml:space="preserve"> text (WTO, 2021</w:t>
      </w:r>
      <w:r w:rsidR="007673C8" w:rsidRPr="002552EB">
        <w:rPr>
          <w:rFonts w:ascii="Times New Roman" w:eastAsia="Times New Roman" w:hAnsi="Times New Roman" w:cs="Times New Roman"/>
          <w:color w:val="000000"/>
          <w:sz w:val="24"/>
          <w:szCs w:val="24"/>
        </w:rPr>
        <w:t>b</w:t>
      </w:r>
      <w:r w:rsidRPr="002552EB">
        <w:rPr>
          <w:rFonts w:ascii="Times New Roman" w:eastAsia="Times New Roman" w:hAnsi="Times New Roman" w:cs="Times New Roman"/>
          <w:color w:val="000000"/>
          <w:sz w:val="24"/>
          <w:szCs w:val="24"/>
        </w:rPr>
        <w:t>) provided that the LDCs were exempted from taking reduction commitments. However, it is to be noted that the proposal did not exempt LDCs from capping their TDDS with the proposed methodology. Even the capping of TDDS limit would steeply reduce their policy space as it is determined in fixed monetary terms (Table 6). Similar to developing country members, their policy space will shrink in percentage terms with an increase in the</w:t>
      </w:r>
      <w:r w:rsidR="009F67AF" w:rsidRPr="002552EB">
        <w:rPr>
          <w:rFonts w:ascii="Times New Roman" w:eastAsia="Times New Roman" w:hAnsi="Times New Roman" w:cs="Times New Roman"/>
          <w:color w:val="000000"/>
          <w:sz w:val="24"/>
          <w:szCs w:val="24"/>
        </w:rPr>
        <w:t>ir</w:t>
      </w:r>
      <w:r w:rsidRPr="002552EB">
        <w:rPr>
          <w:rFonts w:ascii="Times New Roman" w:eastAsia="Times New Roman" w:hAnsi="Times New Roman" w:cs="Times New Roman"/>
          <w:color w:val="000000"/>
          <w:sz w:val="24"/>
          <w:szCs w:val="24"/>
        </w:rPr>
        <w:t xml:space="preserve"> VoP.</w:t>
      </w:r>
    </w:p>
    <w:p w14:paraId="358B2AAE" w14:textId="77777777" w:rsidR="00801B78" w:rsidRPr="002552EB" w:rsidRDefault="00801B78" w:rsidP="00801B78">
      <w:pPr>
        <w:spacing w:after="0" w:line="360" w:lineRule="auto"/>
        <w:jc w:val="both"/>
        <w:rPr>
          <w:rFonts w:ascii="Times New Roman" w:eastAsia="Times New Roman" w:hAnsi="Times New Roman" w:cs="Times New Roman"/>
          <w:color w:val="000000"/>
          <w:sz w:val="24"/>
          <w:szCs w:val="24"/>
        </w:rPr>
      </w:pPr>
    </w:p>
    <w:p w14:paraId="4FE4A924" w14:textId="72ACA606" w:rsidR="002044A4" w:rsidRPr="00640CB0" w:rsidRDefault="002044A4" w:rsidP="00801B78">
      <w:pPr>
        <w:spacing w:after="0" w:line="240" w:lineRule="auto"/>
        <w:contextualSpacing/>
        <w:jc w:val="both"/>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 xml:space="preserve">Table 6: Projected TTDS entitlement with the proposed limit for selected LDC </w:t>
      </w:r>
      <w:r w:rsidR="009F67AF" w:rsidRPr="00640CB0">
        <w:rPr>
          <w:rFonts w:ascii="Times New Roman" w:eastAsia="Times New Roman" w:hAnsi="Times New Roman" w:cs="Times New Roman"/>
          <w:b/>
          <w:color w:val="000000"/>
          <w:sz w:val="20"/>
          <w:szCs w:val="20"/>
        </w:rPr>
        <w:t>m</w:t>
      </w:r>
      <w:r w:rsidRPr="00640CB0">
        <w:rPr>
          <w:rFonts w:ascii="Times New Roman" w:eastAsia="Times New Roman" w:hAnsi="Times New Roman" w:cs="Times New Roman"/>
          <w:b/>
          <w:color w:val="000000"/>
          <w:sz w:val="20"/>
          <w:szCs w:val="20"/>
        </w:rPr>
        <w:t>ember</w:t>
      </w:r>
      <w:r w:rsidR="009F67AF" w:rsidRPr="00640CB0">
        <w:rPr>
          <w:rFonts w:ascii="Times New Roman" w:eastAsia="Times New Roman" w:hAnsi="Times New Roman" w:cs="Times New Roman"/>
          <w:b/>
          <w:color w:val="000000"/>
          <w:sz w:val="20"/>
          <w:szCs w:val="20"/>
        </w:rPr>
        <w:t>s</w:t>
      </w:r>
    </w:p>
    <w:tbl>
      <w:tblPr>
        <w:tblStyle w:val="a8"/>
        <w:tblW w:w="9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565"/>
        <w:gridCol w:w="1764"/>
        <w:gridCol w:w="1897"/>
        <w:gridCol w:w="2443"/>
      </w:tblGrid>
      <w:tr w:rsidR="002044A4" w:rsidRPr="00640CB0" w14:paraId="5D40B71A" w14:textId="77777777" w:rsidTr="002552EB">
        <w:trPr>
          <w:trHeight w:val="557"/>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39BBD3" w14:textId="77777777" w:rsidR="002044A4" w:rsidRPr="00640CB0" w:rsidRDefault="002044A4"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LDC members</w:t>
            </w:r>
          </w:p>
        </w:tc>
        <w:tc>
          <w:tcPr>
            <w:tcW w:w="1565" w:type="dxa"/>
            <w:tcBorders>
              <w:top w:val="single" w:sz="4" w:space="0" w:color="000000"/>
              <w:left w:val="nil"/>
              <w:bottom w:val="single" w:sz="4" w:space="0" w:color="000000"/>
              <w:right w:val="single" w:sz="4" w:space="0" w:color="000000"/>
            </w:tcBorders>
            <w:shd w:val="clear" w:color="auto" w:fill="auto"/>
          </w:tcPr>
          <w:p w14:paraId="4BE736CA" w14:textId="3F829C07" w:rsidR="002044A4" w:rsidRPr="00640CB0" w:rsidRDefault="002044A4"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 xml:space="preserve">Projected 2030 </w:t>
            </w:r>
            <w:r w:rsidR="009F67AF" w:rsidRPr="00640CB0">
              <w:rPr>
                <w:rFonts w:ascii="Times New Roman" w:eastAsia="Times New Roman" w:hAnsi="Times New Roman" w:cs="Times New Roman"/>
                <w:b/>
                <w:color w:val="000000"/>
                <w:sz w:val="20"/>
                <w:szCs w:val="20"/>
              </w:rPr>
              <w:t>e</w:t>
            </w:r>
            <w:r w:rsidRPr="00640CB0">
              <w:rPr>
                <w:rFonts w:ascii="Times New Roman" w:eastAsia="Times New Roman" w:hAnsi="Times New Roman" w:cs="Times New Roman"/>
                <w:b/>
                <w:color w:val="000000"/>
                <w:sz w:val="20"/>
                <w:szCs w:val="20"/>
              </w:rPr>
              <w:t>ntitlement</w:t>
            </w:r>
          </w:p>
        </w:tc>
        <w:tc>
          <w:tcPr>
            <w:tcW w:w="1762" w:type="dxa"/>
            <w:tcBorders>
              <w:top w:val="single" w:sz="4" w:space="0" w:color="000000"/>
              <w:left w:val="nil"/>
              <w:bottom w:val="single" w:sz="4" w:space="0" w:color="000000"/>
              <w:right w:val="single" w:sz="4" w:space="0" w:color="000000"/>
            </w:tcBorders>
            <w:shd w:val="clear" w:color="auto" w:fill="auto"/>
          </w:tcPr>
          <w:p w14:paraId="002DB283" w14:textId="49532D55" w:rsidR="002044A4" w:rsidRPr="00640CB0" w:rsidRDefault="002044A4"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 xml:space="preserve">Proposed TTDS </w:t>
            </w:r>
            <w:r w:rsidR="009F67AF" w:rsidRPr="00640CB0">
              <w:rPr>
                <w:rFonts w:ascii="Times New Roman" w:eastAsia="Times New Roman" w:hAnsi="Times New Roman" w:cs="Times New Roman"/>
                <w:b/>
                <w:color w:val="000000"/>
                <w:sz w:val="20"/>
                <w:szCs w:val="20"/>
              </w:rPr>
              <w:t>e</w:t>
            </w:r>
            <w:r w:rsidRPr="00640CB0">
              <w:rPr>
                <w:rFonts w:ascii="Times New Roman" w:eastAsia="Times New Roman" w:hAnsi="Times New Roman" w:cs="Times New Roman"/>
                <w:b/>
                <w:color w:val="000000"/>
                <w:sz w:val="20"/>
                <w:szCs w:val="20"/>
              </w:rPr>
              <w:t xml:space="preserve">ntitlement </w:t>
            </w:r>
            <w:r w:rsidR="009F67AF" w:rsidRPr="00640CB0">
              <w:rPr>
                <w:rFonts w:ascii="Times New Roman" w:eastAsia="Times New Roman" w:hAnsi="Times New Roman" w:cs="Times New Roman"/>
                <w:b/>
                <w:color w:val="000000"/>
                <w:sz w:val="20"/>
                <w:szCs w:val="20"/>
              </w:rPr>
              <w:t>l</w:t>
            </w:r>
            <w:r w:rsidRPr="00640CB0">
              <w:rPr>
                <w:rFonts w:ascii="Times New Roman" w:eastAsia="Times New Roman" w:hAnsi="Times New Roman" w:cs="Times New Roman"/>
                <w:b/>
                <w:color w:val="000000"/>
                <w:sz w:val="20"/>
                <w:szCs w:val="20"/>
              </w:rPr>
              <w:t>imit</w:t>
            </w:r>
          </w:p>
        </w:tc>
        <w:tc>
          <w:tcPr>
            <w:tcW w:w="1897" w:type="dxa"/>
            <w:tcBorders>
              <w:top w:val="single" w:sz="4" w:space="0" w:color="000000"/>
              <w:left w:val="nil"/>
              <w:bottom w:val="single" w:sz="4" w:space="0" w:color="000000"/>
              <w:right w:val="single" w:sz="4" w:space="0" w:color="000000"/>
            </w:tcBorders>
            <w:shd w:val="clear" w:color="auto" w:fill="auto"/>
          </w:tcPr>
          <w:p w14:paraId="7425F7DF" w14:textId="4E6C8634" w:rsidR="002044A4" w:rsidRPr="00640CB0" w:rsidRDefault="002044A4"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 xml:space="preserve">Projected 2030 </w:t>
            </w:r>
            <w:r w:rsidR="009F67AF" w:rsidRPr="00640CB0">
              <w:rPr>
                <w:rFonts w:ascii="Times New Roman" w:eastAsia="Times New Roman" w:hAnsi="Times New Roman" w:cs="Times New Roman"/>
                <w:b/>
                <w:color w:val="000000"/>
                <w:sz w:val="20"/>
                <w:szCs w:val="20"/>
              </w:rPr>
              <w:t>e</w:t>
            </w:r>
            <w:r w:rsidRPr="00640CB0">
              <w:rPr>
                <w:rFonts w:ascii="Times New Roman" w:eastAsia="Times New Roman" w:hAnsi="Times New Roman" w:cs="Times New Roman"/>
                <w:b/>
                <w:color w:val="000000"/>
                <w:sz w:val="20"/>
                <w:szCs w:val="20"/>
              </w:rPr>
              <w:t>ntitlement</w:t>
            </w:r>
          </w:p>
        </w:tc>
        <w:tc>
          <w:tcPr>
            <w:tcW w:w="2442" w:type="dxa"/>
            <w:tcBorders>
              <w:top w:val="single" w:sz="4" w:space="0" w:color="000000"/>
              <w:left w:val="nil"/>
              <w:bottom w:val="single" w:sz="4" w:space="0" w:color="000000"/>
              <w:right w:val="single" w:sz="4" w:space="0" w:color="000000"/>
            </w:tcBorders>
            <w:shd w:val="clear" w:color="auto" w:fill="auto"/>
          </w:tcPr>
          <w:p w14:paraId="6FA30D43" w14:textId="21F79054" w:rsidR="002044A4" w:rsidRPr="00640CB0" w:rsidRDefault="002044A4" w:rsidP="00801B78">
            <w:pPr>
              <w:contextualSpacing/>
              <w:jc w:val="center"/>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 xml:space="preserve">Proposed TTDS </w:t>
            </w:r>
            <w:r w:rsidR="009F67AF" w:rsidRPr="00640CB0">
              <w:rPr>
                <w:rFonts w:ascii="Times New Roman" w:eastAsia="Times New Roman" w:hAnsi="Times New Roman" w:cs="Times New Roman"/>
                <w:b/>
                <w:color w:val="000000"/>
                <w:sz w:val="20"/>
                <w:szCs w:val="20"/>
              </w:rPr>
              <w:t>e</w:t>
            </w:r>
            <w:r w:rsidRPr="00640CB0">
              <w:rPr>
                <w:rFonts w:ascii="Times New Roman" w:eastAsia="Times New Roman" w:hAnsi="Times New Roman" w:cs="Times New Roman"/>
                <w:b/>
                <w:color w:val="000000"/>
                <w:sz w:val="20"/>
                <w:szCs w:val="20"/>
              </w:rPr>
              <w:t>ntitlement</w:t>
            </w:r>
          </w:p>
        </w:tc>
      </w:tr>
      <w:tr w:rsidR="002044A4" w:rsidRPr="00640CB0" w14:paraId="46C18934" w14:textId="77777777" w:rsidTr="002552EB">
        <w:trPr>
          <w:trHeight w:val="185"/>
        </w:trPr>
        <w:tc>
          <w:tcPr>
            <w:tcW w:w="14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BD52B7" w14:textId="77777777" w:rsidR="002044A4" w:rsidRPr="00640CB0" w:rsidRDefault="002044A4" w:rsidP="00801B78">
            <w:pPr>
              <w:widowControl w:val="0"/>
              <w:pBdr>
                <w:top w:val="nil"/>
                <w:left w:val="nil"/>
                <w:bottom w:val="nil"/>
                <w:right w:val="nil"/>
                <w:between w:val="nil"/>
              </w:pBdr>
              <w:contextualSpacing/>
              <w:jc w:val="center"/>
              <w:rPr>
                <w:rFonts w:ascii="Times New Roman" w:eastAsia="Times New Roman" w:hAnsi="Times New Roman" w:cs="Times New Roman"/>
                <w:b/>
                <w:color w:val="000000"/>
                <w:sz w:val="20"/>
                <w:szCs w:val="20"/>
              </w:rPr>
            </w:pPr>
          </w:p>
        </w:tc>
        <w:tc>
          <w:tcPr>
            <w:tcW w:w="3329" w:type="dxa"/>
            <w:gridSpan w:val="2"/>
            <w:tcBorders>
              <w:top w:val="single" w:sz="4" w:space="0" w:color="000000"/>
              <w:left w:val="nil"/>
              <w:bottom w:val="single" w:sz="4" w:space="0" w:color="000000"/>
              <w:right w:val="single" w:sz="4" w:space="0" w:color="000000"/>
            </w:tcBorders>
            <w:shd w:val="clear" w:color="auto" w:fill="auto"/>
          </w:tcPr>
          <w:p w14:paraId="781AEA07" w14:textId="77777777" w:rsidR="002044A4" w:rsidRPr="00640CB0" w:rsidRDefault="002044A4"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Billion US$</w:t>
            </w:r>
          </w:p>
        </w:tc>
        <w:tc>
          <w:tcPr>
            <w:tcW w:w="4340" w:type="dxa"/>
            <w:gridSpan w:val="2"/>
            <w:tcBorders>
              <w:top w:val="single" w:sz="4" w:space="0" w:color="000000"/>
              <w:left w:val="nil"/>
              <w:bottom w:val="single" w:sz="4" w:space="0" w:color="000000"/>
              <w:right w:val="single" w:sz="4" w:space="0" w:color="000000"/>
            </w:tcBorders>
            <w:shd w:val="clear" w:color="auto" w:fill="auto"/>
          </w:tcPr>
          <w:p w14:paraId="3B910D8C" w14:textId="77777777" w:rsidR="002044A4" w:rsidRPr="00640CB0" w:rsidRDefault="002044A4" w:rsidP="00801B78">
            <w:pPr>
              <w:contextualSpacing/>
              <w:jc w:val="center"/>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 of Value of Total Agriculture Production for 2030</w:t>
            </w:r>
          </w:p>
        </w:tc>
      </w:tr>
      <w:tr w:rsidR="002044A4" w:rsidRPr="00640CB0" w14:paraId="40FD4575" w14:textId="77777777" w:rsidTr="002552EB">
        <w:trPr>
          <w:trHeight w:val="235"/>
        </w:trPr>
        <w:tc>
          <w:tcPr>
            <w:tcW w:w="1413" w:type="dxa"/>
            <w:tcBorders>
              <w:top w:val="nil"/>
              <w:left w:val="single" w:sz="4" w:space="0" w:color="000000"/>
              <w:bottom w:val="single" w:sz="4" w:space="0" w:color="000000"/>
              <w:right w:val="single" w:sz="4" w:space="0" w:color="000000"/>
            </w:tcBorders>
            <w:shd w:val="clear" w:color="auto" w:fill="auto"/>
          </w:tcPr>
          <w:p w14:paraId="09B96576" w14:textId="77777777" w:rsidR="002044A4" w:rsidRPr="00640CB0" w:rsidRDefault="002044A4" w:rsidP="00801B78">
            <w:pPr>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Bangladesh</w:t>
            </w:r>
          </w:p>
        </w:tc>
        <w:tc>
          <w:tcPr>
            <w:tcW w:w="1565" w:type="dxa"/>
            <w:tcBorders>
              <w:top w:val="nil"/>
              <w:left w:val="nil"/>
              <w:bottom w:val="single" w:sz="4" w:space="0" w:color="000000"/>
              <w:right w:val="single" w:sz="4" w:space="0" w:color="000000"/>
            </w:tcBorders>
            <w:shd w:val="clear" w:color="auto" w:fill="auto"/>
          </w:tcPr>
          <w:p w14:paraId="287623FB"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10.32</w:t>
            </w:r>
          </w:p>
        </w:tc>
        <w:tc>
          <w:tcPr>
            <w:tcW w:w="1762" w:type="dxa"/>
            <w:tcBorders>
              <w:top w:val="nil"/>
              <w:left w:val="nil"/>
              <w:bottom w:val="single" w:sz="4" w:space="0" w:color="000000"/>
              <w:right w:val="single" w:sz="4" w:space="0" w:color="000000"/>
            </w:tcBorders>
            <w:shd w:val="clear" w:color="auto" w:fill="auto"/>
          </w:tcPr>
          <w:p w14:paraId="574F0BEE"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4.72</w:t>
            </w:r>
          </w:p>
        </w:tc>
        <w:tc>
          <w:tcPr>
            <w:tcW w:w="1897" w:type="dxa"/>
            <w:tcBorders>
              <w:top w:val="nil"/>
              <w:left w:val="nil"/>
              <w:bottom w:val="single" w:sz="4" w:space="0" w:color="000000"/>
              <w:right w:val="single" w:sz="4" w:space="0" w:color="000000"/>
            </w:tcBorders>
            <w:shd w:val="clear" w:color="auto" w:fill="auto"/>
          </w:tcPr>
          <w:p w14:paraId="0E8988B3"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20</w:t>
            </w:r>
          </w:p>
        </w:tc>
        <w:tc>
          <w:tcPr>
            <w:tcW w:w="2442" w:type="dxa"/>
            <w:tcBorders>
              <w:top w:val="nil"/>
              <w:left w:val="nil"/>
              <w:bottom w:val="single" w:sz="4" w:space="0" w:color="000000"/>
              <w:right w:val="single" w:sz="4" w:space="0" w:color="000000"/>
            </w:tcBorders>
            <w:shd w:val="clear" w:color="auto" w:fill="auto"/>
          </w:tcPr>
          <w:p w14:paraId="4D4DE955"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9.1</w:t>
            </w:r>
          </w:p>
        </w:tc>
      </w:tr>
      <w:tr w:rsidR="002044A4" w:rsidRPr="00640CB0" w14:paraId="48C4A4F3" w14:textId="77777777" w:rsidTr="002552EB">
        <w:trPr>
          <w:trHeight w:val="235"/>
        </w:trPr>
        <w:tc>
          <w:tcPr>
            <w:tcW w:w="1413" w:type="dxa"/>
            <w:tcBorders>
              <w:top w:val="nil"/>
              <w:left w:val="single" w:sz="4" w:space="0" w:color="000000"/>
              <w:bottom w:val="single" w:sz="4" w:space="0" w:color="000000"/>
              <w:right w:val="single" w:sz="4" w:space="0" w:color="000000"/>
            </w:tcBorders>
            <w:shd w:val="clear" w:color="auto" w:fill="auto"/>
          </w:tcPr>
          <w:p w14:paraId="4F5E82B4" w14:textId="77777777" w:rsidR="002044A4" w:rsidRPr="00640CB0" w:rsidRDefault="002044A4" w:rsidP="00801B78">
            <w:pPr>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Mali</w:t>
            </w:r>
          </w:p>
        </w:tc>
        <w:tc>
          <w:tcPr>
            <w:tcW w:w="1565" w:type="dxa"/>
            <w:tcBorders>
              <w:top w:val="nil"/>
              <w:left w:val="nil"/>
              <w:bottom w:val="single" w:sz="4" w:space="0" w:color="000000"/>
              <w:right w:val="single" w:sz="4" w:space="0" w:color="000000"/>
            </w:tcBorders>
            <w:shd w:val="clear" w:color="auto" w:fill="auto"/>
          </w:tcPr>
          <w:p w14:paraId="77C90E20"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5.40</w:t>
            </w:r>
          </w:p>
        </w:tc>
        <w:tc>
          <w:tcPr>
            <w:tcW w:w="1762" w:type="dxa"/>
            <w:tcBorders>
              <w:top w:val="nil"/>
              <w:left w:val="nil"/>
              <w:bottom w:val="single" w:sz="4" w:space="0" w:color="000000"/>
              <w:right w:val="single" w:sz="4" w:space="0" w:color="000000"/>
            </w:tcBorders>
            <w:shd w:val="clear" w:color="auto" w:fill="auto"/>
          </w:tcPr>
          <w:p w14:paraId="772FE08D"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1.89</w:t>
            </w:r>
          </w:p>
        </w:tc>
        <w:tc>
          <w:tcPr>
            <w:tcW w:w="1897" w:type="dxa"/>
            <w:tcBorders>
              <w:top w:val="nil"/>
              <w:left w:val="nil"/>
              <w:bottom w:val="single" w:sz="4" w:space="0" w:color="000000"/>
              <w:right w:val="single" w:sz="4" w:space="0" w:color="000000"/>
            </w:tcBorders>
            <w:shd w:val="clear" w:color="auto" w:fill="auto"/>
          </w:tcPr>
          <w:p w14:paraId="02C6760A"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20</w:t>
            </w:r>
          </w:p>
        </w:tc>
        <w:tc>
          <w:tcPr>
            <w:tcW w:w="2442" w:type="dxa"/>
            <w:tcBorders>
              <w:top w:val="nil"/>
              <w:left w:val="nil"/>
              <w:bottom w:val="single" w:sz="4" w:space="0" w:color="000000"/>
              <w:right w:val="single" w:sz="4" w:space="0" w:color="000000"/>
            </w:tcBorders>
            <w:shd w:val="clear" w:color="auto" w:fill="auto"/>
          </w:tcPr>
          <w:p w14:paraId="12AB1801"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7.0</w:t>
            </w:r>
          </w:p>
        </w:tc>
      </w:tr>
      <w:tr w:rsidR="002044A4" w:rsidRPr="00640CB0" w14:paraId="5F116DD6" w14:textId="77777777" w:rsidTr="002552EB">
        <w:trPr>
          <w:trHeight w:val="235"/>
        </w:trPr>
        <w:tc>
          <w:tcPr>
            <w:tcW w:w="1413" w:type="dxa"/>
            <w:tcBorders>
              <w:top w:val="nil"/>
              <w:left w:val="single" w:sz="4" w:space="0" w:color="000000"/>
              <w:bottom w:val="single" w:sz="4" w:space="0" w:color="000000"/>
              <w:right w:val="single" w:sz="4" w:space="0" w:color="000000"/>
            </w:tcBorders>
            <w:shd w:val="clear" w:color="auto" w:fill="auto"/>
          </w:tcPr>
          <w:p w14:paraId="3AF8CCCE" w14:textId="77777777" w:rsidR="002044A4" w:rsidRPr="00640CB0" w:rsidRDefault="002044A4" w:rsidP="00801B78">
            <w:pPr>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Nepal</w:t>
            </w:r>
          </w:p>
        </w:tc>
        <w:tc>
          <w:tcPr>
            <w:tcW w:w="1565" w:type="dxa"/>
            <w:tcBorders>
              <w:top w:val="nil"/>
              <w:left w:val="nil"/>
              <w:bottom w:val="single" w:sz="4" w:space="0" w:color="000000"/>
              <w:right w:val="single" w:sz="4" w:space="0" w:color="000000"/>
            </w:tcBorders>
            <w:shd w:val="clear" w:color="auto" w:fill="auto"/>
          </w:tcPr>
          <w:p w14:paraId="75D5BC18"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4.67</w:t>
            </w:r>
          </w:p>
        </w:tc>
        <w:tc>
          <w:tcPr>
            <w:tcW w:w="1762" w:type="dxa"/>
            <w:tcBorders>
              <w:top w:val="nil"/>
              <w:left w:val="nil"/>
              <w:bottom w:val="single" w:sz="4" w:space="0" w:color="000000"/>
              <w:right w:val="single" w:sz="4" w:space="0" w:color="000000"/>
            </w:tcBorders>
            <w:shd w:val="clear" w:color="auto" w:fill="auto"/>
          </w:tcPr>
          <w:p w14:paraId="239DECF1"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1.79</w:t>
            </w:r>
          </w:p>
        </w:tc>
        <w:tc>
          <w:tcPr>
            <w:tcW w:w="1897" w:type="dxa"/>
            <w:tcBorders>
              <w:top w:val="nil"/>
              <w:left w:val="nil"/>
              <w:bottom w:val="single" w:sz="4" w:space="0" w:color="000000"/>
              <w:right w:val="single" w:sz="4" w:space="0" w:color="000000"/>
            </w:tcBorders>
            <w:shd w:val="clear" w:color="auto" w:fill="auto"/>
          </w:tcPr>
          <w:p w14:paraId="7C9795B7"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20</w:t>
            </w:r>
          </w:p>
        </w:tc>
        <w:tc>
          <w:tcPr>
            <w:tcW w:w="2442" w:type="dxa"/>
            <w:tcBorders>
              <w:top w:val="nil"/>
              <w:left w:val="nil"/>
              <w:bottom w:val="single" w:sz="4" w:space="0" w:color="000000"/>
              <w:right w:val="single" w:sz="4" w:space="0" w:color="000000"/>
            </w:tcBorders>
            <w:shd w:val="clear" w:color="auto" w:fill="auto"/>
          </w:tcPr>
          <w:p w14:paraId="5E578836"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7.7</w:t>
            </w:r>
          </w:p>
        </w:tc>
      </w:tr>
      <w:tr w:rsidR="002044A4" w:rsidRPr="00640CB0" w14:paraId="090BDE8F" w14:textId="77777777" w:rsidTr="002552EB">
        <w:trPr>
          <w:trHeight w:val="235"/>
        </w:trPr>
        <w:tc>
          <w:tcPr>
            <w:tcW w:w="1413" w:type="dxa"/>
            <w:tcBorders>
              <w:top w:val="nil"/>
              <w:left w:val="single" w:sz="4" w:space="0" w:color="000000"/>
              <w:bottom w:val="single" w:sz="4" w:space="0" w:color="000000"/>
              <w:right w:val="single" w:sz="4" w:space="0" w:color="000000"/>
            </w:tcBorders>
            <w:shd w:val="clear" w:color="auto" w:fill="auto"/>
          </w:tcPr>
          <w:p w14:paraId="3AAF8C00" w14:textId="77777777" w:rsidR="002044A4" w:rsidRPr="00640CB0" w:rsidRDefault="002044A4" w:rsidP="00801B78">
            <w:pPr>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Tanzania</w:t>
            </w:r>
          </w:p>
        </w:tc>
        <w:tc>
          <w:tcPr>
            <w:tcW w:w="1565" w:type="dxa"/>
            <w:tcBorders>
              <w:top w:val="nil"/>
              <w:left w:val="nil"/>
              <w:bottom w:val="single" w:sz="4" w:space="0" w:color="000000"/>
              <w:right w:val="single" w:sz="4" w:space="0" w:color="000000"/>
            </w:tcBorders>
            <w:shd w:val="clear" w:color="auto" w:fill="auto"/>
          </w:tcPr>
          <w:p w14:paraId="7B9AACFF"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5.94</w:t>
            </w:r>
          </w:p>
        </w:tc>
        <w:tc>
          <w:tcPr>
            <w:tcW w:w="1762" w:type="dxa"/>
            <w:tcBorders>
              <w:top w:val="nil"/>
              <w:left w:val="nil"/>
              <w:bottom w:val="single" w:sz="4" w:space="0" w:color="000000"/>
              <w:right w:val="single" w:sz="4" w:space="0" w:color="000000"/>
            </w:tcBorders>
            <w:shd w:val="clear" w:color="auto" w:fill="auto"/>
          </w:tcPr>
          <w:p w14:paraId="77EB9A09"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1.89</w:t>
            </w:r>
          </w:p>
        </w:tc>
        <w:tc>
          <w:tcPr>
            <w:tcW w:w="1897" w:type="dxa"/>
            <w:tcBorders>
              <w:top w:val="nil"/>
              <w:left w:val="nil"/>
              <w:bottom w:val="single" w:sz="4" w:space="0" w:color="000000"/>
              <w:right w:val="single" w:sz="4" w:space="0" w:color="000000"/>
            </w:tcBorders>
            <w:shd w:val="clear" w:color="auto" w:fill="auto"/>
          </w:tcPr>
          <w:p w14:paraId="24813E96"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20</w:t>
            </w:r>
          </w:p>
        </w:tc>
        <w:tc>
          <w:tcPr>
            <w:tcW w:w="2442" w:type="dxa"/>
            <w:tcBorders>
              <w:top w:val="nil"/>
              <w:left w:val="nil"/>
              <w:bottom w:val="single" w:sz="4" w:space="0" w:color="000000"/>
              <w:right w:val="single" w:sz="4" w:space="0" w:color="000000"/>
            </w:tcBorders>
            <w:shd w:val="clear" w:color="auto" w:fill="auto"/>
          </w:tcPr>
          <w:p w14:paraId="0D4AC8F4" w14:textId="77777777" w:rsidR="002044A4" w:rsidRPr="00640CB0" w:rsidRDefault="002044A4" w:rsidP="00801B78">
            <w:pPr>
              <w:contextualSpacing/>
              <w:jc w:val="right"/>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6.4</w:t>
            </w:r>
          </w:p>
        </w:tc>
      </w:tr>
      <w:tr w:rsidR="002044A4" w:rsidRPr="00640CB0" w14:paraId="4BBF9B38" w14:textId="77777777" w:rsidTr="002552EB">
        <w:trPr>
          <w:trHeight w:val="235"/>
        </w:trPr>
        <w:tc>
          <w:tcPr>
            <w:tcW w:w="1413" w:type="dxa"/>
            <w:tcBorders>
              <w:top w:val="nil"/>
              <w:left w:val="single" w:sz="4" w:space="0" w:color="000000"/>
              <w:bottom w:val="single" w:sz="4" w:space="0" w:color="000000"/>
              <w:right w:val="single" w:sz="4" w:space="0" w:color="000000"/>
            </w:tcBorders>
            <w:shd w:val="clear" w:color="auto" w:fill="auto"/>
          </w:tcPr>
          <w:p w14:paraId="2765C3FB" w14:textId="77777777" w:rsidR="002044A4" w:rsidRPr="00640CB0" w:rsidRDefault="002044A4" w:rsidP="00801B78">
            <w:pPr>
              <w:contextualSpacing/>
              <w:jc w:val="both"/>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LDC Total</w:t>
            </w:r>
          </w:p>
        </w:tc>
        <w:tc>
          <w:tcPr>
            <w:tcW w:w="1565" w:type="dxa"/>
            <w:tcBorders>
              <w:top w:val="nil"/>
              <w:left w:val="nil"/>
              <w:bottom w:val="single" w:sz="4" w:space="0" w:color="000000"/>
              <w:right w:val="single" w:sz="4" w:space="0" w:color="000000"/>
            </w:tcBorders>
            <w:shd w:val="clear" w:color="auto" w:fill="auto"/>
          </w:tcPr>
          <w:p w14:paraId="061C3839" w14:textId="77777777" w:rsidR="002044A4" w:rsidRPr="00640CB0" w:rsidRDefault="002044A4" w:rsidP="00801B78">
            <w:pPr>
              <w:contextualSpacing/>
              <w:jc w:val="right"/>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90.53</w:t>
            </w:r>
          </w:p>
        </w:tc>
        <w:tc>
          <w:tcPr>
            <w:tcW w:w="1762" w:type="dxa"/>
            <w:tcBorders>
              <w:top w:val="nil"/>
              <w:left w:val="nil"/>
              <w:bottom w:val="single" w:sz="4" w:space="0" w:color="000000"/>
              <w:right w:val="single" w:sz="4" w:space="0" w:color="000000"/>
            </w:tcBorders>
            <w:shd w:val="clear" w:color="auto" w:fill="auto"/>
          </w:tcPr>
          <w:p w14:paraId="03A5937D" w14:textId="77777777" w:rsidR="002044A4" w:rsidRPr="00640CB0" w:rsidRDefault="002044A4" w:rsidP="00801B78">
            <w:pPr>
              <w:contextualSpacing/>
              <w:jc w:val="right"/>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40.53</w:t>
            </w:r>
          </w:p>
        </w:tc>
        <w:tc>
          <w:tcPr>
            <w:tcW w:w="1897" w:type="dxa"/>
            <w:tcBorders>
              <w:top w:val="nil"/>
              <w:left w:val="nil"/>
              <w:bottom w:val="single" w:sz="4" w:space="0" w:color="000000"/>
              <w:right w:val="single" w:sz="4" w:space="0" w:color="000000"/>
            </w:tcBorders>
            <w:shd w:val="clear" w:color="auto" w:fill="auto"/>
          </w:tcPr>
          <w:p w14:paraId="0217DF68" w14:textId="77777777" w:rsidR="002044A4" w:rsidRPr="00640CB0" w:rsidRDefault="002044A4" w:rsidP="00801B78">
            <w:pPr>
              <w:contextualSpacing/>
              <w:jc w:val="right"/>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20</w:t>
            </w:r>
          </w:p>
        </w:tc>
        <w:tc>
          <w:tcPr>
            <w:tcW w:w="2442" w:type="dxa"/>
            <w:tcBorders>
              <w:top w:val="nil"/>
              <w:left w:val="nil"/>
              <w:bottom w:val="single" w:sz="4" w:space="0" w:color="000000"/>
              <w:right w:val="single" w:sz="4" w:space="0" w:color="000000"/>
            </w:tcBorders>
            <w:shd w:val="clear" w:color="auto" w:fill="auto"/>
          </w:tcPr>
          <w:p w14:paraId="68E246B6" w14:textId="77777777" w:rsidR="002044A4" w:rsidRPr="00640CB0" w:rsidRDefault="002044A4" w:rsidP="00801B78">
            <w:pPr>
              <w:contextualSpacing/>
              <w:jc w:val="right"/>
              <w:rPr>
                <w:rFonts w:ascii="Times New Roman" w:eastAsia="Times New Roman" w:hAnsi="Times New Roman" w:cs="Times New Roman"/>
                <w:b/>
                <w:color w:val="000000"/>
                <w:sz w:val="20"/>
                <w:szCs w:val="20"/>
              </w:rPr>
            </w:pPr>
            <w:r w:rsidRPr="00640CB0">
              <w:rPr>
                <w:rFonts w:ascii="Times New Roman" w:eastAsia="Times New Roman" w:hAnsi="Times New Roman" w:cs="Times New Roman"/>
                <w:b/>
                <w:color w:val="000000"/>
                <w:sz w:val="20"/>
                <w:szCs w:val="20"/>
              </w:rPr>
              <w:t>9.0</w:t>
            </w:r>
          </w:p>
        </w:tc>
      </w:tr>
    </w:tbl>
    <w:p w14:paraId="2FF5922F" w14:textId="5C0EA432" w:rsidR="002044A4" w:rsidRPr="00640CB0" w:rsidRDefault="002044A4" w:rsidP="00801B78">
      <w:pPr>
        <w:spacing w:after="0" w:line="240" w:lineRule="auto"/>
        <w:contextualSpacing/>
        <w:jc w:val="both"/>
        <w:rPr>
          <w:rFonts w:ascii="Times New Roman" w:eastAsia="Times New Roman" w:hAnsi="Times New Roman" w:cs="Times New Roman"/>
          <w:color w:val="000000"/>
          <w:sz w:val="20"/>
          <w:szCs w:val="20"/>
        </w:rPr>
      </w:pPr>
      <w:r w:rsidRPr="00640CB0">
        <w:rPr>
          <w:rFonts w:ascii="Times New Roman" w:eastAsia="Times New Roman" w:hAnsi="Times New Roman" w:cs="Times New Roman"/>
          <w:color w:val="000000"/>
          <w:sz w:val="20"/>
          <w:szCs w:val="20"/>
        </w:rPr>
        <w:t>Source: Authors</w:t>
      </w:r>
      <w:r w:rsidR="009F67AF" w:rsidRPr="00640CB0">
        <w:rPr>
          <w:rFonts w:ascii="Times New Roman" w:eastAsia="Times New Roman" w:hAnsi="Times New Roman" w:cs="Times New Roman"/>
          <w:color w:val="000000"/>
          <w:sz w:val="20"/>
          <w:szCs w:val="20"/>
        </w:rPr>
        <w:t>’</w:t>
      </w:r>
      <w:r w:rsidRPr="00640CB0">
        <w:rPr>
          <w:rFonts w:ascii="Times New Roman" w:eastAsia="Times New Roman" w:hAnsi="Times New Roman" w:cs="Times New Roman"/>
          <w:color w:val="000000"/>
          <w:sz w:val="20"/>
          <w:szCs w:val="20"/>
        </w:rPr>
        <w:t xml:space="preserve"> calculation based on FAOSTAT and </w:t>
      </w:r>
      <w:r w:rsidR="009F67AF" w:rsidRPr="00640CB0">
        <w:rPr>
          <w:rFonts w:ascii="Times New Roman" w:eastAsia="Times New Roman" w:hAnsi="Times New Roman" w:cs="Times New Roman"/>
          <w:color w:val="000000"/>
          <w:sz w:val="20"/>
          <w:szCs w:val="20"/>
        </w:rPr>
        <w:t>D</w:t>
      </w:r>
      <w:r w:rsidRPr="00640CB0">
        <w:rPr>
          <w:rFonts w:ascii="Times New Roman" w:eastAsia="Times New Roman" w:hAnsi="Times New Roman" w:cs="Times New Roman"/>
          <w:color w:val="000000"/>
          <w:sz w:val="20"/>
          <w:szCs w:val="20"/>
        </w:rPr>
        <w:t xml:space="preserve">omestic </w:t>
      </w:r>
      <w:r w:rsidR="009F67AF" w:rsidRPr="00640CB0">
        <w:rPr>
          <w:rFonts w:ascii="Times New Roman" w:eastAsia="Times New Roman" w:hAnsi="Times New Roman" w:cs="Times New Roman"/>
          <w:color w:val="000000"/>
          <w:sz w:val="20"/>
          <w:szCs w:val="20"/>
        </w:rPr>
        <w:t>S</w:t>
      </w:r>
      <w:r w:rsidRPr="00640CB0">
        <w:rPr>
          <w:rFonts w:ascii="Times New Roman" w:eastAsia="Times New Roman" w:hAnsi="Times New Roman" w:cs="Times New Roman"/>
          <w:color w:val="000000"/>
          <w:sz w:val="20"/>
          <w:szCs w:val="20"/>
        </w:rPr>
        <w:t>upport notifications.</w:t>
      </w:r>
    </w:p>
    <w:p w14:paraId="462ECFA3" w14:textId="77777777" w:rsidR="002E6108" w:rsidRPr="00801B78" w:rsidRDefault="002E6108" w:rsidP="00801B78">
      <w:pPr>
        <w:spacing w:after="0" w:line="360" w:lineRule="auto"/>
        <w:jc w:val="both"/>
        <w:rPr>
          <w:rFonts w:ascii="Times New Roman" w:eastAsia="Times New Roman" w:hAnsi="Times New Roman" w:cs="Times New Roman"/>
          <w:color w:val="000000"/>
          <w:sz w:val="24"/>
          <w:szCs w:val="24"/>
        </w:rPr>
      </w:pPr>
    </w:p>
    <w:p w14:paraId="4B05E0E8" w14:textId="6816B14D" w:rsidR="008E7D8D" w:rsidRDefault="008E7D8D" w:rsidP="002552EB">
      <w:pPr>
        <w:spacing w:line="360" w:lineRule="auto"/>
        <w:rPr>
          <w:rFonts w:ascii="Times New Roman" w:hAnsi="Times New Roman" w:cs="Times New Roman"/>
          <w:sz w:val="24"/>
          <w:szCs w:val="24"/>
        </w:rPr>
      </w:pPr>
      <w:r w:rsidRPr="002552EB">
        <w:rPr>
          <w:rFonts w:ascii="Times New Roman" w:hAnsi="Times New Roman" w:cs="Times New Roman"/>
          <w:sz w:val="24"/>
          <w:szCs w:val="24"/>
        </w:rPr>
        <w:t xml:space="preserve">Importantly, Costa Rica (WTO, 2023c) proposed to exclude LDCs from both capping and reducing their TTDS entitlement. </w:t>
      </w:r>
    </w:p>
    <w:p w14:paraId="5BF78AA0" w14:textId="77777777" w:rsidR="00801B78" w:rsidRPr="002552EB" w:rsidRDefault="00801B78" w:rsidP="00801B78">
      <w:pPr>
        <w:spacing w:after="0" w:line="360" w:lineRule="auto"/>
        <w:rPr>
          <w:rFonts w:cs="Times New Roman"/>
          <w:sz w:val="24"/>
          <w:szCs w:val="24"/>
        </w:rPr>
      </w:pPr>
    </w:p>
    <w:p w14:paraId="0000013F" w14:textId="266EB138" w:rsidR="007F7F72" w:rsidRPr="002552EB" w:rsidRDefault="00D01ECA" w:rsidP="00801B78">
      <w:pPr>
        <w:pStyle w:val="Heading2"/>
        <w:numPr>
          <w:ilvl w:val="1"/>
          <w:numId w:val="12"/>
        </w:numPr>
        <w:spacing w:before="0"/>
        <w:jc w:val="left"/>
        <w:rPr>
          <w:szCs w:val="24"/>
        </w:rPr>
      </w:pPr>
      <w:bookmarkStart w:id="13" w:name="_Toc147323002"/>
      <w:r w:rsidRPr="002552EB">
        <w:rPr>
          <w:szCs w:val="24"/>
        </w:rPr>
        <w:t>Ignored the Flaws in Market Price Support Methodology</w:t>
      </w:r>
      <w:bookmarkEnd w:id="13"/>
    </w:p>
    <w:p w14:paraId="476BEF64" w14:textId="7F25CC7B" w:rsidR="00CD664C" w:rsidRDefault="00D01ECA"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Several developing and LDC members have price support measures in place to ensure remunerative </w:t>
      </w:r>
      <w:r w:rsidRPr="002552EB">
        <w:rPr>
          <w:rFonts w:ascii="Times New Roman" w:eastAsia="Times New Roman" w:hAnsi="Times New Roman" w:cs="Times New Roman"/>
          <w:sz w:val="24"/>
          <w:szCs w:val="24"/>
        </w:rPr>
        <w:t>prices</w:t>
      </w:r>
      <w:r w:rsidRPr="002552EB">
        <w:rPr>
          <w:rFonts w:ascii="Times New Roman" w:eastAsia="Times New Roman" w:hAnsi="Times New Roman" w:cs="Times New Roman"/>
          <w:color w:val="000000"/>
          <w:sz w:val="24"/>
          <w:szCs w:val="24"/>
        </w:rPr>
        <w:t xml:space="preserve"> for farmers and </w:t>
      </w:r>
      <w:r w:rsidRPr="002552EB">
        <w:rPr>
          <w:rFonts w:ascii="Times New Roman" w:eastAsia="Times New Roman" w:hAnsi="Times New Roman" w:cs="Times New Roman"/>
          <w:sz w:val="24"/>
          <w:szCs w:val="24"/>
        </w:rPr>
        <w:t>ensure</w:t>
      </w:r>
      <w:r w:rsidRPr="002552EB">
        <w:rPr>
          <w:rFonts w:ascii="Times New Roman" w:eastAsia="Times New Roman" w:hAnsi="Times New Roman" w:cs="Times New Roman"/>
          <w:color w:val="000000"/>
          <w:sz w:val="24"/>
          <w:szCs w:val="24"/>
        </w:rPr>
        <w:t xml:space="preserve"> food security to its population. State agencies in </w:t>
      </w:r>
      <w:r w:rsidRPr="002552EB">
        <w:rPr>
          <w:rFonts w:ascii="Times New Roman" w:eastAsia="Times New Roman" w:hAnsi="Times New Roman" w:cs="Times New Roman"/>
          <w:color w:val="000000"/>
          <w:sz w:val="24"/>
          <w:szCs w:val="24"/>
        </w:rPr>
        <w:lastRenderedPageBreak/>
        <w:t>many countries such as India, Pakistan, Indonesia, and Bangladesh procure agricultural products at administered prices</w:t>
      </w:r>
      <w:r w:rsidR="00BB446F" w:rsidRPr="002552EB">
        <w:rPr>
          <w:rFonts w:ascii="Times New Roman" w:eastAsia="Times New Roman" w:hAnsi="Times New Roman" w:cs="Times New Roman"/>
          <w:color w:val="000000"/>
          <w:sz w:val="24"/>
          <w:szCs w:val="24"/>
        </w:rPr>
        <w:t xml:space="preserve"> (Sharma, 2016)</w:t>
      </w:r>
      <w:r w:rsidRPr="002552EB">
        <w:rPr>
          <w:rFonts w:ascii="Times New Roman" w:eastAsia="Times New Roman" w:hAnsi="Times New Roman" w:cs="Times New Roman"/>
          <w:color w:val="000000"/>
          <w:sz w:val="24"/>
          <w:szCs w:val="24"/>
        </w:rPr>
        <w:t xml:space="preserve">. The Market Price Support (MPS) through these measures is the product of eligible production with the difference between the </w:t>
      </w:r>
      <w:r w:rsidR="009A01E5" w:rsidRPr="002552EB">
        <w:rPr>
          <w:rFonts w:ascii="Times New Roman" w:eastAsia="Times New Roman" w:hAnsi="Times New Roman" w:cs="Times New Roman"/>
          <w:color w:val="000000"/>
          <w:sz w:val="24"/>
          <w:szCs w:val="24"/>
        </w:rPr>
        <w:t>A</w:t>
      </w:r>
      <w:r w:rsidRPr="002552EB">
        <w:rPr>
          <w:rFonts w:ascii="Times New Roman" w:eastAsia="Times New Roman" w:hAnsi="Times New Roman" w:cs="Times New Roman"/>
          <w:color w:val="000000"/>
          <w:sz w:val="24"/>
          <w:szCs w:val="24"/>
        </w:rPr>
        <w:t xml:space="preserve">pplied </w:t>
      </w:r>
      <w:r w:rsidR="009A01E5" w:rsidRPr="002552EB">
        <w:rPr>
          <w:rFonts w:ascii="Times New Roman" w:eastAsia="Times New Roman" w:hAnsi="Times New Roman" w:cs="Times New Roman"/>
          <w:color w:val="000000"/>
          <w:sz w:val="24"/>
          <w:szCs w:val="24"/>
        </w:rPr>
        <w:t>A</w:t>
      </w:r>
      <w:r w:rsidRPr="002552EB">
        <w:rPr>
          <w:rFonts w:ascii="Times New Roman" w:eastAsia="Times New Roman" w:hAnsi="Times New Roman" w:cs="Times New Roman"/>
          <w:color w:val="000000"/>
          <w:sz w:val="24"/>
          <w:szCs w:val="24"/>
        </w:rPr>
        <w:t xml:space="preserve">dministered </w:t>
      </w:r>
      <w:r w:rsidR="009A01E5" w:rsidRPr="002552EB">
        <w:rPr>
          <w:rFonts w:ascii="Times New Roman" w:eastAsia="Times New Roman" w:hAnsi="Times New Roman" w:cs="Times New Roman"/>
          <w:color w:val="000000"/>
          <w:sz w:val="24"/>
          <w:szCs w:val="24"/>
        </w:rPr>
        <w:t>P</w:t>
      </w:r>
      <w:r w:rsidRPr="002552EB">
        <w:rPr>
          <w:rFonts w:ascii="Times New Roman" w:eastAsia="Times New Roman" w:hAnsi="Times New Roman" w:cs="Times New Roman"/>
          <w:color w:val="000000"/>
          <w:sz w:val="24"/>
          <w:szCs w:val="24"/>
        </w:rPr>
        <w:t>rice</w:t>
      </w:r>
      <w:r w:rsidR="009A01E5" w:rsidRPr="002552EB">
        <w:rPr>
          <w:rFonts w:ascii="Times New Roman" w:eastAsia="Times New Roman" w:hAnsi="Times New Roman" w:cs="Times New Roman"/>
          <w:color w:val="000000"/>
          <w:sz w:val="24"/>
          <w:szCs w:val="24"/>
        </w:rPr>
        <w:t xml:space="preserve"> (AAP)</w:t>
      </w:r>
      <w:r w:rsidRPr="002552EB">
        <w:rPr>
          <w:rFonts w:ascii="Times New Roman" w:eastAsia="Times New Roman" w:hAnsi="Times New Roman" w:cs="Times New Roman"/>
          <w:color w:val="000000"/>
          <w:sz w:val="24"/>
          <w:szCs w:val="24"/>
        </w:rPr>
        <w:t xml:space="preserve"> and the External Reference Price (ERP). The ERP is based on the average export or import price of a product during the base period, generally, 1986-88.</w:t>
      </w:r>
      <w:r w:rsidR="00CD664C" w:rsidRPr="002552EB">
        <w:rPr>
          <w:rFonts w:ascii="Times New Roman" w:eastAsia="Times New Roman" w:hAnsi="Times New Roman" w:cs="Times New Roman"/>
          <w:color w:val="000000"/>
          <w:sz w:val="24"/>
          <w:szCs w:val="24"/>
        </w:rPr>
        <w:t xml:space="preserve"> For acceding members, the base period is different from 1986-88. </w:t>
      </w:r>
      <w:r w:rsidR="005E29EF" w:rsidRPr="002552EB">
        <w:rPr>
          <w:rFonts w:ascii="Times New Roman" w:eastAsia="Times New Roman" w:hAnsi="Times New Roman" w:cs="Times New Roman"/>
          <w:color w:val="000000"/>
          <w:sz w:val="24"/>
          <w:szCs w:val="24"/>
        </w:rPr>
        <w:t xml:space="preserve">The developing countries are concerned that the </w:t>
      </w:r>
      <w:r w:rsidR="0084609C" w:rsidRPr="002552EB">
        <w:rPr>
          <w:rFonts w:ascii="Times New Roman" w:eastAsia="Times New Roman" w:hAnsi="Times New Roman" w:cs="Times New Roman"/>
          <w:color w:val="000000"/>
          <w:sz w:val="24"/>
          <w:szCs w:val="24"/>
        </w:rPr>
        <w:t>comparison of current prices with historical prices of the commodity results in a subsidy calculation which is highly inflated and moreover imaginary</w:t>
      </w:r>
      <w:r w:rsidR="0075526E" w:rsidRPr="002552EB">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sz w:val="24"/>
          <w:szCs w:val="24"/>
        </w:rPr>
        <w:t xml:space="preserve">product-specific support. </w:t>
      </w:r>
      <w:r w:rsidR="0075526E" w:rsidRPr="002552EB">
        <w:rPr>
          <w:rFonts w:ascii="Times New Roman" w:eastAsia="Times New Roman" w:hAnsi="Times New Roman" w:cs="Times New Roman"/>
          <w:color w:val="000000"/>
          <w:sz w:val="24"/>
          <w:szCs w:val="24"/>
        </w:rPr>
        <w:t>Owing to</w:t>
      </w:r>
      <w:r w:rsidRPr="002552EB">
        <w:rPr>
          <w:rFonts w:ascii="Times New Roman" w:eastAsia="Times New Roman" w:hAnsi="Times New Roman" w:cs="Times New Roman"/>
          <w:color w:val="000000"/>
          <w:sz w:val="24"/>
          <w:szCs w:val="24"/>
        </w:rPr>
        <w:t xml:space="preserve"> the market price support methodology, </w:t>
      </w:r>
      <w:r w:rsidR="0075526E" w:rsidRPr="002552EB">
        <w:rPr>
          <w:rFonts w:ascii="Times New Roman" w:eastAsia="Times New Roman" w:hAnsi="Times New Roman" w:cs="Times New Roman"/>
          <w:color w:val="000000"/>
          <w:sz w:val="24"/>
          <w:szCs w:val="24"/>
        </w:rPr>
        <w:t xml:space="preserve">the </w:t>
      </w:r>
      <w:r w:rsidRPr="002552EB">
        <w:rPr>
          <w:rFonts w:ascii="Times New Roman" w:eastAsia="Times New Roman" w:hAnsi="Times New Roman" w:cs="Times New Roman"/>
          <w:color w:val="000000"/>
          <w:sz w:val="24"/>
          <w:szCs w:val="24"/>
        </w:rPr>
        <w:t>developing and LDC members are finding it extremely challenging to provide price support</w:t>
      </w:r>
      <w:r w:rsidR="0075526E" w:rsidRPr="002552EB">
        <w:rPr>
          <w:rFonts w:ascii="Times New Roman" w:eastAsia="Times New Roman" w:hAnsi="Times New Roman" w:cs="Times New Roman"/>
          <w:color w:val="000000"/>
          <w:sz w:val="24"/>
          <w:szCs w:val="24"/>
        </w:rPr>
        <w:t xml:space="preserve"> to their poor farmers</w:t>
      </w:r>
      <w:r w:rsidR="00BB446F" w:rsidRPr="002552EB">
        <w:rPr>
          <w:rFonts w:ascii="Times New Roman" w:eastAsia="Times New Roman" w:hAnsi="Times New Roman" w:cs="Times New Roman"/>
          <w:color w:val="000000"/>
          <w:sz w:val="24"/>
          <w:szCs w:val="24"/>
        </w:rPr>
        <w:t xml:space="preserve"> (Sharma, 2018</w:t>
      </w:r>
      <w:r w:rsidR="001263E0" w:rsidRPr="002552EB">
        <w:rPr>
          <w:rFonts w:ascii="Times New Roman" w:eastAsia="Times New Roman" w:hAnsi="Times New Roman" w:cs="Times New Roman"/>
          <w:color w:val="000000"/>
          <w:sz w:val="24"/>
          <w:szCs w:val="24"/>
        </w:rPr>
        <w:t>; Sharma et al., 2020</w:t>
      </w:r>
      <w:r w:rsidR="003860BC" w:rsidRPr="002552EB">
        <w:rPr>
          <w:rFonts w:ascii="Times New Roman" w:eastAsia="Times New Roman" w:hAnsi="Times New Roman" w:cs="Times New Roman"/>
          <w:color w:val="000000"/>
          <w:sz w:val="24"/>
          <w:szCs w:val="24"/>
        </w:rPr>
        <w:t xml:space="preserve">; </w:t>
      </w:r>
      <w:proofErr w:type="spellStart"/>
      <w:r w:rsidR="003860BC" w:rsidRPr="002552EB">
        <w:rPr>
          <w:rFonts w:ascii="Times New Roman" w:eastAsia="Times New Roman" w:hAnsi="Times New Roman" w:cs="Times New Roman"/>
          <w:color w:val="000000"/>
          <w:sz w:val="24"/>
          <w:szCs w:val="24"/>
        </w:rPr>
        <w:t>Thow</w:t>
      </w:r>
      <w:proofErr w:type="spellEnd"/>
      <w:r w:rsidR="003860BC" w:rsidRPr="002552EB">
        <w:rPr>
          <w:rFonts w:ascii="Times New Roman" w:eastAsia="Times New Roman" w:hAnsi="Times New Roman" w:cs="Times New Roman"/>
          <w:color w:val="000000"/>
          <w:sz w:val="24"/>
          <w:szCs w:val="24"/>
        </w:rPr>
        <w:t xml:space="preserve"> et al. 2019</w:t>
      </w:r>
      <w:r w:rsidR="00BB446F"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xml:space="preserve">. </w:t>
      </w:r>
    </w:p>
    <w:p w14:paraId="256FBC48" w14:textId="77777777" w:rsidR="00B61320" w:rsidRPr="002552EB" w:rsidRDefault="00B61320" w:rsidP="00FF494B">
      <w:pPr>
        <w:spacing w:after="0" w:line="360" w:lineRule="auto"/>
        <w:jc w:val="both"/>
        <w:rPr>
          <w:rFonts w:ascii="Times New Roman" w:eastAsia="Times New Roman" w:hAnsi="Times New Roman" w:cs="Times New Roman"/>
          <w:color w:val="000000"/>
          <w:sz w:val="24"/>
          <w:szCs w:val="24"/>
        </w:rPr>
      </w:pPr>
    </w:p>
    <w:p w14:paraId="2106872D" w14:textId="7453D57F" w:rsidR="00182EF4" w:rsidRDefault="00CD664C"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For example, the </w:t>
      </w:r>
      <w:r w:rsidR="009A01E5" w:rsidRPr="002552EB">
        <w:rPr>
          <w:rFonts w:ascii="Times New Roman" w:eastAsia="Times New Roman" w:hAnsi="Times New Roman" w:cs="Times New Roman"/>
          <w:color w:val="000000"/>
          <w:sz w:val="24"/>
          <w:szCs w:val="24"/>
        </w:rPr>
        <w:t>ERP</w:t>
      </w:r>
      <w:r w:rsidRPr="002552EB">
        <w:rPr>
          <w:rFonts w:ascii="Times New Roman" w:eastAsia="Times New Roman" w:hAnsi="Times New Roman" w:cs="Times New Roman"/>
          <w:color w:val="000000"/>
          <w:sz w:val="24"/>
          <w:szCs w:val="24"/>
        </w:rPr>
        <w:t xml:space="preserve"> of wheat for Jordan is </w:t>
      </w:r>
      <w:proofErr w:type="spellStart"/>
      <w:r w:rsidRPr="002552EB">
        <w:rPr>
          <w:rFonts w:ascii="Times New Roman" w:eastAsia="Times New Roman" w:hAnsi="Times New Roman" w:cs="Times New Roman"/>
          <w:color w:val="000000"/>
          <w:sz w:val="24"/>
          <w:szCs w:val="24"/>
        </w:rPr>
        <w:t>JoD</w:t>
      </w:r>
      <w:proofErr w:type="spellEnd"/>
      <w:r w:rsidR="0075526E" w:rsidRPr="002552EB">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sz w:val="24"/>
          <w:szCs w:val="24"/>
        </w:rPr>
        <w:t>151.4/Tonne during the base period 1994-</w:t>
      </w:r>
      <w:r w:rsidR="00880881" w:rsidRPr="002552EB">
        <w:rPr>
          <w:rFonts w:ascii="Times New Roman" w:eastAsia="Times New Roman" w:hAnsi="Times New Roman" w:cs="Times New Roman"/>
          <w:color w:val="000000"/>
          <w:sz w:val="24"/>
          <w:szCs w:val="24"/>
        </w:rPr>
        <w:t>1</w:t>
      </w:r>
      <w:r w:rsidRPr="002552EB">
        <w:rPr>
          <w:rFonts w:ascii="Times New Roman" w:eastAsia="Times New Roman" w:hAnsi="Times New Roman" w:cs="Times New Roman"/>
          <w:color w:val="000000"/>
          <w:sz w:val="24"/>
          <w:szCs w:val="24"/>
        </w:rPr>
        <w:t xml:space="preserve">996. The AAP for wheat was </w:t>
      </w:r>
      <w:proofErr w:type="spellStart"/>
      <w:r w:rsidRPr="002552EB">
        <w:rPr>
          <w:rFonts w:ascii="Times New Roman" w:eastAsia="Times New Roman" w:hAnsi="Times New Roman" w:cs="Times New Roman"/>
          <w:color w:val="000000"/>
          <w:sz w:val="24"/>
          <w:szCs w:val="24"/>
        </w:rPr>
        <w:t>JoD</w:t>
      </w:r>
      <w:proofErr w:type="spellEnd"/>
      <w:r w:rsidRPr="002552EB">
        <w:rPr>
          <w:rFonts w:ascii="Times New Roman" w:eastAsia="Times New Roman" w:hAnsi="Times New Roman" w:cs="Times New Roman"/>
          <w:color w:val="000000"/>
          <w:sz w:val="24"/>
          <w:szCs w:val="24"/>
        </w:rPr>
        <w:t xml:space="preserve"> 370/Tonne in 2013. As per its domestic support notification, the </w:t>
      </w:r>
      <w:r w:rsidR="00E70705" w:rsidRPr="002552EB">
        <w:rPr>
          <w:rFonts w:ascii="Times New Roman" w:eastAsia="Times New Roman" w:hAnsi="Times New Roman" w:cs="Times New Roman"/>
          <w:color w:val="000000"/>
          <w:sz w:val="24"/>
          <w:szCs w:val="24"/>
        </w:rPr>
        <w:t>M</w:t>
      </w:r>
      <w:r w:rsidRPr="002552EB">
        <w:rPr>
          <w:rFonts w:ascii="Times New Roman" w:eastAsia="Times New Roman" w:hAnsi="Times New Roman" w:cs="Times New Roman"/>
          <w:color w:val="000000"/>
          <w:sz w:val="24"/>
          <w:szCs w:val="24"/>
        </w:rPr>
        <w:t xml:space="preserve">arket </w:t>
      </w:r>
      <w:r w:rsidR="00E70705" w:rsidRPr="002552EB">
        <w:rPr>
          <w:rFonts w:ascii="Times New Roman" w:eastAsia="Times New Roman" w:hAnsi="Times New Roman" w:cs="Times New Roman"/>
          <w:color w:val="000000"/>
          <w:sz w:val="24"/>
          <w:szCs w:val="24"/>
        </w:rPr>
        <w:t>P</w:t>
      </w:r>
      <w:r w:rsidRPr="002552EB">
        <w:rPr>
          <w:rFonts w:ascii="Times New Roman" w:eastAsia="Times New Roman" w:hAnsi="Times New Roman" w:cs="Times New Roman"/>
          <w:color w:val="000000"/>
          <w:sz w:val="24"/>
          <w:szCs w:val="24"/>
        </w:rPr>
        <w:t xml:space="preserve">rice </w:t>
      </w:r>
      <w:r w:rsidR="00E70705" w:rsidRPr="002552EB">
        <w:rPr>
          <w:rFonts w:ascii="Times New Roman" w:eastAsia="Times New Roman" w:hAnsi="Times New Roman" w:cs="Times New Roman"/>
          <w:color w:val="000000"/>
          <w:sz w:val="24"/>
          <w:szCs w:val="24"/>
        </w:rPr>
        <w:t>S</w:t>
      </w:r>
      <w:r w:rsidRPr="002552EB">
        <w:rPr>
          <w:rFonts w:ascii="Times New Roman" w:eastAsia="Times New Roman" w:hAnsi="Times New Roman" w:cs="Times New Roman"/>
          <w:color w:val="000000"/>
          <w:sz w:val="24"/>
          <w:szCs w:val="24"/>
        </w:rPr>
        <w:t>upport was 18 percent of the VoP for wheat in 2013</w:t>
      </w:r>
      <w:r w:rsidR="003860BC" w:rsidRPr="002552EB">
        <w:rPr>
          <w:rFonts w:ascii="Times New Roman" w:eastAsia="Times New Roman" w:hAnsi="Times New Roman" w:cs="Times New Roman"/>
          <w:color w:val="000000"/>
          <w:sz w:val="24"/>
          <w:szCs w:val="24"/>
        </w:rPr>
        <w:t xml:space="preserve"> (WTO</w:t>
      </w:r>
      <w:r w:rsidR="00ED2F4D" w:rsidRPr="002552EB">
        <w:rPr>
          <w:rFonts w:ascii="Times New Roman" w:eastAsia="Times New Roman" w:hAnsi="Times New Roman" w:cs="Times New Roman"/>
          <w:color w:val="000000"/>
          <w:sz w:val="24"/>
          <w:szCs w:val="24"/>
        </w:rPr>
        <w:t>,</w:t>
      </w:r>
      <w:r w:rsidR="003860BC" w:rsidRPr="002552EB">
        <w:rPr>
          <w:rFonts w:ascii="Times New Roman" w:eastAsia="Times New Roman" w:hAnsi="Times New Roman" w:cs="Times New Roman"/>
          <w:color w:val="000000"/>
          <w:sz w:val="24"/>
          <w:szCs w:val="24"/>
        </w:rPr>
        <w:t xml:space="preserve"> 2017</w:t>
      </w:r>
      <w:r w:rsidR="00BA2193" w:rsidRPr="002552EB">
        <w:rPr>
          <w:rFonts w:ascii="Times New Roman" w:eastAsia="Times New Roman" w:hAnsi="Times New Roman" w:cs="Times New Roman"/>
          <w:color w:val="000000"/>
          <w:sz w:val="24"/>
          <w:szCs w:val="24"/>
        </w:rPr>
        <w:t>b</w:t>
      </w:r>
      <w:r w:rsidR="003860BC"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xml:space="preserve">. One of the reasons for support beyond the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(10%) was the comparison of the current AAP (2013) with fixed </w:t>
      </w:r>
      <w:r w:rsidR="000444C8" w:rsidRPr="002552EB">
        <w:rPr>
          <w:rFonts w:ascii="Times New Roman" w:eastAsia="Times New Roman" w:hAnsi="Times New Roman" w:cs="Times New Roman"/>
          <w:color w:val="000000"/>
          <w:sz w:val="24"/>
          <w:szCs w:val="24"/>
        </w:rPr>
        <w:t>E</w:t>
      </w:r>
      <w:r w:rsidRPr="002552EB">
        <w:rPr>
          <w:rFonts w:ascii="Times New Roman" w:eastAsia="Times New Roman" w:hAnsi="Times New Roman" w:cs="Times New Roman"/>
          <w:color w:val="000000"/>
          <w:sz w:val="24"/>
          <w:szCs w:val="24"/>
        </w:rPr>
        <w:t xml:space="preserve">xternal </w:t>
      </w:r>
      <w:r w:rsidR="000444C8" w:rsidRPr="002552EB">
        <w:rPr>
          <w:rFonts w:ascii="Times New Roman" w:eastAsia="Times New Roman" w:hAnsi="Times New Roman" w:cs="Times New Roman"/>
          <w:color w:val="000000"/>
          <w:sz w:val="24"/>
          <w:szCs w:val="24"/>
        </w:rPr>
        <w:t>R</w:t>
      </w:r>
      <w:r w:rsidRPr="002552EB">
        <w:rPr>
          <w:rFonts w:ascii="Times New Roman" w:eastAsia="Times New Roman" w:hAnsi="Times New Roman" w:cs="Times New Roman"/>
          <w:color w:val="000000"/>
          <w:sz w:val="24"/>
          <w:szCs w:val="24"/>
        </w:rPr>
        <w:t xml:space="preserve">eference </w:t>
      </w:r>
      <w:r w:rsidR="000444C8" w:rsidRPr="002552EB">
        <w:rPr>
          <w:rFonts w:ascii="Times New Roman" w:eastAsia="Times New Roman" w:hAnsi="Times New Roman" w:cs="Times New Roman"/>
          <w:color w:val="000000"/>
          <w:sz w:val="24"/>
          <w:szCs w:val="24"/>
        </w:rPr>
        <w:t>P</w:t>
      </w:r>
      <w:r w:rsidRPr="002552EB">
        <w:rPr>
          <w:rFonts w:ascii="Times New Roman" w:eastAsia="Times New Roman" w:hAnsi="Times New Roman" w:cs="Times New Roman"/>
          <w:color w:val="000000"/>
          <w:sz w:val="24"/>
          <w:szCs w:val="24"/>
        </w:rPr>
        <w:t xml:space="preserve">rice-based on </w:t>
      </w:r>
      <w:r w:rsidR="00D5327D">
        <w:rPr>
          <w:rFonts w:ascii="Times New Roman" w:eastAsia="Times New Roman" w:hAnsi="Times New Roman" w:cs="Times New Roman"/>
          <w:color w:val="000000"/>
          <w:sz w:val="24"/>
          <w:szCs w:val="24"/>
        </w:rPr>
        <w:t xml:space="preserve">the </w:t>
      </w:r>
      <w:r w:rsidRPr="002552EB">
        <w:rPr>
          <w:rFonts w:ascii="Times New Roman" w:eastAsia="Times New Roman" w:hAnsi="Times New Roman" w:cs="Times New Roman"/>
          <w:color w:val="000000"/>
          <w:sz w:val="24"/>
          <w:szCs w:val="24"/>
        </w:rPr>
        <w:t>1994-96 price. I</w:t>
      </w:r>
      <w:r w:rsidR="0008402E" w:rsidRPr="002552EB">
        <w:rPr>
          <w:rFonts w:ascii="Times New Roman" w:eastAsia="Times New Roman" w:hAnsi="Times New Roman" w:cs="Times New Roman"/>
          <w:color w:val="000000"/>
          <w:sz w:val="24"/>
          <w:szCs w:val="24"/>
        </w:rPr>
        <w:t xml:space="preserve">f </w:t>
      </w:r>
      <w:r w:rsidRPr="002552EB">
        <w:rPr>
          <w:rFonts w:ascii="Times New Roman" w:eastAsia="Times New Roman" w:hAnsi="Times New Roman" w:cs="Times New Roman"/>
          <w:color w:val="000000"/>
          <w:sz w:val="24"/>
          <w:szCs w:val="24"/>
        </w:rPr>
        <w:t xml:space="preserve">inflation is considered, the </w:t>
      </w:r>
      <w:r w:rsidR="0008402E" w:rsidRPr="002552EB">
        <w:rPr>
          <w:rFonts w:ascii="Times New Roman" w:eastAsia="Times New Roman" w:hAnsi="Times New Roman" w:cs="Times New Roman"/>
          <w:color w:val="000000"/>
          <w:sz w:val="24"/>
          <w:szCs w:val="24"/>
        </w:rPr>
        <w:t xml:space="preserve">ERP </w:t>
      </w:r>
      <w:r w:rsidRPr="002552EB">
        <w:rPr>
          <w:rFonts w:ascii="Times New Roman" w:eastAsia="Times New Roman" w:hAnsi="Times New Roman" w:cs="Times New Roman"/>
          <w:color w:val="000000"/>
          <w:sz w:val="24"/>
          <w:szCs w:val="24"/>
        </w:rPr>
        <w:t>increase</w:t>
      </w:r>
      <w:r w:rsidR="0008402E" w:rsidRPr="002552EB">
        <w:rPr>
          <w:rFonts w:ascii="Times New Roman" w:eastAsia="Times New Roman" w:hAnsi="Times New Roman" w:cs="Times New Roman"/>
          <w:color w:val="000000"/>
          <w:sz w:val="24"/>
          <w:szCs w:val="24"/>
        </w:rPr>
        <w:t>s</w:t>
      </w:r>
      <w:r w:rsidRPr="002552EB">
        <w:rPr>
          <w:rFonts w:ascii="Times New Roman" w:eastAsia="Times New Roman" w:hAnsi="Times New Roman" w:cs="Times New Roman"/>
          <w:color w:val="000000"/>
          <w:sz w:val="24"/>
          <w:szCs w:val="24"/>
        </w:rPr>
        <w:t xml:space="preserve"> from JOD151.4/Tonne to </w:t>
      </w:r>
      <w:proofErr w:type="spellStart"/>
      <w:r w:rsidRPr="002552EB">
        <w:rPr>
          <w:rFonts w:ascii="Times New Roman" w:eastAsia="Times New Roman" w:hAnsi="Times New Roman" w:cs="Times New Roman"/>
          <w:color w:val="000000"/>
          <w:sz w:val="24"/>
          <w:szCs w:val="24"/>
        </w:rPr>
        <w:t>JoD</w:t>
      </w:r>
      <w:proofErr w:type="spellEnd"/>
      <w:r w:rsidRPr="002552EB">
        <w:rPr>
          <w:rFonts w:ascii="Times New Roman" w:eastAsia="Times New Roman" w:hAnsi="Times New Roman" w:cs="Times New Roman"/>
          <w:color w:val="000000"/>
          <w:sz w:val="24"/>
          <w:szCs w:val="24"/>
        </w:rPr>
        <w:t xml:space="preserve"> 268/Tonne, resulting in </w:t>
      </w:r>
      <w:r w:rsidR="00D5327D">
        <w:rPr>
          <w:rFonts w:ascii="Times New Roman" w:eastAsia="Times New Roman" w:hAnsi="Times New Roman" w:cs="Times New Roman"/>
          <w:color w:val="000000"/>
          <w:sz w:val="24"/>
          <w:szCs w:val="24"/>
        </w:rPr>
        <w:t xml:space="preserve">a </w:t>
      </w:r>
      <w:r w:rsidRPr="002552EB">
        <w:rPr>
          <w:rFonts w:ascii="Times New Roman" w:eastAsia="Times New Roman" w:hAnsi="Times New Roman" w:cs="Times New Roman"/>
          <w:color w:val="000000"/>
          <w:sz w:val="24"/>
          <w:szCs w:val="24"/>
        </w:rPr>
        <w:t>decline in market price support to 8 percent in 2013.</w:t>
      </w:r>
      <w:r w:rsidR="00B9394A" w:rsidRPr="002552EB">
        <w:rPr>
          <w:rFonts w:ascii="Times New Roman" w:eastAsia="Times New Roman" w:hAnsi="Times New Roman" w:cs="Times New Roman"/>
          <w:color w:val="000000"/>
          <w:sz w:val="24"/>
          <w:szCs w:val="24"/>
        </w:rPr>
        <w:t xml:space="preserve"> </w:t>
      </w:r>
      <w:r w:rsidR="00597A8C" w:rsidRPr="002552EB">
        <w:rPr>
          <w:rFonts w:ascii="Times New Roman" w:eastAsia="Times New Roman" w:hAnsi="Times New Roman" w:cs="Times New Roman"/>
          <w:color w:val="000000"/>
          <w:sz w:val="24"/>
          <w:szCs w:val="24"/>
        </w:rPr>
        <w:t xml:space="preserve">Similarly, </w:t>
      </w:r>
      <w:r w:rsidR="00853255" w:rsidRPr="002552EB">
        <w:rPr>
          <w:rFonts w:ascii="Times New Roman" w:eastAsia="Times New Roman" w:hAnsi="Times New Roman" w:cs="Times New Roman"/>
          <w:color w:val="000000"/>
          <w:sz w:val="24"/>
          <w:szCs w:val="24"/>
        </w:rPr>
        <w:t>the ERP of Indonesia</w:t>
      </w:r>
      <w:r w:rsidR="00895A61" w:rsidRPr="002552EB">
        <w:rPr>
          <w:rFonts w:ascii="Times New Roman" w:eastAsia="Times New Roman" w:hAnsi="Times New Roman" w:cs="Times New Roman"/>
          <w:color w:val="000000"/>
          <w:sz w:val="24"/>
          <w:szCs w:val="24"/>
        </w:rPr>
        <w:t xml:space="preserve">n </w:t>
      </w:r>
      <w:r w:rsidR="001D275B" w:rsidRPr="002552EB">
        <w:rPr>
          <w:rFonts w:ascii="Times New Roman" w:eastAsia="Times New Roman" w:hAnsi="Times New Roman" w:cs="Times New Roman"/>
          <w:color w:val="000000"/>
          <w:sz w:val="24"/>
          <w:szCs w:val="24"/>
        </w:rPr>
        <w:t>r</w:t>
      </w:r>
      <w:r w:rsidR="00895A61" w:rsidRPr="002552EB">
        <w:rPr>
          <w:rFonts w:ascii="Times New Roman" w:eastAsia="Times New Roman" w:hAnsi="Times New Roman" w:cs="Times New Roman"/>
          <w:color w:val="000000"/>
          <w:sz w:val="24"/>
          <w:szCs w:val="24"/>
        </w:rPr>
        <w:t>ice</w:t>
      </w:r>
      <w:r w:rsidR="00853255" w:rsidRPr="002552EB">
        <w:rPr>
          <w:rFonts w:ascii="Times New Roman" w:eastAsia="Times New Roman" w:hAnsi="Times New Roman" w:cs="Times New Roman"/>
          <w:color w:val="000000"/>
          <w:sz w:val="24"/>
          <w:szCs w:val="24"/>
        </w:rPr>
        <w:t xml:space="preserve"> is </w:t>
      </w:r>
      <w:r w:rsidR="00895A61" w:rsidRPr="002552EB">
        <w:rPr>
          <w:rFonts w:ascii="Times New Roman" w:eastAsia="Times New Roman" w:hAnsi="Times New Roman" w:cs="Times New Roman"/>
          <w:color w:val="000000"/>
          <w:sz w:val="24"/>
          <w:szCs w:val="24"/>
        </w:rPr>
        <w:t xml:space="preserve">370.7 thousand IDR/Ton, whereas, the </w:t>
      </w:r>
      <w:r w:rsidR="001D275B" w:rsidRPr="002552EB">
        <w:rPr>
          <w:rFonts w:ascii="Times New Roman" w:eastAsia="Times New Roman" w:hAnsi="Times New Roman" w:cs="Times New Roman"/>
          <w:color w:val="000000"/>
          <w:sz w:val="24"/>
          <w:szCs w:val="24"/>
        </w:rPr>
        <w:t>AAP for rice in 2021 was 8300 thousand IDR/Ton</w:t>
      </w:r>
      <w:r w:rsidR="00413BF5">
        <w:rPr>
          <w:rFonts w:ascii="Times New Roman" w:eastAsia="Times New Roman" w:hAnsi="Times New Roman" w:cs="Times New Roman"/>
          <w:color w:val="000000"/>
          <w:sz w:val="24"/>
          <w:szCs w:val="24"/>
        </w:rPr>
        <w:t xml:space="preserve"> (Figure 8)</w:t>
      </w:r>
      <w:r w:rsidR="001D275B" w:rsidRPr="002552EB">
        <w:rPr>
          <w:rFonts w:ascii="Times New Roman" w:eastAsia="Times New Roman" w:hAnsi="Times New Roman" w:cs="Times New Roman"/>
          <w:color w:val="000000"/>
          <w:sz w:val="24"/>
          <w:szCs w:val="24"/>
        </w:rPr>
        <w:t xml:space="preserve">. </w:t>
      </w:r>
      <w:r w:rsidR="0065109F" w:rsidRPr="002552EB">
        <w:rPr>
          <w:rFonts w:ascii="Times New Roman" w:eastAsia="Times New Roman" w:hAnsi="Times New Roman" w:cs="Times New Roman"/>
          <w:color w:val="000000"/>
          <w:sz w:val="24"/>
          <w:szCs w:val="24"/>
        </w:rPr>
        <w:t>The huge difference between AAP and ERP exaggerate</w:t>
      </w:r>
      <w:r w:rsidR="00687D92" w:rsidRPr="002552EB">
        <w:rPr>
          <w:rFonts w:ascii="Times New Roman" w:eastAsia="Times New Roman" w:hAnsi="Times New Roman" w:cs="Times New Roman"/>
          <w:color w:val="000000"/>
          <w:sz w:val="24"/>
          <w:szCs w:val="24"/>
        </w:rPr>
        <w:t>s</w:t>
      </w:r>
      <w:r w:rsidR="0065109F" w:rsidRPr="002552EB">
        <w:rPr>
          <w:rFonts w:ascii="Times New Roman" w:eastAsia="Times New Roman" w:hAnsi="Times New Roman" w:cs="Times New Roman"/>
          <w:color w:val="000000"/>
          <w:sz w:val="24"/>
          <w:szCs w:val="24"/>
        </w:rPr>
        <w:t xml:space="preserve"> the </w:t>
      </w:r>
      <w:r w:rsidR="007A3C04" w:rsidRPr="002552EB">
        <w:rPr>
          <w:rFonts w:ascii="Times New Roman" w:eastAsia="Times New Roman" w:hAnsi="Times New Roman" w:cs="Times New Roman"/>
          <w:color w:val="000000"/>
          <w:sz w:val="24"/>
          <w:szCs w:val="24"/>
        </w:rPr>
        <w:t>market price support</w:t>
      </w:r>
      <w:r w:rsidR="0065109F" w:rsidRPr="002552EB">
        <w:rPr>
          <w:rFonts w:ascii="Times New Roman" w:eastAsia="Times New Roman" w:hAnsi="Times New Roman" w:cs="Times New Roman"/>
          <w:color w:val="000000"/>
          <w:sz w:val="24"/>
          <w:szCs w:val="24"/>
        </w:rPr>
        <w:t>, whereas when the ERP is compared with AAP after inflation</w:t>
      </w:r>
      <w:r w:rsidR="00687D92" w:rsidRPr="002552EB">
        <w:rPr>
          <w:rFonts w:ascii="Times New Roman" w:eastAsia="Times New Roman" w:hAnsi="Times New Roman" w:cs="Times New Roman"/>
          <w:color w:val="000000"/>
          <w:sz w:val="24"/>
          <w:szCs w:val="24"/>
        </w:rPr>
        <w:t xml:space="preserve"> adjustment</w:t>
      </w:r>
      <w:r w:rsidR="0065109F" w:rsidRPr="002552EB">
        <w:rPr>
          <w:rFonts w:ascii="Times New Roman" w:eastAsia="Times New Roman" w:hAnsi="Times New Roman" w:cs="Times New Roman"/>
          <w:color w:val="000000"/>
          <w:sz w:val="24"/>
          <w:szCs w:val="24"/>
        </w:rPr>
        <w:t>, the difference is significantly reduc</w:t>
      </w:r>
      <w:r w:rsidR="000B54C3" w:rsidRPr="002552EB">
        <w:rPr>
          <w:rFonts w:ascii="Times New Roman" w:eastAsia="Times New Roman" w:hAnsi="Times New Roman" w:cs="Times New Roman"/>
          <w:color w:val="000000"/>
          <w:sz w:val="24"/>
          <w:szCs w:val="24"/>
        </w:rPr>
        <w:t>e</w:t>
      </w:r>
      <w:r w:rsidR="0065109F" w:rsidRPr="002552EB">
        <w:rPr>
          <w:rFonts w:ascii="Times New Roman" w:eastAsia="Times New Roman" w:hAnsi="Times New Roman" w:cs="Times New Roman"/>
          <w:color w:val="000000"/>
          <w:sz w:val="24"/>
          <w:szCs w:val="24"/>
        </w:rPr>
        <w:t xml:space="preserve">d. </w:t>
      </w:r>
    </w:p>
    <w:p w14:paraId="23D13E3A" w14:textId="77777777" w:rsidR="00801B78" w:rsidRPr="00801B78" w:rsidRDefault="00801B78" w:rsidP="00FF494B">
      <w:pPr>
        <w:spacing w:after="0" w:line="360" w:lineRule="auto"/>
        <w:jc w:val="both"/>
        <w:rPr>
          <w:rFonts w:ascii="Times New Roman" w:eastAsia="Times New Roman" w:hAnsi="Times New Roman" w:cs="Times New Roman"/>
          <w:color w:val="000000"/>
          <w:sz w:val="24"/>
          <w:szCs w:val="24"/>
        </w:rPr>
      </w:pPr>
    </w:p>
    <w:p w14:paraId="1D658AC8" w14:textId="77777777" w:rsidR="00801B78" w:rsidRDefault="00801B78"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There is a need to improve the measurement of the MPS (Brink &amp; Orden, 2023). Thus, more than 80 members are demanding to replace the fixed ERP with a dynamic External Reference Price based on recent export/import prices as the case with the Producer Support Estimate (PSE) methodology of the OECD, or updating it by considering inflation (WTO, 2022a).</w:t>
      </w:r>
      <w:r w:rsidRPr="002552EB">
        <w:rPr>
          <w:rFonts w:ascii="Times New Roman" w:eastAsia="Times New Roman" w:hAnsi="Times New Roman" w:cs="Times New Roman"/>
          <w:color w:val="000000"/>
          <w:sz w:val="24"/>
          <w:szCs w:val="24"/>
          <w:vertAlign w:val="superscript"/>
        </w:rPr>
        <w:t xml:space="preserve"> </w:t>
      </w:r>
      <w:r w:rsidRPr="002552EB">
        <w:rPr>
          <w:rFonts w:ascii="Times New Roman" w:eastAsia="Times New Roman" w:hAnsi="Times New Roman" w:cs="Times New Roman"/>
          <w:color w:val="000000"/>
          <w:sz w:val="24"/>
          <w:szCs w:val="24"/>
        </w:rPr>
        <w:t>This issue has been side-lined under this approach.</w:t>
      </w:r>
    </w:p>
    <w:p w14:paraId="723EF19C" w14:textId="77777777" w:rsidR="00801B78" w:rsidRDefault="00801B78" w:rsidP="00801B78">
      <w:pPr>
        <w:spacing w:after="0" w:line="360" w:lineRule="auto"/>
        <w:rPr>
          <w:rFonts w:ascii="Times New Roman" w:hAnsi="Times New Roman" w:cs="Times New Roman"/>
          <w:b/>
          <w:bCs/>
          <w:sz w:val="24"/>
          <w:szCs w:val="24"/>
        </w:rPr>
      </w:pPr>
    </w:p>
    <w:p w14:paraId="6D07AEF0" w14:textId="77777777" w:rsidR="007B3B46" w:rsidRDefault="007B3B46" w:rsidP="00801B78">
      <w:pPr>
        <w:spacing w:after="0" w:line="360" w:lineRule="auto"/>
        <w:rPr>
          <w:rFonts w:ascii="Times New Roman" w:hAnsi="Times New Roman" w:cs="Times New Roman"/>
          <w:b/>
          <w:bCs/>
          <w:sz w:val="24"/>
          <w:szCs w:val="24"/>
        </w:rPr>
      </w:pPr>
    </w:p>
    <w:p w14:paraId="573E5BD2" w14:textId="77777777" w:rsidR="007B3B46" w:rsidRDefault="007B3B46" w:rsidP="00801B78">
      <w:pPr>
        <w:spacing w:after="0" w:line="360" w:lineRule="auto"/>
        <w:rPr>
          <w:rFonts w:ascii="Times New Roman" w:hAnsi="Times New Roman" w:cs="Times New Roman"/>
          <w:b/>
          <w:bCs/>
          <w:sz w:val="24"/>
          <w:szCs w:val="24"/>
        </w:rPr>
      </w:pPr>
    </w:p>
    <w:p w14:paraId="7E1CCDE8" w14:textId="77777777" w:rsidR="007B3B46" w:rsidRDefault="007B3B46" w:rsidP="00801B78">
      <w:pPr>
        <w:spacing w:after="0" w:line="360" w:lineRule="auto"/>
        <w:rPr>
          <w:rFonts w:ascii="Times New Roman" w:hAnsi="Times New Roman" w:cs="Times New Roman"/>
          <w:b/>
          <w:bCs/>
          <w:sz w:val="24"/>
          <w:szCs w:val="24"/>
        </w:rPr>
      </w:pPr>
    </w:p>
    <w:p w14:paraId="4A2656A5" w14:textId="77777777" w:rsidR="007B3B46" w:rsidRPr="00801B78" w:rsidRDefault="007B3B46" w:rsidP="00801B78">
      <w:pPr>
        <w:spacing w:after="0" w:line="360" w:lineRule="auto"/>
        <w:rPr>
          <w:rFonts w:ascii="Times New Roman" w:hAnsi="Times New Roman" w:cs="Times New Roman"/>
          <w:b/>
          <w:bCs/>
          <w:sz w:val="24"/>
          <w:szCs w:val="24"/>
        </w:rPr>
      </w:pPr>
    </w:p>
    <w:p w14:paraId="40F50CCD" w14:textId="23D0EC50" w:rsidR="00CB6061" w:rsidRPr="002552EB" w:rsidRDefault="00CB6061" w:rsidP="00801B78">
      <w:pPr>
        <w:spacing w:after="0" w:line="240" w:lineRule="auto"/>
        <w:contextualSpacing/>
        <w:rPr>
          <w:rFonts w:ascii="Times New Roman" w:hAnsi="Times New Roman" w:cs="Times New Roman"/>
          <w:b/>
          <w:bCs/>
          <w:sz w:val="20"/>
          <w:szCs w:val="20"/>
          <w:lang w:val="en-US"/>
        </w:rPr>
      </w:pPr>
      <w:r w:rsidRPr="002552EB">
        <w:rPr>
          <w:rFonts w:ascii="Times New Roman" w:hAnsi="Times New Roman" w:cs="Times New Roman"/>
          <w:b/>
          <w:bCs/>
          <w:sz w:val="20"/>
          <w:szCs w:val="20"/>
        </w:rPr>
        <w:lastRenderedPageBreak/>
        <w:t>Fig</w:t>
      </w:r>
      <w:r w:rsidR="007D1B7C" w:rsidRPr="00640CB0">
        <w:rPr>
          <w:rFonts w:ascii="Times New Roman" w:hAnsi="Times New Roman" w:cs="Times New Roman"/>
          <w:b/>
          <w:bCs/>
          <w:sz w:val="20"/>
          <w:szCs w:val="20"/>
        </w:rPr>
        <w:t xml:space="preserve">. </w:t>
      </w:r>
      <w:r w:rsidR="003674A8" w:rsidRPr="00640CB0">
        <w:rPr>
          <w:rFonts w:ascii="Times New Roman" w:hAnsi="Times New Roman" w:cs="Times New Roman"/>
          <w:b/>
          <w:bCs/>
          <w:sz w:val="20"/>
          <w:szCs w:val="20"/>
        </w:rPr>
        <w:t>8</w:t>
      </w:r>
      <w:r w:rsidRPr="002552EB">
        <w:rPr>
          <w:rFonts w:ascii="Times New Roman" w:hAnsi="Times New Roman" w:cs="Times New Roman"/>
          <w:sz w:val="20"/>
          <w:szCs w:val="20"/>
        </w:rPr>
        <w:t xml:space="preserve"> </w:t>
      </w:r>
      <w:bookmarkStart w:id="14" w:name="OLE_LINK4"/>
      <w:r w:rsidRPr="002552EB">
        <w:rPr>
          <w:rFonts w:ascii="Times New Roman" w:hAnsi="Times New Roman" w:cs="Times New Roman"/>
          <w:b/>
          <w:bCs/>
          <w:sz w:val="20"/>
          <w:szCs w:val="20"/>
          <w:lang w:val="en-US"/>
        </w:rPr>
        <w:t xml:space="preserve">Comparing the Applied Administered Price and Fixed External Reference Price for Indonesian </w:t>
      </w:r>
      <w:r w:rsidR="00687D92" w:rsidRPr="00640CB0">
        <w:rPr>
          <w:rFonts w:ascii="Times New Roman" w:hAnsi="Times New Roman" w:cs="Times New Roman"/>
          <w:b/>
          <w:bCs/>
          <w:sz w:val="20"/>
          <w:szCs w:val="20"/>
          <w:lang w:val="en-US"/>
        </w:rPr>
        <w:t>r</w:t>
      </w:r>
      <w:r w:rsidRPr="002552EB">
        <w:rPr>
          <w:rFonts w:ascii="Times New Roman" w:hAnsi="Times New Roman" w:cs="Times New Roman"/>
          <w:b/>
          <w:bCs/>
          <w:sz w:val="20"/>
          <w:szCs w:val="20"/>
          <w:lang w:val="en-US"/>
        </w:rPr>
        <w:t>ice</w:t>
      </w:r>
    </w:p>
    <w:bookmarkEnd w:id="14"/>
    <w:p w14:paraId="13F8EA7E" w14:textId="30738374" w:rsidR="00CB6061" w:rsidRPr="00640CB0" w:rsidRDefault="007D1B7C" w:rsidP="00801B78">
      <w:pPr>
        <w:spacing w:after="0" w:line="240" w:lineRule="auto"/>
        <w:contextualSpacing/>
      </w:pPr>
      <w:r w:rsidRPr="00640CB0">
        <w:rPr>
          <w:noProof/>
        </w:rPr>
        <w:drawing>
          <wp:inline distT="0" distB="0" distL="0" distR="0" wp14:anchorId="3781A738" wp14:editId="2FC5B85A">
            <wp:extent cx="5687695" cy="2541270"/>
            <wp:effectExtent l="0" t="0" r="14605" b="11430"/>
            <wp:docPr id="947304777" name="Chart 1">
              <a:extLst xmlns:a="http://schemas.openxmlformats.org/drawingml/2006/main">
                <a:ext uri="{FF2B5EF4-FFF2-40B4-BE49-F238E27FC236}">
                  <a16:creationId xmlns:a16="http://schemas.microsoft.com/office/drawing/2014/main" id="{EF7A4AB9-13D1-AFD3-8AFC-77F364F883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71ABAE" w14:textId="0D6C0BDB" w:rsidR="00B53A08" w:rsidRDefault="00CB6061" w:rsidP="00801B78">
      <w:pPr>
        <w:spacing w:after="0" w:line="240" w:lineRule="auto"/>
        <w:contextualSpacing/>
        <w:rPr>
          <w:rFonts w:ascii="Times New Roman" w:hAnsi="Times New Roman" w:cs="Times New Roman"/>
          <w:sz w:val="20"/>
          <w:szCs w:val="20"/>
          <w:lang w:val="en-GB"/>
        </w:rPr>
      </w:pPr>
      <w:r w:rsidRPr="002552EB">
        <w:rPr>
          <w:rFonts w:ascii="Times New Roman" w:hAnsi="Times New Roman" w:cs="Times New Roman"/>
          <w:sz w:val="20"/>
          <w:szCs w:val="20"/>
        </w:rPr>
        <w:t xml:space="preserve">Source: </w:t>
      </w:r>
      <w:r w:rsidRPr="002552EB">
        <w:rPr>
          <w:rFonts w:ascii="Times New Roman" w:hAnsi="Times New Roman" w:cs="Times New Roman"/>
          <w:sz w:val="20"/>
          <w:szCs w:val="20"/>
          <w:lang w:val="en-GB"/>
        </w:rPr>
        <w:t>Authors</w:t>
      </w:r>
      <w:r w:rsidRPr="00640CB0">
        <w:rPr>
          <w:rFonts w:ascii="Times New Roman" w:hAnsi="Times New Roman" w:cs="Times New Roman"/>
          <w:sz w:val="20"/>
          <w:szCs w:val="20"/>
          <w:lang w:val="en-GB"/>
        </w:rPr>
        <w:t>’</w:t>
      </w:r>
      <w:r w:rsidRPr="002552EB">
        <w:rPr>
          <w:rFonts w:ascii="Times New Roman" w:hAnsi="Times New Roman" w:cs="Times New Roman"/>
          <w:sz w:val="20"/>
          <w:szCs w:val="20"/>
          <w:lang w:val="en-GB"/>
        </w:rPr>
        <w:t xml:space="preserve"> calculation based on Indonesia</w:t>
      </w:r>
      <w:r w:rsidRPr="00640CB0">
        <w:rPr>
          <w:rFonts w:ascii="Times New Roman" w:hAnsi="Times New Roman" w:cs="Times New Roman"/>
          <w:sz w:val="20"/>
          <w:szCs w:val="20"/>
          <w:lang w:val="en-GB"/>
        </w:rPr>
        <w:t>’s</w:t>
      </w:r>
      <w:r w:rsidRPr="002552EB">
        <w:rPr>
          <w:rFonts w:ascii="Times New Roman" w:hAnsi="Times New Roman" w:cs="Times New Roman"/>
          <w:sz w:val="20"/>
          <w:szCs w:val="20"/>
          <w:lang w:val="en-GB"/>
        </w:rPr>
        <w:t xml:space="preserve"> Domestic Support Notification for the relevant years. </w:t>
      </w:r>
    </w:p>
    <w:p w14:paraId="718F5CFC" w14:textId="77777777" w:rsidR="00801B78" w:rsidRPr="00801B78" w:rsidRDefault="00801B78" w:rsidP="00801B78">
      <w:pPr>
        <w:spacing w:after="0" w:line="360" w:lineRule="auto"/>
        <w:rPr>
          <w:rFonts w:ascii="Times New Roman" w:hAnsi="Times New Roman" w:cs="Times New Roman"/>
          <w:sz w:val="24"/>
          <w:szCs w:val="24"/>
        </w:rPr>
      </w:pPr>
    </w:p>
    <w:p w14:paraId="6E92AD62" w14:textId="15D8D529" w:rsidR="001B2991" w:rsidRPr="002552EB" w:rsidRDefault="001B2991" w:rsidP="00801B78">
      <w:pPr>
        <w:pStyle w:val="Heading2"/>
        <w:numPr>
          <w:ilvl w:val="1"/>
          <w:numId w:val="12"/>
        </w:numPr>
        <w:spacing w:before="0"/>
        <w:jc w:val="left"/>
        <w:rPr>
          <w:szCs w:val="24"/>
        </w:rPr>
      </w:pPr>
      <w:bookmarkStart w:id="15" w:name="_Toc147323003"/>
      <w:r w:rsidRPr="002552EB">
        <w:rPr>
          <w:szCs w:val="24"/>
        </w:rPr>
        <w:t>Undermining the Bali Peace Clause and development box</w:t>
      </w:r>
      <w:bookmarkEnd w:id="15"/>
      <w:r w:rsidRPr="002552EB">
        <w:rPr>
          <w:szCs w:val="24"/>
        </w:rPr>
        <w:t xml:space="preserve"> </w:t>
      </w:r>
    </w:p>
    <w:p w14:paraId="3DF91EAD" w14:textId="35E4B24A" w:rsidR="007F0207" w:rsidRDefault="00CD664C" w:rsidP="00801B78">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This approach will undermine the Bali </w:t>
      </w:r>
      <w:r w:rsidR="00122F60" w:rsidRPr="002552EB">
        <w:rPr>
          <w:rFonts w:ascii="Times New Roman" w:eastAsia="Times New Roman" w:hAnsi="Times New Roman" w:cs="Times New Roman"/>
          <w:color w:val="000000"/>
          <w:sz w:val="24"/>
          <w:szCs w:val="24"/>
        </w:rPr>
        <w:t>p</w:t>
      </w:r>
      <w:r w:rsidRPr="002552EB">
        <w:rPr>
          <w:rFonts w:ascii="Times New Roman" w:eastAsia="Times New Roman" w:hAnsi="Times New Roman" w:cs="Times New Roman"/>
          <w:color w:val="000000"/>
          <w:sz w:val="24"/>
          <w:szCs w:val="24"/>
        </w:rPr>
        <w:t xml:space="preserve">eace clause </w:t>
      </w:r>
      <w:r w:rsidR="00C71423" w:rsidRPr="002552EB">
        <w:rPr>
          <w:rFonts w:ascii="Times New Roman" w:eastAsia="Times New Roman" w:hAnsi="Times New Roman" w:cs="Times New Roman"/>
          <w:color w:val="000000"/>
          <w:sz w:val="24"/>
          <w:szCs w:val="24"/>
        </w:rPr>
        <w:t xml:space="preserve">(WTO, 2013), </w:t>
      </w:r>
      <w:r w:rsidRPr="002552EB">
        <w:rPr>
          <w:rFonts w:ascii="Times New Roman" w:eastAsia="Times New Roman" w:hAnsi="Times New Roman" w:cs="Times New Roman"/>
          <w:color w:val="000000"/>
          <w:sz w:val="24"/>
          <w:szCs w:val="24"/>
        </w:rPr>
        <w:t xml:space="preserve">where the WTO members </w:t>
      </w:r>
      <w:r w:rsidR="00EC7383" w:rsidRPr="002552EB">
        <w:rPr>
          <w:rFonts w:ascii="Times New Roman" w:eastAsia="Times New Roman" w:hAnsi="Times New Roman" w:cs="Times New Roman"/>
          <w:color w:val="000000"/>
          <w:sz w:val="24"/>
          <w:szCs w:val="24"/>
        </w:rPr>
        <w:t xml:space="preserve">have </w:t>
      </w:r>
      <w:r w:rsidRPr="002552EB">
        <w:rPr>
          <w:rFonts w:ascii="Times New Roman" w:eastAsia="Times New Roman" w:hAnsi="Times New Roman" w:cs="Times New Roman"/>
          <w:color w:val="000000"/>
          <w:sz w:val="24"/>
          <w:szCs w:val="24"/>
        </w:rPr>
        <w:t>agree</w:t>
      </w:r>
      <w:r w:rsidR="00EC7383" w:rsidRPr="002552EB">
        <w:rPr>
          <w:rFonts w:ascii="Times New Roman" w:eastAsia="Times New Roman" w:hAnsi="Times New Roman" w:cs="Times New Roman"/>
          <w:color w:val="000000"/>
          <w:sz w:val="24"/>
          <w:szCs w:val="24"/>
        </w:rPr>
        <w:t>d</w:t>
      </w:r>
      <w:r w:rsidRPr="002552EB">
        <w:rPr>
          <w:rFonts w:ascii="Times New Roman" w:eastAsia="Times New Roman" w:hAnsi="Times New Roman" w:cs="Times New Roman"/>
          <w:color w:val="000000"/>
          <w:sz w:val="24"/>
          <w:szCs w:val="24"/>
        </w:rPr>
        <w:t xml:space="preserve"> not to challenge the public stockholding programmes for food security purposes for exceeding their respective </w:t>
      </w:r>
      <w:r w:rsidR="00603037" w:rsidRPr="002552EB">
        <w:rPr>
          <w:rFonts w:ascii="Times New Roman" w:eastAsia="Times New Roman" w:hAnsi="Times New Roman" w:cs="Times New Roman"/>
          <w:color w:val="000000"/>
          <w:sz w:val="24"/>
          <w:szCs w:val="24"/>
        </w:rPr>
        <w:t xml:space="preserve">final bound </w:t>
      </w:r>
      <w:r w:rsidRPr="002552EB">
        <w:rPr>
          <w:rFonts w:ascii="Times New Roman" w:eastAsia="Times New Roman" w:hAnsi="Times New Roman" w:cs="Times New Roman"/>
          <w:iCs/>
          <w:color w:val="000000"/>
          <w:sz w:val="24"/>
          <w:szCs w:val="24"/>
        </w:rPr>
        <w:t>AMS entitlement</w:t>
      </w:r>
      <w:r w:rsidRPr="002552EB">
        <w:rPr>
          <w:rFonts w:ascii="Times New Roman" w:eastAsia="Times New Roman" w:hAnsi="Times New Roman" w:cs="Times New Roman"/>
          <w:color w:val="000000"/>
          <w:sz w:val="24"/>
          <w:szCs w:val="24"/>
        </w:rPr>
        <w:t xml:space="preserve"> and </w:t>
      </w:r>
      <w:r w:rsidRPr="002552EB">
        <w:rPr>
          <w:rFonts w:ascii="Times New Roman" w:eastAsia="Times New Roman" w:hAnsi="Times New Roman" w:cs="Times New Roman"/>
          <w:i/>
          <w:color w:val="000000"/>
          <w:sz w:val="24"/>
          <w:szCs w:val="24"/>
        </w:rPr>
        <w:t xml:space="preserve">de minimis </w:t>
      </w:r>
      <w:r w:rsidRPr="002552EB">
        <w:rPr>
          <w:rFonts w:ascii="Times New Roman" w:eastAsia="Times New Roman" w:hAnsi="Times New Roman" w:cs="Times New Roman"/>
          <w:iCs/>
          <w:color w:val="000000"/>
          <w:sz w:val="24"/>
          <w:szCs w:val="24"/>
        </w:rPr>
        <w:t>limit</w:t>
      </w:r>
      <w:r w:rsidRPr="002552EB">
        <w:rPr>
          <w:rFonts w:ascii="Times New Roman" w:eastAsia="Times New Roman" w:hAnsi="Times New Roman" w:cs="Times New Roman"/>
          <w:color w:val="000000"/>
          <w:sz w:val="24"/>
          <w:szCs w:val="24"/>
        </w:rPr>
        <w:t xml:space="preserve"> commitments.</w:t>
      </w:r>
      <w:r w:rsidR="000444C8" w:rsidRPr="002552EB">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sz w:val="24"/>
          <w:szCs w:val="24"/>
        </w:rPr>
        <w:t xml:space="preserve">To benefit from </w:t>
      </w:r>
      <w:r w:rsidR="00880881" w:rsidRPr="002552EB">
        <w:rPr>
          <w:rFonts w:ascii="Times New Roman" w:eastAsia="Times New Roman" w:hAnsi="Times New Roman" w:cs="Times New Roman"/>
          <w:color w:val="000000"/>
          <w:sz w:val="24"/>
          <w:szCs w:val="24"/>
        </w:rPr>
        <w:t xml:space="preserve">the </w:t>
      </w:r>
      <w:r w:rsidR="00122F60" w:rsidRPr="002552EB">
        <w:rPr>
          <w:rFonts w:ascii="Times New Roman" w:eastAsia="Times New Roman" w:hAnsi="Times New Roman" w:cs="Times New Roman"/>
          <w:color w:val="000000"/>
          <w:sz w:val="24"/>
          <w:szCs w:val="24"/>
        </w:rPr>
        <w:t>p</w:t>
      </w:r>
      <w:r w:rsidRPr="002552EB">
        <w:rPr>
          <w:rFonts w:ascii="Times New Roman" w:eastAsia="Times New Roman" w:hAnsi="Times New Roman" w:cs="Times New Roman"/>
          <w:color w:val="000000"/>
          <w:sz w:val="24"/>
          <w:szCs w:val="24"/>
        </w:rPr>
        <w:t xml:space="preserve">eace clause, a member is required to </w:t>
      </w:r>
      <w:r w:rsidR="00880881" w:rsidRPr="002552EB">
        <w:rPr>
          <w:rFonts w:ascii="Times New Roman" w:eastAsia="Times New Roman" w:hAnsi="Times New Roman" w:cs="Times New Roman"/>
          <w:color w:val="000000"/>
          <w:sz w:val="24"/>
          <w:szCs w:val="24"/>
        </w:rPr>
        <w:t>notify</w:t>
      </w:r>
      <w:r w:rsidRPr="002552EB">
        <w:rPr>
          <w:rFonts w:ascii="Times New Roman" w:eastAsia="Times New Roman" w:hAnsi="Times New Roman" w:cs="Times New Roman"/>
          <w:color w:val="000000"/>
          <w:sz w:val="24"/>
          <w:szCs w:val="24"/>
        </w:rPr>
        <w:t xml:space="preserve"> the market price support to show that it has already or at risk of providing support to traditional staple crops beyond its commitment level. Importantly,</w:t>
      </w:r>
      <w:r w:rsidR="009B2AE3" w:rsidRPr="002552EB">
        <w:rPr>
          <w:rFonts w:ascii="Times New Roman" w:eastAsia="Times New Roman" w:hAnsi="Times New Roman" w:cs="Times New Roman"/>
          <w:color w:val="000000"/>
          <w:sz w:val="24"/>
          <w:szCs w:val="24"/>
        </w:rPr>
        <w:t xml:space="preserve"> </w:t>
      </w:r>
      <w:r w:rsidR="005E0F83" w:rsidRPr="002552EB">
        <w:rPr>
          <w:rFonts w:ascii="Times New Roman" w:eastAsia="Times New Roman" w:hAnsi="Times New Roman" w:cs="Times New Roman"/>
          <w:color w:val="000000"/>
          <w:sz w:val="24"/>
          <w:szCs w:val="24"/>
        </w:rPr>
        <w:t>m</w:t>
      </w:r>
      <w:r w:rsidRPr="002552EB">
        <w:rPr>
          <w:rFonts w:ascii="Times New Roman" w:eastAsia="Times New Roman" w:hAnsi="Times New Roman" w:cs="Times New Roman"/>
          <w:color w:val="000000"/>
          <w:sz w:val="24"/>
          <w:szCs w:val="24"/>
        </w:rPr>
        <w:t xml:space="preserve">arket </w:t>
      </w:r>
      <w:r w:rsidR="005E0F83" w:rsidRPr="002552EB">
        <w:rPr>
          <w:rFonts w:ascii="Times New Roman" w:eastAsia="Times New Roman" w:hAnsi="Times New Roman" w:cs="Times New Roman"/>
          <w:color w:val="000000"/>
          <w:sz w:val="24"/>
          <w:szCs w:val="24"/>
        </w:rPr>
        <w:t>p</w:t>
      </w:r>
      <w:r w:rsidRPr="002552EB">
        <w:rPr>
          <w:rFonts w:ascii="Times New Roman" w:eastAsia="Times New Roman" w:hAnsi="Times New Roman" w:cs="Times New Roman"/>
          <w:color w:val="000000"/>
          <w:sz w:val="24"/>
          <w:szCs w:val="24"/>
        </w:rPr>
        <w:t xml:space="preserve">rice </w:t>
      </w:r>
      <w:r w:rsidR="005E0F83" w:rsidRPr="002552EB">
        <w:rPr>
          <w:rFonts w:ascii="Times New Roman" w:eastAsia="Times New Roman" w:hAnsi="Times New Roman" w:cs="Times New Roman"/>
          <w:color w:val="000000"/>
          <w:sz w:val="24"/>
          <w:szCs w:val="24"/>
        </w:rPr>
        <w:t>s</w:t>
      </w:r>
      <w:r w:rsidRPr="002552EB">
        <w:rPr>
          <w:rFonts w:ascii="Times New Roman" w:eastAsia="Times New Roman" w:hAnsi="Times New Roman" w:cs="Times New Roman"/>
          <w:color w:val="000000"/>
          <w:sz w:val="24"/>
          <w:szCs w:val="24"/>
        </w:rPr>
        <w:t xml:space="preserve">upport is covered under the Amber box. As per the proposed discipline, the current AMS along with other components of Article 6 of the AoA would be subject to the TTDS limit. A member must ensure that the sum of </w:t>
      </w:r>
      <w:r w:rsidR="007039EE" w:rsidRPr="002552EB">
        <w:rPr>
          <w:rFonts w:ascii="Times New Roman" w:eastAsia="Times New Roman" w:hAnsi="Times New Roman" w:cs="Times New Roman"/>
          <w:color w:val="000000"/>
          <w:sz w:val="24"/>
          <w:szCs w:val="24"/>
        </w:rPr>
        <w:t>m</w:t>
      </w:r>
      <w:r w:rsidRPr="002552EB">
        <w:rPr>
          <w:rFonts w:ascii="Times New Roman" w:eastAsia="Times New Roman" w:hAnsi="Times New Roman" w:cs="Times New Roman"/>
          <w:color w:val="000000"/>
          <w:sz w:val="24"/>
          <w:szCs w:val="24"/>
        </w:rPr>
        <w:t xml:space="preserve">arket </w:t>
      </w:r>
      <w:r w:rsidR="007039EE" w:rsidRPr="002552EB">
        <w:rPr>
          <w:rFonts w:ascii="Times New Roman" w:eastAsia="Times New Roman" w:hAnsi="Times New Roman" w:cs="Times New Roman"/>
          <w:color w:val="000000"/>
          <w:sz w:val="24"/>
          <w:szCs w:val="24"/>
        </w:rPr>
        <w:t>p</w:t>
      </w:r>
      <w:r w:rsidRPr="002552EB">
        <w:rPr>
          <w:rFonts w:ascii="Times New Roman" w:eastAsia="Times New Roman" w:hAnsi="Times New Roman" w:cs="Times New Roman"/>
          <w:color w:val="000000"/>
          <w:sz w:val="24"/>
          <w:szCs w:val="24"/>
        </w:rPr>
        <w:t xml:space="preserve">rice </w:t>
      </w:r>
      <w:r w:rsidR="007039EE" w:rsidRPr="002552EB">
        <w:rPr>
          <w:rFonts w:ascii="Times New Roman" w:eastAsia="Times New Roman" w:hAnsi="Times New Roman" w:cs="Times New Roman"/>
          <w:color w:val="000000"/>
          <w:sz w:val="24"/>
          <w:szCs w:val="24"/>
        </w:rPr>
        <w:t>s</w:t>
      </w:r>
      <w:r w:rsidRPr="002552EB">
        <w:rPr>
          <w:rFonts w:ascii="Times New Roman" w:eastAsia="Times New Roman" w:hAnsi="Times New Roman" w:cs="Times New Roman"/>
          <w:color w:val="000000"/>
          <w:sz w:val="24"/>
          <w:szCs w:val="24"/>
        </w:rPr>
        <w:t>upport and other support under Article 6 remain</w:t>
      </w:r>
      <w:r w:rsidR="00880881" w:rsidRPr="002552EB">
        <w:rPr>
          <w:rFonts w:ascii="Times New Roman" w:eastAsia="Times New Roman" w:hAnsi="Times New Roman" w:cs="Times New Roman"/>
          <w:color w:val="000000"/>
          <w:sz w:val="24"/>
          <w:szCs w:val="24"/>
        </w:rPr>
        <w:t>s</w:t>
      </w:r>
      <w:r w:rsidRPr="002552EB">
        <w:rPr>
          <w:rFonts w:ascii="Times New Roman" w:eastAsia="Times New Roman" w:hAnsi="Times New Roman" w:cs="Times New Roman"/>
          <w:color w:val="000000"/>
          <w:sz w:val="24"/>
          <w:szCs w:val="24"/>
        </w:rPr>
        <w:t xml:space="preserve"> within the proposed TTDS limit</w:t>
      </w:r>
      <w:r w:rsidR="009B2AE3" w:rsidRPr="002552EB">
        <w:rPr>
          <w:rFonts w:ascii="Times New Roman" w:eastAsia="Times New Roman" w:hAnsi="Times New Roman" w:cs="Times New Roman"/>
          <w:color w:val="000000"/>
          <w:sz w:val="24"/>
          <w:szCs w:val="24"/>
        </w:rPr>
        <w:t xml:space="preserve">. It is important to note that </w:t>
      </w:r>
      <w:r w:rsidR="00B56250" w:rsidRPr="002552EB">
        <w:rPr>
          <w:rFonts w:ascii="Times New Roman" w:eastAsia="Times New Roman" w:hAnsi="Times New Roman" w:cs="Times New Roman"/>
          <w:color w:val="000000"/>
          <w:sz w:val="24"/>
          <w:szCs w:val="24"/>
        </w:rPr>
        <w:t xml:space="preserve">the proposed TTDS limit is further proposed to be accepted as a permanent solution for </w:t>
      </w:r>
      <w:r w:rsidR="00D5327D">
        <w:rPr>
          <w:rFonts w:ascii="Times New Roman" w:eastAsia="Times New Roman" w:hAnsi="Times New Roman" w:cs="Times New Roman"/>
          <w:color w:val="000000"/>
          <w:sz w:val="24"/>
          <w:szCs w:val="24"/>
        </w:rPr>
        <w:t xml:space="preserve">the </w:t>
      </w:r>
      <w:r w:rsidR="00B56250" w:rsidRPr="002552EB">
        <w:rPr>
          <w:rFonts w:ascii="Times New Roman" w:eastAsia="Times New Roman" w:hAnsi="Times New Roman" w:cs="Times New Roman"/>
          <w:color w:val="000000"/>
          <w:sz w:val="24"/>
          <w:szCs w:val="24"/>
        </w:rPr>
        <w:t>PSH issue</w:t>
      </w:r>
      <w:r w:rsidR="007F0207" w:rsidRPr="002552EB">
        <w:rPr>
          <w:rFonts w:ascii="Times New Roman" w:eastAsia="Times New Roman" w:hAnsi="Times New Roman" w:cs="Times New Roman"/>
          <w:color w:val="000000"/>
          <w:sz w:val="24"/>
          <w:szCs w:val="24"/>
        </w:rPr>
        <w:t xml:space="preserve"> (WTO, 2023c)</w:t>
      </w:r>
      <w:r w:rsidR="00B56250" w:rsidRPr="002552EB">
        <w:rPr>
          <w:rFonts w:ascii="Times New Roman" w:eastAsia="Times New Roman" w:hAnsi="Times New Roman" w:cs="Times New Roman"/>
          <w:color w:val="000000"/>
          <w:sz w:val="24"/>
          <w:szCs w:val="24"/>
        </w:rPr>
        <w:t xml:space="preserve">. </w:t>
      </w:r>
      <w:r w:rsidR="004241AB" w:rsidRPr="002552EB">
        <w:rPr>
          <w:rFonts w:ascii="Times New Roman" w:eastAsia="Times New Roman" w:hAnsi="Times New Roman" w:cs="Times New Roman"/>
          <w:color w:val="000000"/>
          <w:sz w:val="24"/>
          <w:szCs w:val="24"/>
        </w:rPr>
        <w:t xml:space="preserve">At present, the market price support programs are protected from WTO challenges due to the Bali peace clause. </w:t>
      </w:r>
      <w:r w:rsidR="00B56250" w:rsidRPr="002552EB">
        <w:rPr>
          <w:rFonts w:ascii="Times New Roman" w:eastAsia="Times New Roman" w:hAnsi="Times New Roman" w:cs="Times New Roman"/>
          <w:color w:val="000000"/>
          <w:sz w:val="24"/>
          <w:szCs w:val="24"/>
        </w:rPr>
        <w:t xml:space="preserve">If </w:t>
      </w:r>
      <w:r w:rsidR="009B50BF" w:rsidRPr="002552EB">
        <w:rPr>
          <w:rFonts w:ascii="Times New Roman" w:eastAsia="Times New Roman" w:hAnsi="Times New Roman" w:cs="Times New Roman"/>
          <w:color w:val="000000"/>
          <w:sz w:val="24"/>
          <w:szCs w:val="24"/>
        </w:rPr>
        <w:t xml:space="preserve">the proposal as such is </w:t>
      </w:r>
      <w:r w:rsidR="00B56250" w:rsidRPr="002552EB">
        <w:rPr>
          <w:rFonts w:ascii="Times New Roman" w:eastAsia="Times New Roman" w:hAnsi="Times New Roman" w:cs="Times New Roman"/>
          <w:color w:val="000000"/>
          <w:sz w:val="24"/>
          <w:szCs w:val="24"/>
        </w:rPr>
        <w:t xml:space="preserve">accepted, </w:t>
      </w:r>
      <w:r w:rsidR="00D8206E" w:rsidRPr="002552EB">
        <w:rPr>
          <w:rFonts w:ascii="Times New Roman" w:eastAsia="Times New Roman" w:hAnsi="Times New Roman" w:cs="Times New Roman"/>
          <w:color w:val="000000"/>
          <w:sz w:val="24"/>
          <w:szCs w:val="24"/>
        </w:rPr>
        <w:t xml:space="preserve">the market price support policies of the developing members will be challenged at the WTO </w:t>
      </w:r>
      <w:r w:rsidR="009B50BF" w:rsidRPr="002552EB">
        <w:rPr>
          <w:rFonts w:ascii="Times New Roman" w:eastAsia="Times New Roman" w:hAnsi="Times New Roman" w:cs="Times New Roman"/>
          <w:color w:val="000000"/>
          <w:sz w:val="24"/>
          <w:szCs w:val="24"/>
        </w:rPr>
        <w:t>when the</w:t>
      </w:r>
      <w:r w:rsidR="00D8206E" w:rsidRPr="002552EB">
        <w:rPr>
          <w:rFonts w:ascii="Times New Roman" w:eastAsia="Times New Roman" w:hAnsi="Times New Roman" w:cs="Times New Roman"/>
          <w:color w:val="000000"/>
          <w:sz w:val="24"/>
          <w:szCs w:val="24"/>
        </w:rPr>
        <w:t xml:space="preserve"> expenditure leads to the country breaching its TTDS limit.</w:t>
      </w:r>
      <w:r w:rsidR="00A3356B" w:rsidRPr="002552EB">
        <w:rPr>
          <w:rFonts w:ascii="Times New Roman" w:eastAsia="Times New Roman" w:hAnsi="Times New Roman" w:cs="Times New Roman"/>
          <w:color w:val="000000"/>
          <w:sz w:val="24"/>
          <w:szCs w:val="24"/>
        </w:rPr>
        <w:t xml:space="preserve"> </w:t>
      </w:r>
      <w:r w:rsidRPr="002552EB">
        <w:rPr>
          <w:rFonts w:ascii="Times New Roman" w:eastAsia="Times New Roman" w:hAnsi="Times New Roman" w:cs="Times New Roman"/>
          <w:color w:val="000000"/>
          <w:sz w:val="24"/>
          <w:szCs w:val="24"/>
        </w:rPr>
        <w:t xml:space="preserve">The flaw in the MPS calculation methodology and the constraining TTDS entitlement limit would make the </w:t>
      </w:r>
      <w:r w:rsidR="007039EE" w:rsidRPr="002552EB">
        <w:rPr>
          <w:rFonts w:ascii="Times New Roman" w:eastAsia="Times New Roman" w:hAnsi="Times New Roman" w:cs="Times New Roman"/>
          <w:color w:val="000000"/>
          <w:sz w:val="24"/>
          <w:szCs w:val="24"/>
        </w:rPr>
        <w:t>p</w:t>
      </w:r>
      <w:r w:rsidRPr="002552EB">
        <w:rPr>
          <w:rFonts w:ascii="Times New Roman" w:eastAsia="Times New Roman" w:hAnsi="Times New Roman" w:cs="Times New Roman"/>
          <w:color w:val="000000"/>
          <w:sz w:val="24"/>
          <w:szCs w:val="24"/>
        </w:rPr>
        <w:t>eace clause as well as the demand for a permanent solution redundant</w:t>
      </w:r>
      <w:r w:rsidR="006D60FA" w:rsidRPr="002552EB">
        <w:rPr>
          <w:rFonts w:ascii="Times New Roman" w:eastAsia="Times New Roman" w:hAnsi="Times New Roman" w:cs="Times New Roman"/>
          <w:color w:val="000000"/>
          <w:sz w:val="24"/>
          <w:szCs w:val="24"/>
        </w:rPr>
        <w:t>.</w:t>
      </w:r>
    </w:p>
    <w:p w14:paraId="00E4E97A" w14:textId="77777777" w:rsidR="00801B78" w:rsidRPr="002552EB" w:rsidRDefault="00801B78" w:rsidP="00801B78">
      <w:pPr>
        <w:spacing w:after="0" w:line="360" w:lineRule="auto"/>
        <w:jc w:val="both"/>
        <w:rPr>
          <w:rFonts w:ascii="Times New Roman" w:eastAsia="Times New Roman" w:hAnsi="Times New Roman" w:cs="Times New Roman"/>
          <w:color w:val="000000"/>
          <w:sz w:val="24"/>
          <w:szCs w:val="24"/>
        </w:rPr>
      </w:pPr>
    </w:p>
    <w:p w14:paraId="144B5723" w14:textId="36EC529F" w:rsidR="007F0207" w:rsidRPr="002552EB" w:rsidRDefault="007F0207" w:rsidP="00801B78">
      <w:pPr>
        <w:spacing w:after="0" w:line="360" w:lineRule="auto"/>
        <w:jc w:val="both"/>
        <w:rPr>
          <w:rFonts w:ascii="Times New Roman" w:eastAsia="Times New Roman" w:hAnsi="Times New Roman" w:cs="Times New Roman"/>
          <w:color w:val="000000"/>
          <w:sz w:val="24"/>
          <w:szCs w:val="24"/>
        </w:rPr>
      </w:pPr>
      <w:r w:rsidRPr="002552EB">
        <w:rPr>
          <w:rFonts w:ascii="Times New Roman" w:hAnsi="Times New Roman" w:cs="Times New Roman"/>
          <w:sz w:val="24"/>
          <w:szCs w:val="24"/>
        </w:rPr>
        <w:t>Another</w:t>
      </w:r>
      <w:r w:rsidR="00D01ECA" w:rsidRPr="002552EB">
        <w:rPr>
          <w:rFonts w:ascii="Times New Roman" w:eastAsia="Times New Roman" w:hAnsi="Times New Roman" w:cs="Times New Roman"/>
          <w:color w:val="000000"/>
          <w:sz w:val="24"/>
          <w:szCs w:val="24"/>
        </w:rPr>
        <w:t xml:space="preserve"> major setback for the developing members would be the indirect capping of flexibility under the Development box. This box permits these members to provide investment subsidies, and input subsidies generally available to low-income or resource-poor farmers without any financial limit under the AoA. </w:t>
      </w:r>
      <w:r w:rsidRPr="002552EB">
        <w:rPr>
          <w:rFonts w:ascii="Times New Roman" w:eastAsia="Times New Roman" w:hAnsi="Times New Roman" w:cs="Times New Roman"/>
          <w:color w:val="000000"/>
          <w:sz w:val="24"/>
          <w:szCs w:val="24"/>
        </w:rPr>
        <w:t xml:space="preserve">Moreover, 52 developing members have notified expenditures </w:t>
      </w:r>
      <w:r w:rsidRPr="002552EB">
        <w:rPr>
          <w:rFonts w:ascii="Times New Roman" w:eastAsia="Times New Roman" w:hAnsi="Times New Roman" w:cs="Times New Roman"/>
          <w:color w:val="000000"/>
          <w:sz w:val="24"/>
          <w:szCs w:val="24"/>
        </w:rPr>
        <w:lastRenderedPageBreak/>
        <w:t>under the development box at least once in the period between 2001 and 2014 (</w:t>
      </w:r>
      <w:r w:rsidRPr="002552EB">
        <w:rPr>
          <w:rFonts w:ascii="Times New Roman" w:eastAsia="Times New Roman" w:hAnsi="Times New Roman" w:cs="Times New Roman"/>
          <w:color w:val="000000" w:themeColor="text1"/>
          <w:sz w:val="24"/>
          <w:szCs w:val="24"/>
        </w:rPr>
        <w:t>WTO, 2018</w:t>
      </w:r>
      <w:r w:rsidR="00BA2193" w:rsidRPr="002552EB">
        <w:rPr>
          <w:rFonts w:ascii="Times New Roman" w:eastAsia="Times New Roman" w:hAnsi="Times New Roman" w:cs="Times New Roman"/>
          <w:color w:val="000000" w:themeColor="text1"/>
          <w:sz w:val="24"/>
          <w:szCs w:val="24"/>
        </w:rPr>
        <w:t>b</w:t>
      </w:r>
      <w:r w:rsidRPr="002552EB">
        <w:rPr>
          <w:rFonts w:ascii="Times New Roman" w:eastAsia="Times New Roman" w:hAnsi="Times New Roman" w:cs="Times New Roman"/>
          <w:color w:val="000000" w:themeColor="text1"/>
          <w:sz w:val="24"/>
          <w:szCs w:val="24"/>
        </w:rPr>
        <w:t>)</w:t>
      </w:r>
      <w:r w:rsidRPr="002552EB">
        <w:rPr>
          <w:rFonts w:ascii="Times New Roman" w:eastAsia="Times New Roman" w:hAnsi="Times New Roman" w:cs="Times New Roman"/>
          <w:color w:val="000000"/>
          <w:sz w:val="24"/>
          <w:szCs w:val="24"/>
        </w:rPr>
        <w:t xml:space="preserve">. </w:t>
      </w:r>
      <w:r w:rsidR="001728A3" w:rsidRPr="002552EB">
        <w:rPr>
          <w:rFonts w:ascii="Times New Roman" w:eastAsia="Times New Roman" w:hAnsi="Times New Roman" w:cs="Times New Roman"/>
          <w:color w:val="000000"/>
          <w:sz w:val="24"/>
          <w:szCs w:val="24"/>
        </w:rPr>
        <w:t>The input subsidies under S&amp;DT are increasingly being criticised for their adverse impact on the environment. However, poor farmers of the developing countr</w:t>
      </w:r>
      <w:r w:rsidR="00AF35A9" w:rsidRPr="002552EB">
        <w:rPr>
          <w:rFonts w:ascii="Times New Roman" w:eastAsia="Times New Roman" w:hAnsi="Times New Roman" w:cs="Times New Roman"/>
          <w:color w:val="000000"/>
          <w:sz w:val="24"/>
          <w:szCs w:val="24"/>
        </w:rPr>
        <w:t>ies</w:t>
      </w:r>
      <w:r w:rsidR="001728A3" w:rsidRPr="002552EB">
        <w:rPr>
          <w:rFonts w:ascii="Times New Roman" w:eastAsia="Times New Roman" w:hAnsi="Times New Roman" w:cs="Times New Roman"/>
          <w:color w:val="000000"/>
          <w:sz w:val="24"/>
          <w:szCs w:val="24"/>
        </w:rPr>
        <w:t xml:space="preserve"> are greatly disadvantaged against the farmers of the developed countries due to various reasons including institutional problems and lack of </w:t>
      </w:r>
      <w:r w:rsidR="00AF35A9" w:rsidRPr="002552EB">
        <w:rPr>
          <w:rFonts w:ascii="Times New Roman" w:eastAsia="Times New Roman" w:hAnsi="Times New Roman" w:cs="Times New Roman"/>
          <w:color w:val="000000"/>
          <w:sz w:val="24"/>
          <w:szCs w:val="24"/>
        </w:rPr>
        <w:t>adequate</w:t>
      </w:r>
      <w:r w:rsidR="001728A3" w:rsidRPr="002552EB">
        <w:rPr>
          <w:rFonts w:ascii="Times New Roman" w:eastAsia="Times New Roman" w:hAnsi="Times New Roman" w:cs="Times New Roman"/>
          <w:color w:val="000000"/>
          <w:sz w:val="24"/>
          <w:szCs w:val="24"/>
        </w:rPr>
        <w:t xml:space="preserve"> safety nets. Such concerns remain the primary reason for the justifying support under the development box. </w:t>
      </w:r>
      <w:r w:rsidR="00D01ECA" w:rsidRPr="002552EB">
        <w:rPr>
          <w:rFonts w:ascii="Times New Roman" w:eastAsia="Times New Roman" w:hAnsi="Times New Roman" w:cs="Times New Roman"/>
          <w:color w:val="000000"/>
          <w:sz w:val="24"/>
          <w:szCs w:val="24"/>
        </w:rPr>
        <w:t>Subjecting the development box to the TTDS limit will make this S&amp;DT provision ineffective from the developing countries’ perspective.</w:t>
      </w:r>
      <w:r w:rsidR="00A6397B" w:rsidRPr="002552EB">
        <w:rPr>
          <w:rFonts w:ascii="Times New Roman" w:eastAsia="Times New Roman" w:hAnsi="Times New Roman" w:cs="Times New Roman"/>
          <w:color w:val="000000"/>
          <w:sz w:val="24"/>
          <w:szCs w:val="24"/>
        </w:rPr>
        <w:t xml:space="preserve"> </w:t>
      </w:r>
    </w:p>
    <w:p w14:paraId="6F2B75A8" w14:textId="77777777" w:rsidR="00FF494B" w:rsidRDefault="00FF494B" w:rsidP="002552EB">
      <w:pPr>
        <w:spacing w:line="360" w:lineRule="auto"/>
        <w:jc w:val="both"/>
        <w:rPr>
          <w:rFonts w:ascii="Times New Roman" w:eastAsia="Times New Roman" w:hAnsi="Times New Roman" w:cs="Times New Roman"/>
          <w:color w:val="000000"/>
          <w:sz w:val="24"/>
          <w:szCs w:val="24"/>
        </w:rPr>
      </w:pPr>
    </w:p>
    <w:p w14:paraId="55698071" w14:textId="4E856974" w:rsidR="00801B78" w:rsidRDefault="00D01ECA" w:rsidP="002552EB">
      <w:pPr>
        <w:spacing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Overall, the path suggested</w:t>
      </w:r>
      <w:r w:rsidR="00F75532">
        <w:rPr>
          <w:rFonts w:ascii="Times New Roman" w:eastAsia="Times New Roman" w:hAnsi="Times New Roman" w:cs="Times New Roman"/>
          <w:color w:val="000000"/>
          <w:sz w:val="24"/>
          <w:szCs w:val="24"/>
        </w:rPr>
        <w:t xml:space="preserve"> based on proportionate </w:t>
      </w:r>
      <w:r w:rsidR="00E53F25">
        <w:rPr>
          <w:rFonts w:ascii="Times New Roman" w:eastAsia="Times New Roman" w:hAnsi="Times New Roman" w:cs="Times New Roman"/>
          <w:color w:val="000000"/>
          <w:sz w:val="24"/>
          <w:szCs w:val="24"/>
        </w:rPr>
        <w:t>reduction</w:t>
      </w:r>
      <w:r w:rsidR="00F75532">
        <w:rPr>
          <w:rFonts w:ascii="Times New Roman" w:eastAsia="Times New Roman" w:hAnsi="Times New Roman" w:cs="Times New Roman"/>
          <w:color w:val="000000"/>
          <w:sz w:val="24"/>
          <w:szCs w:val="24"/>
        </w:rPr>
        <w:t xml:space="preserve"> methodology</w:t>
      </w:r>
      <w:r w:rsidRPr="002552EB">
        <w:rPr>
          <w:rFonts w:ascii="Times New Roman" w:eastAsia="Times New Roman" w:hAnsi="Times New Roman" w:cs="Times New Roman"/>
          <w:color w:val="000000"/>
          <w:sz w:val="24"/>
          <w:szCs w:val="24"/>
        </w:rPr>
        <w:t xml:space="preserve"> in the domestic support discussions at the WTO is not promoting sustainability comprehensively.</w:t>
      </w:r>
    </w:p>
    <w:p w14:paraId="7ECF0279" w14:textId="2CB5BC72" w:rsidR="00B61320" w:rsidRPr="002552EB" w:rsidRDefault="00801B78" w:rsidP="00801B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177" w14:textId="42AA62C9" w:rsidR="007F7F72" w:rsidRPr="00327A0C" w:rsidRDefault="00D01ECA" w:rsidP="00327A0C">
      <w:pPr>
        <w:pStyle w:val="Heading1"/>
        <w:numPr>
          <w:ilvl w:val="0"/>
          <w:numId w:val="12"/>
        </w:numPr>
        <w:jc w:val="both"/>
      </w:pPr>
      <w:bookmarkStart w:id="16" w:name="_Toc147323004"/>
      <w:r w:rsidRPr="00327A0C">
        <w:lastRenderedPageBreak/>
        <w:t>Conclusion</w:t>
      </w:r>
      <w:bookmarkEnd w:id="16"/>
      <w:r w:rsidRPr="00327A0C">
        <w:t xml:space="preserve"> </w:t>
      </w:r>
    </w:p>
    <w:p w14:paraId="2411FBE9" w14:textId="639ABA10" w:rsidR="00C67280" w:rsidRPr="002552EB" w:rsidRDefault="00D01ECA" w:rsidP="00801B78">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Many international organisations, countries and studies have called for disciplining and repurposing domestic support to agriculture to address the challenges of the 21</w:t>
      </w:r>
      <w:r w:rsidRPr="002552EB">
        <w:rPr>
          <w:rFonts w:ascii="Times New Roman" w:eastAsia="Times New Roman" w:hAnsi="Times New Roman" w:cs="Times New Roman"/>
          <w:color w:val="000000"/>
          <w:sz w:val="24"/>
          <w:szCs w:val="24"/>
          <w:vertAlign w:val="superscript"/>
        </w:rPr>
        <w:t>st</w:t>
      </w:r>
      <w:r w:rsidRPr="002552EB">
        <w:rPr>
          <w:rFonts w:ascii="Times New Roman" w:eastAsia="Times New Roman" w:hAnsi="Times New Roman" w:cs="Times New Roman"/>
          <w:color w:val="000000"/>
          <w:sz w:val="24"/>
          <w:szCs w:val="24"/>
        </w:rPr>
        <w:t xml:space="preserve"> century such as food security and environmental concerns. One of the major concerns is the increasingly massive entitlement to provide domestic support which has serious implications for trade and sustainable agriculture. Some studies projected that the </w:t>
      </w:r>
      <w:r w:rsidR="000444C8" w:rsidRPr="002552EB">
        <w:rPr>
          <w:rFonts w:ascii="Times New Roman" w:eastAsia="Times New Roman" w:hAnsi="Times New Roman" w:cs="Times New Roman"/>
          <w:iCs/>
          <w:color w:val="000000"/>
          <w:sz w:val="24"/>
          <w:szCs w:val="24"/>
        </w:rPr>
        <w:t xml:space="preserve">Total </w:t>
      </w:r>
      <w:r w:rsidRPr="002552EB">
        <w:rPr>
          <w:rFonts w:ascii="Times New Roman" w:eastAsia="Times New Roman" w:hAnsi="Times New Roman" w:cs="Times New Roman"/>
          <w:iCs/>
          <w:color w:val="000000"/>
          <w:sz w:val="24"/>
          <w:szCs w:val="24"/>
        </w:rPr>
        <w:t>Trade-distorting Domestic Support</w:t>
      </w:r>
      <w:r w:rsidRPr="002552EB">
        <w:rPr>
          <w:rFonts w:ascii="Times New Roman" w:eastAsia="Times New Roman" w:hAnsi="Times New Roman" w:cs="Times New Roman"/>
          <w:color w:val="000000"/>
          <w:sz w:val="24"/>
          <w:szCs w:val="24"/>
        </w:rPr>
        <w:t xml:space="preserve"> (TTDS) increase to US$ 2 trillion by 2030 based on global </w:t>
      </w:r>
      <w:r w:rsidRPr="002552EB">
        <w:rPr>
          <w:rFonts w:ascii="Times New Roman" w:eastAsia="Times New Roman" w:hAnsi="Times New Roman" w:cs="Times New Roman"/>
          <w:iCs/>
          <w:color w:val="000000"/>
          <w:sz w:val="24"/>
          <w:szCs w:val="24"/>
        </w:rPr>
        <w:t>AMS entitlement</w:t>
      </w:r>
      <w:r w:rsidRPr="002552EB">
        <w:rPr>
          <w:rFonts w:ascii="Times New Roman" w:eastAsia="Times New Roman" w:hAnsi="Times New Roman" w:cs="Times New Roman"/>
          <w:color w:val="000000"/>
          <w:sz w:val="24"/>
          <w:szCs w:val="24"/>
        </w:rPr>
        <w:t xml:space="preserve"> and the combined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At the WTO, members are seriously engaged in domestic support discussions within the framework of Article 20 of the AoA to achieve a substantial reduction in trade-distorting support. Some members have proposed to reduce the TTDS entitlement in the base year to 50 percent by 2030 and suggested that the WTO members except LDCs need to take reduction commitments proportionate to their size in the global entitlement during a base year. The resultant reduced TTDS entitlement limit will remain fixed in monetary terms and act as an upper limit for the support under the current AMS,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Blue and </w:t>
      </w:r>
      <w:r w:rsidR="000444C8" w:rsidRPr="002552EB">
        <w:rPr>
          <w:rFonts w:ascii="Times New Roman" w:eastAsia="Times New Roman" w:hAnsi="Times New Roman" w:cs="Times New Roman"/>
          <w:color w:val="000000"/>
          <w:sz w:val="24"/>
          <w:szCs w:val="24"/>
        </w:rPr>
        <w:t>D</w:t>
      </w:r>
      <w:r w:rsidRPr="002552EB">
        <w:rPr>
          <w:rFonts w:ascii="Times New Roman" w:eastAsia="Times New Roman" w:hAnsi="Times New Roman" w:cs="Times New Roman"/>
          <w:color w:val="000000"/>
          <w:sz w:val="24"/>
          <w:szCs w:val="24"/>
        </w:rPr>
        <w:t>evelopment box. The motive for the proposed reduced TTDS entitlement limit is to enhance sustainability in agriculture by preventing the harmful impact of subsidies on the environment.</w:t>
      </w:r>
      <w:r w:rsidR="00C67280" w:rsidRPr="002552EB">
        <w:rPr>
          <w:rFonts w:ascii="Times New Roman" w:eastAsia="Times New Roman" w:hAnsi="Times New Roman" w:cs="Times New Roman"/>
          <w:color w:val="000000"/>
          <w:sz w:val="24"/>
          <w:szCs w:val="24"/>
        </w:rPr>
        <w:t xml:space="preserve"> </w:t>
      </w:r>
    </w:p>
    <w:p w14:paraId="00000179" w14:textId="225B5180" w:rsidR="007F7F72" w:rsidRDefault="00D01ECA"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Based on the final bound AMS and trend in the combined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the methodology proposed by some members, this study also finds that the TTDS entitlement would increase steeply from US$ 761 </w:t>
      </w:r>
      <w:r w:rsidR="00A83049" w:rsidRPr="002552EB">
        <w:rPr>
          <w:rFonts w:ascii="Times New Roman" w:eastAsia="Times New Roman" w:hAnsi="Times New Roman" w:cs="Times New Roman"/>
          <w:color w:val="000000"/>
          <w:sz w:val="24"/>
          <w:szCs w:val="24"/>
        </w:rPr>
        <w:t>B</w:t>
      </w:r>
      <w:r w:rsidRPr="002552EB">
        <w:rPr>
          <w:rFonts w:ascii="Times New Roman" w:eastAsia="Times New Roman" w:hAnsi="Times New Roman" w:cs="Times New Roman"/>
          <w:color w:val="000000"/>
          <w:sz w:val="24"/>
          <w:szCs w:val="24"/>
        </w:rPr>
        <w:t xml:space="preserve">illion to US$ 1476 </w:t>
      </w:r>
      <w:r w:rsidR="00A83049" w:rsidRPr="002552EB">
        <w:rPr>
          <w:rFonts w:ascii="Times New Roman" w:eastAsia="Times New Roman" w:hAnsi="Times New Roman" w:cs="Times New Roman"/>
          <w:color w:val="000000"/>
          <w:sz w:val="24"/>
          <w:szCs w:val="24"/>
        </w:rPr>
        <w:t>B</w:t>
      </w:r>
      <w:r w:rsidRPr="002552EB">
        <w:rPr>
          <w:rFonts w:ascii="Times New Roman" w:eastAsia="Times New Roman" w:hAnsi="Times New Roman" w:cs="Times New Roman"/>
          <w:color w:val="000000"/>
          <w:sz w:val="24"/>
          <w:szCs w:val="24"/>
        </w:rPr>
        <w:t xml:space="preserve">illion. In contrast to developed members, the share of developing countries and LDC members in the global entitlement would increase by 2030. It is mainly due to the higher combined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of developing and LDC members than of developed members. </w:t>
      </w:r>
    </w:p>
    <w:p w14:paraId="6C133627" w14:textId="77777777" w:rsidR="00801B78" w:rsidRPr="002552EB" w:rsidRDefault="00801B78" w:rsidP="00FF494B">
      <w:pPr>
        <w:spacing w:after="0" w:line="360" w:lineRule="auto"/>
        <w:jc w:val="both"/>
        <w:rPr>
          <w:rFonts w:ascii="Times New Roman" w:eastAsia="Times New Roman" w:hAnsi="Times New Roman" w:cs="Times New Roman"/>
          <w:color w:val="000000"/>
          <w:sz w:val="24"/>
          <w:szCs w:val="24"/>
        </w:rPr>
      </w:pPr>
    </w:p>
    <w:p w14:paraId="0000017A" w14:textId="4856E0F0" w:rsidR="007F7F72" w:rsidRDefault="00D01ECA"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The proposed discipline can undermine sustainability on many accounts. First, the proposed methodology to measure TTDS entitlement is inherently flawed. It assumes that </w:t>
      </w:r>
      <w:r w:rsidRPr="002552EB">
        <w:rPr>
          <w:rFonts w:ascii="Times New Roman" w:eastAsia="Times New Roman" w:hAnsi="Times New Roman" w:cs="Times New Roman"/>
          <w:iCs/>
          <w:color w:val="000000"/>
          <w:sz w:val="24"/>
          <w:szCs w:val="24"/>
        </w:rPr>
        <w:t>AMS entitlement</w:t>
      </w:r>
      <w:r w:rsidRPr="002552EB">
        <w:rPr>
          <w:rFonts w:ascii="Times New Roman" w:eastAsia="Times New Roman" w:hAnsi="Times New Roman" w:cs="Times New Roman"/>
          <w:color w:val="000000"/>
          <w:sz w:val="24"/>
          <w:szCs w:val="24"/>
        </w:rPr>
        <w:t xml:space="preserve"> and combined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 </w:t>
      </w:r>
      <w:r w:rsidR="00A83049" w:rsidRPr="002552EB">
        <w:rPr>
          <w:rFonts w:ascii="Times New Roman" w:eastAsia="Times New Roman" w:hAnsi="Times New Roman" w:cs="Times New Roman"/>
          <w:color w:val="000000"/>
          <w:sz w:val="24"/>
          <w:szCs w:val="24"/>
        </w:rPr>
        <w:t>provide</w:t>
      </w:r>
      <w:r w:rsidRPr="002552EB">
        <w:rPr>
          <w:rFonts w:ascii="Times New Roman" w:eastAsia="Times New Roman" w:hAnsi="Times New Roman" w:cs="Times New Roman"/>
          <w:color w:val="000000"/>
          <w:sz w:val="24"/>
          <w:szCs w:val="24"/>
        </w:rPr>
        <w:t xml:space="preserve"> similar flexibility. It is incorrect to assume that a member with a high combined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entitlement can concentrate the whole support in a few products as in the case of </w:t>
      </w:r>
      <w:r w:rsidRPr="002552EB">
        <w:rPr>
          <w:rFonts w:ascii="Times New Roman" w:eastAsia="Times New Roman" w:hAnsi="Times New Roman" w:cs="Times New Roman"/>
          <w:iCs/>
          <w:color w:val="000000"/>
          <w:sz w:val="24"/>
          <w:szCs w:val="24"/>
        </w:rPr>
        <w:t>AMS entitlement</w:t>
      </w:r>
      <w:r w:rsidRPr="002552EB">
        <w:rPr>
          <w:rFonts w:ascii="Times New Roman" w:eastAsia="Times New Roman" w:hAnsi="Times New Roman" w:cs="Times New Roman"/>
          <w:color w:val="000000"/>
          <w:sz w:val="24"/>
          <w:szCs w:val="24"/>
        </w:rPr>
        <w:t xml:space="preserve">. Second, instead of addressing the </w:t>
      </w:r>
      <w:r w:rsidR="001925DD" w:rsidRPr="002552EB">
        <w:rPr>
          <w:rFonts w:ascii="Times New Roman" w:eastAsia="Times New Roman" w:hAnsi="Times New Roman" w:cs="Times New Roman"/>
          <w:color w:val="000000"/>
          <w:sz w:val="24"/>
          <w:szCs w:val="24"/>
        </w:rPr>
        <w:t xml:space="preserve">existing </w:t>
      </w:r>
      <w:r w:rsidRPr="002552EB">
        <w:rPr>
          <w:rFonts w:ascii="Times New Roman" w:eastAsia="Times New Roman" w:hAnsi="Times New Roman" w:cs="Times New Roman"/>
          <w:color w:val="000000"/>
          <w:sz w:val="24"/>
          <w:szCs w:val="24"/>
        </w:rPr>
        <w:t xml:space="preserve">issues in the domestic support </w:t>
      </w:r>
      <w:r w:rsidR="001925DD" w:rsidRPr="002552EB">
        <w:rPr>
          <w:rFonts w:ascii="Times New Roman" w:eastAsia="Times New Roman" w:hAnsi="Times New Roman" w:cs="Times New Roman"/>
          <w:color w:val="000000"/>
          <w:sz w:val="24"/>
          <w:szCs w:val="24"/>
        </w:rPr>
        <w:t>rules such as</w:t>
      </w:r>
      <w:r w:rsidRPr="002552EB">
        <w:rPr>
          <w:rFonts w:ascii="Times New Roman" w:eastAsia="Times New Roman" w:hAnsi="Times New Roman" w:cs="Times New Roman"/>
          <w:color w:val="000000"/>
          <w:sz w:val="24"/>
          <w:szCs w:val="24"/>
        </w:rPr>
        <w:t xml:space="preserve"> lack of entitlement </w:t>
      </w:r>
      <w:r w:rsidR="001925DD" w:rsidRPr="002552EB">
        <w:rPr>
          <w:rFonts w:ascii="Times New Roman" w:eastAsia="Times New Roman" w:hAnsi="Times New Roman" w:cs="Times New Roman"/>
          <w:color w:val="000000"/>
          <w:sz w:val="24"/>
          <w:szCs w:val="24"/>
        </w:rPr>
        <w:t xml:space="preserve">for most developing members </w:t>
      </w:r>
      <w:r w:rsidRPr="002552EB">
        <w:rPr>
          <w:rFonts w:ascii="Times New Roman" w:eastAsia="Times New Roman" w:hAnsi="Times New Roman" w:cs="Times New Roman"/>
          <w:color w:val="000000"/>
          <w:sz w:val="24"/>
          <w:szCs w:val="24"/>
        </w:rPr>
        <w:t xml:space="preserve">and outdated </w:t>
      </w:r>
      <w:r w:rsidR="00417EBA" w:rsidRPr="002552EB">
        <w:rPr>
          <w:rFonts w:ascii="Times New Roman" w:eastAsia="Times New Roman" w:hAnsi="Times New Roman" w:cs="Times New Roman"/>
          <w:color w:val="000000"/>
          <w:sz w:val="24"/>
          <w:szCs w:val="24"/>
        </w:rPr>
        <w:t>ERP</w:t>
      </w:r>
      <w:r w:rsidRPr="002552EB">
        <w:rPr>
          <w:rFonts w:ascii="Times New Roman" w:eastAsia="Times New Roman" w:hAnsi="Times New Roman" w:cs="Times New Roman"/>
          <w:color w:val="000000"/>
          <w:sz w:val="24"/>
          <w:szCs w:val="24"/>
        </w:rPr>
        <w:t xml:space="preserve">, the proposed methodology gives a distorted picture of entitlement based on the concept of combined </w:t>
      </w:r>
      <w:r w:rsidRPr="002552EB">
        <w:rPr>
          <w:rFonts w:ascii="Times New Roman" w:eastAsia="Times New Roman" w:hAnsi="Times New Roman" w:cs="Times New Roman"/>
          <w:i/>
          <w:color w:val="000000"/>
          <w:sz w:val="24"/>
          <w:szCs w:val="24"/>
        </w:rPr>
        <w:t>de minimis</w:t>
      </w:r>
      <w:r w:rsidRPr="002552EB">
        <w:rPr>
          <w:rFonts w:ascii="Times New Roman" w:eastAsia="Times New Roman" w:hAnsi="Times New Roman" w:cs="Times New Roman"/>
          <w:color w:val="000000"/>
          <w:sz w:val="24"/>
          <w:szCs w:val="24"/>
        </w:rPr>
        <w:t xml:space="preserve"> limit</w:t>
      </w:r>
      <w:r w:rsidR="00417EBA" w:rsidRPr="002552EB">
        <w:rPr>
          <w:rFonts w:ascii="Times New Roman" w:eastAsia="Times New Roman" w:hAnsi="Times New Roman" w:cs="Times New Roman"/>
          <w:color w:val="000000"/>
          <w:sz w:val="24"/>
          <w:szCs w:val="24"/>
        </w:rPr>
        <w:t>,</w:t>
      </w:r>
      <w:r w:rsidRPr="002552EB">
        <w:rPr>
          <w:rFonts w:ascii="Times New Roman" w:eastAsia="Times New Roman" w:hAnsi="Times New Roman" w:cs="Times New Roman"/>
          <w:color w:val="000000"/>
          <w:sz w:val="24"/>
          <w:szCs w:val="24"/>
        </w:rPr>
        <w:t xml:space="preserve"> and seeks to impose greater reduction commitments on developing members. Third, unlike the general perception, the LDC members would lose half of their flexibility due to the determination of the TTDS limit in fixed monetary terms. Fourth, the developing and LDC members would additionally suffer a massive loss in flexibility </w:t>
      </w:r>
      <w:r w:rsidRPr="002552EB">
        <w:rPr>
          <w:rFonts w:ascii="Times New Roman" w:eastAsia="Times New Roman" w:hAnsi="Times New Roman" w:cs="Times New Roman"/>
          <w:color w:val="000000"/>
          <w:sz w:val="24"/>
          <w:szCs w:val="24"/>
        </w:rPr>
        <w:lastRenderedPageBreak/>
        <w:t xml:space="preserve">due to subjecting the Development box to the TTDS limit. Fifth, it leads to extremely low per-famer TTDS entitlement for developing and LDC members, whereas developed countries would continue to give high-level TTDS. Sixth, it will undermine the Bali </w:t>
      </w:r>
      <w:r w:rsidR="00905667" w:rsidRPr="002552EB">
        <w:rPr>
          <w:rFonts w:ascii="Times New Roman" w:eastAsia="Times New Roman" w:hAnsi="Times New Roman" w:cs="Times New Roman"/>
          <w:color w:val="000000"/>
          <w:sz w:val="24"/>
          <w:szCs w:val="24"/>
        </w:rPr>
        <w:t>p</w:t>
      </w:r>
      <w:r w:rsidRPr="002552EB">
        <w:rPr>
          <w:rFonts w:ascii="Times New Roman" w:eastAsia="Times New Roman" w:hAnsi="Times New Roman" w:cs="Times New Roman"/>
          <w:color w:val="000000"/>
          <w:sz w:val="24"/>
          <w:szCs w:val="24"/>
        </w:rPr>
        <w:t xml:space="preserve">eace </w:t>
      </w:r>
      <w:r w:rsidR="00905667" w:rsidRPr="002552EB">
        <w:rPr>
          <w:rFonts w:ascii="Times New Roman" w:eastAsia="Times New Roman" w:hAnsi="Times New Roman" w:cs="Times New Roman"/>
          <w:color w:val="000000"/>
          <w:sz w:val="24"/>
          <w:szCs w:val="24"/>
        </w:rPr>
        <w:t>c</w:t>
      </w:r>
      <w:r w:rsidRPr="002552EB">
        <w:rPr>
          <w:rFonts w:ascii="Times New Roman" w:eastAsia="Times New Roman" w:hAnsi="Times New Roman" w:cs="Times New Roman"/>
          <w:color w:val="000000"/>
          <w:sz w:val="24"/>
          <w:szCs w:val="24"/>
        </w:rPr>
        <w:t xml:space="preserve">lause as support for the public stockholding programme is accounted for in the Current AMS, which would be subject to the proposed TTDS entitlement. Along with the outdated </w:t>
      </w:r>
      <w:r w:rsidR="00905667" w:rsidRPr="002552EB">
        <w:rPr>
          <w:rFonts w:ascii="Times New Roman" w:eastAsia="Times New Roman" w:hAnsi="Times New Roman" w:cs="Times New Roman"/>
          <w:color w:val="000000"/>
          <w:sz w:val="24"/>
          <w:szCs w:val="24"/>
        </w:rPr>
        <w:t>ERP</w:t>
      </w:r>
      <w:r w:rsidRPr="002552EB">
        <w:rPr>
          <w:rFonts w:ascii="Times New Roman" w:eastAsia="Times New Roman" w:hAnsi="Times New Roman" w:cs="Times New Roman"/>
          <w:color w:val="000000"/>
          <w:sz w:val="24"/>
          <w:szCs w:val="24"/>
        </w:rPr>
        <w:t xml:space="preserve">, the TTDS limit would make the hard-earned Bali </w:t>
      </w:r>
      <w:r w:rsidR="00905667" w:rsidRPr="002552EB">
        <w:rPr>
          <w:rFonts w:ascii="Times New Roman" w:eastAsia="Times New Roman" w:hAnsi="Times New Roman" w:cs="Times New Roman"/>
          <w:color w:val="000000"/>
          <w:sz w:val="24"/>
          <w:szCs w:val="24"/>
        </w:rPr>
        <w:t>p</w:t>
      </w:r>
      <w:r w:rsidRPr="002552EB">
        <w:rPr>
          <w:rFonts w:ascii="Times New Roman" w:eastAsia="Times New Roman" w:hAnsi="Times New Roman" w:cs="Times New Roman"/>
          <w:color w:val="000000"/>
          <w:sz w:val="24"/>
          <w:szCs w:val="24"/>
        </w:rPr>
        <w:t xml:space="preserve">eace </w:t>
      </w:r>
      <w:r w:rsidR="000444C8" w:rsidRPr="002552EB">
        <w:rPr>
          <w:rFonts w:ascii="Times New Roman" w:eastAsia="Times New Roman" w:hAnsi="Times New Roman" w:cs="Times New Roman"/>
          <w:color w:val="000000"/>
          <w:sz w:val="24"/>
          <w:szCs w:val="24"/>
        </w:rPr>
        <w:t>c</w:t>
      </w:r>
      <w:r w:rsidRPr="002552EB">
        <w:rPr>
          <w:rFonts w:ascii="Times New Roman" w:eastAsia="Times New Roman" w:hAnsi="Times New Roman" w:cs="Times New Roman"/>
          <w:color w:val="000000"/>
          <w:sz w:val="24"/>
          <w:szCs w:val="24"/>
        </w:rPr>
        <w:t xml:space="preserve">lause redundant. Seventh, it will leave the low-income or resource-poor farmers without any safety net except through measures under the Green </w:t>
      </w:r>
      <w:r w:rsidR="000444C8" w:rsidRPr="002552EB">
        <w:rPr>
          <w:rFonts w:ascii="Times New Roman" w:eastAsia="Times New Roman" w:hAnsi="Times New Roman" w:cs="Times New Roman"/>
          <w:color w:val="000000"/>
          <w:sz w:val="24"/>
          <w:szCs w:val="24"/>
        </w:rPr>
        <w:t>b</w:t>
      </w:r>
      <w:r w:rsidRPr="002552EB">
        <w:rPr>
          <w:rFonts w:ascii="Times New Roman" w:eastAsia="Times New Roman" w:hAnsi="Times New Roman" w:cs="Times New Roman"/>
          <w:color w:val="000000"/>
          <w:sz w:val="24"/>
          <w:szCs w:val="24"/>
        </w:rPr>
        <w:t xml:space="preserve">ox. Eighth, it ignores the long-standing demand of developing and LDC members </w:t>
      </w:r>
      <w:r w:rsidR="00D5327D">
        <w:rPr>
          <w:rFonts w:ascii="Times New Roman" w:eastAsia="Times New Roman" w:hAnsi="Times New Roman" w:cs="Times New Roman"/>
          <w:color w:val="000000"/>
          <w:sz w:val="24"/>
          <w:szCs w:val="24"/>
        </w:rPr>
        <w:t>to eliminate</w:t>
      </w:r>
      <w:r w:rsidRPr="002552EB">
        <w:rPr>
          <w:rFonts w:ascii="Times New Roman" w:eastAsia="Times New Roman" w:hAnsi="Times New Roman" w:cs="Times New Roman"/>
          <w:color w:val="000000"/>
          <w:sz w:val="24"/>
          <w:szCs w:val="24"/>
        </w:rPr>
        <w:t xml:space="preserve"> the </w:t>
      </w:r>
      <w:r w:rsidRPr="002552EB">
        <w:rPr>
          <w:rFonts w:ascii="Times New Roman" w:eastAsia="Times New Roman" w:hAnsi="Times New Roman" w:cs="Times New Roman"/>
          <w:iCs/>
          <w:color w:val="000000"/>
          <w:sz w:val="24"/>
          <w:szCs w:val="24"/>
        </w:rPr>
        <w:t>AMS entitlement</w:t>
      </w:r>
      <w:r w:rsidRPr="002552EB">
        <w:rPr>
          <w:rFonts w:ascii="Times New Roman" w:eastAsia="Times New Roman" w:hAnsi="Times New Roman" w:cs="Times New Roman"/>
          <w:color w:val="000000"/>
          <w:sz w:val="24"/>
          <w:szCs w:val="24"/>
        </w:rPr>
        <w:t xml:space="preserve"> </w:t>
      </w:r>
      <w:r w:rsidR="00D5327D">
        <w:rPr>
          <w:rFonts w:ascii="Times New Roman" w:eastAsia="Times New Roman" w:hAnsi="Times New Roman" w:cs="Times New Roman"/>
          <w:color w:val="000000"/>
          <w:sz w:val="24"/>
          <w:szCs w:val="24"/>
        </w:rPr>
        <w:t>to ensure</w:t>
      </w:r>
      <w:r w:rsidRPr="002552EB">
        <w:rPr>
          <w:rFonts w:ascii="Times New Roman" w:eastAsia="Times New Roman" w:hAnsi="Times New Roman" w:cs="Times New Roman"/>
          <w:color w:val="000000"/>
          <w:sz w:val="24"/>
          <w:szCs w:val="24"/>
        </w:rPr>
        <w:t xml:space="preserve"> a level playing field. Though </w:t>
      </w:r>
      <w:r w:rsidRPr="002552EB">
        <w:rPr>
          <w:rFonts w:ascii="Times New Roman" w:eastAsia="Times New Roman" w:hAnsi="Times New Roman" w:cs="Times New Roman"/>
          <w:iCs/>
          <w:color w:val="000000"/>
          <w:sz w:val="24"/>
          <w:szCs w:val="24"/>
        </w:rPr>
        <w:t>AMS entitlement</w:t>
      </w:r>
      <w:r w:rsidRPr="002552EB">
        <w:rPr>
          <w:rFonts w:ascii="Times New Roman" w:eastAsia="Times New Roman" w:hAnsi="Times New Roman" w:cs="Times New Roman"/>
          <w:color w:val="000000"/>
          <w:sz w:val="24"/>
          <w:szCs w:val="24"/>
        </w:rPr>
        <w:t xml:space="preserve"> is subject to the TTDS limit, the flexibility for concentrating the product-specific support remains untouched.</w:t>
      </w:r>
    </w:p>
    <w:p w14:paraId="0D7BD45A" w14:textId="77777777" w:rsidR="00801B78" w:rsidRPr="002552EB" w:rsidRDefault="00801B78" w:rsidP="00FF494B">
      <w:pPr>
        <w:spacing w:after="0" w:line="360" w:lineRule="auto"/>
        <w:jc w:val="both"/>
        <w:rPr>
          <w:rFonts w:ascii="Times New Roman" w:eastAsia="Times New Roman" w:hAnsi="Times New Roman" w:cs="Times New Roman"/>
          <w:color w:val="000000"/>
          <w:sz w:val="24"/>
          <w:szCs w:val="24"/>
        </w:rPr>
      </w:pPr>
    </w:p>
    <w:p w14:paraId="0000017C" w14:textId="0541512A" w:rsidR="007F7F72" w:rsidRPr="002552EB" w:rsidRDefault="00D01ECA" w:rsidP="00FF494B">
      <w:pPr>
        <w:spacing w:after="0" w:line="360" w:lineRule="auto"/>
        <w:jc w:val="both"/>
        <w:rPr>
          <w:rFonts w:ascii="Times New Roman" w:eastAsia="Times New Roman" w:hAnsi="Times New Roman" w:cs="Times New Roman"/>
          <w:color w:val="000000"/>
          <w:sz w:val="24"/>
          <w:szCs w:val="24"/>
        </w:rPr>
      </w:pPr>
      <w:r w:rsidRPr="002552EB">
        <w:rPr>
          <w:rFonts w:ascii="Times New Roman" w:eastAsia="Times New Roman" w:hAnsi="Times New Roman" w:cs="Times New Roman"/>
          <w:color w:val="000000"/>
          <w:sz w:val="24"/>
          <w:szCs w:val="24"/>
        </w:rPr>
        <w:t xml:space="preserve">Overall, the basic premise of the massive increase in the TTDS entitlement is </w:t>
      </w:r>
      <w:r w:rsidR="00F92FCB" w:rsidRPr="002552EB">
        <w:rPr>
          <w:rFonts w:ascii="Times New Roman" w:eastAsia="Times New Roman" w:hAnsi="Times New Roman" w:cs="Times New Roman"/>
          <w:color w:val="000000"/>
          <w:sz w:val="24"/>
          <w:szCs w:val="24"/>
        </w:rPr>
        <w:t>questionable</w:t>
      </w:r>
      <w:r w:rsidRPr="002552EB">
        <w:rPr>
          <w:rFonts w:ascii="Times New Roman" w:eastAsia="Times New Roman" w:hAnsi="Times New Roman" w:cs="Times New Roman"/>
          <w:color w:val="000000"/>
          <w:sz w:val="24"/>
          <w:szCs w:val="24"/>
        </w:rPr>
        <w:t xml:space="preserve"> and fails to address the sustainability issue in a comprehensive manner. It severely undermines the socio-economic pillars of sustainability, ignores the existing imbalances in the AoA, and is biased against millions of low-income or resource-poor farmers from developing and LDC members. WTO members need to come together to make rules that promote equity and justice with effective S&amp;DT provisions to achieve the social, economic, and environmental dimensions of sustainability that address the challenges of the 21</w:t>
      </w:r>
      <w:r w:rsidRPr="002552EB">
        <w:rPr>
          <w:rFonts w:ascii="Times New Roman" w:eastAsia="Times New Roman" w:hAnsi="Times New Roman" w:cs="Times New Roman"/>
          <w:color w:val="000000"/>
          <w:sz w:val="24"/>
          <w:szCs w:val="24"/>
          <w:vertAlign w:val="superscript"/>
        </w:rPr>
        <w:t>st</w:t>
      </w:r>
      <w:r w:rsidRPr="002552EB">
        <w:rPr>
          <w:rFonts w:ascii="Times New Roman" w:eastAsia="Times New Roman" w:hAnsi="Times New Roman" w:cs="Times New Roman"/>
          <w:color w:val="000000"/>
          <w:sz w:val="24"/>
          <w:szCs w:val="24"/>
        </w:rPr>
        <w:t xml:space="preserve"> century. </w:t>
      </w:r>
    </w:p>
    <w:p w14:paraId="3A8F677B" w14:textId="037AF301" w:rsidR="00327A0C" w:rsidRDefault="00327A0C">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br w:type="page"/>
      </w:r>
    </w:p>
    <w:p w14:paraId="2A856166" w14:textId="66D9C9A0" w:rsidR="00D6235D" w:rsidRPr="00327A0C" w:rsidRDefault="00167377" w:rsidP="00327A0C">
      <w:pPr>
        <w:pStyle w:val="Heading1"/>
      </w:pPr>
      <w:bookmarkStart w:id="17" w:name="_Toc147323005"/>
      <w:r w:rsidRPr="00327A0C">
        <w:lastRenderedPageBreak/>
        <w:t>References</w:t>
      </w:r>
      <w:bookmarkEnd w:id="17"/>
    </w:p>
    <w:p w14:paraId="29A6F10B" w14:textId="42454591" w:rsidR="00AB5567" w:rsidRPr="00061311" w:rsidRDefault="00B06851"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sidRPr="00061311">
        <w:rPr>
          <w:rFonts w:ascii="Times New Roman" w:eastAsia="Times New Roman" w:hAnsi="Times New Roman" w:cs="Times New Roman"/>
          <w:color w:val="000000"/>
          <w:sz w:val="24"/>
          <w:szCs w:val="24"/>
        </w:rPr>
        <w:t xml:space="preserve">Allen, P., Van </w:t>
      </w:r>
      <w:proofErr w:type="spellStart"/>
      <w:r w:rsidRPr="00061311">
        <w:rPr>
          <w:rFonts w:ascii="Times New Roman" w:eastAsia="Times New Roman" w:hAnsi="Times New Roman" w:cs="Times New Roman"/>
          <w:color w:val="000000"/>
          <w:sz w:val="24"/>
          <w:szCs w:val="24"/>
        </w:rPr>
        <w:t>Dusen</w:t>
      </w:r>
      <w:proofErr w:type="spellEnd"/>
      <w:r w:rsidRPr="00061311">
        <w:rPr>
          <w:rFonts w:ascii="Times New Roman" w:eastAsia="Times New Roman" w:hAnsi="Times New Roman" w:cs="Times New Roman"/>
          <w:color w:val="000000"/>
          <w:sz w:val="24"/>
          <w:szCs w:val="24"/>
        </w:rPr>
        <w:t xml:space="preserve">, D., Lundy, J., &amp; </w:t>
      </w:r>
      <w:proofErr w:type="spellStart"/>
      <w:r w:rsidRPr="00061311">
        <w:rPr>
          <w:rFonts w:ascii="Times New Roman" w:eastAsia="Times New Roman" w:hAnsi="Times New Roman" w:cs="Times New Roman"/>
          <w:color w:val="000000"/>
          <w:sz w:val="24"/>
          <w:szCs w:val="24"/>
        </w:rPr>
        <w:t>Gliessman</w:t>
      </w:r>
      <w:proofErr w:type="spellEnd"/>
      <w:r w:rsidRPr="00061311">
        <w:rPr>
          <w:rFonts w:ascii="Times New Roman" w:eastAsia="Times New Roman" w:hAnsi="Times New Roman" w:cs="Times New Roman"/>
          <w:color w:val="000000"/>
          <w:sz w:val="24"/>
          <w:szCs w:val="24"/>
        </w:rPr>
        <w:t xml:space="preserve">, S. (1991). Integrating social, environmental, and economic issues in Sustainable Agriculture. </w:t>
      </w:r>
      <w:r w:rsidRPr="00061311">
        <w:rPr>
          <w:rFonts w:ascii="Times New Roman" w:eastAsia="Times New Roman" w:hAnsi="Times New Roman" w:cs="Times New Roman"/>
          <w:i/>
          <w:color w:val="000000"/>
          <w:sz w:val="24"/>
          <w:szCs w:val="24"/>
        </w:rPr>
        <w:t>American Journal of Alternative Agriculture,</w:t>
      </w:r>
      <w:r w:rsidRPr="00061311">
        <w:rPr>
          <w:rFonts w:ascii="Times New Roman" w:eastAsia="Times New Roman" w:hAnsi="Times New Roman" w:cs="Times New Roman"/>
          <w:color w:val="000000"/>
          <w:sz w:val="24"/>
          <w:szCs w:val="24"/>
        </w:rPr>
        <w:t xml:space="preserve"> 6(1), 34–39. </w:t>
      </w:r>
      <w:hyperlink r:id="rId18">
        <w:r w:rsidRPr="00061311">
          <w:rPr>
            <w:rFonts w:ascii="Times New Roman" w:eastAsia="Times New Roman" w:hAnsi="Times New Roman" w:cs="Times New Roman"/>
            <w:color w:val="0000FF"/>
            <w:sz w:val="24"/>
            <w:szCs w:val="24"/>
            <w:u w:val="single"/>
          </w:rPr>
          <w:t>https://doi.org/10.1017/s0889189300003787</w:t>
        </w:r>
      </w:hyperlink>
      <w:r w:rsidRPr="00061311">
        <w:rPr>
          <w:rFonts w:ascii="Times New Roman" w:eastAsia="Times New Roman" w:hAnsi="Times New Roman" w:cs="Times New Roman"/>
          <w:color w:val="000000"/>
          <w:sz w:val="24"/>
          <w:szCs w:val="24"/>
        </w:rPr>
        <w:t xml:space="preserve">   </w:t>
      </w:r>
    </w:p>
    <w:p w14:paraId="3A2C33E0" w14:textId="77777777" w:rsidR="005931E2" w:rsidRPr="00061311" w:rsidRDefault="005931E2"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53F3669B" w14:textId="77777777" w:rsidR="00FF494B" w:rsidRDefault="005678B3"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sidRPr="00061311">
        <w:rPr>
          <w:rFonts w:ascii="Times New Roman" w:eastAsia="Times New Roman" w:hAnsi="Times New Roman" w:cs="Times New Roman"/>
          <w:color w:val="000000"/>
          <w:sz w:val="24"/>
          <w:szCs w:val="24"/>
        </w:rPr>
        <w:t>Bacchus, J. (2023). Sustainability and the WTO Trading System</w:t>
      </w:r>
      <w:r w:rsidR="003773C4" w:rsidRPr="00061311">
        <w:rPr>
          <w:rFonts w:ascii="Times New Roman" w:eastAsia="Times New Roman" w:hAnsi="Times New Roman" w:cs="Times New Roman"/>
          <w:color w:val="000000"/>
          <w:sz w:val="24"/>
          <w:szCs w:val="24"/>
        </w:rPr>
        <w:t xml:space="preserve">, </w:t>
      </w:r>
      <w:r w:rsidR="00DA3BA8" w:rsidRPr="00061311">
        <w:rPr>
          <w:rFonts w:ascii="Times New Roman" w:eastAsia="Times New Roman" w:hAnsi="Times New Roman" w:cs="Times New Roman"/>
          <w:i/>
          <w:iCs/>
          <w:color w:val="000000"/>
          <w:sz w:val="24"/>
          <w:szCs w:val="24"/>
        </w:rPr>
        <w:t>Background papers,</w:t>
      </w:r>
      <w:r w:rsidR="00DA3BA8" w:rsidRPr="00061311">
        <w:rPr>
          <w:rFonts w:ascii="Times New Roman" w:eastAsia="Times New Roman" w:hAnsi="Times New Roman" w:cs="Times New Roman"/>
          <w:color w:val="000000"/>
          <w:sz w:val="24"/>
          <w:szCs w:val="24"/>
        </w:rPr>
        <w:t xml:space="preserve"> </w:t>
      </w:r>
      <w:r w:rsidR="003773C4" w:rsidRPr="00061311">
        <w:rPr>
          <w:rFonts w:ascii="Times New Roman" w:eastAsia="Times New Roman" w:hAnsi="Times New Roman" w:cs="Times New Roman"/>
          <w:i/>
          <w:iCs/>
          <w:color w:val="000000"/>
          <w:sz w:val="24"/>
          <w:szCs w:val="24"/>
        </w:rPr>
        <w:t>Trade</w:t>
      </w:r>
      <w:r w:rsidR="00FF494B">
        <w:rPr>
          <w:rFonts w:ascii="Times New Roman" w:eastAsia="Times New Roman" w:hAnsi="Times New Roman" w:cs="Times New Roman"/>
          <w:i/>
          <w:iCs/>
          <w:color w:val="000000"/>
          <w:sz w:val="24"/>
          <w:szCs w:val="24"/>
        </w:rPr>
        <w:t xml:space="preserve"> </w:t>
      </w:r>
      <w:r w:rsidR="003773C4" w:rsidRPr="00061311">
        <w:rPr>
          <w:rFonts w:ascii="Times New Roman" w:eastAsia="Times New Roman" w:hAnsi="Times New Roman" w:cs="Times New Roman"/>
          <w:i/>
          <w:iCs/>
          <w:color w:val="000000"/>
          <w:sz w:val="24"/>
          <w:szCs w:val="24"/>
        </w:rPr>
        <w:t>and Climate Change Workshop</w:t>
      </w:r>
      <w:r w:rsidR="00E92269" w:rsidRPr="00061311">
        <w:rPr>
          <w:rFonts w:ascii="Times New Roman" w:eastAsia="Times New Roman" w:hAnsi="Times New Roman" w:cs="Times New Roman"/>
          <w:i/>
          <w:iCs/>
          <w:color w:val="000000"/>
          <w:sz w:val="24"/>
          <w:szCs w:val="24"/>
        </w:rPr>
        <w:t>.</w:t>
      </w:r>
      <w:r w:rsidR="00E92269" w:rsidRPr="00061311">
        <w:rPr>
          <w:rFonts w:ascii="Times New Roman" w:eastAsia="Times New Roman" w:hAnsi="Times New Roman" w:cs="Times New Roman"/>
          <w:color w:val="000000"/>
          <w:sz w:val="24"/>
          <w:szCs w:val="24"/>
        </w:rPr>
        <w:t xml:space="preserve"> </w:t>
      </w:r>
    </w:p>
    <w:p w14:paraId="17EE20F9" w14:textId="220AEA14" w:rsidR="005678B3" w:rsidRPr="00061311" w:rsidRDefault="00EF11AE"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hyperlink r:id="rId19" w:history="1">
        <w:r w:rsidR="00FF494B" w:rsidRPr="004379DA">
          <w:rPr>
            <w:rStyle w:val="Hyperlink"/>
            <w:rFonts w:ascii="Times New Roman" w:eastAsia="Times New Roman" w:hAnsi="Times New Roman" w:cs="Times New Roman"/>
            <w:sz w:val="24"/>
            <w:szCs w:val="24"/>
          </w:rPr>
          <w:t>https://drive.google.com/file/d/1Fc2Wh3BDT7am9Zmv7laNYAu3YvqdAegY/view?pli=1</w:t>
        </w:r>
      </w:hyperlink>
      <w:r w:rsidR="007B10B2" w:rsidRPr="00061311">
        <w:rPr>
          <w:rFonts w:ascii="Times New Roman" w:eastAsia="Times New Roman" w:hAnsi="Times New Roman" w:cs="Times New Roman"/>
          <w:color w:val="000000"/>
          <w:sz w:val="24"/>
          <w:szCs w:val="24"/>
        </w:rPr>
        <w:t xml:space="preserve"> </w:t>
      </w:r>
    </w:p>
    <w:p w14:paraId="5D170E5C" w14:textId="77777777" w:rsidR="005678B3" w:rsidRPr="00061311" w:rsidRDefault="005678B3"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5512700A" w14:textId="101F32D7" w:rsidR="00AB5567" w:rsidRDefault="00AB5567"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roofErr w:type="spellStart"/>
      <w:r w:rsidRPr="00061311">
        <w:rPr>
          <w:rFonts w:ascii="Times New Roman" w:eastAsia="Times New Roman" w:hAnsi="Times New Roman" w:cs="Times New Roman"/>
          <w:color w:val="000000"/>
          <w:sz w:val="24"/>
          <w:szCs w:val="24"/>
        </w:rPr>
        <w:t>Bellmann</w:t>
      </w:r>
      <w:proofErr w:type="spellEnd"/>
      <w:r w:rsidRPr="00061311">
        <w:rPr>
          <w:rFonts w:ascii="Times New Roman" w:eastAsia="Times New Roman" w:hAnsi="Times New Roman" w:cs="Times New Roman"/>
          <w:color w:val="000000"/>
          <w:sz w:val="24"/>
          <w:szCs w:val="24"/>
        </w:rPr>
        <w:t xml:space="preserve">, C. (2022). </w:t>
      </w:r>
      <w:r w:rsidR="00EC2AE1" w:rsidRPr="00061311">
        <w:rPr>
          <w:rFonts w:ascii="Times New Roman" w:eastAsia="Times New Roman" w:hAnsi="Times New Roman" w:cs="Times New Roman"/>
          <w:color w:val="000000"/>
          <w:sz w:val="24"/>
          <w:szCs w:val="24"/>
        </w:rPr>
        <w:t xml:space="preserve">Trade and Sustainability in the Agricultural Sector: Options for Multilateral Trade Cooperation, </w:t>
      </w:r>
      <w:r w:rsidR="00EC2AE1" w:rsidRPr="00061311">
        <w:rPr>
          <w:rFonts w:ascii="Times New Roman" w:eastAsia="Times New Roman" w:hAnsi="Times New Roman" w:cs="Times New Roman"/>
          <w:i/>
          <w:iCs/>
          <w:color w:val="000000"/>
          <w:sz w:val="24"/>
          <w:szCs w:val="24"/>
        </w:rPr>
        <w:t>Forum on Trade,</w:t>
      </w:r>
      <w:r w:rsidR="003B0BBA" w:rsidRPr="00061311">
        <w:rPr>
          <w:rFonts w:ascii="Times New Roman" w:eastAsia="Times New Roman" w:hAnsi="Times New Roman" w:cs="Times New Roman"/>
          <w:i/>
          <w:iCs/>
          <w:color w:val="000000"/>
          <w:sz w:val="24"/>
          <w:szCs w:val="24"/>
        </w:rPr>
        <w:t xml:space="preserve"> Environment and the SDGs, Policy Brief.</w:t>
      </w:r>
      <w:r w:rsidR="003B0BBA" w:rsidRPr="00061311">
        <w:rPr>
          <w:rFonts w:ascii="Times New Roman" w:eastAsia="Times New Roman" w:hAnsi="Times New Roman" w:cs="Times New Roman"/>
          <w:color w:val="000000"/>
          <w:sz w:val="24"/>
          <w:szCs w:val="24"/>
        </w:rPr>
        <w:t xml:space="preserve"> </w:t>
      </w:r>
      <w:hyperlink r:id="rId20" w:history="1">
        <w:r w:rsidR="00380F32" w:rsidRPr="00061311">
          <w:rPr>
            <w:rStyle w:val="Hyperlink"/>
            <w:rFonts w:ascii="Times New Roman" w:eastAsia="Times New Roman" w:hAnsi="Times New Roman" w:cs="Times New Roman"/>
            <w:sz w:val="24"/>
            <w:szCs w:val="24"/>
          </w:rPr>
          <w:t>https://tessforum.org/latest/trade-and-sustainability-in-the-agricultural-sector-options-for-multilateral-trade-cooperation</w:t>
        </w:r>
      </w:hyperlink>
      <w:r w:rsidR="00380F32" w:rsidRPr="00061311">
        <w:rPr>
          <w:rFonts w:ascii="Times New Roman" w:eastAsia="Times New Roman" w:hAnsi="Times New Roman" w:cs="Times New Roman"/>
          <w:color w:val="000000"/>
          <w:sz w:val="24"/>
          <w:szCs w:val="24"/>
        </w:rPr>
        <w:t xml:space="preserve"> </w:t>
      </w:r>
    </w:p>
    <w:p w14:paraId="6A84D9B2" w14:textId="77777777" w:rsidR="003279E6" w:rsidRPr="00061311" w:rsidRDefault="003279E6"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3416B6A9" w14:textId="13AD52D0" w:rsidR="00B06851" w:rsidRDefault="00B06851" w:rsidP="00FF494B">
      <w:pPr>
        <w:pStyle w:val="NormalWeb"/>
        <w:shd w:val="clear" w:color="auto" w:fill="FFFFFF"/>
        <w:spacing w:before="0" w:beforeAutospacing="0" w:after="0" w:afterAutospacing="0" w:line="360" w:lineRule="auto"/>
        <w:contextualSpacing/>
        <w:jc w:val="both"/>
      </w:pPr>
      <w:r w:rsidRPr="00061311">
        <w:t xml:space="preserve">Brink, L., &amp; Orden, D. (2023). </w:t>
      </w:r>
      <w:r w:rsidRPr="00061311">
        <w:rPr>
          <w:i/>
          <w:iCs/>
        </w:rPr>
        <w:t>Agricultural domestic support under the WTO: Experience and prospects</w:t>
      </w:r>
      <w:r w:rsidRPr="00061311">
        <w:t>. Cambridge University Press.</w:t>
      </w:r>
    </w:p>
    <w:p w14:paraId="6DED2711" w14:textId="77777777" w:rsidR="00FF494B" w:rsidRPr="00061311" w:rsidRDefault="00FF494B" w:rsidP="00FF494B">
      <w:pPr>
        <w:pStyle w:val="NormalWeb"/>
        <w:shd w:val="clear" w:color="auto" w:fill="FFFFFF"/>
        <w:spacing w:before="0" w:beforeAutospacing="0" w:after="0" w:afterAutospacing="0" w:line="360" w:lineRule="auto"/>
        <w:contextualSpacing/>
        <w:jc w:val="both"/>
      </w:pPr>
    </w:p>
    <w:p w14:paraId="0B4321E7" w14:textId="76C04259" w:rsidR="00B06851" w:rsidRPr="00061311" w:rsidRDefault="00B06851" w:rsidP="00FF494B">
      <w:pPr>
        <w:pStyle w:val="FootnoteText"/>
        <w:spacing w:line="360" w:lineRule="auto"/>
        <w:contextualSpacing/>
        <w:jc w:val="both"/>
        <w:rPr>
          <w:rFonts w:ascii="Times New Roman" w:hAnsi="Times New Roman" w:cs="Times New Roman"/>
          <w:sz w:val="24"/>
          <w:szCs w:val="24"/>
          <w:lang w:val="en-US"/>
        </w:rPr>
      </w:pPr>
      <w:r w:rsidRPr="00061311">
        <w:rPr>
          <w:rFonts w:ascii="Times New Roman" w:hAnsi="Times New Roman" w:cs="Times New Roman"/>
          <w:sz w:val="24"/>
          <w:szCs w:val="24"/>
          <w:lang w:val="en-US"/>
        </w:rPr>
        <w:t>Das, A., &amp; Sharma, S.K. (2011). Evolution of WTO Agriculture Modalities: Survival of the Financially Fattest.</w:t>
      </w:r>
      <w:r w:rsidRPr="00061311">
        <w:rPr>
          <w:rFonts w:ascii="Times New Roman" w:eastAsia="Times New Roman" w:hAnsi="Times New Roman" w:cs="Times New Roman"/>
          <w:color w:val="000000"/>
          <w:sz w:val="24"/>
          <w:szCs w:val="24"/>
        </w:rPr>
        <w:t xml:space="preserve"> </w:t>
      </w:r>
      <w:r w:rsidRPr="00061311">
        <w:rPr>
          <w:rFonts w:ascii="Times New Roman" w:eastAsia="Times New Roman" w:hAnsi="Times New Roman" w:cs="Times New Roman"/>
          <w:i/>
          <w:iCs/>
          <w:color w:val="000000"/>
          <w:sz w:val="24"/>
          <w:szCs w:val="24"/>
        </w:rPr>
        <w:t>Centre for WTO Studies,</w:t>
      </w:r>
      <w:r w:rsidRPr="00061311">
        <w:rPr>
          <w:rFonts w:ascii="Times New Roman" w:hAnsi="Times New Roman" w:cs="Times New Roman"/>
          <w:i/>
          <w:iCs/>
          <w:sz w:val="24"/>
          <w:szCs w:val="24"/>
          <w:lang w:val="en-US"/>
        </w:rPr>
        <w:t xml:space="preserve"> Occasional Paper No. 1</w:t>
      </w:r>
      <w:r w:rsidRPr="00061311">
        <w:rPr>
          <w:rFonts w:ascii="Times New Roman" w:hAnsi="Times New Roman" w:cs="Times New Roman"/>
          <w:sz w:val="24"/>
          <w:szCs w:val="24"/>
          <w:lang w:val="en-US"/>
        </w:rPr>
        <w:t xml:space="preserve">. </w:t>
      </w:r>
      <w:hyperlink r:id="rId21" w:history="1">
        <w:r w:rsidRPr="00061311">
          <w:rPr>
            <w:rStyle w:val="Hyperlink"/>
            <w:rFonts w:ascii="Times New Roman" w:hAnsi="Times New Roman" w:cs="Times New Roman"/>
            <w:sz w:val="24"/>
            <w:szCs w:val="24"/>
            <w:lang w:val="en-US"/>
          </w:rPr>
          <w:t>https://wtocentre.iift.ac.in/Occassinalpaper/01.pdf</w:t>
        </w:r>
      </w:hyperlink>
      <w:r w:rsidRPr="00061311">
        <w:rPr>
          <w:rFonts w:ascii="Times New Roman" w:hAnsi="Times New Roman" w:cs="Times New Roman"/>
          <w:sz w:val="24"/>
          <w:szCs w:val="24"/>
          <w:lang w:val="en-US"/>
        </w:rPr>
        <w:t xml:space="preserve">. </w:t>
      </w:r>
    </w:p>
    <w:p w14:paraId="26A56CDB" w14:textId="77777777" w:rsidR="00B06851" w:rsidRPr="00061311" w:rsidRDefault="00B06851"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2AA4C084" w14:textId="3E00B415" w:rsidR="00B06851" w:rsidRPr="00061311" w:rsidRDefault="00B06851"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roofErr w:type="spellStart"/>
      <w:r w:rsidRPr="00061311">
        <w:rPr>
          <w:rFonts w:ascii="Times New Roman" w:eastAsia="Times New Roman" w:hAnsi="Times New Roman" w:cs="Times New Roman"/>
          <w:color w:val="000000"/>
          <w:sz w:val="24"/>
          <w:szCs w:val="24"/>
        </w:rPr>
        <w:t>Effland</w:t>
      </w:r>
      <w:proofErr w:type="spellEnd"/>
      <w:r w:rsidRPr="00061311">
        <w:rPr>
          <w:rFonts w:ascii="Times New Roman" w:eastAsia="Times New Roman" w:hAnsi="Times New Roman" w:cs="Times New Roman"/>
          <w:color w:val="000000"/>
          <w:sz w:val="24"/>
          <w:szCs w:val="24"/>
        </w:rPr>
        <w:t xml:space="preserve">, A. B. W. (2011). </w:t>
      </w:r>
      <w:r w:rsidRPr="00061311">
        <w:rPr>
          <w:rFonts w:ascii="Times New Roman" w:eastAsia="Times New Roman" w:hAnsi="Times New Roman" w:cs="Times New Roman"/>
          <w:i/>
          <w:color w:val="000000"/>
          <w:sz w:val="24"/>
          <w:szCs w:val="24"/>
        </w:rPr>
        <w:t xml:space="preserve">Classifying and measuring agricultural </w:t>
      </w:r>
      <w:proofErr w:type="gramStart"/>
      <w:r w:rsidRPr="00061311">
        <w:rPr>
          <w:rFonts w:ascii="Times New Roman" w:eastAsia="Times New Roman" w:hAnsi="Times New Roman" w:cs="Times New Roman"/>
          <w:i/>
          <w:color w:val="000000"/>
          <w:sz w:val="24"/>
          <w:szCs w:val="24"/>
        </w:rPr>
        <w:t>support :</w:t>
      </w:r>
      <w:proofErr w:type="gramEnd"/>
      <w:r w:rsidRPr="00061311">
        <w:rPr>
          <w:rFonts w:ascii="Times New Roman" w:eastAsia="Times New Roman" w:hAnsi="Times New Roman" w:cs="Times New Roman"/>
          <w:i/>
          <w:color w:val="000000"/>
          <w:sz w:val="24"/>
          <w:szCs w:val="24"/>
        </w:rPr>
        <w:t xml:space="preserve"> Identifying differences between the WTO and OECD systems</w:t>
      </w:r>
      <w:r w:rsidRPr="00061311">
        <w:rPr>
          <w:rFonts w:ascii="Times New Roman" w:eastAsia="Times New Roman" w:hAnsi="Times New Roman" w:cs="Times New Roman"/>
          <w:color w:val="000000"/>
          <w:sz w:val="24"/>
          <w:szCs w:val="24"/>
        </w:rPr>
        <w:t xml:space="preserve">. USDA, Economic Research Service.  </w:t>
      </w:r>
      <w:hyperlink r:id="rId22">
        <w:r w:rsidRPr="00061311">
          <w:rPr>
            <w:rFonts w:ascii="Times New Roman" w:eastAsia="Times New Roman" w:hAnsi="Times New Roman" w:cs="Times New Roman"/>
            <w:color w:val="0000FF"/>
            <w:sz w:val="24"/>
            <w:szCs w:val="24"/>
            <w:u w:val="single"/>
          </w:rPr>
          <w:t>https://library.villanova.edu/Find/Record/1505493</w:t>
        </w:r>
      </w:hyperlink>
      <w:r w:rsidR="00FF494B">
        <w:rPr>
          <w:rFonts w:ascii="Times New Roman" w:eastAsia="Times New Roman" w:hAnsi="Times New Roman" w:cs="Times New Roman"/>
          <w:color w:val="0000FF"/>
          <w:sz w:val="24"/>
          <w:szCs w:val="24"/>
          <w:u w:val="single"/>
        </w:rPr>
        <w:t>.</w:t>
      </w:r>
      <w:r w:rsidRPr="00061311">
        <w:rPr>
          <w:rFonts w:ascii="Times New Roman" w:eastAsia="Times New Roman" w:hAnsi="Times New Roman" w:cs="Times New Roman"/>
          <w:color w:val="000000"/>
          <w:sz w:val="24"/>
          <w:szCs w:val="24"/>
        </w:rPr>
        <w:t xml:space="preserve">   </w:t>
      </w:r>
    </w:p>
    <w:p w14:paraId="30D0C52E" w14:textId="77777777" w:rsidR="00B06851" w:rsidRPr="00061311" w:rsidRDefault="00B06851"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50DA9A83" w14:textId="10948333" w:rsidR="00B06851" w:rsidRPr="00061311" w:rsidRDefault="00B06851"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FF"/>
          <w:sz w:val="24"/>
          <w:szCs w:val="24"/>
          <w:u w:val="single"/>
        </w:rPr>
      </w:pPr>
      <w:r w:rsidRPr="00061311">
        <w:rPr>
          <w:rFonts w:ascii="Times New Roman" w:eastAsia="Times New Roman" w:hAnsi="Times New Roman" w:cs="Times New Roman"/>
          <w:color w:val="000000"/>
          <w:sz w:val="24"/>
          <w:szCs w:val="24"/>
        </w:rPr>
        <w:t xml:space="preserve">Food and Agriculture organisation. (2014). </w:t>
      </w:r>
      <w:r w:rsidRPr="00061311">
        <w:rPr>
          <w:rFonts w:ascii="Times New Roman" w:eastAsia="Times New Roman" w:hAnsi="Times New Roman" w:cs="Times New Roman"/>
          <w:i/>
          <w:color w:val="000000"/>
          <w:sz w:val="24"/>
          <w:szCs w:val="24"/>
        </w:rPr>
        <w:t>Building a common vision for sustainable food and agriculture: Principles and Approaches</w:t>
      </w:r>
      <w:r w:rsidRPr="00061311">
        <w:rPr>
          <w:rFonts w:ascii="Times New Roman" w:eastAsia="Times New Roman" w:hAnsi="Times New Roman" w:cs="Times New Roman"/>
          <w:iCs/>
          <w:color w:val="000000"/>
          <w:sz w:val="24"/>
          <w:szCs w:val="24"/>
        </w:rPr>
        <w:t>.</w:t>
      </w:r>
      <w:r w:rsidRPr="00061311">
        <w:rPr>
          <w:rFonts w:ascii="Times New Roman" w:eastAsia="Times New Roman" w:hAnsi="Times New Roman" w:cs="Times New Roman"/>
          <w:color w:val="000000"/>
          <w:sz w:val="24"/>
          <w:szCs w:val="24"/>
        </w:rPr>
        <w:t xml:space="preserve"> FAO.  </w:t>
      </w:r>
      <w:hyperlink r:id="rId23">
        <w:r w:rsidRPr="00061311">
          <w:rPr>
            <w:rFonts w:ascii="Times New Roman" w:eastAsia="Times New Roman" w:hAnsi="Times New Roman" w:cs="Times New Roman"/>
            <w:color w:val="0000FF"/>
            <w:sz w:val="24"/>
            <w:szCs w:val="24"/>
            <w:u w:val="single"/>
          </w:rPr>
          <w:t>https://www.fao.org/3/i3940e/i3940e.pdf</w:t>
        </w:r>
      </w:hyperlink>
    </w:p>
    <w:p w14:paraId="0EEAE510" w14:textId="77777777" w:rsidR="00452A2A" w:rsidRPr="00061311" w:rsidRDefault="00452A2A"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FF"/>
          <w:sz w:val="24"/>
          <w:szCs w:val="24"/>
          <w:u w:val="single"/>
        </w:rPr>
      </w:pPr>
    </w:p>
    <w:p w14:paraId="18E720DB" w14:textId="77777777" w:rsidR="00452A2A" w:rsidRPr="00061311" w:rsidRDefault="00452A2A"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FF"/>
          <w:sz w:val="24"/>
          <w:szCs w:val="24"/>
          <w:u w:val="single"/>
        </w:rPr>
      </w:pPr>
      <w:r w:rsidRPr="00061311">
        <w:rPr>
          <w:rFonts w:ascii="Times New Roman" w:eastAsia="Times New Roman" w:hAnsi="Times New Roman" w:cs="Times New Roman"/>
          <w:color w:val="000000"/>
          <w:sz w:val="24"/>
          <w:szCs w:val="24"/>
        </w:rPr>
        <w:t>FAO, UNDP and UNEP. (2021).</w:t>
      </w:r>
      <w:r w:rsidRPr="00061311">
        <w:rPr>
          <w:rFonts w:ascii="Times New Roman" w:eastAsia="Times New Roman" w:hAnsi="Times New Roman" w:cs="Times New Roman"/>
          <w:i/>
          <w:color w:val="000000"/>
          <w:sz w:val="24"/>
          <w:szCs w:val="24"/>
        </w:rPr>
        <w:t xml:space="preserve"> A multi-billion-dollar opportunity – Repurposing agricultural support to transform food systems</w:t>
      </w:r>
      <w:r w:rsidRPr="00061311">
        <w:rPr>
          <w:rFonts w:ascii="Times New Roman" w:eastAsia="Times New Roman" w:hAnsi="Times New Roman" w:cs="Times New Roman"/>
          <w:iCs/>
          <w:color w:val="000000"/>
          <w:sz w:val="24"/>
          <w:szCs w:val="24"/>
        </w:rPr>
        <w:t>.</w:t>
      </w:r>
      <w:r w:rsidRPr="00061311">
        <w:rPr>
          <w:rFonts w:ascii="Times New Roman" w:eastAsia="Times New Roman" w:hAnsi="Times New Roman" w:cs="Times New Roman"/>
          <w:color w:val="000000"/>
          <w:sz w:val="24"/>
          <w:szCs w:val="24"/>
        </w:rPr>
        <w:t xml:space="preserve"> FAO. </w:t>
      </w:r>
      <w:hyperlink r:id="rId24">
        <w:r w:rsidRPr="00061311">
          <w:rPr>
            <w:rFonts w:ascii="Times New Roman" w:eastAsia="Times New Roman" w:hAnsi="Times New Roman" w:cs="Times New Roman"/>
            <w:color w:val="0000FF"/>
            <w:sz w:val="24"/>
            <w:szCs w:val="24"/>
            <w:u w:val="single"/>
          </w:rPr>
          <w:t>https://www.fao.org/3/cb6562en/cb6562en.pdf</w:t>
        </w:r>
      </w:hyperlink>
      <w:hyperlink r:id="rId25">
        <w:r w:rsidRPr="00061311">
          <w:rPr>
            <w:rFonts w:ascii="Times New Roman" w:eastAsia="Times New Roman" w:hAnsi="Times New Roman" w:cs="Times New Roman"/>
            <w:color w:val="0000FF"/>
            <w:sz w:val="24"/>
            <w:szCs w:val="24"/>
            <w:u w:val="single"/>
          </w:rPr>
          <w:t>  </w:t>
        </w:r>
      </w:hyperlink>
    </w:p>
    <w:p w14:paraId="75E420D6" w14:textId="77777777" w:rsidR="00452A2A" w:rsidRPr="00061311" w:rsidRDefault="00452A2A"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4BCCA32F" w14:textId="77777777" w:rsidR="00452A2A" w:rsidRPr="00061311" w:rsidRDefault="00452A2A"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sidRPr="00061311">
        <w:rPr>
          <w:rFonts w:ascii="Times New Roman" w:eastAsia="Times New Roman" w:hAnsi="Times New Roman" w:cs="Times New Roman"/>
          <w:color w:val="000000"/>
          <w:sz w:val="24"/>
          <w:szCs w:val="24"/>
        </w:rPr>
        <w:t xml:space="preserve">FAO, UNDP and UNEP (2021); Ash, K., &amp; Cox, A. (2022). </w:t>
      </w:r>
      <w:r w:rsidRPr="00FF494B">
        <w:rPr>
          <w:rFonts w:ascii="Times New Roman" w:eastAsia="Times New Roman" w:hAnsi="Times New Roman" w:cs="Times New Roman"/>
          <w:i/>
          <w:iCs/>
          <w:color w:val="000000"/>
          <w:sz w:val="24"/>
          <w:szCs w:val="24"/>
        </w:rPr>
        <w:t>Desktop analysis of agricultural subsidies and environmental impacts.</w:t>
      </w:r>
      <w:r w:rsidRPr="00061311">
        <w:rPr>
          <w:rFonts w:ascii="Times New Roman" w:eastAsia="Times New Roman" w:hAnsi="Times New Roman" w:cs="Times New Roman"/>
          <w:color w:val="000000"/>
          <w:sz w:val="24"/>
          <w:szCs w:val="24"/>
        </w:rPr>
        <w:t xml:space="preserve"> </w:t>
      </w:r>
      <w:hyperlink r:id="rId26">
        <w:r w:rsidRPr="00061311">
          <w:rPr>
            <w:rFonts w:ascii="Times New Roman" w:eastAsia="Times New Roman" w:hAnsi="Times New Roman" w:cs="Times New Roman"/>
            <w:color w:val="0000FF"/>
            <w:sz w:val="24"/>
            <w:szCs w:val="24"/>
            <w:u w:val="single"/>
          </w:rPr>
          <w:t>https://iit.adelaide.edu.au/ua/media/1975/wp10-desktop-analysis-ash-and-cox-final-1.pdf</w:t>
        </w:r>
      </w:hyperlink>
      <w:r w:rsidRPr="00061311">
        <w:rPr>
          <w:rFonts w:ascii="Times New Roman" w:eastAsia="Times New Roman" w:hAnsi="Times New Roman" w:cs="Times New Roman"/>
          <w:color w:val="000000"/>
          <w:sz w:val="24"/>
          <w:szCs w:val="24"/>
        </w:rPr>
        <w:t xml:space="preserve">         </w:t>
      </w:r>
    </w:p>
    <w:p w14:paraId="304A5BAD" w14:textId="77777777" w:rsidR="00B06851" w:rsidRPr="00061311" w:rsidRDefault="00B06851"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4D500256" w14:textId="3E0FC548" w:rsidR="00667BAC" w:rsidRPr="00061311" w:rsidRDefault="00667BAC"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sidRPr="00061311">
        <w:rPr>
          <w:rFonts w:ascii="Times New Roman" w:eastAsia="Times New Roman" w:hAnsi="Times New Roman" w:cs="Times New Roman"/>
          <w:color w:val="000000"/>
          <w:sz w:val="24"/>
          <w:szCs w:val="24"/>
        </w:rPr>
        <w:t xml:space="preserve">IFAD (2015). </w:t>
      </w:r>
      <w:r w:rsidRPr="00061311">
        <w:rPr>
          <w:rFonts w:ascii="Times New Roman" w:eastAsia="Times New Roman" w:hAnsi="Times New Roman" w:cs="Times New Roman"/>
          <w:i/>
          <w:iCs/>
          <w:color w:val="000000"/>
          <w:sz w:val="24"/>
          <w:szCs w:val="24"/>
        </w:rPr>
        <w:t>Investing in Smallholder Family Agriculture for Global Food Security and Nutrition</w:t>
      </w:r>
      <w:r w:rsidRPr="00061311">
        <w:rPr>
          <w:rFonts w:ascii="Times New Roman" w:eastAsia="Times New Roman" w:hAnsi="Times New Roman" w:cs="Times New Roman"/>
          <w:color w:val="000000"/>
          <w:sz w:val="24"/>
          <w:szCs w:val="24"/>
        </w:rPr>
        <w:t>. Rome: IFAD.</w:t>
      </w:r>
    </w:p>
    <w:p w14:paraId="1A01A3A6" w14:textId="77777777" w:rsidR="00667BAC" w:rsidRPr="00061311" w:rsidRDefault="00667BAC"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6C75658E" w14:textId="42122631" w:rsidR="00ED6471" w:rsidRPr="00061311" w:rsidRDefault="00ED6471"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sidRPr="00061311">
        <w:rPr>
          <w:rFonts w:ascii="Times New Roman" w:eastAsia="Times New Roman" w:hAnsi="Times New Roman" w:cs="Times New Roman"/>
          <w:color w:val="000000"/>
          <w:sz w:val="24"/>
          <w:szCs w:val="24"/>
        </w:rPr>
        <w:t xml:space="preserve">IMF, OECD, World Bank, &amp; WTO. (2022). </w:t>
      </w:r>
      <w:r w:rsidRPr="00061311">
        <w:rPr>
          <w:rFonts w:ascii="Times New Roman" w:eastAsia="Times New Roman" w:hAnsi="Times New Roman" w:cs="Times New Roman"/>
          <w:i/>
          <w:color w:val="000000"/>
          <w:sz w:val="24"/>
          <w:szCs w:val="24"/>
        </w:rPr>
        <w:t>Subsidies, trade, and international cooperation</w:t>
      </w:r>
      <w:r w:rsidRPr="00061311">
        <w:rPr>
          <w:rFonts w:ascii="Times New Roman" w:eastAsia="Times New Roman" w:hAnsi="Times New Roman" w:cs="Times New Roman"/>
          <w:iCs/>
          <w:color w:val="000000"/>
          <w:sz w:val="24"/>
          <w:szCs w:val="24"/>
        </w:rPr>
        <w:t>.</w:t>
      </w:r>
      <w:r w:rsidRPr="00061311">
        <w:rPr>
          <w:rFonts w:ascii="Times New Roman" w:eastAsia="Times New Roman" w:hAnsi="Times New Roman" w:cs="Times New Roman"/>
          <w:color w:val="000000"/>
          <w:sz w:val="24"/>
          <w:szCs w:val="24"/>
        </w:rPr>
        <w:t xml:space="preserve"> OECD </w:t>
      </w:r>
      <w:proofErr w:type="spellStart"/>
      <w:r w:rsidRPr="00061311">
        <w:rPr>
          <w:rFonts w:ascii="Times New Roman" w:eastAsia="Times New Roman" w:hAnsi="Times New Roman" w:cs="Times New Roman"/>
          <w:color w:val="000000"/>
          <w:sz w:val="24"/>
          <w:szCs w:val="24"/>
        </w:rPr>
        <w:t>iLibrary</w:t>
      </w:r>
      <w:proofErr w:type="spellEnd"/>
      <w:r w:rsidRPr="00061311">
        <w:rPr>
          <w:rFonts w:ascii="Times New Roman" w:eastAsia="Times New Roman" w:hAnsi="Times New Roman" w:cs="Times New Roman"/>
          <w:color w:val="000000"/>
          <w:sz w:val="24"/>
          <w:szCs w:val="24"/>
        </w:rPr>
        <w:t xml:space="preserve">. </w:t>
      </w:r>
      <w:hyperlink r:id="rId27">
        <w:r w:rsidRPr="00061311">
          <w:rPr>
            <w:rFonts w:ascii="Times New Roman" w:eastAsia="Times New Roman" w:hAnsi="Times New Roman" w:cs="Times New Roman"/>
            <w:color w:val="0000FF"/>
            <w:sz w:val="24"/>
            <w:szCs w:val="24"/>
            <w:u w:val="single"/>
          </w:rPr>
          <w:t>https://www.oecd-ilibrary.org/trade/subsidies-trade-and-international-cooperation_a4f01ddb-en</w:t>
        </w:r>
      </w:hyperlink>
      <w:r w:rsidRPr="00061311">
        <w:rPr>
          <w:rFonts w:ascii="Times New Roman" w:eastAsia="Times New Roman" w:hAnsi="Times New Roman" w:cs="Times New Roman"/>
          <w:color w:val="000000"/>
          <w:sz w:val="24"/>
          <w:szCs w:val="24"/>
        </w:rPr>
        <w:t xml:space="preserve">  </w:t>
      </w:r>
    </w:p>
    <w:p w14:paraId="7EF28D53" w14:textId="77777777" w:rsidR="00474598" w:rsidRPr="00061311" w:rsidRDefault="00474598"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0EFF6561" w14:textId="09E5CD30" w:rsidR="00474598" w:rsidRPr="00061311" w:rsidRDefault="00474598"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roofErr w:type="spellStart"/>
      <w:r w:rsidRPr="00061311">
        <w:rPr>
          <w:rFonts w:ascii="Times New Roman" w:eastAsia="Times New Roman" w:hAnsi="Times New Roman" w:cs="Times New Roman"/>
          <w:color w:val="000000"/>
          <w:sz w:val="24"/>
          <w:szCs w:val="24"/>
        </w:rPr>
        <w:t>Merriott</w:t>
      </w:r>
      <w:proofErr w:type="spellEnd"/>
      <w:r w:rsidRPr="00061311">
        <w:rPr>
          <w:rFonts w:ascii="Times New Roman" w:eastAsia="Times New Roman" w:hAnsi="Times New Roman" w:cs="Times New Roman"/>
          <w:color w:val="000000"/>
          <w:sz w:val="24"/>
          <w:szCs w:val="24"/>
        </w:rPr>
        <w:t xml:space="preserve">, Dominic (2016). “Factors Associated with the Farmer Suicide Crisis in India.” </w:t>
      </w:r>
      <w:r w:rsidRPr="00061311">
        <w:rPr>
          <w:rFonts w:ascii="Times New Roman" w:eastAsia="Times New Roman" w:hAnsi="Times New Roman" w:cs="Times New Roman"/>
          <w:i/>
          <w:iCs/>
          <w:color w:val="000000"/>
          <w:sz w:val="24"/>
          <w:szCs w:val="24"/>
        </w:rPr>
        <w:t>Journal of Epidemiology and Global Health</w:t>
      </w:r>
      <w:r w:rsidRPr="00061311">
        <w:rPr>
          <w:rFonts w:ascii="Times New Roman" w:eastAsia="Times New Roman" w:hAnsi="Times New Roman" w:cs="Times New Roman"/>
          <w:color w:val="000000"/>
          <w:sz w:val="24"/>
          <w:szCs w:val="24"/>
        </w:rPr>
        <w:t xml:space="preserve"> 6, 4: 217–227.</w:t>
      </w:r>
    </w:p>
    <w:p w14:paraId="010F9D21" w14:textId="77777777" w:rsidR="00AF459F" w:rsidRPr="00061311" w:rsidRDefault="00AF459F"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0547FABE" w14:textId="334DE2E7" w:rsidR="00AF459F" w:rsidRPr="00061311" w:rsidRDefault="00AF459F"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FF"/>
          <w:sz w:val="24"/>
          <w:szCs w:val="24"/>
          <w:u w:val="single"/>
        </w:rPr>
      </w:pPr>
      <w:r w:rsidRPr="00061311">
        <w:rPr>
          <w:rFonts w:ascii="Times New Roman" w:eastAsia="Times New Roman" w:hAnsi="Times New Roman" w:cs="Times New Roman"/>
          <w:color w:val="000000"/>
          <w:sz w:val="24"/>
          <w:szCs w:val="24"/>
        </w:rPr>
        <w:t xml:space="preserve">OECD. (2016). </w:t>
      </w:r>
      <w:r w:rsidRPr="00061311">
        <w:rPr>
          <w:rFonts w:ascii="Times New Roman" w:eastAsia="Times New Roman" w:hAnsi="Times New Roman" w:cs="Times New Roman"/>
          <w:i/>
          <w:iCs/>
          <w:color w:val="000000"/>
          <w:sz w:val="24"/>
          <w:szCs w:val="24"/>
        </w:rPr>
        <w:t>OECD’s Producer Support Estimate and Related Indicators of Agriculture Support: Concepts, Calculations, Interpretation and Use (The PSE Manual).</w:t>
      </w:r>
      <w:r w:rsidR="00F37EE5" w:rsidRPr="00061311">
        <w:rPr>
          <w:rFonts w:ascii="Times New Roman" w:eastAsia="Times New Roman" w:hAnsi="Times New Roman" w:cs="Times New Roman"/>
          <w:color w:val="000000"/>
          <w:sz w:val="24"/>
          <w:szCs w:val="24"/>
        </w:rPr>
        <w:t xml:space="preserve"> </w:t>
      </w:r>
      <w:hyperlink r:id="rId28">
        <w:r w:rsidRPr="00061311">
          <w:rPr>
            <w:rFonts w:ascii="Times New Roman" w:eastAsia="Times New Roman" w:hAnsi="Times New Roman" w:cs="Times New Roman"/>
            <w:color w:val="0000FF"/>
            <w:sz w:val="24"/>
            <w:szCs w:val="24"/>
            <w:u w:val="single"/>
          </w:rPr>
          <w:t>https://www.oecd.org/agriculture/topics/agricultural-policy-monitoring-and-evaluation/documents/producer-support-estimates-manual.pdf</w:t>
        </w:r>
      </w:hyperlink>
    </w:p>
    <w:p w14:paraId="7C794100" w14:textId="77777777" w:rsidR="00AF459F" w:rsidRPr="00061311" w:rsidRDefault="00AF459F"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0D7200CB" w14:textId="7F8E8F28" w:rsidR="000066F6" w:rsidRPr="00061311" w:rsidRDefault="000066F6" w:rsidP="00FF494B">
      <w:pPr>
        <w:pStyle w:val="NormalWeb"/>
        <w:shd w:val="clear" w:color="auto" w:fill="FFFFFF"/>
        <w:spacing w:before="0" w:beforeAutospacing="0" w:after="0" w:afterAutospacing="0" w:line="360" w:lineRule="auto"/>
        <w:contextualSpacing/>
        <w:jc w:val="both"/>
        <w:rPr>
          <w:color w:val="FF0000"/>
        </w:rPr>
      </w:pPr>
      <w:r w:rsidRPr="00061311">
        <w:t xml:space="preserve">Sharma, S. K. (2016). </w:t>
      </w:r>
      <w:r w:rsidRPr="00061311">
        <w:rPr>
          <w:i/>
          <w:iCs/>
        </w:rPr>
        <w:t xml:space="preserve">The WTO and Food Security: Implications for developing countries. </w:t>
      </w:r>
      <w:r w:rsidRPr="00061311">
        <w:t>Springer. ISBN: 9789811021787</w:t>
      </w:r>
    </w:p>
    <w:p w14:paraId="24FA46D8" w14:textId="77777777" w:rsidR="005931E2" w:rsidRPr="00061311" w:rsidRDefault="005931E2" w:rsidP="00FF494B">
      <w:pPr>
        <w:pStyle w:val="NormalWeb"/>
        <w:shd w:val="clear" w:color="auto" w:fill="FFFFFF"/>
        <w:spacing w:line="360" w:lineRule="auto"/>
        <w:contextualSpacing/>
        <w:jc w:val="both"/>
      </w:pPr>
    </w:p>
    <w:p w14:paraId="699510D5" w14:textId="64517B76" w:rsidR="000066F6" w:rsidRPr="00061311" w:rsidRDefault="000066F6" w:rsidP="00FF494B">
      <w:pPr>
        <w:pStyle w:val="NormalWeb"/>
        <w:shd w:val="clear" w:color="auto" w:fill="FFFFFF"/>
        <w:spacing w:line="360" w:lineRule="auto"/>
        <w:contextualSpacing/>
        <w:jc w:val="both"/>
      </w:pPr>
      <w:r w:rsidRPr="00061311">
        <w:t xml:space="preserve">Sharma, S. K. (2018). WTO and policy space for agriculture and food security: Issues for China and India. </w:t>
      </w:r>
      <w:r w:rsidRPr="00061311">
        <w:rPr>
          <w:i/>
          <w:iCs/>
        </w:rPr>
        <w:t>Agricultural Economics Research Review</w:t>
      </w:r>
      <w:r w:rsidRPr="00061311">
        <w:t xml:space="preserve">, 31(2), 207–219. </w:t>
      </w:r>
      <w:hyperlink r:id="rId29" w:history="1">
        <w:r w:rsidRPr="00061311">
          <w:rPr>
            <w:rStyle w:val="Hyperlink"/>
          </w:rPr>
          <w:t>https://doi.org/10.5958/0974-0279.2018.00038.1</w:t>
        </w:r>
      </w:hyperlink>
    </w:p>
    <w:p w14:paraId="360578E7" w14:textId="77777777" w:rsidR="005931E2" w:rsidRPr="00061311" w:rsidRDefault="005931E2" w:rsidP="00FF494B">
      <w:pPr>
        <w:pStyle w:val="NormalWeb"/>
        <w:shd w:val="clear" w:color="auto" w:fill="FFFFFF"/>
        <w:spacing w:line="360" w:lineRule="auto"/>
        <w:contextualSpacing/>
        <w:jc w:val="both"/>
      </w:pPr>
    </w:p>
    <w:p w14:paraId="0574A62E" w14:textId="58ABFD00" w:rsidR="00515AA3" w:rsidRPr="00061311" w:rsidRDefault="000066F6" w:rsidP="00FF494B">
      <w:pPr>
        <w:pStyle w:val="NormalWeb"/>
        <w:shd w:val="clear" w:color="auto" w:fill="FFFFFF"/>
        <w:spacing w:before="0" w:beforeAutospacing="0" w:after="0" w:afterAutospacing="0" w:line="360" w:lineRule="auto"/>
        <w:contextualSpacing/>
        <w:jc w:val="both"/>
        <w:rPr>
          <w:rStyle w:val="Hyperlink"/>
        </w:rPr>
      </w:pPr>
      <w:r w:rsidRPr="00061311">
        <w:t xml:space="preserve">Sharma, S. K., </w:t>
      </w:r>
      <w:proofErr w:type="spellStart"/>
      <w:r w:rsidRPr="00061311">
        <w:t>Dhobal</w:t>
      </w:r>
      <w:proofErr w:type="spellEnd"/>
      <w:r w:rsidRPr="00061311">
        <w:t xml:space="preserve">, A., Agarwal, S., &amp; Das, A. (2020). Demystifying Blue Box Support to Agriculture under the WTO: Implications for Developing Countries. </w:t>
      </w:r>
      <w:r w:rsidRPr="00061311">
        <w:rPr>
          <w:i/>
          <w:iCs/>
        </w:rPr>
        <w:t xml:space="preserve">Centre for WTO Studies, Working Paper No. 62. </w:t>
      </w:r>
      <w:r w:rsidRPr="00061311">
        <w:t xml:space="preserve">CWS/WP/200/62. </w:t>
      </w:r>
      <w:hyperlink r:id="rId30" w:history="1">
        <w:r w:rsidRPr="00061311">
          <w:rPr>
            <w:rStyle w:val="Hyperlink"/>
          </w:rPr>
          <w:t>https://wtocentre.iift.ac.in/workingpaper/Working%20Paper%2062.pdf</w:t>
        </w:r>
      </w:hyperlink>
    </w:p>
    <w:p w14:paraId="02D7194E" w14:textId="77777777" w:rsidR="003279E6" w:rsidRDefault="003279E6"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1847CC11" w14:textId="4E8C9904" w:rsidR="00452A2A" w:rsidRPr="00061311" w:rsidRDefault="00452A2A"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sidRPr="00061311">
        <w:rPr>
          <w:rFonts w:ascii="Times New Roman" w:eastAsia="Times New Roman" w:hAnsi="Times New Roman" w:cs="Times New Roman"/>
          <w:color w:val="000000"/>
          <w:sz w:val="24"/>
          <w:szCs w:val="24"/>
        </w:rPr>
        <w:t xml:space="preserve">Sharma, S. K., </w:t>
      </w:r>
      <w:proofErr w:type="spellStart"/>
      <w:r w:rsidRPr="00061311">
        <w:rPr>
          <w:rFonts w:ascii="Times New Roman" w:eastAsia="Times New Roman" w:hAnsi="Times New Roman" w:cs="Times New Roman"/>
          <w:color w:val="000000"/>
          <w:sz w:val="24"/>
          <w:szCs w:val="24"/>
        </w:rPr>
        <w:t>Lahiri</w:t>
      </w:r>
      <w:proofErr w:type="spellEnd"/>
      <w:r w:rsidRPr="00061311">
        <w:rPr>
          <w:rFonts w:ascii="Times New Roman" w:eastAsia="Times New Roman" w:hAnsi="Times New Roman" w:cs="Times New Roman"/>
          <w:color w:val="000000"/>
          <w:sz w:val="24"/>
          <w:szCs w:val="24"/>
        </w:rPr>
        <w:t xml:space="preserve">, T., </w:t>
      </w:r>
      <w:proofErr w:type="spellStart"/>
      <w:r w:rsidRPr="00061311">
        <w:rPr>
          <w:rFonts w:ascii="Times New Roman" w:eastAsia="Times New Roman" w:hAnsi="Times New Roman" w:cs="Times New Roman"/>
          <w:color w:val="000000"/>
          <w:sz w:val="24"/>
          <w:szCs w:val="24"/>
        </w:rPr>
        <w:t>Neogi</w:t>
      </w:r>
      <w:proofErr w:type="spellEnd"/>
      <w:r w:rsidRPr="00061311">
        <w:rPr>
          <w:rFonts w:ascii="Times New Roman" w:eastAsia="Times New Roman" w:hAnsi="Times New Roman" w:cs="Times New Roman"/>
          <w:color w:val="000000"/>
          <w:sz w:val="24"/>
          <w:szCs w:val="24"/>
        </w:rPr>
        <w:t xml:space="preserve">, S., &amp; Akhter, R. (2021). Revisiting domestic support to agriculture at the WTO: Ensuring A Level Playing Field. </w:t>
      </w:r>
      <w:r w:rsidRPr="00061311">
        <w:rPr>
          <w:rFonts w:ascii="Times New Roman" w:eastAsia="Times New Roman" w:hAnsi="Times New Roman" w:cs="Times New Roman"/>
          <w:i/>
          <w:color w:val="000000"/>
          <w:sz w:val="24"/>
          <w:szCs w:val="24"/>
        </w:rPr>
        <w:t>The Journal of International Trade &amp; Economic Development</w:t>
      </w:r>
      <w:r w:rsidRPr="00061311">
        <w:rPr>
          <w:rFonts w:ascii="Times New Roman" w:eastAsia="Times New Roman" w:hAnsi="Times New Roman" w:cs="Times New Roman"/>
          <w:color w:val="000000"/>
          <w:sz w:val="24"/>
          <w:szCs w:val="24"/>
        </w:rPr>
        <w:t xml:space="preserve">, 31(3), 358–374. </w:t>
      </w:r>
      <w:hyperlink r:id="rId31">
        <w:r w:rsidRPr="00061311">
          <w:rPr>
            <w:rFonts w:ascii="Times New Roman" w:eastAsia="Times New Roman" w:hAnsi="Times New Roman" w:cs="Times New Roman"/>
            <w:color w:val="0000FF"/>
            <w:sz w:val="24"/>
            <w:szCs w:val="24"/>
            <w:u w:val="single"/>
          </w:rPr>
          <w:t>https://doi.org/10.1080/09638199.2021.1967429</w:t>
        </w:r>
      </w:hyperlink>
    </w:p>
    <w:p w14:paraId="156C6AF1" w14:textId="77777777" w:rsidR="00452A2A" w:rsidRPr="00061311" w:rsidRDefault="00452A2A"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2A58DD46" w14:textId="77777777" w:rsidR="00B127AB" w:rsidRDefault="00452A2A" w:rsidP="00FF494B">
      <w:pPr>
        <w:pStyle w:val="NormalWeb"/>
        <w:shd w:val="clear" w:color="auto" w:fill="FFFFFF"/>
        <w:spacing w:before="0" w:beforeAutospacing="0" w:after="0" w:afterAutospacing="0" w:line="360" w:lineRule="auto"/>
        <w:contextualSpacing/>
        <w:jc w:val="both"/>
        <w:rPr>
          <w:color w:val="0000FF"/>
          <w:u w:val="single"/>
        </w:rPr>
      </w:pPr>
      <w:r w:rsidRPr="00061311">
        <w:rPr>
          <w:color w:val="000000"/>
        </w:rPr>
        <w:lastRenderedPageBreak/>
        <w:t xml:space="preserve">Sharma, S. K., Das, A., Mathur, P., </w:t>
      </w:r>
      <w:proofErr w:type="spellStart"/>
      <w:r w:rsidRPr="00061311">
        <w:rPr>
          <w:color w:val="000000"/>
        </w:rPr>
        <w:t>Lahiri</w:t>
      </w:r>
      <w:proofErr w:type="spellEnd"/>
      <w:r w:rsidRPr="00061311">
        <w:rPr>
          <w:color w:val="000000"/>
        </w:rPr>
        <w:t xml:space="preserve">, T., &amp; </w:t>
      </w:r>
      <w:proofErr w:type="spellStart"/>
      <w:r w:rsidRPr="00061311">
        <w:rPr>
          <w:color w:val="000000"/>
        </w:rPr>
        <w:t>Neogi</w:t>
      </w:r>
      <w:proofErr w:type="spellEnd"/>
      <w:r w:rsidRPr="00061311">
        <w:rPr>
          <w:color w:val="000000"/>
        </w:rPr>
        <w:t>, S. (2022). Agricultural domestic support reforms at the WTO: An assessment of the proportional reduction approach.</w:t>
      </w:r>
      <w:r w:rsidRPr="00061311">
        <w:rPr>
          <w:i/>
          <w:color w:val="000000"/>
        </w:rPr>
        <w:t xml:space="preserve"> International Negotiation</w:t>
      </w:r>
      <w:r w:rsidRPr="00061311">
        <w:rPr>
          <w:color w:val="000000"/>
        </w:rPr>
        <w:t xml:space="preserve">, 1–26. </w:t>
      </w:r>
      <w:hyperlink r:id="rId32">
        <w:r w:rsidRPr="00061311">
          <w:rPr>
            <w:color w:val="0000FF"/>
            <w:u w:val="single"/>
          </w:rPr>
          <w:t>https://doi.org/10.1163/15718069-bja10082</w:t>
        </w:r>
      </w:hyperlink>
    </w:p>
    <w:p w14:paraId="298D0CB8" w14:textId="77777777" w:rsidR="00B127AB" w:rsidRDefault="00B127AB" w:rsidP="00FF494B">
      <w:pPr>
        <w:pStyle w:val="NormalWeb"/>
        <w:shd w:val="clear" w:color="auto" w:fill="FFFFFF"/>
        <w:spacing w:before="0" w:beforeAutospacing="0" w:after="0" w:afterAutospacing="0" w:line="360" w:lineRule="auto"/>
        <w:contextualSpacing/>
        <w:jc w:val="both"/>
        <w:rPr>
          <w:color w:val="0000FF"/>
          <w:u w:val="single"/>
        </w:rPr>
      </w:pPr>
    </w:p>
    <w:p w14:paraId="2AE39A89" w14:textId="0271AD17" w:rsidR="000066F6" w:rsidRDefault="000066F6" w:rsidP="00FF494B">
      <w:pPr>
        <w:pStyle w:val="NormalWeb"/>
        <w:shd w:val="clear" w:color="auto" w:fill="FFFFFF"/>
        <w:spacing w:before="0" w:beforeAutospacing="0" w:after="0" w:afterAutospacing="0" w:line="360" w:lineRule="auto"/>
        <w:contextualSpacing/>
        <w:jc w:val="both"/>
        <w:rPr>
          <w:color w:val="0000FF"/>
        </w:rPr>
      </w:pPr>
      <w:proofErr w:type="spellStart"/>
      <w:r w:rsidRPr="00061311">
        <w:t>Thow</w:t>
      </w:r>
      <w:proofErr w:type="spellEnd"/>
      <w:r w:rsidRPr="00061311">
        <w:t>, A. M.,</w:t>
      </w:r>
      <w:r w:rsidR="00B127AB">
        <w:t xml:space="preserve"> </w:t>
      </w:r>
      <w:r w:rsidRPr="00061311">
        <w:t xml:space="preserve">Sharma, S. K., &amp; </w:t>
      </w:r>
      <w:proofErr w:type="spellStart"/>
      <w:r w:rsidRPr="00061311">
        <w:t>Rachmi</w:t>
      </w:r>
      <w:proofErr w:type="spellEnd"/>
      <w:r w:rsidRPr="00061311">
        <w:t xml:space="preserve">, C. N. (2019). An analysis of Indonesia’s shrinking food security policy space under the WTO. </w:t>
      </w:r>
      <w:r w:rsidRPr="00061311">
        <w:rPr>
          <w:i/>
          <w:iCs/>
        </w:rPr>
        <w:t>Food Security</w:t>
      </w:r>
      <w:r w:rsidRPr="00061311">
        <w:t xml:space="preserve">, 11(6), 1275–1287. </w:t>
      </w:r>
      <w:hyperlink r:id="rId33" w:history="1">
        <w:r w:rsidRPr="00061311">
          <w:rPr>
            <w:rStyle w:val="Hyperlink"/>
          </w:rPr>
          <w:t>https://doi.org/10.1007/s12571-019-00967-2</w:t>
        </w:r>
      </w:hyperlink>
      <w:r w:rsidRPr="00061311">
        <w:rPr>
          <w:color w:val="0000FF"/>
        </w:rPr>
        <w:t xml:space="preserve"> </w:t>
      </w:r>
    </w:p>
    <w:p w14:paraId="617114DE" w14:textId="77777777" w:rsidR="003279E6" w:rsidRPr="00061311" w:rsidRDefault="003279E6" w:rsidP="00FF494B">
      <w:pPr>
        <w:pStyle w:val="NormalWeb"/>
        <w:shd w:val="clear" w:color="auto" w:fill="FFFFFF"/>
        <w:spacing w:before="0" w:beforeAutospacing="0" w:after="0" w:afterAutospacing="0" w:line="360" w:lineRule="auto"/>
        <w:contextualSpacing/>
        <w:jc w:val="both"/>
      </w:pPr>
    </w:p>
    <w:p w14:paraId="463B7523" w14:textId="1004BDE5" w:rsidR="007A1728" w:rsidRDefault="007A1728" w:rsidP="00FF494B">
      <w:pPr>
        <w:pStyle w:val="FootnoteText"/>
        <w:spacing w:line="360" w:lineRule="auto"/>
        <w:contextualSpacing/>
        <w:jc w:val="both"/>
        <w:rPr>
          <w:rFonts w:ascii="Times New Roman" w:hAnsi="Times New Roman" w:cs="Times New Roman"/>
          <w:sz w:val="24"/>
          <w:szCs w:val="24"/>
        </w:rPr>
      </w:pPr>
      <w:r w:rsidRPr="00061311">
        <w:rPr>
          <w:rFonts w:ascii="Times New Roman" w:hAnsi="Times New Roman" w:cs="Times New Roman"/>
          <w:sz w:val="24"/>
          <w:szCs w:val="24"/>
        </w:rPr>
        <w:t>WTO (2008). Revised Draft Modalities for Agriculture.</w:t>
      </w:r>
      <w:r w:rsidRPr="00061311">
        <w:rPr>
          <w:rFonts w:ascii="Times New Roman" w:hAnsi="Times New Roman" w:cs="Times New Roman"/>
          <w:i/>
          <w:iCs/>
          <w:sz w:val="24"/>
          <w:szCs w:val="24"/>
        </w:rPr>
        <w:t xml:space="preserve"> </w:t>
      </w:r>
      <w:r w:rsidRPr="00061311">
        <w:rPr>
          <w:rFonts w:ascii="Times New Roman" w:hAnsi="Times New Roman" w:cs="Times New Roman"/>
          <w:sz w:val="24"/>
          <w:szCs w:val="24"/>
        </w:rPr>
        <w:t>(TN/AG/W/4/Rev.4).</w:t>
      </w:r>
    </w:p>
    <w:p w14:paraId="1AF8AA9F" w14:textId="77777777" w:rsidR="003279E6" w:rsidRPr="00061311" w:rsidRDefault="003279E6" w:rsidP="00FF494B">
      <w:pPr>
        <w:pStyle w:val="FootnoteText"/>
        <w:spacing w:line="360" w:lineRule="auto"/>
        <w:contextualSpacing/>
        <w:jc w:val="both"/>
        <w:rPr>
          <w:rFonts w:ascii="Times New Roman" w:hAnsi="Times New Roman" w:cs="Times New Roman"/>
          <w:sz w:val="24"/>
          <w:szCs w:val="24"/>
        </w:rPr>
      </w:pPr>
    </w:p>
    <w:p w14:paraId="6C737DA2" w14:textId="7BA61D38" w:rsidR="008D747E" w:rsidRPr="00061311" w:rsidRDefault="008D747E" w:rsidP="00FF494B">
      <w:pPr>
        <w:pStyle w:val="NormalWeb"/>
        <w:shd w:val="clear" w:color="auto" w:fill="FFFFFF"/>
        <w:spacing w:before="0" w:beforeAutospacing="0" w:after="0" w:afterAutospacing="0" w:line="360" w:lineRule="auto"/>
        <w:contextualSpacing/>
        <w:jc w:val="both"/>
      </w:pPr>
      <w:r w:rsidRPr="00061311">
        <w:t xml:space="preserve">WTO (2013). </w:t>
      </w:r>
      <w:r w:rsidR="00C71423" w:rsidRPr="00061311">
        <w:t>Public stockholding for food security purposes</w:t>
      </w:r>
      <w:r w:rsidRPr="00061311">
        <w:t xml:space="preserve">, </w:t>
      </w:r>
      <w:r w:rsidR="00C71423" w:rsidRPr="00061311">
        <w:t>Ministerial Decision of 7 December 2013</w:t>
      </w:r>
      <w:r w:rsidRPr="00061311">
        <w:t>. (</w:t>
      </w:r>
      <w:r w:rsidR="00C71423" w:rsidRPr="00061311">
        <w:t>WT/</w:t>
      </w:r>
      <w:proofErr w:type="gramStart"/>
      <w:r w:rsidR="00C71423" w:rsidRPr="00061311">
        <w:t>MIN(</w:t>
      </w:r>
      <w:proofErr w:type="gramEnd"/>
      <w:r w:rsidR="00C71423" w:rsidRPr="00061311">
        <w:t>13)/38).</w:t>
      </w:r>
    </w:p>
    <w:p w14:paraId="72A9F9C1" w14:textId="77777777" w:rsidR="005931E2" w:rsidRPr="00061311" w:rsidRDefault="005931E2" w:rsidP="00FF494B">
      <w:pPr>
        <w:pStyle w:val="NormalWeb"/>
        <w:shd w:val="clear" w:color="auto" w:fill="FFFFFF"/>
        <w:spacing w:before="0" w:beforeAutospacing="0" w:after="0" w:afterAutospacing="0" w:line="360" w:lineRule="auto"/>
        <w:contextualSpacing/>
        <w:jc w:val="both"/>
      </w:pPr>
    </w:p>
    <w:p w14:paraId="751FA415" w14:textId="63F96BD0" w:rsidR="00AE07EC" w:rsidRPr="00061311" w:rsidRDefault="004609D2" w:rsidP="00FF494B">
      <w:pPr>
        <w:pStyle w:val="NormalWeb"/>
        <w:shd w:val="clear" w:color="auto" w:fill="FFFFFF"/>
        <w:spacing w:before="0" w:beforeAutospacing="0" w:after="0" w:afterAutospacing="0" w:line="360" w:lineRule="auto"/>
        <w:contextualSpacing/>
        <w:jc w:val="both"/>
      </w:pPr>
      <w:r w:rsidRPr="00061311">
        <w:t xml:space="preserve">WTO (2017). Elimination of AMS to Reduce Distortions in Global Agricultural Trade, Submission by China and India (JOB/AG/102). </w:t>
      </w:r>
    </w:p>
    <w:p w14:paraId="7B15CFA8" w14:textId="77777777" w:rsidR="005931E2" w:rsidRPr="00061311" w:rsidRDefault="005931E2" w:rsidP="00FF494B">
      <w:pPr>
        <w:pStyle w:val="NormalWeb"/>
        <w:shd w:val="clear" w:color="auto" w:fill="FFFFFF"/>
        <w:spacing w:before="0" w:beforeAutospacing="0" w:after="0" w:afterAutospacing="0" w:line="360" w:lineRule="auto"/>
        <w:contextualSpacing/>
        <w:jc w:val="both"/>
      </w:pPr>
    </w:p>
    <w:p w14:paraId="05EF1D90" w14:textId="7DDF503A" w:rsidR="007A1728" w:rsidRPr="00061311" w:rsidRDefault="007A1728" w:rsidP="00FF494B">
      <w:pPr>
        <w:pStyle w:val="NormalWeb"/>
        <w:shd w:val="clear" w:color="auto" w:fill="FFFFFF"/>
        <w:spacing w:before="0" w:beforeAutospacing="0" w:after="0" w:afterAutospacing="0" w:line="360" w:lineRule="auto"/>
        <w:contextualSpacing/>
        <w:jc w:val="both"/>
      </w:pPr>
      <w:r w:rsidRPr="00061311">
        <w:t>WTO (2017a). Meaningful Progress on Domestic Support in Agriculture at MC 11: A Proposal by New Zealand, Australia, Canada, Chile, and Paraguay</w:t>
      </w:r>
      <w:r w:rsidRPr="00061311">
        <w:rPr>
          <w:i/>
          <w:iCs/>
        </w:rPr>
        <w:t xml:space="preserve"> </w:t>
      </w:r>
      <w:r w:rsidRPr="00061311">
        <w:t>(JOB/AG/114).</w:t>
      </w:r>
    </w:p>
    <w:p w14:paraId="4FA645C9" w14:textId="77777777" w:rsidR="005931E2" w:rsidRPr="00061311" w:rsidRDefault="005931E2" w:rsidP="00FF494B">
      <w:pPr>
        <w:pStyle w:val="NormalWeb"/>
        <w:shd w:val="clear" w:color="auto" w:fill="FFFFFF"/>
        <w:spacing w:before="0" w:beforeAutospacing="0" w:after="0" w:afterAutospacing="0" w:line="360" w:lineRule="auto"/>
        <w:contextualSpacing/>
        <w:jc w:val="both"/>
      </w:pPr>
    </w:p>
    <w:p w14:paraId="19C0AE06" w14:textId="0ECC5359" w:rsidR="004609D2" w:rsidRPr="00061311" w:rsidRDefault="004609D2" w:rsidP="00FF494B">
      <w:pPr>
        <w:pStyle w:val="NormalWeb"/>
        <w:shd w:val="clear" w:color="auto" w:fill="FFFFFF"/>
        <w:spacing w:before="0" w:beforeAutospacing="0" w:after="0" w:afterAutospacing="0" w:line="360" w:lineRule="auto"/>
        <w:contextualSpacing/>
        <w:jc w:val="both"/>
      </w:pPr>
      <w:r w:rsidRPr="00061311">
        <w:t>WTO (2017b). Domestic Support Commitments for the Calendar Year 2013, Submission by Jordan (G/AG/N/JOR/19/Rev.1).</w:t>
      </w:r>
    </w:p>
    <w:p w14:paraId="23CE83CA" w14:textId="77777777" w:rsidR="005931E2" w:rsidRPr="00061311" w:rsidRDefault="005931E2" w:rsidP="00FF494B">
      <w:pPr>
        <w:pStyle w:val="NormalWeb"/>
        <w:shd w:val="clear" w:color="auto" w:fill="FFFFFF"/>
        <w:spacing w:before="0" w:beforeAutospacing="0" w:after="0" w:afterAutospacing="0" w:line="360" w:lineRule="auto"/>
        <w:contextualSpacing/>
        <w:jc w:val="both"/>
      </w:pPr>
    </w:p>
    <w:p w14:paraId="29EBF8D6" w14:textId="38D022A9" w:rsidR="004609D2" w:rsidRPr="00061311" w:rsidRDefault="00BA2193" w:rsidP="00FF494B">
      <w:pPr>
        <w:pStyle w:val="NormalWeb"/>
        <w:shd w:val="clear" w:color="auto" w:fill="FFFFFF"/>
        <w:spacing w:before="0" w:beforeAutospacing="0" w:after="0" w:afterAutospacing="0" w:line="360" w:lineRule="auto"/>
        <w:contextualSpacing/>
        <w:jc w:val="both"/>
      </w:pPr>
      <w:r w:rsidRPr="00061311">
        <w:t xml:space="preserve">WTO (2018a). Elimination of AMS beyond </w:t>
      </w:r>
      <w:r w:rsidRPr="00061311">
        <w:rPr>
          <w:i/>
          <w:iCs/>
        </w:rPr>
        <w:t>de minimis</w:t>
      </w:r>
      <w:r w:rsidRPr="00061311">
        <w:t xml:space="preserve"> to reduce distortions in global agricultural trade – some incremental steps. Submission by China and India. (JOB/AG/137)</w:t>
      </w:r>
    </w:p>
    <w:p w14:paraId="2DF10004" w14:textId="77777777" w:rsidR="005931E2" w:rsidRPr="00061311" w:rsidRDefault="005931E2" w:rsidP="00FF494B">
      <w:pPr>
        <w:pStyle w:val="NormalWeb"/>
        <w:shd w:val="clear" w:color="auto" w:fill="FFFFFF"/>
        <w:spacing w:before="0" w:beforeAutospacing="0" w:after="0" w:afterAutospacing="0" w:line="360" w:lineRule="auto"/>
        <w:contextualSpacing/>
        <w:jc w:val="both"/>
      </w:pPr>
    </w:p>
    <w:p w14:paraId="3D8CCBBE" w14:textId="5E09F4DD" w:rsidR="002E546B" w:rsidRDefault="002E546B" w:rsidP="00FF494B">
      <w:pPr>
        <w:pStyle w:val="NormalWeb"/>
        <w:shd w:val="clear" w:color="auto" w:fill="FFFFFF"/>
        <w:spacing w:before="0" w:beforeAutospacing="0" w:after="0" w:afterAutospacing="0" w:line="360" w:lineRule="auto"/>
        <w:contextualSpacing/>
        <w:jc w:val="both"/>
      </w:pPr>
      <w:r w:rsidRPr="00061311">
        <w:t>WTO (2018</w:t>
      </w:r>
      <w:r w:rsidR="00BA2193" w:rsidRPr="00061311">
        <w:t>b</w:t>
      </w:r>
      <w:r w:rsidRPr="00061311">
        <w:t xml:space="preserve">). Domestic support in the WTO Agreement on Agriculture (AoA). Submission from Canada, Argentina, Australia, Brazil, Guatemala, New </w:t>
      </w:r>
      <w:r w:rsidR="00D5327D">
        <w:t>Zealand</w:t>
      </w:r>
      <w:r w:rsidRPr="00061311">
        <w:t>, Paraguay, Peru and Uruguay. (JOB/AG/138).</w:t>
      </w:r>
    </w:p>
    <w:p w14:paraId="2FB0995C" w14:textId="77777777" w:rsidR="003279E6" w:rsidRPr="00061311" w:rsidRDefault="003279E6" w:rsidP="00FF494B">
      <w:pPr>
        <w:pStyle w:val="NormalWeb"/>
        <w:shd w:val="clear" w:color="auto" w:fill="FFFFFF"/>
        <w:spacing w:before="0" w:beforeAutospacing="0" w:after="0" w:afterAutospacing="0" w:line="360" w:lineRule="auto"/>
        <w:contextualSpacing/>
        <w:jc w:val="both"/>
      </w:pPr>
    </w:p>
    <w:p w14:paraId="0269CC94" w14:textId="6B150607" w:rsidR="00E76A46" w:rsidRPr="00061311" w:rsidRDefault="00515AA3"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sidRPr="00061311">
        <w:rPr>
          <w:rFonts w:ascii="Times New Roman" w:eastAsia="Times New Roman" w:hAnsi="Times New Roman" w:cs="Times New Roman"/>
          <w:color w:val="000000"/>
          <w:sz w:val="24"/>
          <w:szCs w:val="24"/>
        </w:rPr>
        <w:t xml:space="preserve">WTO (2019a). </w:t>
      </w:r>
      <w:r w:rsidRPr="00061311">
        <w:rPr>
          <w:rFonts w:ascii="Times New Roman" w:eastAsia="Times New Roman" w:hAnsi="Times New Roman" w:cs="Times New Roman"/>
          <w:iCs/>
          <w:color w:val="000000"/>
          <w:sz w:val="24"/>
          <w:szCs w:val="24"/>
        </w:rPr>
        <w:t>Higher and Higher–Growth in Domestic Support Entitlements Since 2001, Submission from Australia and New Zealand</w:t>
      </w:r>
      <w:r w:rsidR="00E76A46" w:rsidRPr="00061311">
        <w:rPr>
          <w:rFonts w:ascii="Times New Roman" w:eastAsia="Times New Roman" w:hAnsi="Times New Roman" w:cs="Times New Roman"/>
          <w:iCs/>
          <w:color w:val="000000"/>
          <w:sz w:val="24"/>
          <w:szCs w:val="24"/>
        </w:rPr>
        <w:t>.</w:t>
      </w:r>
      <w:r w:rsidRPr="00061311">
        <w:rPr>
          <w:rFonts w:ascii="Times New Roman" w:eastAsia="Times New Roman" w:hAnsi="Times New Roman" w:cs="Times New Roman"/>
          <w:color w:val="000000"/>
          <w:sz w:val="24"/>
          <w:szCs w:val="24"/>
        </w:rPr>
        <w:t xml:space="preserve"> (JOB/AG/171).</w:t>
      </w:r>
    </w:p>
    <w:p w14:paraId="03D3C07C" w14:textId="77777777" w:rsidR="00D54690" w:rsidRPr="00061311" w:rsidRDefault="00D54690"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12A6EA15" w14:textId="4418F1FC" w:rsidR="002F45F9" w:rsidRDefault="007A1728" w:rsidP="00FF494B">
      <w:pPr>
        <w:pStyle w:val="NormalWeb"/>
        <w:shd w:val="clear" w:color="auto" w:fill="FFFFFF"/>
        <w:spacing w:before="0" w:beforeAutospacing="0" w:after="0" w:afterAutospacing="0" w:line="360" w:lineRule="auto"/>
        <w:contextualSpacing/>
        <w:jc w:val="both"/>
      </w:pPr>
      <w:r w:rsidRPr="00061311">
        <w:t>WTO (2019b). An Estimate of Domestic Support Entitlements in Articles 6.3 and 6.4 of the Agreement on Agriculture for All WTO Members: Submission by Canada</w:t>
      </w:r>
      <w:r w:rsidRPr="00061311">
        <w:rPr>
          <w:i/>
          <w:iCs/>
        </w:rPr>
        <w:t xml:space="preserve"> </w:t>
      </w:r>
      <w:r w:rsidRPr="00061311">
        <w:t>(RD/AG/74).</w:t>
      </w:r>
    </w:p>
    <w:p w14:paraId="2F259448" w14:textId="77777777" w:rsidR="003279E6" w:rsidRPr="00061311" w:rsidRDefault="003279E6" w:rsidP="00FF494B">
      <w:pPr>
        <w:pStyle w:val="NormalWeb"/>
        <w:shd w:val="clear" w:color="auto" w:fill="FFFFFF"/>
        <w:spacing w:before="0" w:beforeAutospacing="0" w:after="0" w:afterAutospacing="0" w:line="360" w:lineRule="auto"/>
        <w:contextualSpacing/>
        <w:jc w:val="both"/>
      </w:pPr>
    </w:p>
    <w:p w14:paraId="19999B46" w14:textId="0C083B2C" w:rsidR="00D54690" w:rsidRPr="00061311" w:rsidRDefault="007673C8" w:rsidP="00FF494B">
      <w:pPr>
        <w:pStyle w:val="FootnoteText"/>
        <w:spacing w:line="360" w:lineRule="auto"/>
        <w:contextualSpacing/>
        <w:jc w:val="both"/>
        <w:rPr>
          <w:rFonts w:ascii="Times New Roman" w:eastAsia="Times New Roman" w:hAnsi="Times New Roman" w:cs="Times New Roman"/>
          <w:color w:val="000000"/>
          <w:sz w:val="24"/>
          <w:szCs w:val="24"/>
        </w:rPr>
      </w:pPr>
      <w:r w:rsidRPr="00061311">
        <w:rPr>
          <w:rFonts w:ascii="Times New Roman" w:eastAsia="Times New Roman" w:hAnsi="Times New Roman" w:cs="Times New Roman"/>
          <w:color w:val="000000"/>
          <w:sz w:val="24"/>
          <w:szCs w:val="24"/>
        </w:rPr>
        <w:t xml:space="preserve">WTO (2021a). </w:t>
      </w:r>
      <w:r w:rsidRPr="00061311">
        <w:rPr>
          <w:rFonts w:ascii="Times New Roman" w:eastAsia="Times New Roman" w:hAnsi="Times New Roman" w:cs="Times New Roman"/>
          <w:iCs/>
          <w:color w:val="000000"/>
          <w:sz w:val="24"/>
          <w:szCs w:val="24"/>
        </w:rPr>
        <w:t xml:space="preserve">Towards a Strengthened Negotiation Framework in the Domestic Support Pillar: A Methodology for Subsidy Entitlement Reductions, Communication by Costa Rica. </w:t>
      </w:r>
      <w:r w:rsidRPr="00061311">
        <w:rPr>
          <w:rFonts w:ascii="Times New Roman" w:eastAsia="Times New Roman" w:hAnsi="Times New Roman" w:cs="Times New Roman"/>
          <w:color w:val="000000"/>
          <w:sz w:val="24"/>
          <w:szCs w:val="24"/>
        </w:rPr>
        <w:t>(JOB/AG/199).</w:t>
      </w:r>
    </w:p>
    <w:p w14:paraId="65B65DCF" w14:textId="77777777" w:rsidR="007673C8" w:rsidRPr="00061311" w:rsidRDefault="007673C8" w:rsidP="00FF494B">
      <w:pPr>
        <w:pStyle w:val="FootnoteText"/>
        <w:spacing w:line="360" w:lineRule="auto"/>
        <w:contextualSpacing/>
        <w:jc w:val="both"/>
        <w:rPr>
          <w:rFonts w:ascii="Times New Roman" w:eastAsia="Times New Roman" w:hAnsi="Times New Roman" w:cs="Times New Roman"/>
          <w:color w:val="000000"/>
          <w:sz w:val="24"/>
          <w:szCs w:val="24"/>
        </w:rPr>
      </w:pPr>
    </w:p>
    <w:p w14:paraId="7453DBD3" w14:textId="48EE87F8" w:rsidR="005235CA" w:rsidRPr="00061311" w:rsidRDefault="00515AA3" w:rsidP="00FF494B">
      <w:pPr>
        <w:pStyle w:val="FootnoteText"/>
        <w:spacing w:line="360" w:lineRule="auto"/>
        <w:contextualSpacing/>
        <w:jc w:val="both"/>
        <w:rPr>
          <w:rFonts w:ascii="Times New Roman" w:eastAsia="Times New Roman" w:hAnsi="Times New Roman" w:cs="Times New Roman"/>
          <w:color w:val="000000"/>
          <w:sz w:val="24"/>
          <w:szCs w:val="24"/>
        </w:rPr>
      </w:pPr>
      <w:r w:rsidRPr="00061311">
        <w:rPr>
          <w:rFonts w:ascii="Times New Roman" w:eastAsia="Times New Roman" w:hAnsi="Times New Roman" w:cs="Times New Roman"/>
          <w:color w:val="000000"/>
          <w:sz w:val="24"/>
          <w:szCs w:val="24"/>
        </w:rPr>
        <w:t>WTO (2021</w:t>
      </w:r>
      <w:r w:rsidR="007673C8" w:rsidRPr="00061311">
        <w:rPr>
          <w:rFonts w:ascii="Times New Roman" w:eastAsia="Times New Roman" w:hAnsi="Times New Roman" w:cs="Times New Roman"/>
          <w:color w:val="000000"/>
          <w:sz w:val="24"/>
          <w:szCs w:val="24"/>
        </w:rPr>
        <w:t>b</w:t>
      </w:r>
      <w:r w:rsidRPr="00061311">
        <w:rPr>
          <w:rFonts w:ascii="Times New Roman" w:eastAsia="Times New Roman" w:hAnsi="Times New Roman" w:cs="Times New Roman"/>
          <w:color w:val="000000"/>
          <w:sz w:val="24"/>
          <w:szCs w:val="24"/>
        </w:rPr>
        <w:t xml:space="preserve">). </w:t>
      </w:r>
      <w:r w:rsidRPr="00061311">
        <w:rPr>
          <w:rFonts w:ascii="Times New Roman" w:eastAsia="Times New Roman" w:hAnsi="Times New Roman" w:cs="Times New Roman"/>
          <w:iCs/>
          <w:color w:val="000000"/>
          <w:sz w:val="24"/>
          <w:szCs w:val="24"/>
        </w:rPr>
        <w:t>Committee on Agriculture Special Sessions: Draft Chair Text on Agriculture</w:t>
      </w:r>
      <w:r w:rsidR="00812398" w:rsidRPr="00061311">
        <w:rPr>
          <w:rFonts w:ascii="Times New Roman" w:eastAsia="Times New Roman" w:hAnsi="Times New Roman" w:cs="Times New Roman"/>
          <w:iCs/>
          <w:color w:val="000000"/>
          <w:sz w:val="24"/>
          <w:szCs w:val="24"/>
        </w:rPr>
        <w:t>.</w:t>
      </w:r>
      <w:r w:rsidRPr="00061311">
        <w:rPr>
          <w:rFonts w:ascii="Times New Roman" w:eastAsia="Times New Roman" w:hAnsi="Times New Roman" w:cs="Times New Roman"/>
          <w:i/>
          <w:color w:val="000000"/>
          <w:sz w:val="24"/>
          <w:szCs w:val="24"/>
        </w:rPr>
        <w:t xml:space="preserve"> </w:t>
      </w:r>
      <w:r w:rsidRPr="00061311">
        <w:rPr>
          <w:rFonts w:ascii="Times New Roman" w:eastAsia="Times New Roman" w:hAnsi="Times New Roman" w:cs="Times New Roman"/>
          <w:color w:val="000000"/>
          <w:sz w:val="24"/>
          <w:szCs w:val="24"/>
        </w:rPr>
        <w:t>(JOB/AG/215).</w:t>
      </w:r>
    </w:p>
    <w:p w14:paraId="52733329" w14:textId="77777777" w:rsidR="0045789E" w:rsidRPr="00061311" w:rsidRDefault="0045789E" w:rsidP="00FF494B">
      <w:pPr>
        <w:pStyle w:val="FootnoteText"/>
        <w:spacing w:line="360" w:lineRule="auto"/>
        <w:contextualSpacing/>
        <w:jc w:val="both"/>
        <w:rPr>
          <w:rFonts w:ascii="Times New Roman" w:eastAsia="Times New Roman" w:hAnsi="Times New Roman" w:cs="Times New Roman"/>
          <w:color w:val="000000"/>
          <w:sz w:val="24"/>
          <w:szCs w:val="24"/>
        </w:rPr>
      </w:pPr>
    </w:p>
    <w:p w14:paraId="1D0D8947" w14:textId="77777777" w:rsidR="0045789E" w:rsidRPr="00061311" w:rsidRDefault="0045789E" w:rsidP="00FF494B">
      <w:pPr>
        <w:pStyle w:val="FootnoteText"/>
        <w:spacing w:line="360" w:lineRule="auto"/>
        <w:contextualSpacing/>
        <w:jc w:val="both"/>
        <w:rPr>
          <w:rFonts w:ascii="Times New Roman" w:eastAsia="Times New Roman" w:hAnsi="Times New Roman" w:cs="Times New Roman"/>
          <w:color w:val="000000"/>
          <w:sz w:val="24"/>
          <w:szCs w:val="24"/>
        </w:rPr>
      </w:pPr>
      <w:r w:rsidRPr="00061311">
        <w:rPr>
          <w:rFonts w:ascii="Times New Roman" w:eastAsia="Times New Roman" w:hAnsi="Times New Roman" w:cs="Times New Roman"/>
          <w:color w:val="000000"/>
          <w:sz w:val="24"/>
          <w:szCs w:val="24"/>
        </w:rPr>
        <w:t xml:space="preserve">WTO (2021c). Elimination of AMS beyond </w:t>
      </w:r>
      <w:r w:rsidRPr="00061311">
        <w:rPr>
          <w:rFonts w:ascii="Times New Roman" w:eastAsia="Times New Roman" w:hAnsi="Times New Roman" w:cs="Times New Roman"/>
          <w:i/>
          <w:iCs/>
          <w:color w:val="000000"/>
          <w:sz w:val="24"/>
          <w:szCs w:val="24"/>
        </w:rPr>
        <w:t>de minimis</w:t>
      </w:r>
      <w:r w:rsidRPr="00061311">
        <w:rPr>
          <w:rFonts w:ascii="Times New Roman" w:eastAsia="Times New Roman" w:hAnsi="Times New Roman" w:cs="Times New Roman"/>
          <w:color w:val="000000"/>
          <w:sz w:val="24"/>
          <w:szCs w:val="24"/>
        </w:rPr>
        <w:t>: Reducing distortions in global agricultural trade. (JOB/AG/216)</w:t>
      </w:r>
    </w:p>
    <w:p w14:paraId="1C4447C9" w14:textId="77777777" w:rsidR="0045789E" w:rsidRPr="00061311" w:rsidRDefault="0045789E" w:rsidP="00FF494B">
      <w:pPr>
        <w:pStyle w:val="FootnoteText"/>
        <w:spacing w:line="360" w:lineRule="auto"/>
        <w:contextualSpacing/>
        <w:jc w:val="both"/>
        <w:rPr>
          <w:rFonts w:ascii="Times New Roman" w:eastAsia="Times New Roman" w:hAnsi="Times New Roman" w:cs="Times New Roman"/>
          <w:color w:val="000000"/>
          <w:sz w:val="24"/>
          <w:szCs w:val="24"/>
        </w:rPr>
      </w:pPr>
    </w:p>
    <w:p w14:paraId="536F2285" w14:textId="5BDBD8C8" w:rsidR="00EC38A9" w:rsidRPr="00061311" w:rsidRDefault="005235CA" w:rsidP="00FF494B">
      <w:pPr>
        <w:pStyle w:val="FootnoteText"/>
        <w:spacing w:line="360" w:lineRule="auto"/>
        <w:contextualSpacing/>
        <w:jc w:val="both"/>
        <w:rPr>
          <w:rFonts w:ascii="Times New Roman" w:eastAsia="Times New Roman" w:hAnsi="Times New Roman" w:cs="Times New Roman"/>
          <w:color w:val="000000"/>
          <w:sz w:val="24"/>
          <w:szCs w:val="24"/>
        </w:rPr>
      </w:pPr>
      <w:r w:rsidRPr="00061311">
        <w:rPr>
          <w:rFonts w:ascii="Times New Roman" w:eastAsia="Times New Roman" w:hAnsi="Times New Roman" w:cs="Times New Roman"/>
          <w:color w:val="000000"/>
          <w:sz w:val="24"/>
          <w:szCs w:val="24"/>
        </w:rPr>
        <w:t>WTO (2021</w:t>
      </w:r>
      <w:r w:rsidR="0045789E" w:rsidRPr="00061311">
        <w:rPr>
          <w:rFonts w:ascii="Times New Roman" w:eastAsia="Times New Roman" w:hAnsi="Times New Roman" w:cs="Times New Roman"/>
          <w:color w:val="000000"/>
          <w:sz w:val="24"/>
          <w:szCs w:val="24"/>
        </w:rPr>
        <w:t>d</w:t>
      </w:r>
      <w:r w:rsidRPr="00061311">
        <w:rPr>
          <w:rFonts w:ascii="Times New Roman" w:eastAsia="Times New Roman" w:hAnsi="Times New Roman" w:cs="Times New Roman"/>
          <w:color w:val="000000"/>
          <w:sz w:val="24"/>
          <w:szCs w:val="24"/>
        </w:rPr>
        <w:t xml:space="preserve">). Committee on Agriculture - Special Session - Framework for negotiations on domestic support - Communication from Argentina, Australia, Brazil, Cambodia, Canada, Chile, Colombia, Costa Rica, El Salvador, Guatemala, Indonesia, Lao PDR, Malaysia, New Zealand, Pakistan, Paraguay, </w:t>
      </w:r>
      <w:r w:rsidR="008371E1" w:rsidRPr="00061311">
        <w:rPr>
          <w:rFonts w:ascii="Times New Roman" w:eastAsia="Times New Roman" w:hAnsi="Times New Roman" w:cs="Times New Roman"/>
          <w:color w:val="000000"/>
          <w:sz w:val="24"/>
          <w:szCs w:val="24"/>
        </w:rPr>
        <w:t xml:space="preserve">Peru, The Philippines, Thailand, Ukraine, </w:t>
      </w:r>
      <w:r w:rsidRPr="00061311">
        <w:rPr>
          <w:rFonts w:ascii="Times New Roman" w:eastAsia="Times New Roman" w:hAnsi="Times New Roman" w:cs="Times New Roman"/>
          <w:color w:val="000000"/>
          <w:sz w:val="24"/>
          <w:szCs w:val="24"/>
        </w:rPr>
        <w:t>Uruguay and Viet Nam</w:t>
      </w:r>
      <w:r w:rsidR="008371E1" w:rsidRPr="00061311">
        <w:rPr>
          <w:rFonts w:ascii="Times New Roman" w:eastAsia="Times New Roman" w:hAnsi="Times New Roman" w:cs="Times New Roman"/>
          <w:color w:val="000000"/>
          <w:sz w:val="24"/>
          <w:szCs w:val="24"/>
        </w:rPr>
        <w:t>. (JOB/AG/177/Rev.3)</w:t>
      </w:r>
    </w:p>
    <w:p w14:paraId="04FB880F" w14:textId="77777777" w:rsidR="003279E6" w:rsidRDefault="003279E6" w:rsidP="00FF494B">
      <w:pPr>
        <w:pStyle w:val="NormalWeb"/>
        <w:shd w:val="clear" w:color="auto" w:fill="FFFFFF"/>
        <w:spacing w:before="0" w:beforeAutospacing="0" w:after="0" w:afterAutospacing="0" w:line="360" w:lineRule="auto"/>
        <w:contextualSpacing/>
        <w:jc w:val="both"/>
      </w:pPr>
    </w:p>
    <w:p w14:paraId="650ADB0F" w14:textId="1C5F097C" w:rsidR="006A08DD" w:rsidRPr="00061311" w:rsidRDefault="006A08DD" w:rsidP="00FF494B">
      <w:pPr>
        <w:pStyle w:val="NormalWeb"/>
        <w:shd w:val="clear" w:color="auto" w:fill="FFFFFF"/>
        <w:spacing w:before="0" w:beforeAutospacing="0" w:after="0" w:afterAutospacing="0" w:line="360" w:lineRule="auto"/>
        <w:contextualSpacing/>
        <w:jc w:val="both"/>
      </w:pPr>
      <w:r w:rsidRPr="00061311">
        <w:t>WTO (2022</w:t>
      </w:r>
      <w:r w:rsidR="00684259" w:rsidRPr="00061311">
        <w:t>a</w:t>
      </w:r>
      <w:r w:rsidRPr="00061311">
        <w:t xml:space="preserve">). Public Stockholding for Food Security Purposes, Proposal by The African Group, The ACP, and G33. (JOB/AG/229). </w:t>
      </w:r>
    </w:p>
    <w:p w14:paraId="68F327B5" w14:textId="77777777" w:rsidR="005931E2" w:rsidRPr="00061311" w:rsidRDefault="005931E2" w:rsidP="00FF494B">
      <w:pPr>
        <w:pStyle w:val="NormalWeb"/>
        <w:shd w:val="clear" w:color="auto" w:fill="FFFFFF"/>
        <w:spacing w:before="0" w:beforeAutospacing="0" w:after="0" w:afterAutospacing="0" w:line="360" w:lineRule="auto"/>
        <w:contextualSpacing/>
        <w:jc w:val="both"/>
      </w:pPr>
    </w:p>
    <w:p w14:paraId="4324451B" w14:textId="119A5673" w:rsidR="0023546B" w:rsidRPr="00061311" w:rsidRDefault="0023546B" w:rsidP="00FF494B">
      <w:pPr>
        <w:pStyle w:val="NormalWeb"/>
        <w:shd w:val="clear" w:color="auto" w:fill="FFFFFF"/>
        <w:spacing w:before="0" w:beforeAutospacing="0" w:after="0" w:afterAutospacing="0" w:line="360" w:lineRule="auto"/>
        <w:contextualSpacing/>
        <w:jc w:val="both"/>
      </w:pPr>
      <w:r w:rsidRPr="00061311">
        <w:t>WTO (2022b). Ministerial declaration on the emergency response to food insecurity. (WT/</w:t>
      </w:r>
      <w:proofErr w:type="gramStart"/>
      <w:r w:rsidRPr="00061311">
        <w:t>MIN(</w:t>
      </w:r>
      <w:proofErr w:type="gramEnd"/>
      <w:r w:rsidRPr="00061311">
        <w:t>22)/28).</w:t>
      </w:r>
    </w:p>
    <w:p w14:paraId="6D5075FF" w14:textId="77777777" w:rsidR="005931E2" w:rsidRPr="00061311" w:rsidRDefault="005931E2" w:rsidP="00FF494B">
      <w:pPr>
        <w:pStyle w:val="NormalWeb"/>
        <w:shd w:val="clear" w:color="auto" w:fill="FFFFFF"/>
        <w:spacing w:before="0" w:beforeAutospacing="0" w:after="0" w:afterAutospacing="0" w:line="360" w:lineRule="auto"/>
        <w:contextualSpacing/>
        <w:jc w:val="both"/>
      </w:pPr>
    </w:p>
    <w:p w14:paraId="5BE795D8" w14:textId="534731DB" w:rsidR="000C0BF3" w:rsidRDefault="000C0BF3" w:rsidP="00FF494B">
      <w:pPr>
        <w:pStyle w:val="NormalWeb"/>
        <w:shd w:val="clear" w:color="auto" w:fill="FFFFFF"/>
        <w:spacing w:before="0" w:beforeAutospacing="0" w:after="0" w:afterAutospacing="0" w:line="360" w:lineRule="auto"/>
        <w:contextualSpacing/>
        <w:jc w:val="both"/>
      </w:pPr>
      <w:r w:rsidRPr="00061311">
        <w:t>WTO</w:t>
      </w:r>
      <w:r w:rsidR="00127BEB" w:rsidRPr="00061311">
        <w:t xml:space="preserve"> (2022c). World Trade Report 2022. Climate Change and International trade.</w:t>
      </w:r>
      <w:r w:rsidR="005F5F4D" w:rsidRPr="00061311">
        <w:t xml:space="preserve"> </w:t>
      </w:r>
      <w:hyperlink r:id="rId34" w:history="1">
        <w:r w:rsidR="00530F91" w:rsidRPr="00061311">
          <w:rPr>
            <w:rStyle w:val="Hyperlink"/>
          </w:rPr>
          <w:t>https://www.wto.org/english/res_e/booksp_e/wtr22_e/wtr22_e.pdf</w:t>
        </w:r>
      </w:hyperlink>
      <w:r w:rsidR="005F5F4D" w:rsidRPr="00061311">
        <w:t xml:space="preserve"> </w:t>
      </w:r>
    </w:p>
    <w:p w14:paraId="5AF51A9A" w14:textId="77777777" w:rsidR="003279E6" w:rsidRPr="00061311" w:rsidRDefault="003279E6" w:rsidP="00FF494B">
      <w:pPr>
        <w:pStyle w:val="NormalWeb"/>
        <w:shd w:val="clear" w:color="auto" w:fill="FFFFFF"/>
        <w:spacing w:before="0" w:beforeAutospacing="0" w:after="0" w:afterAutospacing="0" w:line="360" w:lineRule="auto"/>
        <w:contextualSpacing/>
        <w:jc w:val="both"/>
      </w:pPr>
    </w:p>
    <w:p w14:paraId="2F2EC85E" w14:textId="28EFABE1" w:rsidR="00E97BA7" w:rsidRDefault="00E97BA7"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sidRPr="00061311">
        <w:rPr>
          <w:rFonts w:ascii="Times New Roman" w:eastAsia="Times New Roman" w:hAnsi="Times New Roman" w:cs="Times New Roman"/>
          <w:color w:val="000000"/>
          <w:sz w:val="24"/>
          <w:szCs w:val="24"/>
        </w:rPr>
        <w:t>WTO (2023</w:t>
      </w:r>
      <w:r w:rsidR="00B760E5" w:rsidRPr="00061311">
        <w:rPr>
          <w:rFonts w:ascii="Times New Roman" w:eastAsia="Times New Roman" w:hAnsi="Times New Roman" w:cs="Times New Roman"/>
          <w:color w:val="000000"/>
          <w:sz w:val="24"/>
          <w:szCs w:val="24"/>
        </w:rPr>
        <w:t>a</w:t>
      </w:r>
      <w:r w:rsidRPr="00061311">
        <w:rPr>
          <w:rFonts w:ascii="Times New Roman" w:eastAsia="Times New Roman" w:hAnsi="Times New Roman" w:cs="Times New Roman"/>
          <w:color w:val="000000"/>
          <w:sz w:val="24"/>
          <w:szCs w:val="24"/>
        </w:rPr>
        <w:t xml:space="preserve">). </w:t>
      </w:r>
      <w:r w:rsidRPr="00061311">
        <w:rPr>
          <w:rFonts w:ascii="Times New Roman" w:eastAsia="Times New Roman" w:hAnsi="Times New Roman" w:cs="Times New Roman"/>
          <w:iCs/>
          <w:color w:val="000000"/>
          <w:sz w:val="24"/>
          <w:szCs w:val="24"/>
        </w:rPr>
        <w:t xml:space="preserve">The State </w:t>
      </w:r>
      <w:proofErr w:type="gramStart"/>
      <w:r w:rsidRPr="00061311">
        <w:rPr>
          <w:rFonts w:ascii="Times New Roman" w:eastAsia="Times New Roman" w:hAnsi="Times New Roman" w:cs="Times New Roman"/>
          <w:iCs/>
          <w:color w:val="000000"/>
          <w:sz w:val="24"/>
          <w:szCs w:val="24"/>
        </w:rPr>
        <w:t>Of</w:t>
      </w:r>
      <w:proofErr w:type="gramEnd"/>
      <w:r w:rsidRPr="00061311">
        <w:rPr>
          <w:rFonts w:ascii="Times New Roman" w:eastAsia="Times New Roman" w:hAnsi="Times New Roman" w:cs="Times New Roman"/>
          <w:iCs/>
          <w:color w:val="000000"/>
          <w:sz w:val="24"/>
          <w:szCs w:val="24"/>
        </w:rPr>
        <w:t xml:space="preserve"> Play: Analysis of Domestic Support Trends in the 10 Largest Agricultural Traders, Submission from Canada.</w:t>
      </w:r>
      <w:r w:rsidRPr="00061311">
        <w:rPr>
          <w:rFonts w:ascii="Times New Roman" w:eastAsia="Times New Roman" w:hAnsi="Times New Roman" w:cs="Times New Roman"/>
          <w:color w:val="000000"/>
          <w:sz w:val="24"/>
          <w:szCs w:val="24"/>
        </w:rPr>
        <w:t xml:space="preserve"> (JOB/AG/ 240).</w:t>
      </w:r>
    </w:p>
    <w:p w14:paraId="3DC2BB8B" w14:textId="77777777" w:rsidR="003279E6" w:rsidRPr="00061311" w:rsidRDefault="003279E6" w:rsidP="00FF494B">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p>
    <w:p w14:paraId="30184C2B" w14:textId="29D168DA" w:rsidR="00E97BA7" w:rsidRPr="00061311" w:rsidRDefault="000C409C" w:rsidP="00FF494B">
      <w:pPr>
        <w:pStyle w:val="NormalWeb"/>
        <w:shd w:val="clear" w:color="auto" w:fill="FFFFFF"/>
        <w:spacing w:before="0" w:beforeAutospacing="0" w:after="0" w:afterAutospacing="0" w:line="360" w:lineRule="auto"/>
        <w:contextualSpacing/>
        <w:jc w:val="both"/>
      </w:pPr>
      <w:r w:rsidRPr="00061311">
        <w:t>WTO (2023</w:t>
      </w:r>
      <w:r w:rsidR="00B760E5" w:rsidRPr="00061311">
        <w:t>b</w:t>
      </w:r>
      <w:r w:rsidRPr="00061311">
        <w:t xml:space="preserve">). </w:t>
      </w:r>
      <w:r w:rsidR="00683DE3" w:rsidRPr="00061311">
        <w:t>Principles guiding the development and implementation of trade-related environmental measures, Submission from the African Group. (</w:t>
      </w:r>
      <w:r w:rsidR="00E23FD9" w:rsidRPr="00061311">
        <w:t>G/AG/W/239).</w:t>
      </w:r>
    </w:p>
    <w:p w14:paraId="1C33269C" w14:textId="77777777" w:rsidR="005931E2" w:rsidRPr="00061311" w:rsidRDefault="005931E2" w:rsidP="00FF494B">
      <w:pPr>
        <w:pStyle w:val="NormalWeb"/>
        <w:shd w:val="clear" w:color="auto" w:fill="FFFFFF"/>
        <w:spacing w:before="0" w:beforeAutospacing="0" w:after="0" w:afterAutospacing="0" w:line="360" w:lineRule="auto"/>
        <w:contextualSpacing/>
        <w:jc w:val="both"/>
      </w:pPr>
    </w:p>
    <w:p w14:paraId="17267C8C" w14:textId="42CBB6DD" w:rsidR="003F653F" w:rsidRPr="00061311" w:rsidRDefault="003F653F" w:rsidP="00FF494B">
      <w:pPr>
        <w:pStyle w:val="NormalWeb"/>
        <w:shd w:val="clear" w:color="auto" w:fill="FFFFFF"/>
        <w:spacing w:before="0" w:beforeAutospacing="0" w:after="0" w:afterAutospacing="0" w:line="360" w:lineRule="auto"/>
        <w:contextualSpacing/>
        <w:jc w:val="both"/>
      </w:pPr>
      <w:r w:rsidRPr="00061311">
        <w:lastRenderedPageBreak/>
        <w:t>WTO (2023</w:t>
      </w:r>
      <w:r w:rsidR="007513F8" w:rsidRPr="00061311">
        <w:t>c</w:t>
      </w:r>
      <w:r w:rsidRPr="00061311">
        <w:t xml:space="preserve">). </w:t>
      </w:r>
      <w:r w:rsidR="004E3F92" w:rsidRPr="00061311">
        <w:t>Towards a strengthened negotiation framework in the domestic support pillar. Building a comprehensive approach to negotiations on domestic support</w:t>
      </w:r>
      <w:proofErr w:type="gramStart"/>
      <w:r w:rsidR="004E3F92" w:rsidRPr="00061311">
        <w:t xml:space="preserve">. </w:t>
      </w:r>
      <w:r w:rsidR="007513F8" w:rsidRPr="00061311">
        <w:t>.</w:t>
      </w:r>
      <w:proofErr w:type="gramEnd"/>
      <w:r w:rsidR="007513F8" w:rsidRPr="00061311">
        <w:t xml:space="preserve"> Communication by Costa Rica. </w:t>
      </w:r>
      <w:r w:rsidR="004E3F92" w:rsidRPr="00061311">
        <w:t>(JOB/AG/243).</w:t>
      </w:r>
    </w:p>
    <w:p w14:paraId="7A3DFE75" w14:textId="77777777" w:rsidR="00F96821" w:rsidRDefault="00F96821" w:rsidP="00FF494B">
      <w:pPr>
        <w:pStyle w:val="NormalWeb"/>
        <w:shd w:val="clear" w:color="auto" w:fill="FFFFFF"/>
        <w:spacing w:before="0" w:beforeAutospacing="0" w:after="0" w:afterAutospacing="0" w:line="360" w:lineRule="auto"/>
        <w:contextualSpacing/>
        <w:jc w:val="both"/>
      </w:pPr>
    </w:p>
    <w:p w14:paraId="0223DA80" w14:textId="41C33E68" w:rsidR="00A97559" w:rsidRPr="00061311" w:rsidRDefault="00A97559" w:rsidP="00FF494B">
      <w:pPr>
        <w:pStyle w:val="NormalWeb"/>
        <w:shd w:val="clear" w:color="auto" w:fill="FFFFFF"/>
        <w:spacing w:before="0" w:beforeAutospacing="0" w:after="0" w:afterAutospacing="0" w:line="360" w:lineRule="auto"/>
        <w:contextualSpacing/>
        <w:jc w:val="both"/>
      </w:pPr>
      <w:r w:rsidRPr="00061311">
        <w:t xml:space="preserve">WTO (2023d). </w:t>
      </w:r>
      <w:r w:rsidR="006D5AAC" w:rsidRPr="00061311">
        <w:t xml:space="preserve">Domestic Support. Communication from the African </w:t>
      </w:r>
      <w:r w:rsidR="009A1E19" w:rsidRPr="00061311">
        <w:t>Group</w:t>
      </w:r>
      <w:r w:rsidR="006D5AAC" w:rsidRPr="00061311">
        <w:t>. (JOB</w:t>
      </w:r>
      <w:r w:rsidR="009A1E19" w:rsidRPr="00061311">
        <w:t xml:space="preserve">/AG/242). </w:t>
      </w:r>
    </w:p>
    <w:p w14:paraId="1F959358" w14:textId="5ED785AA" w:rsidR="00F965E6" w:rsidRPr="00327A0C" w:rsidRDefault="00F965E6" w:rsidP="00327A0C">
      <w:pPr>
        <w:rPr>
          <w:rFonts w:ascii="Times New Roman" w:eastAsia="Times New Roman" w:hAnsi="Times New Roman" w:cs="Times New Roman"/>
          <w:b/>
          <w:bCs/>
          <w:sz w:val="24"/>
          <w:szCs w:val="24"/>
        </w:rPr>
      </w:pPr>
    </w:p>
    <w:p w14:paraId="57F8D321" w14:textId="3B57CBF8" w:rsidR="00467D19" w:rsidRPr="00467D19" w:rsidRDefault="00467D19" w:rsidP="00A846BA">
      <w:pPr>
        <w:pStyle w:val="NormalWeb"/>
        <w:shd w:val="clear" w:color="auto" w:fill="FFFFFF"/>
      </w:pPr>
    </w:p>
    <w:sectPr w:rsidR="00467D19" w:rsidRPr="00467D19" w:rsidSect="00C150C1">
      <w:footerReference w:type="default" r:id="rId35"/>
      <w:pgSz w:w="11906" w:h="16838"/>
      <w:pgMar w:top="1440" w:right="1394"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F0FB1" w14:textId="77777777" w:rsidR="00EF11AE" w:rsidRDefault="00EF11AE">
      <w:pPr>
        <w:spacing w:after="0" w:line="240" w:lineRule="auto"/>
      </w:pPr>
      <w:r>
        <w:separator/>
      </w:r>
    </w:p>
  </w:endnote>
  <w:endnote w:type="continuationSeparator" w:id="0">
    <w:p w14:paraId="2810DADB" w14:textId="77777777" w:rsidR="00EF11AE" w:rsidRDefault="00EF1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94" w14:textId="47DBF2BD" w:rsidR="00DD1744" w:rsidRDefault="00DD174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195" w14:textId="77777777" w:rsidR="00DD1744" w:rsidRDefault="00DD174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042ED" w14:textId="77777777" w:rsidR="00EF11AE" w:rsidRDefault="00EF11AE">
      <w:pPr>
        <w:spacing w:after="0" w:line="240" w:lineRule="auto"/>
      </w:pPr>
      <w:r>
        <w:separator/>
      </w:r>
    </w:p>
  </w:footnote>
  <w:footnote w:type="continuationSeparator" w:id="0">
    <w:p w14:paraId="7DA3E789" w14:textId="77777777" w:rsidR="00EF11AE" w:rsidRDefault="00EF11AE">
      <w:pPr>
        <w:spacing w:after="0" w:line="240" w:lineRule="auto"/>
      </w:pPr>
      <w:r>
        <w:continuationSeparator/>
      </w:r>
    </w:p>
  </w:footnote>
  <w:footnote w:id="1">
    <w:p w14:paraId="240731B3" w14:textId="77777777" w:rsidR="00DD1744" w:rsidRPr="00DB2188" w:rsidRDefault="00DD1744" w:rsidP="00DB2188">
      <w:pPr>
        <w:pStyle w:val="FootnoteText"/>
        <w:rPr>
          <w:rFonts w:ascii="Times New Roman" w:hAnsi="Times New Roman" w:cs="Mangal"/>
          <w:lang w:eastAsia="en-US"/>
        </w:rPr>
      </w:pPr>
      <w:r>
        <w:rPr>
          <w:rStyle w:val="FootnoteReference"/>
        </w:rPr>
        <w:footnoteRef/>
      </w:r>
      <w:r>
        <w:t xml:space="preserve"> </w:t>
      </w:r>
      <w:r w:rsidRPr="00DB2188">
        <w:rPr>
          <w:rFonts w:ascii="Times New Roman" w:hAnsi="Times New Roman" w:cs="Mangal"/>
          <w:lang w:val="en-US" w:eastAsia="en-US"/>
        </w:rPr>
        <w:t xml:space="preserve">Corresponding author’s email: </w:t>
      </w:r>
      <w:hyperlink r:id="rId1" w:history="1">
        <w:r w:rsidRPr="00DB2188">
          <w:rPr>
            <w:rFonts w:ascii="Times New Roman" w:hAnsi="Times New Roman" w:cs="Mangal"/>
            <w:color w:val="0563C1"/>
            <w:u w:val="single"/>
            <w:lang w:val="en-US" w:eastAsia="en-US"/>
          </w:rPr>
          <w:t>sksharma@iift.edu</w:t>
        </w:r>
      </w:hyperlink>
      <w:r w:rsidRPr="00DB2188">
        <w:rPr>
          <w:rFonts w:ascii="Times New Roman" w:hAnsi="Times New Roman" w:cs="Mangal"/>
          <w:lang w:val="en-US" w:eastAsia="en-US"/>
        </w:rPr>
        <w:t xml:space="preserve"> </w:t>
      </w:r>
    </w:p>
    <w:p w14:paraId="304E11FE" w14:textId="430A6E67" w:rsidR="00DD1744" w:rsidRPr="002552EB" w:rsidRDefault="00DD1744">
      <w:pPr>
        <w:pStyle w:val="FootnoteText"/>
        <w:rPr>
          <w:lang w:val="en-US"/>
        </w:rPr>
      </w:pPr>
    </w:p>
  </w:footnote>
  <w:footnote w:id="2">
    <w:p w14:paraId="22332874" w14:textId="7D0BCC26" w:rsidR="00DD1744" w:rsidRPr="002552EB" w:rsidRDefault="00DD1744">
      <w:pPr>
        <w:pStyle w:val="FootnoteText"/>
        <w:rPr>
          <w:rFonts w:ascii="Times New Roman" w:hAnsi="Times New Roman" w:cs="Times New Roman"/>
          <w:lang w:val="en-US"/>
        </w:rPr>
      </w:pPr>
      <w:r w:rsidRPr="002552EB">
        <w:rPr>
          <w:rStyle w:val="FootnoteReference"/>
          <w:rFonts w:ascii="Times New Roman" w:hAnsi="Times New Roman" w:cs="Times New Roman"/>
          <w:color w:val="000000" w:themeColor="text1"/>
        </w:rPr>
        <w:footnoteRef/>
      </w:r>
      <w:r w:rsidRPr="002552EB">
        <w:rPr>
          <w:rFonts w:ascii="Times New Roman" w:hAnsi="Times New Roman" w:cs="Times New Roman"/>
          <w:color w:val="000000" w:themeColor="text1"/>
        </w:rPr>
        <w:t xml:space="preserve"> </w:t>
      </w:r>
      <w:r w:rsidRPr="002552EB">
        <w:rPr>
          <w:rFonts w:ascii="Times New Roman" w:hAnsi="Times New Roman" w:cs="Times New Roman"/>
          <w:color w:val="000000" w:themeColor="text1"/>
          <w:lang w:val="en-US"/>
        </w:rPr>
        <w:t xml:space="preserve">A plurilateral agreement is one where not all WTO members are parties to it. Such initiatives are called plurilateral initiatives. </w:t>
      </w:r>
    </w:p>
  </w:footnote>
  <w:footnote w:id="3">
    <w:p w14:paraId="2E113437" w14:textId="25C59CD2" w:rsidR="00DD1744" w:rsidRPr="002552EB" w:rsidRDefault="00DD1744">
      <w:pPr>
        <w:pStyle w:val="FootnoteText"/>
        <w:rPr>
          <w:lang w:val="en-US"/>
        </w:rPr>
      </w:pPr>
      <w:r w:rsidRPr="002552EB">
        <w:rPr>
          <w:rStyle w:val="FootnoteReference"/>
          <w:rFonts w:ascii="Times New Roman" w:hAnsi="Times New Roman" w:cs="Times New Roman"/>
        </w:rPr>
        <w:footnoteRef/>
      </w:r>
      <w:r w:rsidRPr="002552EB">
        <w:rPr>
          <w:rFonts w:ascii="Times New Roman" w:hAnsi="Times New Roman" w:cs="Times New Roman"/>
        </w:rPr>
        <w:t xml:space="preserve"> </w:t>
      </w:r>
      <w:r w:rsidRPr="004B02C3">
        <w:rPr>
          <w:rFonts w:ascii="Times New Roman" w:eastAsia="Times New Roman" w:hAnsi="Times New Roman" w:cs="Times New Roman"/>
          <w:color w:val="000000"/>
        </w:rPr>
        <w:t>A</w:t>
      </w:r>
      <w:r w:rsidRPr="000444C8">
        <w:rPr>
          <w:rFonts w:ascii="Times New Roman" w:eastAsia="Times New Roman" w:hAnsi="Times New Roman" w:cs="Times New Roman"/>
          <w:color w:val="000000"/>
        </w:rPr>
        <w:t xml:space="preserve"> 19-member coalition of agricultural exporting nations lobbying for agricultural trade liberalization.</w:t>
      </w:r>
    </w:p>
  </w:footnote>
  <w:footnote w:id="4">
    <w:p w14:paraId="6F619B5D" w14:textId="48A3DA26" w:rsidR="00DD1744" w:rsidRPr="002552EB" w:rsidRDefault="00DD1744">
      <w:pPr>
        <w:pStyle w:val="FootnoteText"/>
        <w:rPr>
          <w:rFonts w:ascii="Times New Roman" w:hAnsi="Times New Roman" w:cs="Times New Roman"/>
          <w:lang w:val="en-US"/>
        </w:rPr>
      </w:pPr>
      <w:r w:rsidRPr="002552EB">
        <w:rPr>
          <w:rStyle w:val="FootnoteReference"/>
          <w:rFonts w:ascii="Times New Roman" w:hAnsi="Times New Roman" w:cs="Times New Roman"/>
          <w:color w:val="000000" w:themeColor="text1"/>
        </w:rPr>
        <w:footnoteRef/>
      </w:r>
      <w:r w:rsidRPr="002552EB">
        <w:rPr>
          <w:rFonts w:ascii="Times New Roman" w:hAnsi="Times New Roman" w:cs="Times New Roman"/>
          <w:color w:val="000000" w:themeColor="text1"/>
        </w:rPr>
        <w:t xml:space="preserve"> </w:t>
      </w:r>
      <w:r w:rsidRPr="002552EB">
        <w:rPr>
          <w:rFonts w:ascii="Times New Roman" w:hAnsi="Times New Roman" w:cs="Times New Roman"/>
          <w:bCs/>
          <w:color w:val="000000" w:themeColor="text1"/>
          <w:lang w:val="en-US"/>
        </w:rPr>
        <w:t>Ministerial conference is the topmost decision-making body of the WTO which usually meets every two years. The 12</w:t>
      </w:r>
      <w:r w:rsidRPr="002552EB">
        <w:rPr>
          <w:rFonts w:ascii="Times New Roman" w:hAnsi="Times New Roman" w:cs="Times New Roman"/>
          <w:bCs/>
          <w:color w:val="000000" w:themeColor="text1"/>
          <w:vertAlign w:val="superscript"/>
          <w:lang w:val="en-US"/>
        </w:rPr>
        <w:t>th</w:t>
      </w:r>
      <w:r w:rsidRPr="002552EB">
        <w:rPr>
          <w:rFonts w:ascii="Times New Roman" w:hAnsi="Times New Roman" w:cs="Times New Roman"/>
          <w:bCs/>
          <w:color w:val="000000" w:themeColor="text1"/>
          <w:lang w:val="en-US"/>
        </w:rPr>
        <w:t xml:space="preserve"> Ministerial conference was recently held in 2022 in Geneva from June 12- 17. </w:t>
      </w:r>
    </w:p>
  </w:footnote>
  <w:footnote w:id="5">
    <w:p w14:paraId="0000017E" w14:textId="77777777" w:rsidR="00DD1744" w:rsidRPr="000444C8" w:rsidRDefault="00DD1744" w:rsidP="000444C8">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0"/>
          <w:szCs w:val="20"/>
        </w:rPr>
      </w:pPr>
      <w:r w:rsidRPr="00332468">
        <w:rPr>
          <w:rStyle w:val="FootnoteReference"/>
        </w:rPr>
        <w:footnoteRef/>
      </w:r>
      <w:r w:rsidRPr="000444C8">
        <w:rPr>
          <w:rFonts w:ascii="Times New Roman" w:eastAsia="Times New Roman" w:hAnsi="Times New Roman" w:cs="Times New Roman"/>
          <w:color w:val="000000"/>
          <w:sz w:val="20"/>
          <w:szCs w:val="20"/>
        </w:rPr>
        <w:t xml:space="preserve"> A 19-member coalition of agricultural exporting nations lobbying for agricultural trade liberalization.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75109"/>
    <w:multiLevelType w:val="multilevel"/>
    <w:tmpl w:val="F6CA69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C3060D4"/>
    <w:multiLevelType w:val="multilevel"/>
    <w:tmpl w:val="C2CC93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3032656"/>
    <w:multiLevelType w:val="hybridMultilevel"/>
    <w:tmpl w:val="74E0302E"/>
    <w:lvl w:ilvl="0" w:tplc="CBA897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9DE3CCF"/>
    <w:multiLevelType w:val="hybridMultilevel"/>
    <w:tmpl w:val="1AD231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9FC436A"/>
    <w:multiLevelType w:val="multilevel"/>
    <w:tmpl w:val="EE4A4B0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C077C77"/>
    <w:multiLevelType w:val="multilevel"/>
    <w:tmpl w:val="6BBED1B4"/>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5252722"/>
    <w:multiLevelType w:val="multilevel"/>
    <w:tmpl w:val="E1CC090E"/>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69677E1"/>
    <w:multiLevelType w:val="hybridMultilevel"/>
    <w:tmpl w:val="DC4A9038"/>
    <w:lvl w:ilvl="0" w:tplc="5FDE5E40">
      <w:start w:val="1"/>
      <w:numFmt w:val="decimal"/>
      <w:lvlText w:val="%1."/>
      <w:lvlJc w:val="left"/>
      <w:pPr>
        <w:ind w:left="360" w:hanging="360"/>
      </w:pPr>
      <w:rPr>
        <w:rFonts w:hint="default"/>
        <w:b w:val="0"/>
        <w:bCs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E7874E4"/>
    <w:multiLevelType w:val="hybridMultilevel"/>
    <w:tmpl w:val="651EC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4A60D5"/>
    <w:multiLevelType w:val="hybridMultilevel"/>
    <w:tmpl w:val="E11EEF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50D567F"/>
    <w:multiLevelType w:val="multilevel"/>
    <w:tmpl w:val="0988FA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77845A52"/>
    <w:multiLevelType w:val="multilevel"/>
    <w:tmpl w:val="0150A57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7A304B79"/>
    <w:multiLevelType w:val="multilevel"/>
    <w:tmpl w:val="610472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0"/>
  </w:num>
  <w:num w:numId="3">
    <w:abstractNumId w:val="1"/>
  </w:num>
  <w:num w:numId="4">
    <w:abstractNumId w:val="12"/>
  </w:num>
  <w:num w:numId="5">
    <w:abstractNumId w:val="9"/>
  </w:num>
  <w:num w:numId="6">
    <w:abstractNumId w:val="2"/>
  </w:num>
  <w:num w:numId="7">
    <w:abstractNumId w:val="3"/>
  </w:num>
  <w:num w:numId="8">
    <w:abstractNumId w:val="7"/>
  </w:num>
  <w:num w:numId="9">
    <w:abstractNumId w:val="5"/>
  </w:num>
  <w:num w:numId="10">
    <w:abstractNumId w:val="4"/>
  </w:num>
  <w:num w:numId="11">
    <w:abstractNumId w:val="6"/>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rQwMDa2MDMxNTcxtTBT0lEKTi0uzszPAykwqgUALih0mSwAAAA="/>
  </w:docVars>
  <w:rsids>
    <w:rsidRoot w:val="007F7F72"/>
    <w:rsid w:val="000009A3"/>
    <w:rsid w:val="00005BF4"/>
    <w:rsid w:val="000066F6"/>
    <w:rsid w:val="0000719E"/>
    <w:rsid w:val="00007621"/>
    <w:rsid w:val="00007E0C"/>
    <w:rsid w:val="0001168E"/>
    <w:rsid w:val="00012520"/>
    <w:rsid w:val="00012730"/>
    <w:rsid w:val="0001358D"/>
    <w:rsid w:val="00013770"/>
    <w:rsid w:val="00016153"/>
    <w:rsid w:val="000172A1"/>
    <w:rsid w:val="000208C9"/>
    <w:rsid w:val="00020B85"/>
    <w:rsid w:val="00024397"/>
    <w:rsid w:val="00025FCC"/>
    <w:rsid w:val="0003117B"/>
    <w:rsid w:val="00031CF3"/>
    <w:rsid w:val="0003650A"/>
    <w:rsid w:val="00036867"/>
    <w:rsid w:val="00037AEC"/>
    <w:rsid w:val="00040228"/>
    <w:rsid w:val="000444C8"/>
    <w:rsid w:val="00045FCA"/>
    <w:rsid w:val="0005259A"/>
    <w:rsid w:val="0005697A"/>
    <w:rsid w:val="00057EA5"/>
    <w:rsid w:val="00061311"/>
    <w:rsid w:val="00062582"/>
    <w:rsid w:val="00062916"/>
    <w:rsid w:val="000677BD"/>
    <w:rsid w:val="000711D2"/>
    <w:rsid w:val="00072B20"/>
    <w:rsid w:val="00074200"/>
    <w:rsid w:val="00077AAD"/>
    <w:rsid w:val="00080385"/>
    <w:rsid w:val="0008138C"/>
    <w:rsid w:val="00081845"/>
    <w:rsid w:val="00082D77"/>
    <w:rsid w:val="00082EE9"/>
    <w:rsid w:val="0008402E"/>
    <w:rsid w:val="00086814"/>
    <w:rsid w:val="00087487"/>
    <w:rsid w:val="00087F4B"/>
    <w:rsid w:val="00090ED7"/>
    <w:rsid w:val="000941DE"/>
    <w:rsid w:val="000945D2"/>
    <w:rsid w:val="00094BAB"/>
    <w:rsid w:val="00095C35"/>
    <w:rsid w:val="000A2CDB"/>
    <w:rsid w:val="000A3893"/>
    <w:rsid w:val="000A5F3E"/>
    <w:rsid w:val="000A607F"/>
    <w:rsid w:val="000A676D"/>
    <w:rsid w:val="000A72D7"/>
    <w:rsid w:val="000A7EC5"/>
    <w:rsid w:val="000B0310"/>
    <w:rsid w:val="000B050C"/>
    <w:rsid w:val="000B1F8E"/>
    <w:rsid w:val="000B20D5"/>
    <w:rsid w:val="000B2AE6"/>
    <w:rsid w:val="000B415D"/>
    <w:rsid w:val="000B52F5"/>
    <w:rsid w:val="000B54C3"/>
    <w:rsid w:val="000B564A"/>
    <w:rsid w:val="000C0BF3"/>
    <w:rsid w:val="000C127A"/>
    <w:rsid w:val="000C1BDF"/>
    <w:rsid w:val="000C2157"/>
    <w:rsid w:val="000C2851"/>
    <w:rsid w:val="000C2D92"/>
    <w:rsid w:val="000C362F"/>
    <w:rsid w:val="000C36C0"/>
    <w:rsid w:val="000C409C"/>
    <w:rsid w:val="000C639C"/>
    <w:rsid w:val="000C6F06"/>
    <w:rsid w:val="000D0ECE"/>
    <w:rsid w:val="000D4399"/>
    <w:rsid w:val="000D557F"/>
    <w:rsid w:val="000D59E7"/>
    <w:rsid w:val="000D7769"/>
    <w:rsid w:val="000E21A7"/>
    <w:rsid w:val="000E2648"/>
    <w:rsid w:val="000E2E0F"/>
    <w:rsid w:val="000E32EE"/>
    <w:rsid w:val="000E34C6"/>
    <w:rsid w:val="000E36BE"/>
    <w:rsid w:val="000E430C"/>
    <w:rsid w:val="000E44D2"/>
    <w:rsid w:val="000E5389"/>
    <w:rsid w:val="000E5CA9"/>
    <w:rsid w:val="000E63D9"/>
    <w:rsid w:val="000E791B"/>
    <w:rsid w:val="000F0454"/>
    <w:rsid w:val="000F3222"/>
    <w:rsid w:val="000F35BC"/>
    <w:rsid w:val="000F4D3F"/>
    <w:rsid w:val="000F53C0"/>
    <w:rsid w:val="000F5D27"/>
    <w:rsid w:val="00101629"/>
    <w:rsid w:val="00104DEF"/>
    <w:rsid w:val="0010533C"/>
    <w:rsid w:val="00105FEA"/>
    <w:rsid w:val="0010778D"/>
    <w:rsid w:val="001113D3"/>
    <w:rsid w:val="001135D7"/>
    <w:rsid w:val="0011629D"/>
    <w:rsid w:val="00120A9A"/>
    <w:rsid w:val="00120E22"/>
    <w:rsid w:val="0012128A"/>
    <w:rsid w:val="00122F60"/>
    <w:rsid w:val="0012331F"/>
    <w:rsid w:val="001263E0"/>
    <w:rsid w:val="0012745D"/>
    <w:rsid w:val="00127BEB"/>
    <w:rsid w:val="001306BD"/>
    <w:rsid w:val="00133661"/>
    <w:rsid w:val="00133F64"/>
    <w:rsid w:val="00134261"/>
    <w:rsid w:val="001357A4"/>
    <w:rsid w:val="001378B8"/>
    <w:rsid w:val="001378BB"/>
    <w:rsid w:val="00144E03"/>
    <w:rsid w:val="00145860"/>
    <w:rsid w:val="00147C53"/>
    <w:rsid w:val="00150AC4"/>
    <w:rsid w:val="00151291"/>
    <w:rsid w:val="00152713"/>
    <w:rsid w:val="0015301F"/>
    <w:rsid w:val="00155283"/>
    <w:rsid w:val="001552FB"/>
    <w:rsid w:val="00155EEC"/>
    <w:rsid w:val="001604E1"/>
    <w:rsid w:val="00161FDB"/>
    <w:rsid w:val="00163C2B"/>
    <w:rsid w:val="001648C0"/>
    <w:rsid w:val="0016535B"/>
    <w:rsid w:val="00167377"/>
    <w:rsid w:val="00167463"/>
    <w:rsid w:val="00170175"/>
    <w:rsid w:val="00171428"/>
    <w:rsid w:val="001728A3"/>
    <w:rsid w:val="001734BE"/>
    <w:rsid w:val="00174B09"/>
    <w:rsid w:val="00177AB8"/>
    <w:rsid w:val="00182EF4"/>
    <w:rsid w:val="001834C0"/>
    <w:rsid w:val="00184940"/>
    <w:rsid w:val="001877D4"/>
    <w:rsid w:val="00187857"/>
    <w:rsid w:val="0019094A"/>
    <w:rsid w:val="00191AA6"/>
    <w:rsid w:val="001925DD"/>
    <w:rsid w:val="001931EC"/>
    <w:rsid w:val="00193E54"/>
    <w:rsid w:val="001947CB"/>
    <w:rsid w:val="001952DA"/>
    <w:rsid w:val="0019754D"/>
    <w:rsid w:val="001A4642"/>
    <w:rsid w:val="001A5543"/>
    <w:rsid w:val="001A56C1"/>
    <w:rsid w:val="001A64EB"/>
    <w:rsid w:val="001A7CE9"/>
    <w:rsid w:val="001B0410"/>
    <w:rsid w:val="001B2991"/>
    <w:rsid w:val="001B4AB6"/>
    <w:rsid w:val="001B7522"/>
    <w:rsid w:val="001B7BF1"/>
    <w:rsid w:val="001B7C77"/>
    <w:rsid w:val="001C39C9"/>
    <w:rsid w:val="001C4276"/>
    <w:rsid w:val="001C51AB"/>
    <w:rsid w:val="001C70B4"/>
    <w:rsid w:val="001D0A0D"/>
    <w:rsid w:val="001D275B"/>
    <w:rsid w:val="001D2C85"/>
    <w:rsid w:val="001D5943"/>
    <w:rsid w:val="001E1CC9"/>
    <w:rsid w:val="001E2545"/>
    <w:rsid w:val="001E2C0D"/>
    <w:rsid w:val="001E3298"/>
    <w:rsid w:val="001E3459"/>
    <w:rsid w:val="001E4B51"/>
    <w:rsid w:val="001E62E0"/>
    <w:rsid w:val="001F16FF"/>
    <w:rsid w:val="001F1FA8"/>
    <w:rsid w:val="001F42C7"/>
    <w:rsid w:val="001F4844"/>
    <w:rsid w:val="001F5A3B"/>
    <w:rsid w:val="001F60C8"/>
    <w:rsid w:val="001F75B4"/>
    <w:rsid w:val="0020092F"/>
    <w:rsid w:val="002025B7"/>
    <w:rsid w:val="00202AB6"/>
    <w:rsid w:val="00203176"/>
    <w:rsid w:val="002044A4"/>
    <w:rsid w:val="002054E9"/>
    <w:rsid w:val="00205B79"/>
    <w:rsid w:val="00211027"/>
    <w:rsid w:val="002120F3"/>
    <w:rsid w:val="00212538"/>
    <w:rsid w:val="002126AA"/>
    <w:rsid w:val="00212DEC"/>
    <w:rsid w:val="0021331B"/>
    <w:rsid w:val="002133DB"/>
    <w:rsid w:val="002140CF"/>
    <w:rsid w:val="002140ED"/>
    <w:rsid w:val="002146B2"/>
    <w:rsid w:val="002150E8"/>
    <w:rsid w:val="00216212"/>
    <w:rsid w:val="002176CF"/>
    <w:rsid w:val="00217E7D"/>
    <w:rsid w:val="0022195B"/>
    <w:rsid w:val="00223B38"/>
    <w:rsid w:val="00225A07"/>
    <w:rsid w:val="00232C2A"/>
    <w:rsid w:val="00233D8A"/>
    <w:rsid w:val="00234B03"/>
    <w:rsid w:val="00234C15"/>
    <w:rsid w:val="00235446"/>
    <w:rsid w:val="0023546B"/>
    <w:rsid w:val="0023613F"/>
    <w:rsid w:val="00237512"/>
    <w:rsid w:val="002375FB"/>
    <w:rsid w:val="00237E8B"/>
    <w:rsid w:val="00240733"/>
    <w:rsid w:val="00240C62"/>
    <w:rsid w:val="002425ED"/>
    <w:rsid w:val="00242C65"/>
    <w:rsid w:val="00245260"/>
    <w:rsid w:val="002508A2"/>
    <w:rsid w:val="00251679"/>
    <w:rsid w:val="002552EB"/>
    <w:rsid w:val="002554A6"/>
    <w:rsid w:val="0025750B"/>
    <w:rsid w:val="00264C16"/>
    <w:rsid w:val="00264CA7"/>
    <w:rsid w:val="00264DC3"/>
    <w:rsid w:val="0027095B"/>
    <w:rsid w:val="00272AEC"/>
    <w:rsid w:val="00273C78"/>
    <w:rsid w:val="00274895"/>
    <w:rsid w:val="00274B36"/>
    <w:rsid w:val="00277C70"/>
    <w:rsid w:val="0028072E"/>
    <w:rsid w:val="002847A2"/>
    <w:rsid w:val="00290D39"/>
    <w:rsid w:val="00291295"/>
    <w:rsid w:val="00293193"/>
    <w:rsid w:val="00293C31"/>
    <w:rsid w:val="00293D06"/>
    <w:rsid w:val="002952D5"/>
    <w:rsid w:val="00295F1B"/>
    <w:rsid w:val="002961C2"/>
    <w:rsid w:val="002A065A"/>
    <w:rsid w:val="002A1515"/>
    <w:rsid w:val="002A3585"/>
    <w:rsid w:val="002A51D7"/>
    <w:rsid w:val="002B391B"/>
    <w:rsid w:val="002B6671"/>
    <w:rsid w:val="002B6B48"/>
    <w:rsid w:val="002B7B57"/>
    <w:rsid w:val="002C07A6"/>
    <w:rsid w:val="002C0BC0"/>
    <w:rsid w:val="002C52BC"/>
    <w:rsid w:val="002D102F"/>
    <w:rsid w:val="002D2862"/>
    <w:rsid w:val="002D2A48"/>
    <w:rsid w:val="002D50E7"/>
    <w:rsid w:val="002E0493"/>
    <w:rsid w:val="002E0A37"/>
    <w:rsid w:val="002E1FFB"/>
    <w:rsid w:val="002E249E"/>
    <w:rsid w:val="002E2500"/>
    <w:rsid w:val="002E3A9A"/>
    <w:rsid w:val="002E4585"/>
    <w:rsid w:val="002E546B"/>
    <w:rsid w:val="002E6108"/>
    <w:rsid w:val="002E619D"/>
    <w:rsid w:val="002E6477"/>
    <w:rsid w:val="002F0669"/>
    <w:rsid w:val="002F2521"/>
    <w:rsid w:val="002F25B3"/>
    <w:rsid w:val="002F45F9"/>
    <w:rsid w:val="002F65BE"/>
    <w:rsid w:val="003004DD"/>
    <w:rsid w:val="00300FF1"/>
    <w:rsid w:val="003014D5"/>
    <w:rsid w:val="00302082"/>
    <w:rsid w:val="00304F2E"/>
    <w:rsid w:val="00306288"/>
    <w:rsid w:val="003065F0"/>
    <w:rsid w:val="003070D4"/>
    <w:rsid w:val="00310440"/>
    <w:rsid w:val="00313880"/>
    <w:rsid w:val="00314CA5"/>
    <w:rsid w:val="00316E20"/>
    <w:rsid w:val="003205BF"/>
    <w:rsid w:val="003218A6"/>
    <w:rsid w:val="00321F88"/>
    <w:rsid w:val="00322757"/>
    <w:rsid w:val="00325183"/>
    <w:rsid w:val="003279E6"/>
    <w:rsid w:val="00327A0C"/>
    <w:rsid w:val="00327F7C"/>
    <w:rsid w:val="00332468"/>
    <w:rsid w:val="00333E9A"/>
    <w:rsid w:val="003345A1"/>
    <w:rsid w:val="00334925"/>
    <w:rsid w:val="003376EE"/>
    <w:rsid w:val="00340D83"/>
    <w:rsid w:val="003431D6"/>
    <w:rsid w:val="003439E1"/>
    <w:rsid w:val="0034401D"/>
    <w:rsid w:val="003444B6"/>
    <w:rsid w:val="00347171"/>
    <w:rsid w:val="003471FA"/>
    <w:rsid w:val="00347F15"/>
    <w:rsid w:val="00352409"/>
    <w:rsid w:val="00354E95"/>
    <w:rsid w:val="00356F60"/>
    <w:rsid w:val="0035757B"/>
    <w:rsid w:val="00366BB2"/>
    <w:rsid w:val="003674A8"/>
    <w:rsid w:val="00367F8D"/>
    <w:rsid w:val="00373AE6"/>
    <w:rsid w:val="00375418"/>
    <w:rsid w:val="003758EC"/>
    <w:rsid w:val="0037610D"/>
    <w:rsid w:val="003773C4"/>
    <w:rsid w:val="0037763D"/>
    <w:rsid w:val="00377C1A"/>
    <w:rsid w:val="00380F32"/>
    <w:rsid w:val="003839E8"/>
    <w:rsid w:val="00386002"/>
    <w:rsid w:val="003860BC"/>
    <w:rsid w:val="00387E98"/>
    <w:rsid w:val="00390217"/>
    <w:rsid w:val="00390229"/>
    <w:rsid w:val="00395897"/>
    <w:rsid w:val="003976CC"/>
    <w:rsid w:val="00397E31"/>
    <w:rsid w:val="003A0D86"/>
    <w:rsid w:val="003A17FE"/>
    <w:rsid w:val="003A2E36"/>
    <w:rsid w:val="003A34FB"/>
    <w:rsid w:val="003A418A"/>
    <w:rsid w:val="003A4521"/>
    <w:rsid w:val="003B0BBA"/>
    <w:rsid w:val="003B1156"/>
    <w:rsid w:val="003B22CF"/>
    <w:rsid w:val="003B23E4"/>
    <w:rsid w:val="003B2797"/>
    <w:rsid w:val="003B47BA"/>
    <w:rsid w:val="003B6501"/>
    <w:rsid w:val="003B6DD6"/>
    <w:rsid w:val="003C0BC9"/>
    <w:rsid w:val="003C11CF"/>
    <w:rsid w:val="003C2D20"/>
    <w:rsid w:val="003C3CD6"/>
    <w:rsid w:val="003C41CD"/>
    <w:rsid w:val="003C469A"/>
    <w:rsid w:val="003C566B"/>
    <w:rsid w:val="003C6446"/>
    <w:rsid w:val="003C7C55"/>
    <w:rsid w:val="003D315D"/>
    <w:rsid w:val="003D3E27"/>
    <w:rsid w:val="003D4190"/>
    <w:rsid w:val="003D5C62"/>
    <w:rsid w:val="003D6215"/>
    <w:rsid w:val="003D66AF"/>
    <w:rsid w:val="003D6D0B"/>
    <w:rsid w:val="003E0893"/>
    <w:rsid w:val="003E30F8"/>
    <w:rsid w:val="003E3C44"/>
    <w:rsid w:val="003E4094"/>
    <w:rsid w:val="003E744E"/>
    <w:rsid w:val="003F03B6"/>
    <w:rsid w:val="003F653F"/>
    <w:rsid w:val="004006FA"/>
    <w:rsid w:val="00400E3B"/>
    <w:rsid w:val="004055E0"/>
    <w:rsid w:val="00406419"/>
    <w:rsid w:val="00411455"/>
    <w:rsid w:val="00411F70"/>
    <w:rsid w:val="004126C8"/>
    <w:rsid w:val="004135D6"/>
    <w:rsid w:val="00413BF5"/>
    <w:rsid w:val="004156EF"/>
    <w:rsid w:val="00416111"/>
    <w:rsid w:val="00416C26"/>
    <w:rsid w:val="00416C71"/>
    <w:rsid w:val="00416DC3"/>
    <w:rsid w:val="00417EBA"/>
    <w:rsid w:val="004201BF"/>
    <w:rsid w:val="004220B1"/>
    <w:rsid w:val="00422EC4"/>
    <w:rsid w:val="004241AB"/>
    <w:rsid w:val="00424588"/>
    <w:rsid w:val="00431317"/>
    <w:rsid w:val="00433DED"/>
    <w:rsid w:val="0043679C"/>
    <w:rsid w:val="00440145"/>
    <w:rsid w:val="004409E5"/>
    <w:rsid w:val="00441019"/>
    <w:rsid w:val="00441159"/>
    <w:rsid w:val="004422E4"/>
    <w:rsid w:val="00444E07"/>
    <w:rsid w:val="00446C06"/>
    <w:rsid w:val="004471D7"/>
    <w:rsid w:val="00450A5C"/>
    <w:rsid w:val="004514C5"/>
    <w:rsid w:val="00452A2A"/>
    <w:rsid w:val="00453E81"/>
    <w:rsid w:val="00453EE3"/>
    <w:rsid w:val="004568CE"/>
    <w:rsid w:val="0045789E"/>
    <w:rsid w:val="004609D2"/>
    <w:rsid w:val="0046117E"/>
    <w:rsid w:val="00463729"/>
    <w:rsid w:val="00464D36"/>
    <w:rsid w:val="00464DB5"/>
    <w:rsid w:val="004654E4"/>
    <w:rsid w:val="00465534"/>
    <w:rsid w:val="00465C1F"/>
    <w:rsid w:val="00467D19"/>
    <w:rsid w:val="004709B3"/>
    <w:rsid w:val="0047178D"/>
    <w:rsid w:val="00474598"/>
    <w:rsid w:val="00476224"/>
    <w:rsid w:val="00477331"/>
    <w:rsid w:val="0048035E"/>
    <w:rsid w:val="00481392"/>
    <w:rsid w:val="004823B9"/>
    <w:rsid w:val="00482ED4"/>
    <w:rsid w:val="00483439"/>
    <w:rsid w:val="00485B53"/>
    <w:rsid w:val="004862D1"/>
    <w:rsid w:val="00487BF1"/>
    <w:rsid w:val="00492EDD"/>
    <w:rsid w:val="00494161"/>
    <w:rsid w:val="0049764B"/>
    <w:rsid w:val="004A01BD"/>
    <w:rsid w:val="004A1E3F"/>
    <w:rsid w:val="004A203A"/>
    <w:rsid w:val="004A34CE"/>
    <w:rsid w:val="004A3B5B"/>
    <w:rsid w:val="004A5547"/>
    <w:rsid w:val="004B02C3"/>
    <w:rsid w:val="004B03CC"/>
    <w:rsid w:val="004B52EC"/>
    <w:rsid w:val="004B75BE"/>
    <w:rsid w:val="004C321B"/>
    <w:rsid w:val="004C414A"/>
    <w:rsid w:val="004C67E6"/>
    <w:rsid w:val="004D2AED"/>
    <w:rsid w:val="004D4184"/>
    <w:rsid w:val="004D7891"/>
    <w:rsid w:val="004D7F86"/>
    <w:rsid w:val="004E0E81"/>
    <w:rsid w:val="004E1BC8"/>
    <w:rsid w:val="004E1E16"/>
    <w:rsid w:val="004E2D52"/>
    <w:rsid w:val="004E3839"/>
    <w:rsid w:val="004E3F92"/>
    <w:rsid w:val="004E4A22"/>
    <w:rsid w:val="004E5BB8"/>
    <w:rsid w:val="004E6186"/>
    <w:rsid w:val="004F03FD"/>
    <w:rsid w:val="004F130B"/>
    <w:rsid w:val="004F1CF4"/>
    <w:rsid w:val="004F34AD"/>
    <w:rsid w:val="004F3BCA"/>
    <w:rsid w:val="004F3CE5"/>
    <w:rsid w:val="004F7D9C"/>
    <w:rsid w:val="005005D7"/>
    <w:rsid w:val="00501057"/>
    <w:rsid w:val="00502051"/>
    <w:rsid w:val="005031DE"/>
    <w:rsid w:val="005039CC"/>
    <w:rsid w:val="00507038"/>
    <w:rsid w:val="00507108"/>
    <w:rsid w:val="0050740A"/>
    <w:rsid w:val="0051010F"/>
    <w:rsid w:val="0051022F"/>
    <w:rsid w:val="0051138E"/>
    <w:rsid w:val="00511D10"/>
    <w:rsid w:val="00512855"/>
    <w:rsid w:val="00512C58"/>
    <w:rsid w:val="00514434"/>
    <w:rsid w:val="00515AA3"/>
    <w:rsid w:val="00515B49"/>
    <w:rsid w:val="00516DDB"/>
    <w:rsid w:val="005210EE"/>
    <w:rsid w:val="005235CA"/>
    <w:rsid w:val="00525493"/>
    <w:rsid w:val="005276B2"/>
    <w:rsid w:val="00530063"/>
    <w:rsid w:val="00530EE3"/>
    <w:rsid w:val="00530F91"/>
    <w:rsid w:val="00531A2B"/>
    <w:rsid w:val="00533FE6"/>
    <w:rsid w:val="0053468E"/>
    <w:rsid w:val="0053671B"/>
    <w:rsid w:val="00536726"/>
    <w:rsid w:val="00536E22"/>
    <w:rsid w:val="005416C9"/>
    <w:rsid w:val="00546C9E"/>
    <w:rsid w:val="00551F74"/>
    <w:rsid w:val="005522B7"/>
    <w:rsid w:val="005525E8"/>
    <w:rsid w:val="00552992"/>
    <w:rsid w:val="0055480D"/>
    <w:rsid w:val="005551A4"/>
    <w:rsid w:val="0055552D"/>
    <w:rsid w:val="00555AC6"/>
    <w:rsid w:val="00555EEA"/>
    <w:rsid w:val="00561625"/>
    <w:rsid w:val="00562B28"/>
    <w:rsid w:val="00563F2D"/>
    <w:rsid w:val="005642E7"/>
    <w:rsid w:val="00564EA4"/>
    <w:rsid w:val="00565A32"/>
    <w:rsid w:val="00566739"/>
    <w:rsid w:val="005678B3"/>
    <w:rsid w:val="005724F3"/>
    <w:rsid w:val="00572CB2"/>
    <w:rsid w:val="0058093D"/>
    <w:rsid w:val="005817DB"/>
    <w:rsid w:val="00586BD7"/>
    <w:rsid w:val="005915EC"/>
    <w:rsid w:val="005931E2"/>
    <w:rsid w:val="0059381C"/>
    <w:rsid w:val="00594B1B"/>
    <w:rsid w:val="0059555D"/>
    <w:rsid w:val="00595F3C"/>
    <w:rsid w:val="00596922"/>
    <w:rsid w:val="00597A8C"/>
    <w:rsid w:val="005A0EDC"/>
    <w:rsid w:val="005A3872"/>
    <w:rsid w:val="005A54F5"/>
    <w:rsid w:val="005A5892"/>
    <w:rsid w:val="005A5F22"/>
    <w:rsid w:val="005A648F"/>
    <w:rsid w:val="005B04C6"/>
    <w:rsid w:val="005B3FF9"/>
    <w:rsid w:val="005B4722"/>
    <w:rsid w:val="005B6597"/>
    <w:rsid w:val="005B7B7B"/>
    <w:rsid w:val="005B7DBA"/>
    <w:rsid w:val="005C0653"/>
    <w:rsid w:val="005C0BB4"/>
    <w:rsid w:val="005C210C"/>
    <w:rsid w:val="005C3C35"/>
    <w:rsid w:val="005C3EBC"/>
    <w:rsid w:val="005C66D1"/>
    <w:rsid w:val="005C7A61"/>
    <w:rsid w:val="005D0001"/>
    <w:rsid w:val="005D0B5B"/>
    <w:rsid w:val="005D14CA"/>
    <w:rsid w:val="005D249B"/>
    <w:rsid w:val="005D5BC6"/>
    <w:rsid w:val="005D762E"/>
    <w:rsid w:val="005E0A00"/>
    <w:rsid w:val="005E0F83"/>
    <w:rsid w:val="005E29EF"/>
    <w:rsid w:val="005E2AE8"/>
    <w:rsid w:val="005E2DDB"/>
    <w:rsid w:val="005E75D2"/>
    <w:rsid w:val="005F0B9D"/>
    <w:rsid w:val="005F11C6"/>
    <w:rsid w:val="005F4C31"/>
    <w:rsid w:val="005F4D5A"/>
    <w:rsid w:val="005F5F4D"/>
    <w:rsid w:val="005F707C"/>
    <w:rsid w:val="00600599"/>
    <w:rsid w:val="0060171D"/>
    <w:rsid w:val="00601EA5"/>
    <w:rsid w:val="00602D0F"/>
    <w:rsid w:val="00603037"/>
    <w:rsid w:val="00607173"/>
    <w:rsid w:val="00607EE4"/>
    <w:rsid w:val="00610FB6"/>
    <w:rsid w:val="0061195F"/>
    <w:rsid w:val="006147E2"/>
    <w:rsid w:val="00617A4B"/>
    <w:rsid w:val="00617AF9"/>
    <w:rsid w:val="0062213C"/>
    <w:rsid w:val="0062387C"/>
    <w:rsid w:val="0062524E"/>
    <w:rsid w:val="00625B52"/>
    <w:rsid w:val="00627127"/>
    <w:rsid w:val="00630A9A"/>
    <w:rsid w:val="00634485"/>
    <w:rsid w:val="00640ADD"/>
    <w:rsid w:val="00640CB0"/>
    <w:rsid w:val="00641D07"/>
    <w:rsid w:val="00641E5B"/>
    <w:rsid w:val="00642E52"/>
    <w:rsid w:val="00643A4A"/>
    <w:rsid w:val="00644262"/>
    <w:rsid w:val="00644A72"/>
    <w:rsid w:val="00646260"/>
    <w:rsid w:val="00647458"/>
    <w:rsid w:val="0065109F"/>
    <w:rsid w:val="00653F26"/>
    <w:rsid w:val="006573E9"/>
    <w:rsid w:val="0066070F"/>
    <w:rsid w:val="006609DA"/>
    <w:rsid w:val="0066329A"/>
    <w:rsid w:val="00663309"/>
    <w:rsid w:val="00663E72"/>
    <w:rsid w:val="00665B2E"/>
    <w:rsid w:val="0066736C"/>
    <w:rsid w:val="00667BAC"/>
    <w:rsid w:val="0067085C"/>
    <w:rsid w:val="00675B4D"/>
    <w:rsid w:val="0068096A"/>
    <w:rsid w:val="006815F6"/>
    <w:rsid w:val="00683DE3"/>
    <w:rsid w:val="00684259"/>
    <w:rsid w:val="00686390"/>
    <w:rsid w:val="00686AF1"/>
    <w:rsid w:val="00687163"/>
    <w:rsid w:val="00687D92"/>
    <w:rsid w:val="00690049"/>
    <w:rsid w:val="0069198E"/>
    <w:rsid w:val="00692697"/>
    <w:rsid w:val="006927CD"/>
    <w:rsid w:val="00692B12"/>
    <w:rsid w:val="00693B91"/>
    <w:rsid w:val="00695446"/>
    <w:rsid w:val="00696E25"/>
    <w:rsid w:val="00697E12"/>
    <w:rsid w:val="006A08DD"/>
    <w:rsid w:val="006A0C88"/>
    <w:rsid w:val="006A3C2B"/>
    <w:rsid w:val="006A44BA"/>
    <w:rsid w:val="006A5520"/>
    <w:rsid w:val="006B1A32"/>
    <w:rsid w:val="006B3A04"/>
    <w:rsid w:val="006B4791"/>
    <w:rsid w:val="006B4D3D"/>
    <w:rsid w:val="006B56FA"/>
    <w:rsid w:val="006B64E6"/>
    <w:rsid w:val="006B7C54"/>
    <w:rsid w:val="006C1C6E"/>
    <w:rsid w:val="006C629B"/>
    <w:rsid w:val="006C7434"/>
    <w:rsid w:val="006D1873"/>
    <w:rsid w:val="006D19B6"/>
    <w:rsid w:val="006D1F6B"/>
    <w:rsid w:val="006D200B"/>
    <w:rsid w:val="006D3B55"/>
    <w:rsid w:val="006D5AAC"/>
    <w:rsid w:val="006D5EC6"/>
    <w:rsid w:val="006D5F7A"/>
    <w:rsid w:val="006D60FA"/>
    <w:rsid w:val="006E1AE9"/>
    <w:rsid w:val="006E2B7E"/>
    <w:rsid w:val="006E485B"/>
    <w:rsid w:val="006E48FA"/>
    <w:rsid w:val="006F17F8"/>
    <w:rsid w:val="006F24DA"/>
    <w:rsid w:val="006F59DF"/>
    <w:rsid w:val="006F6392"/>
    <w:rsid w:val="006F6A1D"/>
    <w:rsid w:val="007012B7"/>
    <w:rsid w:val="00701730"/>
    <w:rsid w:val="00702BCE"/>
    <w:rsid w:val="007039EE"/>
    <w:rsid w:val="00705C6F"/>
    <w:rsid w:val="00705F65"/>
    <w:rsid w:val="007061E8"/>
    <w:rsid w:val="00710966"/>
    <w:rsid w:val="0071149A"/>
    <w:rsid w:val="0071239E"/>
    <w:rsid w:val="00712EE8"/>
    <w:rsid w:val="00724544"/>
    <w:rsid w:val="00725F1A"/>
    <w:rsid w:val="007262E4"/>
    <w:rsid w:val="00726DBB"/>
    <w:rsid w:val="00730A21"/>
    <w:rsid w:val="00730E63"/>
    <w:rsid w:val="00733E58"/>
    <w:rsid w:val="00734E0B"/>
    <w:rsid w:val="007356EE"/>
    <w:rsid w:val="007414E7"/>
    <w:rsid w:val="00741705"/>
    <w:rsid w:val="00742D66"/>
    <w:rsid w:val="00743B0E"/>
    <w:rsid w:val="0074433B"/>
    <w:rsid w:val="0074484E"/>
    <w:rsid w:val="00745CB9"/>
    <w:rsid w:val="00746F17"/>
    <w:rsid w:val="00747B85"/>
    <w:rsid w:val="00747BA5"/>
    <w:rsid w:val="00750E7A"/>
    <w:rsid w:val="007513F8"/>
    <w:rsid w:val="0075238F"/>
    <w:rsid w:val="00753213"/>
    <w:rsid w:val="0075362F"/>
    <w:rsid w:val="0075526E"/>
    <w:rsid w:val="007574C4"/>
    <w:rsid w:val="00762C70"/>
    <w:rsid w:val="007673C8"/>
    <w:rsid w:val="007729DC"/>
    <w:rsid w:val="0077603C"/>
    <w:rsid w:val="007806BB"/>
    <w:rsid w:val="00782CCF"/>
    <w:rsid w:val="00783AC9"/>
    <w:rsid w:val="00783B2E"/>
    <w:rsid w:val="00795DCD"/>
    <w:rsid w:val="00797115"/>
    <w:rsid w:val="007A0190"/>
    <w:rsid w:val="007A1728"/>
    <w:rsid w:val="007A18FE"/>
    <w:rsid w:val="007A39B7"/>
    <w:rsid w:val="007A3C04"/>
    <w:rsid w:val="007A71AA"/>
    <w:rsid w:val="007B01DD"/>
    <w:rsid w:val="007B0540"/>
    <w:rsid w:val="007B0F2C"/>
    <w:rsid w:val="007B10B2"/>
    <w:rsid w:val="007B115E"/>
    <w:rsid w:val="007B12E0"/>
    <w:rsid w:val="007B2059"/>
    <w:rsid w:val="007B3662"/>
    <w:rsid w:val="007B3B46"/>
    <w:rsid w:val="007B4933"/>
    <w:rsid w:val="007B617D"/>
    <w:rsid w:val="007B7E26"/>
    <w:rsid w:val="007C4E5D"/>
    <w:rsid w:val="007C51E6"/>
    <w:rsid w:val="007C5DA9"/>
    <w:rsid w:val="007C6707"/>
    <w:rsid w:val="007D070E"/>
    <w:rsid w:val="007D15E4"/>
    <w:rsid w:val="007D1B7C"/>
    <w:rsid w:val="007D225B"/>
    <w:rsid w:val="007D3687"/>
    <w:rsid w:val="007D3E0D"/>
    <w:rsid w:val="007D494D"/>
    <w:rsid w:val="007E0330"/>
    <w:rsid w:val="007E2119"/>
    <w:rsid w:val="007E3392"/>
    <w:rsid w:val="007E5E11"/>
    <w:rsid w:val="007E6134"/>
    <w:rsid w:val="007E6905"/>
    <w:rsid w:val="007E6E49"/>
    <w:rsid w:val="007E7F92"/>
    <w:rsid w:val="007F0207"/>
    <w:rsid w:val="007F1BEC"/>
    <w:rsid w:val="007F6FC0"/>
    <w:rsid w:val="007F71CB"/>
    <w:rsid w:val="007F7F72"/>
    <w:rsid w:val="00801B78"/>
    <w:rsid w:val="00802591"/>
    <w:rsid w:val="00803B9A"/>
    <w:rsid w:val="008042BA"/>
    <w:rsid w:val="00804CC4"/>
    <w:rsid w:val="00805596"/>
    <w:rsid w:val="00807631"/>
    <w:rsid w:val="00812398"/>
    <w:rsid w:val="00816522"/>
    <w:rsid w:val="008165F3"/>
    <w:rsid w:val="0081695E"/>
    <w:rsid w:val="00821768"/>
    <w:rsid w:val="00822B76"/>
    <w:rsid w:val="00826D99"/>
    <w:rsid w:val="00830AA7"/>
    <w:rsid w:val="008324F7"/>
    <w:rsid w:val="008345FA"/>
    <w:rsid w:val="00834943"/>
    <w:rsid w:val="00836673"/>
    <w:rsid w:val="008371E1"/>
    <w:rsid w:val="00840AB1"/>
    <w:rsid w:val="00840BFA"/>
    <w:rsid w:val="00842B5A"/>
    <w:rsid w:val="00842B85"/>
    <w:rsid w:val="00843D7C"/>
    <w:rsid w:val="0084538D"/>
    <w:rsid w:val="0084609C"/>
    <w:rsid w:val="008465B0"/>
    <w:rsid w:val="00847874"/>
    <w:rsid w:val="0085170D"/>
    <w:rsid w:val="00852F53"/>
    <w:rsid w:val="00853255"/>
    <w:rsid w:val="008550A5"/>
    <w:rsid w:val="00855A89"/>
    <w:rsid w:val="00857209"/>
    <w:rsid w:val="00857567"/>
    <w:rsid w:val="0086363A"/>
    <w:rsid w:val="0086507A"/>
    <w:rsid w:val="00865777"/>
    <w:rsid w:val="00866787"/>
    <w:rsid w:val="00870697"/>
    <w:rsid w:val="00872FD0"/>
    <w:rsid w:val="00877CA6"/>
    <w:rsid w:val="00880881"/>
    <w:rsid w:val="00880C51"/>
    <w:rsid w:val="008816A6"/>
    <w:rsid w:val="00883265"/>
    <w:rsid w:val="00886A87"/>
    <w:rsid w:val="00893557"/>
    <w:rsid w:val="00895905"/>
    <w:rsid w:val="00895A61"/>
    <w:rsid w:val="00895D4B"/>
    <w:rsid w:val="008A03DD"/>
    <w:rsid w:val="008A1826"/>
    <w:rsid w:val="008A1BE2"/>
    <w:rsid w:val="008A2EE9"/>
    <w:rsid w:val="008A582D"/>
    <w:rsid w:val="008A7763"/>
    <w:rsid w:val="008A7D3D"/>
    <w:rsid w:val="008B1137"/>
    <w:rsid w:val="008B5084"/>
    <w:rsid w:val="008B6B9D"/>
    <w:rsid w:val="008B709B"/>
    <w:rsid w:val="008C16CC"/>
    <w:rsid w:val="008C274F"/>
    <w:rsid w:val="008C3558"/>
    <w:rsid w:val="008C525F"/>
    <w:rsid w:val="008C73B9"/>
    <w:rsid w:val="008D0049"/>
    <w:rsid w:val="008D5158"/>
    <w:rsid w:val="008D5A73"/>
    <w:rsid w:val="008D5D48"/>
    <w:rsid w:val="008D747E"/>
    <w:rsid w:val="008D7AAA"/>
    <w:rsid w:val="008E58A0"/>
    <w:rsid w:val="008E5EB9"/>
    <w:rsid w:val="008E7D8D"/>
    <w:rsid w:val="008F0B6D"/>
    <w:rsid w:val="008F304B"/>
    <w:rsid w:val="008F6546"/>
    <w:rsid w:val="00901998"/>
    <w:rsid w:val="00903274"/>
    <w:rsid w:val="00903840"/>
    <w:rsid w:val="00904E65"/>
    <w:rsid w:val="00905667"/>
    <w:rsid w:val="0090707C"/>
    <w:rsid w:val="00910CE1"/>
    <w:rsid w:val="00913302"/>
    <w:rsid w:val="00913CBA"/>
    <w:rsid w:val="00915929"/>
    <w:rsid w:val="00921361"/>
    <w:rsid w:val="0092503C"/>
    <w:rsid w:val="00926FD9"/>
    <w:rsid w:val="0092712E"/>
    <w:rsid w:val="00927292"/>
    <w:rsid w:val="00927458"/>
    <w:rsid w:val="009279FD"/>
    <w:rsid w:val="00930218"/>
    <w:rsid w:val="009331F0"/>
    <w:rsid w:val="009339CA"/>
    <w:rsid w:val="00935629"/>
    <w:rsid w:val="009371FF"/>
    <w:rsid w:val="00937AFF"/>
    <w:rsid w:val="009404DF"/>
    <w:rsid w:val="009419A5"/>
    <w:rsid w:val="0094481D"/>
    <w:rsid w:val="009512EF"/>
    <w:rsid w:val="00952457"/>
    <w:rsid w:val="009544DE"/>
    <w:rsid w:val="009559D6"/>
    <w:rsid w:val="00956310"/>
    <w:rsid w:val="0096355C"/>
    <w:rsid w:val="009653A7"/>
    <w:rsid w:val="00977013"/>
    <w:rsid w:val="0098016B"/>
    <w:rsid w:val="009807F4"/>
    <w:rsid w:val="00982C1E"/>
    <w:rsid w:val="0098356E"/>
    <w:rsid w:val="00984337"/>
    <w:rsid w:val="009857AD"/>
    <w:rsid w:val="00985EBD"/>
    <w:rsid w:val="00986E57"/>
    <w:rsid w:val="009871BA"/>
    <w:rsid w:val="00987841"/>
    <w:rsid w:val="00987ECE"/>
    <w:rsid w:val="00992E6C"/>
    <w:rsid w:val="00993E14"/>
    <w:rsid w:val="009943E7"/>
    <w:rsid w:val="00994AEA"/>
    <w:rsid w:val="009978FA"/>
    <w:rsid w:val="009979EB"/>
    <w:rsid w:val="009A01E5"/>
    <w:rsid w:val="009A1DC2"/>
    <w:rsid w:val="009A1E11"/>
    <w:rsid w:val="009A1E19"/>
    <w:rsid w:val="009A5337"/>
    <w:rsid w:val="009B0972"/>
    <w:rsid w:val="009B0F56"/>
    <w:rsid w:val="009B139F"/>
    <w:rsid w:val="009B231C"/>
    <w:rsid w:val="009B2442"/>
    <w:rsid w:val="009B2AE3"/>
    <w:rsid w:val="009B50BF"/>
    <w:rsid w:val="009B74DF"/>
    <w:rsid w:val="009B7CD9"/>
    <w:rsid w:val="009C0763"/>
    <w:rsid w:val="009C1C09"/>
    <w:rsid w:val="009C2166"/>
    <w:rsid w:val="009C2C52"/>
    <w:rsid w:val="009C2D4D"/>
    <w:rsid w:val="009C3380"/>
    <w:rsid w:val="009C4104"/>
    <w:rsid w:val="009C5078"/>
    <w:rsid w:val="009C5ACD"/>
    <w:rsid w:val="009C6290"/>
    <w:rsid w:val="009D28B1"/>
    <w:rsid w:val="009D33E0"/>
    <w:rsid w:val="009D3D29"/>
    <w:rsid w:val="009D4079"/>
    <w:rsid w:val="009D44E1"/>
    <w:rsid w:val="009D5864"/>
    <w:rsid w:val="009D5B90"/>
    <w:rsid w:val="009D694E"/>
    <w:rsid w:val="009E39B7"/>
    <w:rsid w:val="009E670C"/>
    <w:rsid w:val="009F04A4"/>
    <w:rsid w:val="009F187C"/>
    <w:rsid w:val="009F1AE5"/>
    <w:rsid w:val="009F20A1"/>
    <w:rsid w:val="009F27FC"/>
    <w:rsid w:val="009F31DE"/>
    <w:rsid w:val="009F3804"/>
    <w:rsid w:val="009F5928"/>
    <w:rsid w:val="009F67AF"/>
    <w:rsid w:val="009F7125"/>
    <w:rsid w:val="00A01031"/>
    <w:rsid w:val="00A012B3"/>
    <w:rsid w:val="00A02561"/>
    <w:rsid w:val="00A066EE"/>
    <w:rsid w:val="00A06A8E"/>
    <w:rsid w:val="00A10574"/>
    <w:rsid w:val="00A10BD5"/>
    <w:rsid w:val="00A1206E"/>
    <w:rsid w:val="00A13315"/>
    <w:rsid w:val="00A140C2"/>
    <w:rsid w:val="00A212F3"/>
    <w:rsid w:val="00A22279"/>
    <w:rsid w:val="00A23043"/>
    <w:rsid w:val="00A23526"/>
    <w:rsid w:val="00A24468"/>
    <w:rsid w:val="00A25ABC"/>
    <w:rsid w:val="00A260BA"/>
    <w:rsid w:val="00A32F6F"/>
    <w:rsid w:val="00A332C1"/>
    <w:rsid w:val="00A3356B"/>
    <w:rsid w:val="00A343EB"/>
    <w:rsid w:val="00A345CD"/>
    <w:rsid w:val="00A4002B"/>
    <w:rsid w:val="00A4210F"/>
    <w:rsid w:val="00A42305"/>
    <w:rsid w:val="00A425E1"/>
    <w:rsid w:val="00A42CDD"/>
    <w:rsid w:val="00A5004A"/>
    <w:rsid w:val="00A502EC"/>
    <w:rsid w:val="00A50F57"/>
    <w:rsid w:val="00A514F4"/>
    <w:rsid w:val="00A536B7"/>
    <w:rsid w:val="00A53834"/>
    <w:rsid w:val="00A54CB0"/>
    <w:rsid w:val="00A555E3"/>
    <w:rsid w:val="00A61CE6"/>
    <w:rsid w:val="00A6397B"/>
    <w:rsid w:val="00A645FC"/>
    <w:rsid w:val="00A667E0"/>
    <w:rsid w:val="00A67366"/>
    <w:rsid w:val="00A70727"/>
    <w:rsid w:val="00A71040"/>
    <w:rsid w:val="00A72C19"/>
    <w:rsid w:val="00A768DD"/>
    <w:rsid w:val="00A823E4"/>
    <w:rsid w:val="00A83049"/>
    <w:rsid w:val="00A83544"/>
    <w:rsid w:val="00A84554"/>
    <w:rsid w:val="00A846BA"/>
    <w:rsid w:val="00A850CE"/>
    <w:rsid w:val="00A85C0D"/>
    <w:rsid w:val="00A85F72"/>
    <w:rsid w:val="00A905BB"/>
    <w:rsid w:val="00A91D26"/>
    <w:rsid w:val="00A926E4"/>
    <w:rsid w:val="00A92CB2"/>
    <w:rsid w:val="00A92F07"/>
    <w:rsid w:val="00A92F33"/>
    <w:rsid w:val="00A93EAF"/>
    <w:rsid w:val="00A95678"/>
    <w:rsid w:val="00A97138"/>
    <w:rsid w:val="00A972F3"/>
    <w:rsid w:val="00A97559"/>
    <w:rsid w:val="00AA1196"/>
    <w:rsid w:val="00AA227B"/>
    <w:rsid w:val="00AA33EC"/>
    <w:rsid w:val="00AA53FB"/>
    <w:rsid w:val="00AA5596"/>
    <w:rsid w:val="00AA593A"/>
    <w:rsid w:val="00AA5A21"/>
    <w:rsid w:val="00AB3EAF"/>
    <w:rsid w:val="00AB3EEB"/>
    <w:rsid w:val="00AB5567"/>
    <w:rsid w:val="00AB6BDC"/>
    <w:rsid w:val="00AB7767"/>
    <w:rsid w:val="00AC15DF"/>
    <w:rsid w:val="00AC2636"/>
    <w:rsid w:val="00AC77A3"/>
    <w:rsid w:val="00AD0A40"/>
    <w:rsid w:val="00AD0A91"/>
    <w:rsid w:val="00AD0AAA"/>
    <w:rsid w:val="00AD313F"/>
    <w:rsid w:val="00AD4854"/>
    <w:rsid w:val="00AD5B22"/>
    <w:rsid w:val="00AD666B"/>
    <w:rsid w:val="00AE07EC"/>
    <w:rsid w:val="00AE1849"/>
    <w:rsid w:val="00AE2713"/>
    <w:rsid w:val="00AE306D"/>
    <w:rsid w:val="00AE5719"/>
    <w:rsid w:val="00AE65F3"/>
    <w:rsid w:val="00AE6DAC"/>
    <w:rsid w:val="00AE7A16"/>
    <w:rsid w:val="00AE7F49"/>
    <w:rsid w:val="00AF29FD"/>
    <w:rsid w:val="00AF2A87"/>
    <w:rsid w:val="00AF341B"/>
    <w:rsid w:val="00AF35A9"/>
    <w:rsid w:val="00AF459F"/>
    <w:rsid w:val="00AF7DAA"/>
    <w:rsid w:val="00B00F1A"/>
    <w:rsid w:val="00B02077"/>
    <w:rsid w:val="00B026FA"/>
    <w:rsid w:val="00B041D8"/>
    <w:rsid w:val="00B04960"/>
    <w:rsid w:val="00B0601D"/>
    <w:rsid w:val="00B06851"/>
    <w:rsid w:val="00B07C35"/>
    <w:rsid w:val="00B07C63"/>
    <w:rsid w:val="00B07FA9"/>
    <w:rsid w:val="00B11287"/>
    <w:rsid w:val="00B11D66"/>
    <w:rsid w:val="00B127AB"/>
    <w:rsid w:val="00B15212"/>
    <w:rsid w:val="00B15D2F"/>
    <w:rsid w:val="00B171EE"/>
    <w:rsid w:val="00B17615"/>
    <w:rsid w:val="00B21CBF"/>
    <w:rsid w:val="00B22A49"/>
    <w:rsid w:val="00B230C0"/>
    <w:rsid w:val="00B23867"/>
    <w:rsid w:val="00B24DB2"/>
    <w:rsid w:val="00B26F9D"/>
    <w:rsid w:val="00B3157D"/>
    <w:rsid w:val="00B31921"/>
    <w:rsid w:val="00B41516"/>
    <w:rsid w:val="00B443BC"/>
    <w:rsid w:val="00B463DC"/>
    <w:rsid w:val="00B46AEA"/>
    <w:rsid w:val="00B46FAF"/>
    <w:rsid w:val="00B472FA"/>
    <w:rsid w:val="00B5031E"/>
    <w:rsid w:val="00B51D2B"/>
    <w:rsid w:val="00B53999"/>
    <w:rsid w:val="00B53A08"/>
    <w:rsid w:val="00B54329"/>
    <w:rsid w:val="00B56250"/>
    <w:rsid w:val="00B60D11"/>
    <w:rsid w:val="00B61320"/>
    <w:rsid w:val="00B64323"/>
    <w:rsid w:val="00B6432F"/>
    <w:rsid w:val="00B67DFB"/>
    <w:rsid w:val="00B70556"/>
    <w:rsid w:val="00B7077E"/>
    <w:rsid w:val="00B713C2"/>
    <w:rsid w:val="00B71A58"/>
    <w:rsid w:val="00B72CBD"/>
    <w:rsid w:val="00B760E5"/>
    <w:rsid w:val="00B76A4C"/>
    <w:rsid w:val="00B76C9D"/>
    <w:rsid w:val="00B76F13"/>
    <w:rsid w:val="00B828ED"/>
    <w:rsid w:val="00B82CC3"/>
    <w:rsid w:val="00B82DB7"/>
    <w:rsid w:val="00B8703D"/>
    <w:rsid w:val="00B870FC"/>
    <w:rsid w:val="00B87F67"/>
    <w:rsid w:val="00B91DB7"/>
    <w:rsid w:val="00B92346"/>
    <w:rsid w:val="00B925C1"/>
    <w:rsid w:val="00B9394A"/>
    <w:rsid w:val="00B9710E"/>
    <w:rsid w:val="00BA010E"/>
    <w:rsid w:val="00BA2193"/>
    <w:rsid w:val="00BA384A"/>
    <w:rsid w:val="00BA460A"/>
    <w:rsid w:val="00BA5FEA"/>
    <w:rsid w:val="00BA68AE"/>
    <w:rsid w:val="00BA6C9A"/>
    <w:rsid w:val="00BA77B3"/>
    <w:rsid w:val="00BB046E"/>
    <w:rsid w:val="00BB1191"/>
    <w:rsid w:val="00BB446F"/>
    <w:rsid w:val="00BB6BA1"/>
    <w:rsid w:val="00BB7FA4"/>
    <w:rsid w:val="00BC0D77"/>
    <w:rsid w:val="00BC3206"/>
    <w:rsid w:val="00BC6849"/>
    <w:rsid w:val="00BD09CF"/>
    <w:rsid w:val="00BD0DAE"/>
    <w:rsid w:val="00BD1606"/>
    <w:rsid w:val="00BD1CAB"/>
    <w:rsid w:val="00BD2614"/>
    <w:rsid w:val="00BD26B9"/>
    <w:rsid w:val="00BD2B39"/>
    <w:rsid w:val="00BD4096"/>
    <w:rsid w:val="00BD40FE"/>
    <w:rsid w:val="00BD4767"/>
    <w:rsid w:val="00BD4DD6"/>
    <w:rsid w:val="00BD53E5"/>
    <w:rsid w:val="00BD5926"/>
    <w:rsid w:val="00BD6821"/>
    <w:rsid w:val="00BD68E1"/>
    <w:rsid w:val="00BD7C8C"/>
    <w:rsid w:val="00BE0C9D"/>
    <w:rsid w:val="00BE1A47"/>
    <w:rsid w:val="00BE211D"/>
    <w:rsid w:val="00BE7F26"/>
    <w:rsid w:val="00BF0CC7"/>
    <w:rsid w:val="00BF1066"/>
    <w:rsid w:val="00BF22AC"/>
    <w:rsid w:val="00BF4CDD"/>
    <w:rsid w:val="00BF7E08"/>
    <w:rsid w:val="00C00872"/>
    <w:rsid w:val="00C041E8"/>
    <w:rsid w:val="00C059B4"/>
    <w:rsid w:val="00C06A8E"/>
    <w:rsid w:val="00C144B8"/>
    <w:rsid w:val="00C14F73"/>
    <w:rsid w:val="00C14FE8"/>
    <w:rsid w:val="00C150C1"/>
    <w:rsid w:val="00C15E42"/>
    <w:rsid w:val="00C175DF"/>
    <w:rsid w:val="00C1782E"/>
    <w:rsid w:val="00C17BA4"/>
    <w:rsid w:val="00C17F54"/>
    <w:rsid w:val="00C21D46"/>
    <w:rsid w:val="00C21DE1"/>
    <w:rsid w:val="00C221A0"/>
    <w:rsid w:val="00C256CB"/>
    <w:rsid w:val="00C2588F"/>
    <w:rsid w:val="00C25F2D"/>
    <w:rsid w:val="00C32CC6"/>
    <w:rsid w:val="00C32D81"/>
    <w:rsid w:val="00C34846"/>
    <w:rsid w:val="00C42B11"/>
    <w:rsid w:val="00C433A7"/>
    <w:rsid w:val="00C441FB"/>
    <w:rsid w:val="00C45AA0"/>
    <w:rsid w:val="00C474DD"/>
    <w:rsid w:val="00C5061D"/>
    <w:rsid w:val="00C50A3D"/>
    <w:rsid w:val="00C527C0"/>
    <w:rsid w:val="00C53335"/>
    <w:rsid w:val="00C57D7A"/>
    <w:rsid w:val="00C61356"/>
    <w:rsid w:val="00C61FDD"/>
    <w:rsid w:val="00C62BD1"/>
    <w:rsid w:val="00C62D1A"/>
    <w:rsid w:val="00C67280"/>
    <w:rsid w:val="00C71423"/>
    <w:rsid w:val="00C72811"/>
    <w:rsid w:val="00C7315E"/>
    <w:rsid w:val="00C76C5E"/>
    <w:rsid w:val="00C77B4F"/>
    <w:rsid w:val="00C80974"/>
    <w:rsid w:val="00C8181A"/>
    <w:rsid w:val="00C8322F"/>
    <w:rsid w:val="00C83449"/>
    <w:rsid w:val="00C849EB"/>
    <w:rsid w:val="00C865E0"/>
    <w:rsid w:val="00C86690"/>
    <w:rsid w:val="00C8701D"/>
    <w:rsid w:val="00C879D6"/>
    <w:rsid w:val="00C90CEE"/>
    <w:rsid w:val="00C91DE8"/>
    <w:rsid w:val="00C935C3"/>
    <w:rsid w:val="00C94C6A"/>
    <w:rsid w:val="00C95FF0"/>
    <w:rsid w:val="00CA0B70"/>
    <w:rsid w:val="00CA12A8"/>
    <w:rsid w:val="00CA2755"/>
    <w:rsid w:val="00CA536A"/>
    <w:rsid w:val="00CB066B"/>
    <w:rsid w:val="00CB1223"/>
    <w:rsid w:val="00CB3774"/>
    <w:rsid w:val="00CB391D"/>
    <w:rsid w:val="00CB5744"/>
    <w:rsid w:val="00CB6061"/>
    <w:rsid w:val="00CC0B20"/>
    <w:rsid w:val="00CC16D7"/>
    <w:rsid w:val="00CC21CA"/>
    <w:rsid w:val="00CC270C"/>
    <w:rsid w:val="00CC41B4"/>
    <w:rsid w:val="00CC5679"/>
    <w:rsid w:val="00CC7844"/>
    <w:rsid w:val="00CD1E4C"/>
    <w:rsid w:val="00CD2468"/>
    <w:rsid w:val="00CD3052"/>
    <w:rsid w:val="00CD4D1A"/>
    <w:rsid w:val="00CD4F9B"/>
    <w:rsid w:val="00CD602A"/>
    <w:rsid w:val="00CD664C"/>
    <w:rsid w:val="00CD6784"/>
    <w:rsid w:val="00CD683A"/>
    <w:rsid w:val="00CE0EA8"/>
    <w:rsid w:val="00CE3C35"/>
    <w:rsid w:val="00CF0FBA"/>
    <w:rsid w:val="00CF251A"/>
    <w:rsid w:val="00CF4448"/>
    <w:rsid w:val="00D0039B"/>
    <w:rsid w:val="00D01ECA"/>
    <w:rsid w:val="00D0471C"/>
    <w:rsid w:val="00D054DE"/>
    <w:rsid w:val="00D067CC"/>
    <w:rsid w:val="00D211D1"/>
    <w:rsid w:val="00D2154A"/>
    <w:rsid w:val="00D21745"/>
    <w:rsid w:val="00D24012"/>
    <w:rsid w:val="00D2636B"/>
    <w:rsid w:val="00D266E9"/>
    <w:rsid w:val="00D277B2"/>
    <w:rsid w:val="00D30C2C"/>
    <w:rsid w:val="00D32508"/>
    <w:rsid w:val="00D325F7"/>
    <w:rsid w:val="00D32E4D"/>
    <w:rsid w:val="00D34D3E"/>
    <w:rsid w:val="00D35007"/>
    <w:rsid w:val="00D404DF"/>
    <w:rsid w:val="00D40844"/>
    <w:rsid w:val="00D436D5"/>
    <w:rsid w:val="00D46141"/>
    <w:rsid w:val="00D47C0D"/>
    <w:rsid w:val="00D524B9"/>
    <w:rsid w:val="00D5327D"/>
    <w:rsid w:val="00D54690"/>
    <w:rsid w:val="00D56907"/>
    <w:rsid w:val="00D573EF"/>
    <w:rsid w:val="00D57BCE"/>
    <w:rsid w:val="00D601F6"/>
    <w:rsid w:val="00D6235D"/>
    <w:rsid w:val="00D63890"/>
    <w:rsid w:val="00D63D89"/>
    <w:rsid w:val="00D64883"/>
    <w:rsid w:val="00D658CC"/>
    <w:rsid w:val="00D65A8A"/>
    <w:rsid w:val="00D67834"/>
    <w:rsid w:val="00D7160A"/>
    <w:rsid w:val="00D71B71"/>
    <w:rsid w:val="00D728D5"/>
    <w:rsid w:val="00D73811"/>
    <w:rsid w:val="00D747BC"/>
    <w:rsid w:val="00D75DB6"/>
    <w:rsid w:val="00D76D85"/>
    <w:rsid w:val="00D81063"/>
    <w:rsid w:val="00D8206E"/>
    <w:rsid w:val="00D82084"/>
    <w:rsid w:val="00D8314F"/>
    <w:rsid w:val="00D83AFC"/>
    <w:rsid w:val="00D849BB"/>
    <w:rsid w:val="00D85865"/>
    <w:rsid w:val="00D870DE"/>
    <w:rsid w:val="00D92DBD"/>
    <w:rsid w:val="00D96355"/>
    <w:rsid w:val="00D9743E"/>
    <w:rsid w:val="00DA083E"/>
    <w:rsid w:val="00DA3BA8"/>
    <w:rsid w:val="00DA56E5"/>
    <w:rsid w:val="00DA63DA"/>
    <w:rsid w:val="00DA6AF0"/>
    <w:rsid w:val="00DA77E1"/>
    <w:rsid w:val="00DA7BCE"/>
    <w:rsid w:val="00DA7E84"/>
    <w:rsid w:val="00DB13CE"/>
    <w:rsid w:val="00DB2188"/>
    <w:rsid w:val="00DB34E1"/>
    <w:rsid w:val="00DB3F14"/>
    <w:rsid w:val="00DB6480"/>
    <w:rsid w:val="00DC3D6E"/>
    <w:rsid w:val="00DC4B28"/>
    <w:rsid w:val="00DC51D5"/>
    <w:rsid w:val="00DD0590"/>
    <w:rsid w:val="00DD1744"/>
    <w:rsid w:val="00DD2436"/>
    <w:rsid w:val="00DD3375"/>
    <w:rsid w:val="00DD4233"/>
    <w:rsid w:val="00DD638C"/>
    <w:rsid w:val="00DE0FE7"/>
    <w:rsid w:val="00DE26FA"/>
    <w:rsid w:val="00DE44F6"/>
    <w:rsid w:val="00DE50F7"/>
    <w:rsid w:val="00DE5384"/>
    <w:rsid w:val="00DE5407"/>
    <w:rsid w:val="00DE56FF"/>
    <w:rsid w:val="00DE5A08"/>
    <w:rsid w:val="00DE5E32"/>
    <w:rsid w:val="00DE6AA6"/>
    <w:rsid w:val="00DE6CB5"/>
    <w:rsid w:val="00DF166F"/>
    <w:rsid w:val="00DF22AD"/>
    <w:rsid w:val="00DF469D"/>
    <w:rsid w:val="00DF5BD8"/>
    <w:rsid w:val="00DF7CAB"/>
    <w:rsid w:val="00E005A2"/>
    <w:rsid w:val="00E02E77"/>
    <w:rsid w:val="00E031DA"/>
    <w:rsid w:val="00E06365"/>
    <w:rsid w:val="00E06618"/>
    <w:rsid w:val="00E06A1C"/>
    <w:rsid w:val="00E06C80"/>
    <w:rsid w:val="00E06E54"/>
    <w:rsid w:val="00E10D2B"/>
    <w:rsid w:val="00E13BF0"/>
    <w:rsid w:val="00E142D0"/>
    <w:rsid w:val="00E148D7"/>
    <w:rsid w:val="00E15535"/>
    <w:rsid w:val="00E17644"/>
    <w:rsid w:val="00E20B7D"/>
    <w:rsid w:val="00E2197C"/>
    <w:rsid w:val="00E22926"/>
    <w:rsid w:val="00E23FD9"/>
    <w:rsid w:val="00E27242"/>
    <w:rsid w:val="00E272ED"/>
    <w:rsid w:val="00E30FE0"/>
    <w:rsid w:val="00E32A51"/>
    <w:rsid w:val="00E336BD"/>
    <w:rsid w:val="00E33EB3"/>
    <w:rsid w:val="00E344A7"/>
    <w:rsid w:val="00E34CB4"/>
    <w:rsid w:val="00E365A6"/>
    <w:rsid w:val="00E36625"/>
    <w:rsid w:val="00E370E5"/>
    <w:rsid w:val="00E37881"/>
    <w:rsid w:val="00E41C74"/>
    <w:rsid w:val="00E42C50"/>
    <w:rsid w:val="00E42E57"/>
    <w:rsid w:val="00E47791"/>
    <w:rsid w:val="00E47FF6"/>
    <w:rsid w:val="00E51038"/>
    <w:rsid w:val="00E53DBE"/>
    <w:rsid w:val="00E53F25"/>
    <w:rsid w:val="00E55C33"/>
    <w:rsid w:val="00E56B8F"/>
    <w:rsid w:val="00E57ABF"/>
    <w:rsid w:val="00E6073C"/>
    <w:rsid w:val="00E62046"/>
    <w:rsid w:val="00E65D14"/>
    <w:rsid w:val="00E66CF2"/>
    <w:rsid w:val="00E70169"/>
    <w:rsid w:val="00E70705"/>
    <w:rsid w:val="00E71D41"/>
    <w:rsid w:val="00E744BB"/>
    <w:rsid w:val="00E746D3"/>
    <w:rsid w:val="00E752DF"/>
    <w:rsid w:val="00E7547A"/>
    <w:rsid w:val="00E764CC"/>
    <w:rsid w:val="00E76A46"/>
    <w:rsid w:val="00E77033"/>
    <w:rsid w:val="00E773A1"/>
    <w:rsid w:val="00E80206"/>
    <w:rsid w:val="00E80997"/>
    <w:rsid w:val="00E810EE"/>
    <w:rsid w:val="00E81706"/>
    <w:rsid w:val="00E81D86"/>
    <w:rsid w:val="00E82FBA"/>
    <w:rsid w:val="00E83014"/>
    <w:rsid w:val="00E83639"/>
    <w:rsid w:val="00E858E1"/>
    <w:rsid w:val="00E8751B"/>
    <w:rsid w:val="00E8756A"/>
    <w:rsid w:val="00E917D1"/>
    <w:rsid w:val="00E91C3D"/>
    <w:rsid w:val="00E92269"/>
    <w:rsid w:val="00E92D7A"/>
    <w:rsid w:val="00E93FAB"/>
    <w:rsid w:val="00E9782B"/>
    <w:rsid w:val="00E97BA7"/>
    <w:rsid w:val="00EA280A"/>
    <w:rsid w:val="00EA2DC9"/>
    <w:rsid w:val="00EB3C3C"/>
    <w:rsid w:val="00EB4154"/>
    <w:rsid w:val="00EB450A"/>
    <w:rsid w:val="00EB4585"/>
    <w:rsid w:val="00EB4AF5"/>
    <w:rsid w:val="00EB6D8E"/>
    <w:rsid w:val="00EC00D7"/>
    <w:rsid w:val="00EC1820"/>
    <w:rsid w:val="00EC2AE1"/>
    <w:rsid w:val="00EC38A9"/>
    <w:rsid w:val="00EC4313"/>
    <w:rsid w:val="00EC595D"/>
    <w:rsid w:val="00EC6848"/>
    <w:rsid w:val="00EC68EB"/>
    <w:rsid w:val="00EC7383"/>
    <w:rsid w:val="00EC7FD5"/>
    <w:rsid w:val="00ED05F6"/>
    <w:rsid w:val="00ED0737"/>
    <w:rsid w:val="00ED2190"/>
    <w:rsid w:val="00ED25B8"/>
    <w:rsid w:val="00ED2F4D"/>
    <w:rsid w:val="00ED32C7"/>
    <w:rsid w:val="00ED4219"/>
    <w:rsid w:val="00ED6471"/>
    <w:rsid w:val="00ED64CA"/>
    <w:rsid w:val="00EE12AA"/>
    <w:rsid w:val="00EE7372"/>
    <w:rsid w:val="00EF08B7"/>
    <w:rsid w:val="00EF11AE"/>
    <w:rsid w:val="00EF2D14"/>
    <w:rsid w:val="00EF356A"/>
    <w:rsid w:val="00EF528C"/>
    <w:rsid w:val="00EF58B2"/>
    <w:rsid w:val="00EF7D67"/>
    <w:rsid w:val="00F02714"/>
    <w:rsid w:val="00F02D2F"/>
    <w:rsid w:val="00F07A42"/>
    <w:rsid w:val="00F10127"/>
    <w:rsid w:val="00F10403"/>
    <w:rsid w:val="00F12542"/>
    <w:rsid w:val="00F14C06"/>
    <w:rsid w:val="00F14F58"/>
    <w:rsid w:val="00F14F83"/>
    <w:rsid w:val="00F16416"/>
    <w:rsid w:val="00F17A04"/>
    <w:rsid w:val="00F17AD3"/>
    <w:rsid w:val="00F24083"/>
    <w:rsid w:val="00F32C47"/>
    <w:rsid w:val="00F34EE5"/>
    <w:rsid w:val="00F37AE0"/>
    <w:rsid w:val="00F37EE5"/>
    <w:rsid w:val="00F41671"/>
    <w:rsid w:val="00F4272B"/>
    <w:rsid w:val="00F42D5C"/>
    <w:rsid w:val="00F4583F"/>
    <w:rsid w:val="00F45C9D"/>
    <w:rsid w:val="00F4723C"/>
    <w:rsid w:val="00F47466"/>
    <w:rsid w:val="00F47D4D"/>
    <w:rsid w:val="00F51FE5"/>
    <w:rsid w:val="00F532E5"/>
    <w:rsid w:val="00F57ECC"/>
    <w:rsid w:val="00F6360F"/>
    <w:rsid w:val="00F63A73"/>
    <w:rsid w:val="00F652BC"/>
    <w:rsid w:val="00F659EA"/>
    <w:rsid w:val="00F66077"/>
    <w:rsid w:val="00F66D38"/>
    <w:rsid w:val="00F67888"/>
    <w:rsid w:val="00F714A2"/>
    <w:rsid w:val="00F71791"/>
    <w:rsid w:val="00F7293C"/>
    <w:rsid w:val="00F74E93"/>
    <w:rsid w:val="00F75532"/>
    <w:rsid w:val="00F76988"/>
    <w:rsid w:val="00F80105"/>
    <w:rsid w:val="00F842C0"/>
    <w:rsid w:val="00F8442F"/>
    <w:rsid w:val="00F858EE"/>
    <w:rsid w:val="00F86969"/>
    <w:rsid w:val="00F87A1E"/>
    <w:rsid w:val="00F911B9"/>
    <w:rsid w:val="00F91D9E"/>
    <w:rsid w:val="00F92FCB"/>
    <w:rsid w:val="00F946A1"/>
    <w:rsid w:val="00F96240"/>
    <w:rsid w:val="00F965E6"/>
    <w:rsid w:val="00F96821"/>
    <w:rsid w:val="00F9785C"/>
    <w:rsid w:val="00FA2705"/>
    <w:rsid w:val="00FA28B5"/>
    <w:rsid w:val="00FA6DD0"/>
    <w:rsid w:val="00FA6DF2"/>
    <w:rsid w:val="00FA7315"/>
    <w:rsid w:val="00FA7CB9"/>
    <w:rsid w:val="00FB06C7"/>
    <w:rsid w:val="00FB1457"/>
    <w:rsid w:val="00FB3D33"/>
    <w:rsid w:val="00FB7311"/>
    <w:rsid w:val="00FB731F"/>
    <w:rsid w:val="00FC0C9D"/>
    <w:rsid w:val="00FC7E6F"/>
    <w:rsid w:val="00FD1072"/>
    <w:rsid w:val="00FE13E5"/>
    <w:rsid w:val="00FE1662"/>
    <w:rsid w:val="00FE17FE"/>
    <w:rsid w:val="00FE1D0A"/>
    <w:rsid w:val="00FE26D5"/>
    <w:rsid w:val="00FE2E6F"/>
    <w:rsid w:val="00FE52E4"/>
    <w:rsid w:val="00FE5A7F"/>
    <w:rsid w:val="00FE5CCF"/>
    <w:rsid w:val="00FE5F20"/>
    <w:rsid w:val="00FE6FB0"/>
    <w:rsid w:val="00FE7AF3"/>
    <w:rsid w:val="00FF1F73"/>
    <w:rsid w:val="00FF2581"/>
    <w:rsid w:val="00FF265B"/>
    <w:rsid w:val="00FF3283"/>
    <w:rsid w:val="00FF494B"/>
    <w:rsid w:val="00FF63F2"/>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1D8A4F"/>
  <w15:docId w15:val="{AADBCFF5-B295-4C13-A749-722A6A34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0FE7"/>
  </w:style>
  <w:style w:type="paragraph" w:styleId="Heading1">
    <w:name w:val="heading 1"/>
    <w:basedOn w:val="Normal"/>
    <w:next w:val="Normal"/>
    <w:link w:val="Heading1Char"/>
    <w:uiPriority w:val="9"/>
    <w:qFormat/>
    <w:rsid w:val="00385C5B"/>
    <w:pPr>
      <w:keepNext/>
      <w:keepLines/>
      <w:spacing w:before="480" w:after="0" w:line="360" w:lineRule="auto"/>
      <w:jc w:val="center"/>
      <w:outlineLvl w:val="0"/>
    </w:pPr>
    <w:rPr>
      <w:rFonts w:ascii="Times New Roman" w:eastAsia="Times New Roman" w:hAnsi="Times New Roman" w:cs="Mangal"/>
      <w:b/>
      <w:bCs/>
      <w:caps/>
      <w:sz w:val="24"/>
      <w:szCs w:val="28"/>
    </w:rPr>
  </w:style>
  <w:style w:type="paragraph" w:styleId="Heading2">
    <w:name w:val="heading 2"/>
    <w:basedOn w:val="Normal"/>
    <w:next w:val="Normal"/>
    <w:link w:val="Heading2Char"/>
    <w:uiPriority w:val="9"/>
    <w:unhideWhenUsed/>
    <w:qFormat/>
    <w:rsid w:val="00385C5B"/>
    <w:pPr>
      <w:keepNext/>
      <w:keepLines/>
      <w:spacing w:before="200" w:after="0" w:line="360" w:lineRule="auto"/>
      <w:jc w:val="center"/>
      <w:outlineLvl w:val="1"/>
    </w:pPr>
    <w:rPr>
      <w:rFonts w:ascii="Times New Roman" w:eastAsia="Times New Roman" w:hAnsi="Times New Roman" w:cs="Mangal"/>
      <w:b/>
      <w:bCs/>
      <w:smallCaps/>
      <w:sz w:val="24"/>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230F5"/>
    <w:pPr>
      <w:ind w:left="720"/>
      <w:contextualSpacing/>
    </w:pPr>
  </w:style>
  <w:style w:type="paragraph" w:customStyle="1" w:styleId="Default">
    <w:name w:val="Default"/>
    <w:rsid w:val="00442ED9"/>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7E3CB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E3CBE"/>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85C5B"/>
    <w:rPr>
      <w:rFonts w:ascii="Times New Roman" w:eastAsia="Times New Roman" w:hAnsi="Times New Roman" w:cs="Mangal"/>
      <w:b/>
      <w:bCs/>
      <w:caps/>
      <w:sz w:val="24"/>
      <w:szCs w:val="28"/>
      <w:lang w:eastAsia="en-IN"/>
    </w:rPr>
  </w:style>
  <w:style w:type="character" w:customStyle="1" w:styleId="Heading2Char">
    <w:name w:val="Heading 2 Char"/>
    <w:basedOn w:val="DefaultParagraphFont"/>
    <w:link w:val="Heading2"/>
    <w:uiPriority w:val="9"/>
    <w:rsid w:val="00385C5B"/>
    <w:rPr>
      <w:rFonts w:ascii="Times New Roman" w:eastAsia="Times New Roman" w:hAnsi="Times New Roman" w:cs="Mangal"/>
      <w:b/>
      <w:bCs/>
      <w:smallCaps/>
      <w:sz w:val="24"/>
      <w:szCs w:val="26"/>
      <w:lang w:eastAsia="en-IN"/>
    </w:rPr>
  </w:style>
  <w:style w:type="paragraph" w:styleId="Revision">
    <w:name w:val="Revision"/>
    <w:hidden/>
    <w:uiPriority w:val="99"/>
    <w:semiHidden/>
    <w:rsid w:val="008E04C5"/>
    <w:pPr>
      <w:spacing w:after="0" w:line="240" w:lineRule="auto"/>
    </w:pPr>
  </w:style>
  <w:style w:type="paragraph" w:styleId="BalloonText">
    <w:name w:val="Balloon Text"/>
    <w:basedOn w:val="Normal"/>
    <w:link w:val="BalloonTextChar"/>
    <w:uiPriority w:val="99"/>
    <w:semiHidden/>
    <w:unhideWhenUsed/>
    <w:rsid w:val="00A067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722"/>
    <w:rPr>
      <w:rFonts w:ascii="Segoe UI" w:hAnsi="Segoe UI" w:cs="Segoe UI"/>
      <w:sz w:val="18"/>
      <w:szCs w:val="18"/>
    </w:rPr>
  </w:style>
  <w:style w:type="character" w:customStyle="1" w:styleId="ui-provider">
    <w:name w:val="ui-provider"/>
    <w:basedOn w:val="DefaultParagraphFont"/>
    <w:rsid w:val="0056323B"/>
  </w:style>
  <w:style w:type="character" w:styleId="Strong">
    <w:name w:val="Strong"/>
    <w:basedOn w:val="DefaultParagraphFont"/>
    <w:uiPriority w:val="22"/>
    <w:qFormat/>
    <w:rsid w:val="00376314"/>
    <w:rPr>
      <w:b/>
      <w:bCs/>
    </w:rPr>
  </w:style>
  <w:style w:type="paragraph" w:styleId="FootnoteText">
    <w:name w:val="footnote text"/>
    <w:basedOn w:val="Normal"/>
    <w:link w:val="FootnoteTextChar"/>
    <w:uiPriority w:val="99"/>
    <w:unhideWhenUsed/>
    <w:rsid w:val="00590324"/>
    <w:pPr>
      <w:spacing w:after="0" w:line="240" w:lineRule="auto"/>
    </w:pPr>
    <w:rPr>
      <w:sz w:val="20"/>
      <w:szCs w:val="20"/>
    </w:rPr>
  </w:style>
  <w:style w:type="character" w:customStyle="1" w:styleId="FootnoteTextChar">
    <w:name w:val="Footnote Text Char"/>
    <w:basedOn w:val="DefaultParagraphFont"/>
    <w:link w:val="FootnoteText"/>
    <w:uiPriority w:val="99"/>
    <w:rsid w:val="00590324"/>
    <w:rPr>
      <w:sz w:val="20"/>
      <w:szCs w:val="20"/>
    </w:rPr>
  </w:style>
  <w:style w:type="character" w:styleId="FootnoteReference">
    <w:name w:val="footnote reference"/>
    <w:basedOn w:val="DefaultParagraphFont"/>
    <w:uiPriority w:val="99"/>
    <w:semiHidden/>
    <w:unhideWhenUsed/>
    <w:rsid w:val="00590324"/>
    <w:rPr>
      <w:vertAlign w:val="superscript"/>
    </w:rPr>
  </w:style>
  <w:style w:type="character" w:styleId="Hyperlink">
    <w:name w:val="Hyperlink"/>
    <w:basedOn w:val="DefaultParagraphFont"/>
    <w:uiPriority w:val="99"/>
    <w:unhideWhenUsed/>
    <w:rsid w:val="00C21B22"/>
    <w:rPr>
      <w:color w:val="0000FF"/>
      <w:u w:val="single"/>
    </w:rPr>
  </w:style>
  <w:style w:type="paragraph" w:styleId="EndnoteText">
    <w:name w:val="endnote text"/>
    <w:basedOn w:val="Normal"/>
    <w:link w:val="EndnoteTextChar"/>
    <w:uiPriority w:val="99"/>
    <w:semiHidden/>
    <w:unhideWhenUsed/>
    <w:rsid w:val="00F2144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1449"/>
    <w:rPr>
      <w:sz w:val="20"/>
      <w:szCs w:val="20"/>
    </w:rPr>
  </w:style>
  <w:style w:type="character" w:styleId="EndnoteReference">
    <w:name w:val="endnote reference"/>
    <w:basedOn w:val="DefaultParagraphFont"/>
    <w:uiPriority w:val="99"/>
    <w:semiHidden/>
    <w:unhideWhenUsed/>
    <w:rsid w:val="00F21449"/>
    <w:rPr>
      <w:vertAlign w:val="superscript"/>
    </w:rPr>
  </w:style>
  <w:style w:type="character" w:styleId="UnresolvedMention">
    <w:name w:val="Unresolved Mention"/>
    <w:basedOn w:val="DefaultParagraphFont"/>
    <w:uiPriority w:val="99"/>
    <w:semiHidden/>
    <w:unhideWhenUsed/>
    <w:rsid w:val="00F21449"/>
    <w:rPr>
      <w:color w:val="605E5C"/>
      <w:shd w:val="clear" w:color="auto" w:fill="E1DFDD"/>
    </w:rPr>
  </w:style>
  <w:style w:type="character" w:styleId="FollowedHyperlink">
    <w:name w:val="FollowedHyperlink"/>
    <w:basedOn w:val="DefaultParagraphFont"/>
    <w:uiPriority w:val="99"/>
    <w:semiHidden/>
    <w:unhideWhenUsed/>
    <w:rsid w:val="00F2144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4"/>
      <w:szCs w:val="24"/>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482A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2A6F"/>
  </w:style>
  <w:style w:type="paragraph" w:styleId="Footer">
    <w:name w:val="footer"/>
    <w:basedOn w:val="Normal"/>
    <w:link w:val="FooterChar"/>
    <w:uiPriority w:val="99"/>
    <w:unhideWhenUsed/>
    <w:rsid w:val="00482A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2A6F"/>
  </w:style>
  <w:style w:type="table" w:customStyle="1" w:styleId="a4">
    <w:basedOn w:val="TableNormal"/>
    <w:pPr>
      <w:spacing w:after="0" w:line="240" w:lineRule="auto"/>
    </w:pPr>
    <w:rPr>
      <w:sz w:val="24"/>
      <w:szCs w:val="24"/>
    </w:rPr>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rPr>
      <w:sz w:val="24"/>
      <w:szCs w:val="24"/>
    </w:rPr>
    <w:tblPr>
      <w:tblStyleRowBandSize w:val="1"/>
      <w:tblStyleColBandSize w:val="1"/>
      <w:tblCellMar>
        <w:left w:w="115" w:type="dxa"/>
        <w:right w:w="115" w:type="dxa"/>
      </w:tblCellMar>
    </w:tblPr>
  </w:style>
  <w:style w:type="table" w:customStyle="1" w:styleId="a7">
    <w:basedOn w:val="TableNormal"/>
    <w:pPr>
      <w:spacing w:after="0" w:line="240" w:lineRule="auto"/>
    </w:pPr>
    <w:rPr>
      <w:sz w:val="24"/>
      <w:szCs w:val="24"/>
    </w:rPr>
    <w:tblPr>
      <w:tblStyleRowBandSize w:val="1"/>
      <w:tblStyleColBandSize w:val="1"/>
      <w:tblCellMar>
        <w:left w:w="115" w:type="dxa"/>
        <w:right w:w="115" w:type="dxa"/>
      </w:tblCellMar>
    </w:tblPr>
  </w:style>
  <w:style w:type="table" w:customStyle="1" w:styleId="a8">
    <w:basedOn w:val="TableNormal"/>
    <w:pPr>
      <w:spacing w:after="0" w:line="240" w:lineRule="auto"/>
    </w:pPr>
    <w:rPr>
      <w:sz w:val="24"/>
      <w:szCs w:val="24"/>
    </w:rPr>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80881"/>
    <w:rPr>
      <w:b/>
      <w:bCs/>
    </w:rPr>
  </w:style>
  <w:style w:type="character" w:customStyle="1" w:styleId="CommentSubjectChar">
    <w:name w:val="Comment Subject Char"/>
    <w:basedOn w:val="CommentTextChar"/>
    <w:link w:val="CommentSubject"/>
    <w:uiPriority w:val="99"/>
    <w:semiHidden/>
    <w:rsid w:val="00880881"/>
    <w:rPr>
      <w:b/>
      <w:bCs/>
      <w:sz w:val="20"/>
      <w:szCs w:val="20"/>
    </w:rPr>
  </w:style>
  <w:style w:type="paragraph" w:styleId="NoSpacing">
    <w:name w:val="No Spacing"/>
    <w:link w:val="NoSpacingChar"/>
    <w:uiPriority w:val="1"/>
    <w:qFormat/>
    <w:rsid w:val="00235446"/>
    <w:pPr>
      <w:spacing w:after="0" w:line="240" w:lineRule="auto"/>
    </w:pPr>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235446"/>
    <w:rPr>
      <w:rFonts w:asciiTheme="minorHAnsi" w:eastAsiaTheme="minorEastAsia" w:hAnsiTheme="minorHAnsi" w:cstheme="minorBidi"/>
      <w:lang w:val="en-US" w:eastAsia="ja-JP"/>
    </w:rPr>
  </w:style>
  <w:style w:type="paragraph" w:styleId="TOCHeading">
    <w:name w:val="TOC Heading"/>
    <w:basedOn w:val="Heading1"/>
    <w:next w:val="Normal"/>
    <w:uiPriority w:val="39"/>
    <w:unhideWhenUsed/>
    <w:qFormat/>
    <w:rsid w:val="008816A6"/>
    <w:pPr>
      <w:spacing w:line="276" w:lineRule="auto"/>
      <w:jc w:val="left"/>
      <w:outlineLvl w:val="9"/>
    </w:pPr>
    <w:rPr>
      <w:rFonts w:asciiTheme="majorHAnsi" w:eastAsiaTheme="majorEastAsia" w:hAnsiTheme="majorHAnsi" w:cstheme="majorBidi"/>
      <w:caps w:val="0"/>
      <w:color w:val="2F5496" w:themeColor="accent1" w:themeShade="BF"/>
      <w:sz w:val="28"/>
      <w:lang w:val="en-US" w:eastAsia="en-US"/>
    </w:rPr>
  </w:style>
  <w:style w:type="paragraph" w:styleId="TOC2">
    <w:name w:val="toc 2"/>
    <w:basedOn w:val="Normal"/>
    <w:next w:val="Normal"/>
    <w:autoRedefine/>
    <w:uiPriority w:val="39"/>
    <w:unhideWhenUsed/>
    <w:rsid w:val="008816A6"/>
    <w:pPr>
      <w:spacing w:before="120" w:after="0"/>
      <w:ind w:left="220"/>
    </w:pPr>
    <w:rPr>
      <w:rFonts w:asciiTheme="minorHAnsi" w:hAnsiTheme="minorHAnsi" w:cstheme="minorHAnsi"/>
      <w:i/>
      <w:iCs/>
      <w:sz w:val="20"/>
      <w:szCs w:val="20"/>
    </w:rPr>
  </w:style>
  <w:style w:type="paragraph" w:styleId="TOC1">
    <w:name w:val="toc 1"/>
    <w:basedOn w:val="Normal"/>
    <w:next w:val="Normal"/>
    <w:autoRedefine/>
    <w:uiPriority w:val="39"/>
    <w:unhideWhenUsed/>
    <w:rsid w:val="008816A6"/>
    <w:pPr>
      <w:spacing w:before="240" w:after="120"/>
    </w:pPr>
    <w:rPr>
      <w:rFonts w:asciiTheme="minorHAnsi" w:hAnsiTheme="minorHAnsi" w:cstheme="minorHAnsi"/>
      <w:b/>
      <w:bCs/>
      <w:sz w:val="20"/>
      <w:szCs w:val="20"/>
    </w:rPr>
  </w:style>
  <w:style w:type="paragraph" w:styleId="TOC3">
    <w:name w:val="toc 3"/>
    <w:basedOn w:val="Normal"/>
    <w:next w:val="Normal"/>
    <w:autoRedefine/>
    <w:uiPriority w:val="39"/>
    <w:unhideWhenUsed/>
    <w:rsid w:val="008816A6"/>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8816A6"/>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8816A6"/>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8816A6"/>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8816A6"/>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8816A6"/>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8816A6"/>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07297">
      <w:bodyDiv w:val="1"/>
      <w:marLeft w:val="0"/>
      <w:marRight w:val="0"/>
      <w:marTop w:val="0"/>
      <w:marBottom w:val="0"/>
      <w:divBdr>
        <w:top w:val="none" w:sz="0" w:space="0" w:color="auto"/>
        <w:left w:val="none" w:sz="0" w:space="0" w:color="auto"/>
        <w:bottom w:val="none" w:sz="0" w:space="0" w:color="auto"/>
        <w:right w:val="none" w:sz="0" w:space="0" w:color="auto"/>
      </w:divBdr>
      <w:divsChild>
        <w:div w:id="1057822435">
          <w:marLeft w:val="0"/>
          <w:marRight w:val="0"/>
          <w:marTop w:val="0"/>
          <w:marBottom w:val="0"/>
          <w:divBdr>
            <w:top w:val="none" w:sz="0" w:space="0" w:color="auto"/>
            <w:left w:val="none" w:sz="0" w:space="0" w:color="auto"/>
            <w:bottom w:val="none" w:sz="0" w:space="0" w:color="auto"/>
            <w:right w:val="none" w:sz="0" w:space="0" w:color="auto"/>
          </w:divBdr>
          <w:divsChild>
            <w:div w:id="23945675">
              <w:marLeft w:val="0"/>
              <w:marRight w:val="0"/>
              <w:marTop w:val="0"/>
              <w:marBottom w:val="0"/>
              <w:divBdr>
                <w:top w:val="none" w:sz="0" w:space="0" w:color="auto"/>
                <w:left w:val="none" w:sz="0" w:space="0" w:color="auto"/>
                <w:bottom w:val="none" w:sz="0" w:space="0" w:color="auto"/>
                <w:right w:val="none" w:sz="0" w:space="0" w:color="auto"/>
              </w:divBdr>
              <w:divsChild>
                <w:div w:id="270472600">
                  <w:marLeft w:val="0"/>
                  <w:marRight w:val="0"/>
                  <w:marTop w:val="0"/>
                  <w:marBottom w:val="0"/>
                  <w:divBdr>
                    <w:top w:val="none" w:sz="0" w:space="0" w:color="auto"/>
                    <w:left w:val="none" w:sz="0" w:space="0" w:color="auto"/>
                    <w:bottom w:val="none" w:sz="0" w:space="0" w:color="auto"/>
                    <w:right w:val="none" w:sz="0" w:space="0" w:color="auto"/>
                  </w:divBdr>
                  <w:divsChild>
                    <w:div w:id="164550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7655">
      <w:bodyDiv w:val="1"/>
      <w:marLeft w:val="0"/>
      <w:marRight w:val="0"/>
      <w:marTop w:val="0"/>
      <w:marBottom w:val="0"/>
      <w:divBdr>
        <w:top w:val="none" w:sz="0" w:space="0" w:color="auto"/>
        <w:left w:val="none" w:sz="0" w:space="0" w:color="auto"/>
        <w:bottom w:val="none" w:sz="0" w:space="0" w:color="auto"/>
        <w:right w:val="none" w:sz="0" w:space="0" w:color="auto"/>
      </w:divBdr>
    </w:div>
    <w:div w:id="73170274">
      <w:bodyDiv w:val="1"/>
      <w:marLeft w:val="0"/>
      <w:marRight w:val="0"/>
      <w:marTop w:val="0"/>
      <w:marBottom w:val="0"/>
      <w:divBdr>
        <w:top w:val="none" w:sz="0" w:space="0" w:color="auto"/>
        <w:left w:val="none" w:sz="0" w:space="0" w:color="auto"/>
        <w:bottom w:val="none" w:sz="0" w:space="0" w:color="auto"/>
        <w:right w:val="none" w:sz="0" w:space="0" w:color="auto"/>
      </w:divBdr>
      <w:divsChild>
        <w:div w:id="279534361">
          <w:marLeft w:val="0"/>
          <w:marRight w:val="0"/>
          <w:marTop w:val="0"/>
          <w:marBottom w:val="0"/>
          <w:divBdr>
            <w:top w:val="none" w:sz="0" w:space="0" w:color="auto"/>
            <w:left w:val="none" w:sz="0" w:space="0" w:color="auto"/>
            <w:bottom w:val="none" w:sz="0" w:space="0" w:color="auto"/>
            <w:right w:val="none" w:sz="0" w:space="0" w:color="auto"/>
          </w:divBdr>
          <w:divsChild>
            <w:div w:id="1022437933">
              <w:marLeft w:val="0"/>
              <w:marRight w:val="0"/>
              <w:marTop w:val="0"/>
              <w:marBottom w:val="0"/>
              <w:divBdr>
                <w:top w:val="none" w:sz="0" w:space="0" w:color="auto"/>
                <w:left w:val="none" w:sz="0" w:space="0" w:color="auto"/>
                <w:bottom w:val="none" w:sz="0" w:space="0" w:color="auto"/>
                <w:right w:val="none" w:sz="0" w:space="0" w:color="auto"/>
              </w:divBdr>
              <w:divsChild>
                <w:div w:id="17770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8869">
      <w:bodyDiv w:val="1"/>
      <w:marLeft w:val="0"/>
      <w:marRight w:val="0"/>
      <w:marTop w:val="0"/>
      <w:marBottom w:val="0"/>
      <w:divBdr>
        <w:top w:val="none" w:sz="0" w:space="0" w:color="auto"/>
        <w:left w:val="none" w:sz="0" w:space="0" w:color="auto"/>
        <w:bottom w:val="none" w:sz="0" w:space="0" w:color="auto"/>
        <w:right w:val="none" w:sz="0" w:space="0" w:color="auto"/>
      </w:divBdr>
      <w:divsChild>
        <w:div w:id="1707755832">
          <w:marLeft w:val="0"/>
          <w:marRight w:val="0"/>
          <w:marTop w:val="0"/>
          <w:marBottom w:val="0"/>
          <w:divBdr>
            <w:top w:val="none" w:sz="0" w:space="0" w:color="auto"/>
            <w:left w:val="none" w:sz="0" w:space="0" w:color="auto"/>
            <w:bottom w:val="none" w:sz="0" w:space="0" w:color="auto"/>
            <w:right w:val="none" w:sz="0" w:space="0" w:color="auto"/>
          </w:divBdr>
          <w:divsChild>
            <w:div w:id="825900619">
              <w:marLeft w:val="0"/>
              <w:marRight w:val="0"/>
              <w:marTop w:val="0"/>
              <w:marBottom w:val="0"/>
              <w:divBdr>
                <w:top w:val="none" w:sz="0" w:space="0" w:color="auto"/>
                <w:left w:val="none" w:sz="0" w:space="0" w:color="auto"/>
                <w:bottom w:val="none" w:sz="0" w:space="0" w:color="auto"/>
                <w:right w:val="none" w:sz="0" w:space="0" w:color="auto"/>
              </w:divBdr>
              <w:divsChild>
                <w:div w:id="46493348">
                  <w:marLeft w:val="0"/>
                  <w:marRight w:val="0"/>
                  <w:marTop w:val="0"/>
                  <w:marBottom w:val="0"/>
                  <w:divBdr>
                    <w:top w:val="none" w:sz="0" w:space="0" w:color="auto"/>
                    <w:left w:val="none" w:sz="0" w:space="0" w:color="auto"/>
                    <w:bottom w:val="none" w:sz="0" w:space="0" w:color="auto"/>
                    <w:right w:val="none" w:sz="0" w:space="0" w:color="auto"/>
                  </w:divBdr>
                  <w:divsChild>
                    <w:div w:id="19532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77110">
      <w:bodyDiv w:val="1"/>
      <w:marLeft w:val="0"/>
      <w:marRight w:val="0"/>
      <w:marTop w:val="0"/>
      <w:marBottom w:val="0"/>
      <w:divBdr>
        <w:top w:val="none" w:sz="0" w:space="0" w:color="auto"/>
        <w:left w:val="none" w:sz="0" w:space="0" w:color="auto"/>
        <w:bottom w:val="none" w:sz="0" w:space="0" w:color="auto"/>
        <w:right w:val="none" w:sz="0" w:space="0" w:color="auto"/>
      </w:divBdr>
      <w:divsChild>
        <w:div w:id="1468625968">
          <w:marLeft w:val="0"/>
          <w:marRight w:val="0"/>
          <w:marTop w:val="0"/>
          <w:marBottom w:val="0"/>
          <w:divBdr>
            <w:top w:val="none" w:sz="0" w:space="0" w:color="auto"/>
            <w:left w:val="none" w:sz="0" w:space="0" w:color="auto"/>
            <w:bottom w:val="none" w:sz="0" w:space="0" w:color="auto"/>
            <w:right w:val="none" w:sz="0" w:space="0" w:color="auto"/>
          </w:divBdr>
          <w:divsChild>
            <w:div w:id="568268577">
              <w:marLeft w:val="0"/>
              <w:marRight w:val="0"/>
              <w:marTop w:val="0"/>
              <w:marBottom w:val="0"/>
              <w:divBdr>
                <w:top w:val="none" w:sz="0" w:space="0" w:color="auto"/>
                <w:left w:val="none" w:sz="0" w:space="0" w:color="auto"/>
                <w:bottom w:val="none" w:sz="0" w:space="0" w:color="auto"/>
                <w:right w:val="none" w:sz="0" w:space="0" w:color="auto"/>
              </w:divBdr>
              <w:divsChild>
                <w:div w:id="137712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1484">
      <w:bodyDiv w:val="1"/>
      <w:marLeft w:val="0"/>
      <w:marRight w:val="0"/>
      <w:marTop w:val="0"/>
      <w:marBottom w:val="0"/>
      <w:divBdr>
        <w:top w:val="none" w:sz="0" w:space="0" w:color="auto"/>
        <w:left w:val="none" w:sz="0" w:space="0" w:color="auto"/>
        <w:bottom w:val="none" w:sz="0" w:space="0" w:color="auto"/>
        <w:right w:val="none" w:sz="0" w:space="0" w:color="auto"/>
      </w:divBdr>
      <w:divsChild>
        <w:div w:id="1480875965">
          <w:marLeft w:val="0"/>
          <w:marRight w:val="0"/>
          <w:marTop w:val="0"/>
          <w:marBottom w:val="0"/>
          <w:divBdr>
            <w:top w:val="none" w:sz="0" w:space="0" w:color="auto"/>
            <w:left w:val="none" w:sz="0" w:space="0" w:color="auto"/>
            <w:bottom w:val="none" w:sz="0" w:space="0" w:color="auto"/>
            <w:right w:val="none" w:sz="0" w:space="0" w:color="auto"/>
          </w:divBdr>
          <w:divsChild>
            <w:div w:id="312023704">
              <w:marLeft w:val="0"/>
              <w:marRight w:val="0"/>
              <w:marTop w:val="0"/>
              <w:marBottom w:val="0"/>
              <w:divBdr>
                <w:top w:val="none" w:sz="0" w:space="0" w:color="auto"/>
                <w:left w:val="none" w:sz="0" w:space="0" w:color="auto"/>
                <w:bottom w:val="none" w:sz="0" w:space="0" w:color="auto"/>
                <w:right w:val="none" w:sz="0" w:space="0" w:color="auto"/>
              </w:divBdr>
              <w:divsChild>
                <w:div w:id="98644055">
                  <w:marLeft w:val="0"/>
                  <w:marRight w:val="0"/>
                  <w:marTop w:val="0"/>
                  <w:marBottom w:val="0"/>
                  <w:divBdr>
                    <w:top w:val="none" w:sz="0" w:space="0" w:color="auto"/>
                    <w:left w:val="none" w:sz="0" w:space="0" w:color="auto"/>
                    <w:bottom w:val="none" w:sz="0" w:space="0" w:color="auto"/>
                    <w:right w:val="none" w:sz="0" w:space="0" w:color="auto"/>
                  </w:divBdr>
                  <w:divsChild>
                    <w:div w:id="20795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48080">
      <w:bodyDiv w:val="1"/>
      <w:marLeft w:val="0"/>
      <w:marRight w:val="0"/>
      <w:marTop w:val="0"/>
      <w:marBottom w:val="0"/>
      <w:divBdr>
        <w:top w:val="none" w:sz="0" w:space="0" w:color="auto"/>
        <w:left w:val="none" w:sz="0" w:space="0" w:color="auto"/>
        <w:bottom w:val="none" w:sz="0" w:space="0" w:color="auto"/>
        <w:right w:val="none" w:sz="0" w:space="0" w:color="auto"/>
      </w:divBdr>
      <w:divsChild>
        <w:div w:id="249117624">
          <w:marLeft w:val="0"/>
          <w:marRight w:val="0"/>
          <w:marTop w:val="0"/>
          <w:marBottom w:val="0"/>
          <w:divBdr>
            <w:top w:val="none" w:sz="0" w:space="0" w:color="auto"/>
            <w:left w:val="none" w:sz="0" w:space="0" w:color="auto"/>
            <w:bottom w:val="none" w:sz="0" w:space="0" w:color="auto"/>
            <w:right w:val="none" w:sz="0" w:space="0" w:color="auto"/>
          </w:divBdr>
          <w:divsChild>
            <w:div w:id="1575046440">
              <w:marLeft w:val="0"/>
              <w:marRight w:val="0"/>
              <w:marTop w:val="0"/>
              <w:marBottom w:val="0"/>
              <w:divBdr>
                <w:top w:val="none" w:sz="0" w:space="0" w:color="auto"/>
                <w:left w:val="none" w:sz="0" w:space="0" w:color="auto"/>
                <w:bottom w:val="none" w:sz="0" w:space="0" w:color="auto"/>
                <w:right w:val="none" w:sz="0" w:space="0" w:color="auto"/>
              </w:divBdr>
              <w:divsChild>
                <w:div w:id="16909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13577">
      <w:bodyDiv w:val="1"/>
      <w:marLeft w:val="0"/>
      <w:marRight w:val="0"/>
      <w:marTop w:val="0"/>
      <w:marBottom w:val="0"/>
      <w:divBdr>
        <w:top w:val="none" w:sz="0" w:space="0" w:color="auto"/>
        <w:left w:val="none" w:sz="0" w:space="0" w:color="auto"/>
        <w:bottom w:val="none" w:sz="0" w:space="0" w:color="auto"/>
        <w:right w:val="none" w:sz="0" w:space="0" w:color="auto"/>
      </w:divBdr>
      <w:divsChild>
        <w:div w:id="1038623476">
          <w:marLeft w:val="0"/>
          <w:marRight w:val="0"/>
          <w:marTop w:val="0"/>
          <w:marBottom w:val="0"/>
          <w:divBdr>
            <w:top w:val="none" w:sz="0" w:space="0" w:color="auto"/>
            <w:left w:val="none" w:sz="0" w:space="0" w:color="auto"/>
            <w:bottom w:val="none" w:sz="0" w:space="0" w:color="auto"/>
            <w:right w:val="none" w:sz="0" w:space="0" w:color="auto"/>
          </w:divBdr>
          <w:divsChild>
            <w:div w:id="1442259381">
              <w:marLeft w:val="0"/>
              <w:marRight w:val="0"/>
              <w:marTop w:val="0"/>
              <w:marBottom w:val="0"/>
              <w:divBdr>
                <w:top w:val="none" w:sz="0" w:space="0" w:color="auto"/>
                <w:left w:val="none" w:sz="0" w:space="0" w:color="auto"/>
                <w:bottom w:val="none" w:sz="0" w:space="0" w:color="auto"/>
                <w:right w:val="none" w:sz="0" w:space="0" w:color="auto"/>
              </w:divBdr>
              <w:divsChild>
                <w:div w:id="550580683">
                  <w:marLeft w:val="0"/>
                  <w:marRight w:val="0"/>
                  <w:marTop w:val="0"/>
                  <w:marBottom w:val="0"/>
                  <w:divBdr>
                    <w:top w:val="none" w:sz="0" w:space="0" w:color="auto"/>
                    <w:left w:val="none" w:sz="0" w:space="0" w:color="auto"/>
                    <w:bottom w:val="none" w:sz="0" w:space="0" w:color="auto"/>
                    <w:right w:val="none" w:sz="0" w:space="0" w:color="auto"/>
                  </w:divBdr>
                  <w:divsChild>
                    <w:div w:id="15094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66895">
      <w:bodyDiv w:val="1"/>
      <w:marLeft w:val="0"/>
      <w:marRight w:val="0"/>
      <w:marTop w:val="0"/>
      <w:marBottom w:val="0"/>
      <w:divBdr>
        <w:top w:val="none" w:sz="0" w:space="0" w:color="auto"/>
        <w:left w:val="none" w:sz="0" w:space="0" w:color="auto"/>
        <w:bottom w:val="none" w:sz="0" w:space="0" w:color="auto"/>
        <w:right w:val="none" w:sz="0" w:space="0" w:color="auto"/>
      </w:divBdr>
    </w:div>
    <w:div w:id="242035886">
      <w:bodyDiv w:val="1"/>
      <w:marLeft w:val="0"/>
      <w:marRight w:val="0"/>
      <w:marTop w:val="0"/>
      <w:marBottom w:val="0"/>
      <w:divBdr>
        <w:top w:val="none" w:sz="0" w:space="0" w:color="auto"/>
        <w:left w:val="none" w:sz="0" w:space="0" w:color="auto"/>
        <w:bottom w:val="none" w:sz="0" w:space="0" w:color="auto"/>
        <w:right w:val="none" w:sz="0" w:space="0" w:color="auto"/>
      </w:divBdr>
      <w:divsChild>
        <w:div w:id="1879774270">
          <w:marLeft w:val="0"/>
          <w:marRight w:val="0"/>
          <w:marTop w:val="0"/>
          <w:marBottom w:val="0"/>
          <w:divBdr>
            <w:top w:val="none" w:sz="0" w:space="0" w:color="auto"/>
            <w:left w:val="none" w:sz="0" w:space="0" w:color="auto"/>
            <w:bottom w:val="none" w:sz="0" w:space="0" w:color="auto"/>
            <w:right w:val="none" w:sz="0" w:space="0" w:color="auto"/>
          </w:divBdr>
          <w:divsChild>
            <w:div w:id="1896358587">
              <w:marLeft w:val="0"/>
              <w:marRight w:val="0"/>
              <w:marTop w:val="0"/>
              <w:marBottom w:val="0"/>
              <w:divBdr>
                <w:top w:val="none" w:sz="0" w:space="0" w:color="auto"/>
                <w:left w:val="none" w:sz="0" w:space="0" w:color="auto"/>
                <w:bottom w:val="none" w:sz="0" w:space="0" w:color="auto"/>
                <w:right w:val="none" w:sz="0" w:space="0" w:color="auto"/>
              </w:divBdr>
              <w:divsChild>
                <w:div w:id="13667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13381">
      <w:bodyDiv w:val="1"/>
      <w:marLeft w:val="0"/>
      <w:marRight w:val="0"/>
      <w:marTop w:val="0"/>
      <w:marBottom w:val="0"/>
      <w:divBdr>
        <w:top w:val="none" w:sz="0" w:space="0" w:color="auto"/>
        <w:left w:val="none" w:sz="0" w:space="0" w:color="auto"/>
        <w:bottom w:val="none" w:sz="0" w:space="0" w:color="auto"/>
        <w:right w:val="none" w:sz="0" w:space="0" w:color="auto"/>
      </w:divBdr>
    </w:div>
    <w:div w:id="260382522">
      <w:bodyDiv w:val="1"/>
      <w:marLeft w:val="0"/>
      <w:marRight w:val="0"/>
      <w:marTop w:val="0"/>
      <w:marBottom w:val="0"/>
      <w:divBdr>
        <w:top w:val="none" w:sz="0" w:space="0" w:color="auto"/>
        <w:left w:val="none" w:sz="0" w:space="0" w:color="auto"/>
        <w:bottom w:val="none" w:sz="0" w:space="0" w:color="auto"/>
        <w:right w:val="none" w:sz="0" w:space="0" w:color="auto"/>
      </w:divBdr>
      <w:divsChild>
        <w:div w:id="705059807">
          <w:marLeft w:val="0"/>
          <w:marRight w:val="0"/>
          <w:marTop w:val="0"/>
          <w:marBottom w:val="0"/>
          <w:divBdr>
            <w:top w:val="none" w:sz="0" w:space="0" w:color="auto"/>
            <w:left w:val="none" w:sz="0" w:space="0" w:color="auto"/>
            <w:bottom w:val="none" w:sz="0" w:space="0" w:color="auto"/>
            <w:right w:val="none" w:sz="0" w:space="0" w:color="auto"/>
          </w:divBdr>
          <w:divsChild>
            <w:div w:id="2032559679">
              <w:marLeft w:val="0"/>
              <w:marRight w:val="0"/>
              <w:marTop w:val="0"/>
              <w:marBottom w:val="0"/>
              <w:divBdr>
                <w:top w:val="none" w:sz="0" w:space="0" w:color="auto"/>
                <w:left w:val="none" w:sz="0" w:space="0" w:color="auto"/>
                <w:bottom w:val="none" w:sz="0" w:space="0" w:color="auto"/>
                <w:right w:val="none" w:sz="0" w:space="0" w:color="auto"/>
              </w:divBdr>
              <w:divsChild>
                <w:div w:id="1922058505">
                  <w:marLeft w:val="0"/>
                  <w:marRight w:val="0"/>
                  <w:marTop w:val="0"/>
                  <w:marBottom w:val="0"/>
                  <w:divBdr>
                    <w:top w:val="none" w:sz="0" w:space="0" w:color="auto"/>
                    <w:left w:val="none" w:sz="0" w:space="0" w:color="auto"/>
                    <w:bottom w:val="none" w:sz="0" w:space="0" w:color="auto"/>
                    <w:right w:val="none" w:sz="0" w:space="0" w:color="auto"/>
                  </w:divBdr>
                  <w:divsChild>
                    <w:div w:id="157667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521763">
      <w:bodyDiv w:val="1"/>
      <w:marLeft w:val="0"/>
      <w:marRight w:val="0"/>
      <w:marTop w:val="0"/>
      <w:marBottom w:val="0"/>
      <w:divBdr>
        <w:top w:val="none" w:sz="0" w:space="0" w:color="auto"/>
        <w:left w:val="none" w:sz="0" w:space="0" w:color="auto"/>
        <w:bottom w:val="none" w:sz="0" w:space="0" w:color="auto"/>
        <w:right w:val="none" w:sz="0" w:space="0" w:color="auto"/>
      </w:divBdr>
      <w:divsChild>
        <w:div w:id="1146510353">
          <w:marLeft w:val="0"/>
          <w:marRight w:val="0"/>
          <w:marTop w:val="0"/>
          <w:marBottom w:val="0"/>
          <w:divBdr>
            <w:top w:val="none" w:sz="0" w:space="0" w:color="auto"/>
            <w:left w:val="none" w:sz="0" w:space="0" w:color="auto"/>
            <w:bottom w:val="none" w:sz="0" w:space="0" w:color="auto"/>
            <w:right w:val="none" w:sz="0" w:space="0" w:color="auto"/>
          </w:divBdr>
          <w:divsChild>
            <w:div w:id="1331567353">
              <w:marLeft w:val="0"/>
              <w:marRight w:val="0"/>
              <w:marTop w:val="0"/>
              <w:marBottom w:val="0"/>
              <w:divBdr>
                <w:top w:val="none" w:sz="0" w:space="0" w:color="auto"/>
                <w:left w:val="none" w:sz="0" w:space="0" w:color="auto"/>
                <w:bottom w:val="none" w:sz="0" w:space="0" w:color="auto"/>
                <w:right w:val="none" w:sz="0" w:space="0" w:color="auto"/>
              </w:divBdr>
              <w:divsChild>
                <w:div w:id="110592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90568">
      <w:bodyDiv w:val="1"/>
      <w:marLeft w:val="0"/>
      <w:marRight w:val="0"/>
      <w:marTop w:val="0"/>
      <w:marBottom w:val="0"/>
      <w:divBdr>
        <w:top w:val="none" w:sz="0" w:space="0" w:color="auto"/>
        <w:left w:val="none" w:sz="0" w:space="0" w:color="auto"/>
        <w:bottom w:val="none" w:sz="0" w:space="0" w:color="auto"/>
        <w:right w:val="none" w:sz="0" w:space="0" w:color="auto"/>
      </w:divBdr>
    </w:div>
    <w:div w:id="335545136">
      <w:bodyDiv w:val="1"/>
      <w:marLeft w:val="0"/>
      <w:marRight w:val="0"/>
      <w:marTop w:val="0"/>
      <w:marBottom w:val="0"/>
      <w:divBdr>
        <w:top w:val="none" w:sz="0" w:space="0" w:color="auto"/>
        <w:left w:val="none" w:sz="0" w:space="0" w:color="auto"/>
        <w:bottom w:val="none" w:sz="0" w:space="0" w:color="auto"/>
        <w:right w:val="none" w:sz="0" w:space="0" w:color="auto"/>
      </w:divBdr>
      <w:divsChild>
        <w:div w:id="1754741234">
          <w:marLeft w:val="0"/>
          <w:marRight w:val="0"/>
          <w:marTop w:val="0"/>
          <w:marBottom w:val="0"/>
          <w:divBdr>
            <w:top w:val="none" w:sz="0" w:space="0" w:color="auto"/>
            <w:left w:val="none" w:sz="0" w:space="0" w:color="auto"/>
            <w:bottom w:val="none" w:sz="0" w:space="0" w:color="auto"/>
            <w:right w:val="none" w:sz="0" w:space="0" w:color="auto"/>
          </w:divBdr>
          <w:divsChild>
            <w:div w:id="78868203">
              <w:marLeft w:val="0"/>
              <w:marRight w:val="0"/>
              <w:marTop w:val="0"/>
              <w:marBottom w:val="0"/>
              <w:divBdr>
                <w:top w:val="none" w:sz="0" w:space="0" w:color="auto"/>
                <w:left w:val="none" w:sz="0" w:space="0" w:color="auto"/>
                <w:bottom w:val="none" w:sz="0" w:space="0" w:color="auto"/>
                <w:right w:val="none" w:sz="0" w:space="0" w:color="auto"/>
              </w:divBdr>
              <w:divsChild>
                <w:div w:id="13610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754763">
      <w:bodyDiv w:val="1"/>
      <w:marLeft w:val="0"/>
      <w:marRight w:val="0"/>
      <w:marTop w:val="0"/>
      <w:marBottom w:val="0"/>
      <w:divBdr>
        <w:top w:val="none" w:sz="0" w:space="0" w:color="auto"/>
        <w:left w:val="none" w:sz="0" w:space="0" w:color="auto"/>
        <w:bottom w:val="none" w:sz="0" w:space="0" w:color="auto"/>
        <w:right w:val="none" w:sz="0" w:space="0" w:color="auto"/>
      </w:divBdr>
    </w:div>
    <w:div w:id="420613348">
      <w:bodyDiv w:val="1"/>
      <w:marLeft w:val="0"/>
      <w:marRight w:val="0"/>
      <w:marTop w:val="0"/>
      <w:marBottom w:val="0"/>
      <w:divBdr>
        <w:top w:val="none" w:sz="0" w:space="0" w:color="auto"/>
        <w:left w:val="none" w:sz="0" w:space="0" w:color="auto"/>
        <w:bottom w:val="none" w:sz="0" w:space="0" w:color="auto"/>
        <w:right w:val="none" w:sz="0" w:space="0" w:color="auto"/>
      </w:divBdr>
      <w:divsChild>
        <w:div w:id="276526302">
          <w:marLeft w:val="0"/>
          <w:marRight w:val="0"/>
          <w:marTop w:val="0"/>
          <w:marBottom w:val="0"/>
          <w:divBdr>
            <w:top w:val="none" w:sz="0" w:space="0" w:color="auto"/>
            <w:left w:val="none" w:sz="0" w:space="0" w:color="auto"/>
            <w:bottom w:val="none" w:sz="0" w:space="0" w:color="auto"/>
            <w:right w:val="none" w:sz="0" w:space="0" w:color="auto"/>
          </w:divBdr>
          <w:divsChild>
            <w:div w:id="69272260">
              <w:marLeft w:val="0"/>
              <w:marRight w:val="0"/>
              <w:marTop w:val="0"/>
              <w:marBottom w:val="0"/>
              <w:divBdr>
                <w:top w:val="none" w:sz="0" w:space="0" w:color="auto"/>
                <w:left w:val="none" w:sz="0" w:space="0" w:color="auto"/>
                <w:bottom w:val="none" w:sz="0" w:space="0" w:color="auto"/>
                <w:right w:val="none" w:sz="0" w:space="0" w:color="auto"/>
              </w:divBdr>
              <w:divsChild>
                <w:div w:id="1878469985">
                  <w:marLeft w:val="0"/>
                  <w:marRight w:val="0"/>
                  <w:marTop w:val="0"/>
                  <w:marBottom w:val="0"/>
                  <w:divBdr>
                    <w:top w:val="none" w:sz="0" w:space="0" w:color="auto"/>
                    <w:left w:val="none" w:sz="0" w:space="0" w:color="auto"/>
                    <w:bottom w:val="none" w:sz="0" w:space="0" w:color="auto"/>
                    <w:right w:val="none" w:sz="0" w:space="0" w:color="auto"/>
                  </w:divBdr>
                  <w:divsChild>
                    <w:div w:id="78893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374408">
      <w:bodyDiv w:val="1"/>
      <w:marLeft w:val="0"/>
      <w:marRight w:val="0"/>
      <w:marTop w:val="0"/>
      <w:marBottom w:val="0"/>
      <w:divBdr>
        <w:top w:val="none" w:sz="0" w:space="0" w:color="auto"/>
        <w:left w:val="none" w:sz="0" w:space="0" w:color="auto"/>
        <w:bottom w:val="none" w:sz="0" w:space="0" w:color="auto"/>
        <w:right w:val="none" w:sz="0" w:space="0" w:color="auto"/>
      </w:divBdr>
      <w:divsChild>
        <w:div w:id="425925174">
          <w:marLeft w:val="0"/>
          <w:marRight w:val="0"/>
          <w:marTop w:val="0"/>
          <w:marBottom w:val="0"/>
          <w:divBdr>
            <w:top w:val="none" w:sz="0" w:space="0" w:color="auto"/>
            <w:left w:val="none" w:sz="0" w:space="0" w:color="auto"/>
            <w:bottom w:val="none" w:sz="0" w:space="0" w:color="auto"/>
            <w:right w:val="none" w:sz="0" w:space="0" w:color="auto"/>
          </w:divBdr>
          <w:divsChild>
            <w:div w:id="1794132741">
              <w:marLeft w:val="0"/>
              <w:marRight w:val="0"/>
              <w:marTop w:val="0"/>
              <w:marBottom w:val="0"/>
              <w:divBdr>
                <w:top w:val="none" w:sz="0" w:space="0" w:color="auto"/>
                <w:left w:val="none" w:sz="0" w:space="0" w:color="auto"/>
                <w:bottom w:val="none" w:sz="0" w:space="0" w:color="auto"/>
                <w:right w:val="none" w:sz="0" w:space="0" w:color="auto"/>
              </w:divBdr>
              <w:divsChild>
                <w:div w:id="1105230582">
                  <w:marLeft w:val="0"/>
                  <w:marRight w:val="0"/>
                  <w:marTop w:val="0"/>
                  <w:marBottom w:val="0"/>
                  <w:divBdr>
                    <w:top w:val="none" w:sz="0" w:space="0" w:color="auto"/>
                    <w:left w:val="none" w:sz="0" w:space="0" w:color="auto"/>
                    <w:bottom w:val="none" w:sz="0" w:space="0" w:color="auto"/>
                    <w:right w:val="none" w:sz="0" w:space="0" w:color="auto"/>
                  </w:divBdr>
                  <w:divsChild>
                    <w:div w:id="189897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221951">
      <w:bodyDiv w:val="1"/>
      <w:marLeft w:val="0"/>
      <w:marRight w:val="0"/>
      <w:marTop w:val="0"/>
      <w:marBottom w:val="0"/>
      <w:divBdr>
        <w:top w:val="none" w:sz="0" w:space="0" w:color="auto"/>
        <w:left w:val="none" w:sz="0" w:space="0" w:color="auto"/>
        <w:bottom w:val="none" w:sz="0" w:space="0" w:color="auto"/>
        <w:right w:val="none" w:sz="0" w:space="0" w:color="auto"/>
      </w:divBdr>
      <w:divsChild>
        <w:div w:id="1006204967">
          <w:marLeft w:val="0"/>
          <w:marRight w:val="0"/>
          <w:marTop w:val="0"/>
          <w:marBottom w:val="0"/>
          <w:divBdr>
            <w:top w:val="none" w:sz="0" w:space="0" w:color="auto"/>
            <w:left w:val="none" w:sz="0" w:space="0" w:color="auto"/>
            <w:bottom w:val="none" w:sz="0" w:space="0" w:color="auto"/>
            <w:right w:val="none" w:sz="0" w:space="0" w:color="auto"/>
          </w:divBdr>
          <w:divsChild>
            <w:div w:id="558826414">
              <w:marLeft w:val="0"/>
              <w:marRight w:val="0"/>
              <w:marTop w:val="0"/>
              <w:marBottom w:val="0"/>
              <w:divBdr>
                <w:top w:val="none" w:sz="0" w:space="0" w:color="auto"/>
                <w:left w:val="none" w:sz="0" w:space="0" w:color="auto"/>
                <w:bottom w:val="none" w:sz="0" w:space="0" w:color="auto"/>
                <w:right w:val="none" w:sz="0" w:space="0" w:color="auto"/>
              </w:divBdr>
              <w:divsChild>
                <w:div w:id="752706161">
                  <w:marLeft w:val="0"/>
                  <w:marRight w:val="0"/>
                  <w:marTop w:val="0"/>
                  <w:marBottom w:val="0"/>
                  <w:divBdr>
                    <w:top w:val="none" w:sz="0" w:space="0" w:color="auto"/>
                    <w:left w:val="none" w:sz="0" w:space="0" w:color="auto"/>
                    <w:bottom w:val="none" w:sz="0" w:space="0" w:color="auto"/>
                    <w:right w:val="none" w:sz="0" w:space="0" w:color="auto"/>
                  </w:divBdr>
                  <w:divsChild>
                    <w:div w:id="43956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837055">
      <w:bodyDiv w:val="1"/>
      <w:marLeft w:val="0"/>
      <w:marRight w:val="0"/>
      <w:marTop w:val="0"/>
      <w:marBottom w:val="0"/>
      <w:divBdr>
        <w:top w:val="none" w:sz="0" w:space="0" w:color="auto"/>
        <w:left w:val="none" w:sz="0" w:space="0" w:color="auto"/>
        <w:bottom w:val="none" w:sz="0" w:space="0" w:color="auto"/>
        <w:right w:val="none" w:sz="0" w:space="0" w:color="auto"/>
      </w:divBdr>
      <w:divsChild>
        <w:div w:id="1485505303">
          <w:marLeft w:val="0"/>
          <w:marRight w:val="0"/>
          <w:marTop w:val="0"/>
          <w:marBottom w:val="0"/>
          <w:divBdr>
            <w:top w:val="none" w:sz="0" w:space="0" w:color="auto"/>
            <w:left w:val="none" w:sz="0" w:space="0" w:color="auto"/>
            <w:bottom w:val="none" w:sz="0" w:space="0" w:color="auto"/>
            <w:right w:val="none" w:sz="0" w:space="0" w:color="auto"/>
          </w:divBdr>
          <w:divsChild>
            <w:div w:id="321203302">
              <w:marLeft w:val="0"/>
              <w:marRight w:val="0"/>
              <w:marTop w:val="0"/>
              <w:marBottom w:val="0"/>
              <w:divBdr>
                <w:top w:val="none" w:sz="0" w:space="0" w:color="auto"/>
                <w:left w:val="none" w:sz="0" w:space="0" w:color="auto"/>
                <w:bottom w:val="none" w:sz="0" w:space="0" w:color="auto"/>
                <w:right w:val="none" w:sz="0" w:space="0" w:color="auto"/>
              </w:divBdr>
              <w:divsChild>
                <w:div w:id="16933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652692">
      <w:bodyDiv w:val="1"/>
      <w:marLeft w:val="0"/>
      <w:marRight w:val="0"/>
      <w:marTop w:val="0"/>
      <w:marBottom w:val="0"/>
      <w:divBdr>
        <w:top w:val="none" w:sz="0" w:space="0" w:color="auto"/>
        <w:left w:val="none" w:sz="0" w:space="0" w:color="auto"/>
        <w:bottom w:val="none" w:sz="0" w:space="0" w:color="auto"/>
        <w:right w:val="none" w:sz="0" w:space="0" w:color="auto"/>
      </w:divBdr>
      <w:divsChild>
        <w:div w:id="1809324969">
          <w:marLeft w:val="0"/>
          <w:marRight w:val="0"/>
          <w:marTop w:val="0"/>
          <w:marBottom w:val="0"/>
          <w:divBdr>
            <w:top w:val="none" w:sz="0" w:space="0" w:color="auto"/>
            <w:left w:val="none" w:sz="0" w:space="0" w:color="auto"/>
            <w:bottom w:val="none" w:sz="0" w:space="0" w:color="auto"/>
            <w:right w:val="none" w:sz="0" w:space="0" w:color="auto"/>
          </w:divBdr>
          <w:divsChild>
            <w:div w:id="1904752433">
              <w:marLeft w:val="0"/>
              <w:marRight w:val="0"/>
              <w:marTop w:val="0"/>
              <w:marBottom w:val="0"/>
              <w:divBdr>
                <w:top w:val="none" w:sz="0" w:space="0" w:color="auto"/>
                <w:left w:val="none" w:sz="0" w:space="0" w:color="auto"/>
                <w:bottom w:val="none" w:sz="0" w:space="0" w:color="auto"/>
                <w:right w:val="none" w:sz="0" w:space="0" w:color="auto"/>
              </w:divBdr>
              <w:divsChild>
                <w:div w:id="88502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007413">
      <w:bodyDiv w:val="1"/>
      <w:marLeft w:val="0"/>
      <w:marRight w:val="0"/>
      <w:marTop w:val="0"/>
      <w:marBottom w:val="0"/>
      <w:divBdr>
        <w:top w:val="none" w:sz="0" w:space="0" w:color="auto"/>
        <w:left w:val="none" w:sz="0" w:space="0" w:color="auto"/>
        <w:bottom w:val="none" w:sz="0" w:space="0" w:color="auto"/>
        <w:right w:val="none" w:sz="0" w:space="0" w:color="auto"/>
      </w:divBdr>
      <w:divsChild>
        <w:div w:id="1326736832">
          <w:marLeft w:val="0"/>
          <w:marRight w:val="0"/>
          <w:marTop w:val="0"/>
          <w:marBottom w:val="0"/>
          <w:divBdr>
            <w:top w:val="none" w:sz="0" w:space="0" w:color="auto"/>
            <w:left w:val="none" w:sz="0" w:space="0" w:color="auto"/>
            <w:bottom w:val="none" w:sz="0" w:space="0" w:color="auto"/>
            <w:right w:val="none" w:sz="0" w:space="0" w:color="auto"/>
          </w:divBdr>
          <w:divsChild>
            <w:div w:id="528572752">
              <w:marLeft w:val="0"/>
              <w:marRight w:val="0"/>
              <w:marTop w:val="0"/>
              <w:marBottom w:val="0"/>
              <w:divBdr>
                <w:top w:val="none" w:sz="0" w:space="0" w:color="auto"/>
                <w:left w:val="none" w:sz="0" w:space="0" w:color="auto"/>
                <w:bottom w:val="none" w:sz="0" w:space="0" w:color="auto"/>
                <w:right w:val="none" w:sz="0" w:space="0" w:color="auto"/>
              </w:divBdr>
              <w:divsChild>
                <w:div w:id="1986079544">
                  <w:marLeft w:val="0"/>
                  <w:marRight w:val="0"/>
                  <w:marTop w:val="0"/>
                  <w:marBottom w:val="0"/>
                  <w:divBdr>
                    <w:top w:val="none" w:sz="0" w:space="0" w:color="auto"/>
                    <w:left w:val="none" w:sz="0" w:space="0" w:color="auto"/>
                    <w:bottom w:val="none" w:sz="0" w:space="0" w:color="auto"/>
                    <w:right w:val="none" w:sz="0" w:space="0" w:color="auto"/>
                  </w:divBdr>
                  <w:divsChild>
                    <w:div w:id="64620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607160">
      <w:bodyDiv w:val="1"/>
      <w:marLeft w:val="0"/>
      <w:marRight w:val="0"/>
      <w:marTop w:val="0"/>
      <w:marBottom w:val="0"/>
      <w:divBdr>
        <w:top w:val="none" w:sz="0" w:space="0" w:color="auto"/>
        <w:left w:val="none" w:sz="0" w:space="0" w:color="auto"/>
        <w:bottom w:val="none" w:sz="0" w:space="0" w:color="auto"/>
        <w:right w:val="none" w:sz="0" w:space="0" w:color="auto"/>
      </w:divBdr>
    </w:div>
    <w:div w:id="742096836">
      <w:bodyDiv w:val="1"/>
      <w:marLeft w:val="0"/>
      <w:marRight w:val="0"/>
      <w:marTop w:val="0"/>
      <w:marBottom w:val="0"/>
      <w:divBdr>
        <w:top w:val="none" w:sz="0" w:space="0" w:color="auto"/>
        <w:left w:val="none" w:sz="0" w:space="0" w:color="auto"/>
        <w:bottom w:val="none" w:sz="0" w:space="0" w:color="auto"/>
        <w:right w:val="none" w:sz="0" w:space="0" w:color="auto"/>
      </w:divBdr>
      <w:divsChild>
        <w:div w:id="333806552">
          <w:marLeft w:val="0"/>
          <w:marRight w:val="0"/>
          <w:marTop w:val="0"/>
          <w:marBottom w:val="0"/>
          <w:divBdr>
            <w:top w:val="none" w:sz="0" w:space="0" w:color="auto"/>
            <w:left w:val="none" w:sz="0" w:space="0" w:color="auto"/>
            <w:bottom w:val="none" w:sz="0" w:space="0" w:color="auto"/>
            <w:right w:val="none" w:sz="0" w:space="0" w:color="auto"/>
          </w:divBdr>
          <w:divsChild>
            <w:div w:id="642391636">
              <w:marLeft w:val="0"/>
              <w:marRight w:val="0"/>
              <w:marTop w:val="0"/>
              <w:marBottom w:val="0"/>
              <w:divBdr>
                <w:top w:val="none" w:sz="0" w:space="0" w:color="auto"/>
                <w:left w:val="none" w:sz="0" w:space="0" w:color="auto"/>
                <w:bottom w:val="none" w:sz="0" w:space="0" w:color="auto"/>
                <w:right w:val="none" w:sz="0" w:space="0" w:color="auto"/>
              </w:divBdr>
              <w:divsChild>
                <w:div w:id="27873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212296">
      <w:bodyDiv w:val="1"/>
      <w:marLeft w:val="0"/>
      <w:marRight w:val="0"/>
      <w:marTop w:val="0"/>
      <w:marBottom w:val="0"/>
      <w:divBdr>
        <w:top w:val="none" w:sz="0" w:space="0" w:color="auto"/>
        <w:left w:val="none" w:sz="0" w:space="0" w:color="auto"/>
        <w:bottom w:val="none" w:sz="0" w:space="0" w:color="auto"/>
        <w:right w:val="none" w:sz="0" w:space="0" w:color="auto"/>
      </w:divBdr>
    </w:div>
    <w:div w:id="875511370">
      <w:bodyDiv w:val="1"/>
      <w:marLeft w:val="0"/>
      <w:marRight w:val="0"/>
      <w:marTop w:val="0"/>
      <w:marBottom w:val="0"/>
      <w:divBdr>
        <w:top w:val="none" w:sz="0" w:space="0" w:color="auto"/>
        <w:left w:val="none" w:sz="0" w:space="0" w:color="auto"/>
        <w:bottom w:val="none" w:sz="0" w:space="0" w:color="auto"/>
        <w:right w:val="none" w:sz="0" w:space="0" w:color="auto"/>
      </w:divBdr>
      <w:divsChild>
        <w:div w:id="1510411553">
          <w:marLeft w:val="0"/>
          <w:marRight w:val="0"/>
          <w:marTop w:val="0"/>
          <w:marBottom w:val="0"/>
          <w:divBdr>
            <w:top w:val="none" w:sz="0" w:space="0" w:color="auto"/>
            <w:left w:val="none" w:sz="0" w:space="0" w:color="auto"/>
            <w:bottom w:val="none" w:sz="0" w:space="0" w:color="auto"/>
            <w:right w:val="none" w:sz="0" w:space="0" w:color="auto"/>
          </w:divBdr>
          <w:divsChild>
            <w:div w:id="1142430204">
              <w:marLeft w:val="0"/>
              <w:marRight w:val="0"/>
              <w:marTop w:val="0"/>
              <w:marBottom w:val="0"/>
              <w:divBdr>
                <w:top w:val="none" w:sz="0" w:space="0" w:color="auto"/>
                <w:left w:val="none" w:sz="0" w:space="0" w:color="auto"/>
                <w:bottom w:val="none" w:sz="0" w:space="0" w:color="auto"/>
                <w:right w:val="none" w:sz="0" w:space="0" w:color="auto"/>
              </w:divBdr>
              <w:divsChild>
                <w:div w:id="1597247234">
                  <w:marLeft w:val="0"/>
                  <w:marRight w:val="0"/>
                  <w:marTop w:val="0"/>
                  <w:marBottom w:val="0"/>
                  <w:divBdr>
                    <w:top w:val="none" w:sz="0" w:space="0" w:color="auto"/>
                    <w:left w:val="none" w:sz="0" w:space="0" w:color="auto"/>
                    <w:bottom w:val="none" w:sz="0" w:space="0" w:color="auto"/>
                    <w:right w:val="none" w:sz="0" w:space="0" w:color="auto"/>
                  </w:divBdr>
                  <w:divsChild>
                    <w:div w:id="30844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370406">
      <w:bodyDiv w:val="1"/>
      <w:marLeft w:val="0"/>
      <w:marRight w:val="0"/>
      <w:marTop w:val="0"/>
      <w:marBottom w:val="0"/>
      <w:divBdr>
        <w:top w:val="none" w:sz="0" w:space="0" w:color="auto"/>
        <w:left w:val="none" w:sz="0" w:space="0" w:color="auto"/>
        <w:bottom w:val="none" w:sz="0" w:space="0" w:color="auto"/>
        <w:right w:val="none" w:sz="0" w:space="0" w:color="auto"/>
      </w:divBdr>
      <w:divsChild>
        <w:div w:id="1974821966">
          <w:marLeft w:val="0"/>
          <w:marRight w:val="0"/>
          <w:marTop w:val="0"/>
          <w:marBottom w:val="0"/>
          <w:divBdr>
            <w:top w:val="none" w:sz="0" w:space="0" w:color="auto"/>
            <w:left w:val="none" w:sz="0" w:space="0" w:color="auto"/>
            <w:bottom w:val="none" w:sz="0" w:space="0" w:color="auto"/>
            <w:right w:val="none" w:sz="0" w:space="0" w:color="auto"/>
          </w:divBdr>
          <w:divsChild>
            <w:div w:id="1246188650">
              <w:marLeft w:val="0"/>
              <w:marRight w:val="0"/>
              <w:marTop w:val="0"/>
              <w:marBottom w:val="0"/>
              <w:divBdr>
                <w:top w:val="none" w:sz="0" w:space="0" w:color="auto"/>
                <w:left w:val="none" w:sz="0" w:space="0" w:color="auto"/>
                <w:bottom w:val="none" w:sz="0" w:space="0" w:color="auto"/>
                <w:right w:val="none" w:sz="0" w:space="0" w:color="auto"/>
              </w:divBdr>
              <w:divsChild>
                <w:div w:id="939223186">
                  <w:marLeft w:val="0"/>
                  <w:marRight w:val="0"/>
                  <w:marTop w:val="0"/>
                  <w:marBottom w:val="0"/>
                  <w:divBdr>
                    <w:top w:val="none" w:sz="0" w:space="0" w:color="auto"/>
                    <w:left w:val="none" w:sz="0" w:space="0" w:color="auto"/>
                    <w:bottom w:val="none" w:sz="0" w:space="0" w:color="auto"/>
                    <w:right w:val="none" w:sz="0" w:space="0" w:color="auto"/>
                  </w:divBdr>
                  <w:divsChild>
                    <w:div w:id="501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259139">
      <w:bodyDiv w:val="1"/>
      <w:marLeft w:val="0"/>
      <w:marRight w:val="0"/>
      <w:marTop w:val="0"/>
      <w:marBottom w:val="0"/>
      <w:divBdr>
        <w:top w:val="none" w:sz="0" w:space="0" w:color="auto"/>
        <w:left w:val="none" w:sz="0" w:space="0" w:color="auto"/>
        <w:bottom w:val="none" w:sz="0" w:space="0" w:color="auto"/>
        <w:right w:val="none" w:sz="0" w:space="0" w:color="auto"/>
      </w:divBdr>
      <w:divsChild>
        <w:div w:id="1902716865">
          <w:marLeft w:val="0"/>
          <w:marRight w:val="0"/>
          <w:marTop w:val="0"/>
          <w:marBottom w:val="0"/>
          <w:divBdr>
            <w:top w:val="none" w:sz="0" w:space="0" w:color="auto"/>
            <w:left w:val="none" w:sz="0" w:space="0" w:color="auto"/>
            <w:bottom w:val="none" w:sz="0" w:space="0" w:color="auto"/>
            <w:right w:val="none" w:sz="0" w:space="0" w:color="auto"/>
          </w:divBdr>
          <w:divsChild>
            <w:div w:id="1485855947">
              <w:marLeft w:val="0"/>
              <w:marRight w:val="0"/>
              <w:marTop w:val="0"/>
              <w:marBottom w:val="0"/>
              <w:divBdr>
                <w:top w:val="none" w:sz="0" w:space="0" w:color="auto"/>
                <w:left w:val="none" w:sz="0" w:space="0" w:color="auto"/>
                <w:bottom w:val="none" w:sz="0" w:space="0" w:color="auto"/>
                <w:right w:val="none" w:sz="0" w:space="0" w:color="auto"/>
              </w:divBdr>
              <w:divsChild>
                <w:div w:id="1322541419">
                  <w:marLeft w:val="0"/>
                  <w:marRight w:val="0"/>
                  <w:marTop w:val="0"/>
                  <w:marBottom w:val="0"/>
                  <w:divBdr>
                    <w:top w:val="none" w:sz="0" w:space="0" w:color="auto"/>
                    <w:left w:val="none" w:sz="0" w:space="0" w:color="auto"/>
                    <w:bottom w:val="none" w:sz="0" w:space="0" w:color="auto"/>
                    <w:right w:val="none" w:sz="0" w:space="0" w:color="auto"/>
                  </w:divBdr>
                  <w:divsChild>
                    <w:div w:id="69450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629838">
      <w:bodyDiv w:val="1"/>
      <w:marLeft w:val="0"/>
      <w:marRight w:val="0"/>
      <w:marTop w:val="0"/>
      <w:marBottom w:val="0"/>
      <w:divBdr>
        <w:top w:val="none" w:sz="0" w:space="0" w:color="auto"/>
        <w:left w:val="none" w:sz="0" w:space="0" w:color="auto"/>
        <w:bottom w:val="none" w:sz="0" w:space="0" w:color="auto"/>
        <w:right w:val="none" w:sz="0" w:space="0" w:color="auto"/>
      </w:divBdr>
      <w:divsChild>
        <w:div w:id="1804620974">
          <w:marLeft w:val="0"/>
          <w:marRight w:val="0"/>
          <w:marTop w:val="0"/>
          <w:marBottom w:val="0"/>
          <w:divBdr>
            <w:top w:val="none" w:sz="0" w:space="0" w:color="auto"/>
            <w:left w:val="none" w:sz="0" w:space="0" w:color="auto"/>
            <w:bottom w:val="none" w:sz="0" w:space="0" w:color="auto"/>
            <w:right w:val="none" w:sz="0" w:space="0" w:color="auto"/>
          </w:divBdr>
          <w:divsChild>
            <w:div w:id="1405758253">
              <w:marLeft w:val="0"/>
              <w:marRight w:val="0"/>
              <w:marTop w:val="0"/>
              <w:marBottom w:val="0"/>
              <w:divBdr>
                <w:top w:val="none" w:sz="0" w:space="0" w:color="auto"/>
                <w:left w:val="none" w:sz="0" w:space="0" w:color="auto"/>
                <w:bottom w:val="none" w:sz="0" w:space="0" w:color="auto"/>
                <w:right w:val="none" w:sz="0" w:space="0" w:color="auto"/>
              </w:divBdr>
              <w:divsChild>
                <w:div w:id="1050809978">
                  <w:marLeft w:val="0"/>
                  <w:marRight w:val="0"/>
                  <w:marTop w:val="0"/>
                  <w:marBottom w:val="0"/>
                  <w:divBdr>
                    <w:top w:val="none" w:sz="0" w:space="0" w:color="auto"/>
                    <w:left w:val="none" w:sz="0" w:space="0" w:color="auto"/>
                    <w:bottom w:val="none" w:sz="0" w:space="0" w:color="auto"/>
                    <w:right w:val="none" w:sz="0" w:space="0" w:color="auto"/>
                  </w:divBdr>
                  <w:divsChild>
                    <w:div w:id="78342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166738">
      <w:bodyDiv w:val="1"/>
      <w:marLeft w:val="0"/>
      <w:marRight w:val="0"/>
      <w:marTop w:val="0"/>
      <w:marBottom w:val="0"/>
      <w:divBdr>
        <w:top w:val="none" w:sz="0" w:space="0" w:color="auto"/>
        <w:left w:val="none" w:sz="0" w:space="0" w:color="auto"/>
        <w:bottom w:val="none" w:sz="0" w:space="0" w:color="auto"/>
        <w:right w:val="none" w:sz="0" w:space="0" w:color="auto"/>
      </w:divBdr>
      <w:divsChild>
        <w:div w:id="1621688855">
          <w:marLeft w:val="0"/>
          <w:marRight w:val="0"/>
          <w:marTop w:val="0"/>
          <w:marBottom w:val="0"/>
          <w:divBdr>
            <w:top w:val="none" w:sz="0" w:space="0" w:color="auto"/>
            <w:left w:val="none" w:sz="0" w:space="0" w:color="auto"/>
            <w:bottom w:val="none" w:sz="0" w:space="0" w:color="auto"/>
            <w:right w:val="none" w:sz="0" w:space="0" w:color="auto"/>
          </w:divBdr>
          <w:divsChild>
            <w:div w:id="1651522433">
              <w:marLeft w:val="0"/>
              <w:marRight w:val="0"/>
              <w:marTop w:val="0"/>
              <w:marBottom w:val="0"/>
              <w:divBdr>
                <w:top w:val="none" w:sz="0" w:space="0" w:color="auto"/>
                <w:left w:val="none" w:sz="0" w:space="0" w:color="auto"/>
                <w:bottom w:val="none" w:sz="0" w:space="0" w:color="auto"/>
                <w:right w:val="none" w:sz="0" w:space="0" w:color="auto"/>
              </w:divBdr>
              <w:divsChild>
                <w:div w:id="40641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44416">
      <w:bodyDiv w:val="1"/>
      <w:marLeft w:val="0"/>
      <w:marRight w:val="0"/>
      <w:marTop w:val="0"/>
      <w:marBottom w:val="0"/>
      <w:divBdr>
        <w:top w:val="none" w:sz="0" w:space="0" w:color="auto"/>
        <w:left w:val="none" w:sz="0" w:space="0" w:color="auto"/>
        <w:bottom w:val="none" w:sz="0" w:space="0" w:color="auto"/>
        <w:right w:val="none" w:sz="0" w:space="0" w:color="auto"/>
      </w:divBdr>
      <w:divsChild>
        <w:div w:id="1101297954">
          <w:marLeft w:val="0"/>
          <w:marRight w:val="0"/>
          <w:marTop w:val="0"/>
          <w:marBottom w:val="0"/>
          <w:divBdr>
            <w:top w:val="none" w:sz="0" w:space="0" w:color="auto"/>
            <w:left w:val="none" w:sz="0" w:space="0" w:color="auto"/>
            <w:bottom w:val="none" w:sz="0" w:space="0" w:color="auto"/>
            <w:right w:val="none" w:sz="0" w:space="0" w:color="auto"/>
          </w:divBdr>
          <w:divsChild>
            <w:div w:id="1791896077">
              <w:marLeft w:val="0"/>
              <w:marRight w:val="0"/>
              <w:marTop w:val="0"/>
              <w:marBottom w:val="0"/>
              <w:divBdr>
                <w:top w:val="none" w:sz="0" w:space="0" w:color="auto"/>
                <w:left w:val="none" w:sz="0" w:space="0" w:color="auto"/>
                <w:bottom w:val="none" w:sz="0" w:space="0" w:color="auto"/>
                <w:right w:val="none" w:sz="0" w:space="0" w:color="auto"/>
              </w:divBdr>
              <w:divsChild>
                <w:div w:id="150045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2686">
      <w:bodyDiv w:val="1"/>
      <w:marLeft w:val="0"/>
      <w:marRight w:val="0"/>
      <w:marTop w:val="0"/>
      <w:marBottom w:val="0"/>
      <w:divBdr>
        <w:top w:val="none" w:sz="0" w:space="0" w:color="auto"/>
        <w:left w:val="none" w:sz="0" w:space="0" w:color="auto"/>
        <w:bottom w:val="none" w:sz="0" w:space="0" w:color="auto"/>
        <w:right w:val="none" w:sz="0" w:space="0" w:color="auto"/>
      </w:divBdr>
      <w:divsChild>
        <w:div w:id="158927637">
          <w:marLeft w:val="0"/>
          <w:marRight w:val="0"/>
          <w:marTop w:val="0"/>
          <w:marBottom w:val="0"/>
          <w:divBdr>
            <w:top w:val="none" w:sz="0" w:space="0" w:color="auto"/>
            <w:left w:val="none" w:sz="0" w:space="0" w:color="auto"/>
            <w:bottom w:val="none" w:sz="0" w:space="0" w:color="auto"/>
            <w:right w:val="none" w:sz="0" w:space="0" w:color="auto"/>
          </w:divBdr>
          <w:divsChild>
            <w:div w:id="604308430">
              <w:marLeft w:val="0"/>
              <w:marRight w:val="0"/>
              <w:marTop w:val="0"/>
              <w:marBottom w:val="0"/>
              <w:divBdr>
                <w:top w:val="none" w:sz="0" w:space="0" w:color="auto"/>
                <w:left w:val="none" w:sz="0" w:space="0" w:color="auto"/>
                <w:bottom w:val="none" w:sz="0" w:space="0" w:color="auto"/>
                <w:right w:val="none" w:sz="0" w:space="0" w:color="auto"/>
              </w:divBdr>
              <w:divsChild>
                <w:div w:id="520625011">
                  <w:marLeft w:val="0"/>
                  <w:marRight w:val="0"/>
                  <w:marTop w:val="0"/>
                  <w:marBottom w:val="0"/>
                  <w:divBdr>
                    <w:top w:val="none" w:sz="0" w:space="0" w:color="auto"/>
                    <w:left w:val="none" w:sz="0" w:space="0" w:color="auto"/>
                    <w:bottom w:val="none" w:sz="0" w:space="0" w:color="auto"/>
                    <w:right w:val="none" w:sz="0" w:space="0" w:color="auto"/>
                  </w:divBdr>
                  <w:divsChild>
                    <w:div w:id="180723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063749">
      <w:bodyDiv w:val="1"/>
      <w:marLeft w:val="0"/>
      <w:marRight w:val="0"/>
      <w:marTop w:val="0"/>
      <w:marBottom w:val="0"/>
      <w:divBdr>
        <w:top w:val="none" w:sz="0" w:space="0" w:color="auto"/>
        <w:left w:val="none" w:sz="0" w:space="0" w:color="auto"/>
        <w:bottom w:val="none" w:sz="0" w:space="0" w:color="auto"/>
        <w:right w:val="none" w:sz="0" w:space="0" w:color="auto"/>
      </w:divBdr>
    </w:div>
    <w:div w:id="1049648418">
      <w:bodyDiv w:val="1"/>
      <w:marLeft w:val="0"/>
      <w:marRight w:val="0"/>
      <w:marTop w:val="0"/>
      <w:marBottom w:val="0"/>
      <w:divBdr>
        <w:top w:val="none" w:sz="0" w:space="0" w:color="auto"/>
        <w:left w:val="none" w:sz="0" w:space="0" w:color="auto"/>
        <w:bottom w:val="none" w:sz="0" w:space="0" w:color="auto"/>
        <w:right w:val="none" w:sz="0" w:space="0" w:color="auto"/>
      </w:divBdr>
    </w:div>
    <w:div w:id="1075131410">
      <w:bodyDiv w:val="1"/>
      <w:marLeft w:val="0"/>
      <w:marRight w:val="0"/>
      <w:marTop w:val="0"/>
      <w:marBottom w:val="0"/>
      <w:divBdr>
        <w:top w:val="none" w:sz="0" w:space="0" w:color="auto"/>
        <w:left w:val="none" w:sz="0" w:space="0" w:color="auto"/>
        <w:bottom w:val="none" w:sz="0" w:space="0" w:color="auto"/>
        <w:right w:val="none" w:sz="0" w:space="0" w:color="auto"/>
      </w:divBdr>
      <w:divsChild>
        <w:div w:id="830368417">
          <w:marLeft w:val="0"/>
          <w:marRight w:val="0"/>
          <w:marTop w:val="0"/>
          <w:marBottom w:val="0"/>
          <w:divBdr>
            <w:top w:val="none" w:sz="0" w:space="0" w:color="auto"/>
            <w:left w:val="none" w:sz="0" w:space="0" w:color="auto"/>
            <w:bottom w:val="none" w:sz="0" w:space="0" w:color="auto"/>
            <w:right w:val="none" w:sz="0" w:space="0" w:color="auto"/>
          </w:divBdr>
          <w:divsChild>
            <w:div w:id="1028146612">
              <w:marLeft w:val="0"/>
              <w:marRight w:val="0"/>
              <w:marTop w:val="0"/>
              <w:marBottom w:val="0"/>
              <w:divBdr>
                <w:top w:val="none" w:sz="0" w:space="0" w:color="auto"/>
                <w:left w:val="none" w:sz="0" w:space="0" w:color="auto"/>
                <w:bottom w:val="none" w:sz="0" w:space="0" w:color="auto"/>
                <w:right w:val="none" w:sz="0" w:space="0" w:color="auto"/>
              </w:divBdr>
              <w:divsChild>
                <w:div w:id="1951428707">
                  <w:marLeft w:val="0"/>
                  <w:marRight w:val="0"/>
                  <w:marTop w:val="0"/>
                  <w:marBottom w:val="0"/>
                  <w:divBdr>
                    <w:top w:val="none" w:sz="0" w:space="0" w:color="auto"/>
                    <w:left w:val="none" w:sz="0" w:space="0" w:color="auto"/>
                    <w:bottom w:val="none" w:sz="0" w:space="0" w:color="auto"/>
                    <w:right w:val="none" w:sz="0" w:space="0" w:color="auto"/>
                  </w:divBdr>
                  <w:divsChild>
                    <w:div w:id="4455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821393">
      <w:bodyDiv w:val="1"/>
      <w:marLeft w:val="0"/>
      <w:marRight w:val="0"/>
      <w:marTop w:val="0"/>
      <w:marBottom w:val="0"/>
      <w:divBdr>
        <w:top w:val="none" w:sz="0" w:space="0" w:color="auto"/>
        <w:left w:val="none" w:sz="0" w:space="0" w:color="auto"/>
        <w:bottom w:val="none" w:sz="0" w:space="0" w:color="auto"/>
        <w:right w:val="none" w:sz="0" w:space="0" w:color="auto"/>
      </w:divBdr>
      <w:divsChild>
        <w:div w:id="1140804578">
          <w:marLeft w:val="0"/>
          <w:marRight w:val="0"/>
          <w:marTop w:val="0"/>
          <w:marBottom w:val="0"/>
          <w:divBdr>
            <w:top w:val="none" w:sz="0" w:space="0" w:color="auto"/>
            <w:left w:val="none" w:sz="0" w:space="0" w:color="auto"/>
            <w:bottom w:val="none" w:sz="0" w:space="0" w:color="auto"/>
            <w:right w:val="none" w:sz="0" w:space="0" w:color="auto"/>
          </w:divBdr>
          <w:divsChild>
            <w:div w:id="1173300342">
              <w:marLeft w:val="0"/>
              <w:marRight w:val="0"/>
              <w:marTop w:val="0"/>
              <w:marBottom w:val="0"/>
              <w:divBdr>
                <w:top w:val="none" w:sz="0" w:space="0" w:color="auto"/>
                <w:left w:val="none" w:sz="0" w:space="0" w:color="auto"/>
                <w:bottom w:val="none" w:sz="0" w:space="0" w:color="auto"/>
                <w:right w:val="none" w:sz="0" w:space="0" w:color="auto"/>
              </w:divBdr>
              <w:divsChild>
                <w:div w:id="34984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25222">
      <w:bodyDiv w:val="1"/>
      <w:marLeft w:val="0"/>
      <w:marRight w:val="0"/>
      <w:marTop w:val="0"/>
      <w:marBottom w:val="0"/>
      <w:divBdr>
        <w:top w:val="none" w:sz="0" w:space="0" w:color="auto"/>
        <w:left w:val="none" w:sz="0" w:space="0" w:color="auto"/>
        <w:bottom w:val="none" w:sz="0" w:space="0" w:color="auto"/>
        <w:right w:val="none" w:sz="0" w:space="0" w:color="auto"/>
      </w:divBdr>
      <w:divsChild>
        <w:div w:id="1397894499">
          <w:marLeft w:val="0"/>
          <w:marRight w:val="0"/>
          <w:marTop w:val="0"/>
          <w:marBottom w:val="0"/>
          <w:divBdr>
            <w:top w:val="none" w:sz="0" w:space="0" w:color="auto"/>
            <w:left w:val="none" w:sz="0" w:space="0" w:color="auto"/>
            <w:bottom w:val="none" w:sz="0" w:space="0" w:color="auto"/>
            <w:right w:val="none" w:sz="0" w:space="0" w:color="auto"/>
          </w:divBdr>
          <w:divsChild>
            <w:div w:id="1089813650">
              <w:marLeft w:val="0"/>
              <w:marRight w:val="0"/>
              <w:marTop w:val="0"/>
              <w:marBottom w:val="0"/>
              <w:divBdr>
                <w:top w:val="none" w:sz="0" w:space="0" w:color="auto"/>
                <w:left w:val="none" w:sz="0" w:space="0" w:color="auto"/>
                <w:bottom w:val="none" w:sz="0" w:space="0" w:color="auto"/>
                <w:right w:val="none" w:sz="0" w:space="0" w:color="auto"/>
              </w:divBdr>
              <w:divsChild>
                <w:div w:id="806780451">
                  <w:marLeft w:val="0"/>
                  <w:marRight w:val="0"/>
                  <w:marTop w:val="0"/>
                  <w:marBottom w:val="0"/>
                  <w:divBdr>
                    <w:top w:val="none" w:sz="0" w:space="0" w:color="auto"/>
                    <w:left w:val="none" w:sz="0" w:space="0" w:color="auto"/>
                    <w:bottom w:val="none" w:sz="0" w:space="0" w:color="auto"/>
                    <w:right w:val="none" w:sz="0" w:space="0" w:color="auto"/>
                  </w:divBdr>
                  <w:divsChild>
                    <w:div w:id="100940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156774">
      <w:bodyDiv w:val="1"/>
      <w:marLeft w:val="0"/>
      <w:marRight w:val="0"/>
      <w:marTop w:val="0"/>
      <w:marBottom w:val="0"/>
      <w:divBdr>
        <w:top w:val="none" w:sz="0" w:space="0" w:color="auto"/>
        <w:left w:val="none" w:sz="0" w:space="0" w:color="auto"/>
        <w:bottom w:val="none" w:sz="0" w:space="0" w:color="auto"/>
        <w:right w:val="none" w:sz="0" w:space="0" w:color="auto"/>
      </w:divBdr>
      <w:divsChild>
        <w:div w:id="1539779218">
          <w:marLeft w:val="0"/>
          <w:marRight w:val="0"/>
          <w:marTop w:val="0"/>
          <w:marBottom w:val="0"/>
          <w:divBdr>
            <w:top w:val="none" w:sz="0" w:space="0" w:color="auto"/>
            <w:left w:val="none" w:sz="0" w:space="0" w:color="auto"/>
            <w:bottom w:val="none" w:sz="0" w:space="0" w:color="auto"/>
            <w:right w:val="none" w:sz="0" w:space="0" w:color="auto"/>
          </w:divBdr>
          <w:divsChild>
            <w:div w:id="251085818">
              <w:marLeft w:val="0"/>
              <w:marRight w:val="0"/>
              <w:marTop w:val="0"/>
              <w:marBottom w:val="0"/>
              <w:divBdr>
                <w:top w:val="none" w:sz="0" w:space="0" w:color="auto"/>
                <w:left w:val="none" w:sz="0" w:space="0" w:color="auto"/>
                <w:bottom w:val="none" w:sz="0" w:space="0" w:color="auto"/>
                <w:right w:val="none" w:sz="0" w:space="0" w:color="auto"/>
              </w:divBdr>
              <w:divsChild>
                <w:div w:id="345253621">
                  <w:marLeft w:val="0"/>
                  <w:marRight w:val="0"/>
                  <w:marTop w:val="0"/>
                  <w:marBottom w:val="0"/>
                  <w:divBdr>
                    <w:top w:val="none" w:sz="0" w:space="0" w:color="auto"/>
                    <w:left w:val="none" w:sz="0" w:space="0" w:color="auto"/>
                    <w:bottom w:val="none" w:sz="0" w:space="0" w:color="auto"/>
                    <w:right w:val="none" w:sz="0" w:space="0" w:color="auto"/>
                  </w:divBdr>
                  <w:divsChild>
                    <w:div w:id="43151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23733">
      <w:bodyDiv w:val="1"/>
      <w:marLeft w:val="0"/>
      <w:marRight w:val="0"/>
      <w:marTop w:val="0"/>
      <w:marBottom w:val="0"/>
      <w:divBdr>
        <w:top w:val="none" w:sz="0" w:space="0" w:color="auto"/>
        <w:left w:val="none" w:sz="0" w:space="0" w:color="auto"/>
        <w:bottom w:val="none" w:sz="0" w:space="0" w:color="auto"/>
        <w:right w:val="none" w:sz="0" w:space="0" w:color="auto"/>
      </w:divBdr>
      <w:divsChild>
        <w:div w:id="2055694322">
          <w:marLeft w:val="0"/>
          <w:marRight w:val="0"/>
          <w:marTop w:val="0"/>
          <w:marBottom w:val="0"/>
          <w:divBdr>
            <w:top w:val="none" w:sz="0" w:space="0" w:color="auto"/>
            <w:left w:val="none" w:sz="0" w:space="0" w:color="auto"/>
            <w:bottom w:val="none" w:sz="0" w:space="0" w:color="auto"/>
            <w:right w:val="none" w:sz="0" w:space="0" w:color="auto"/>
          </w:divBdr>
          <w:divsChild>
            <w:div w:id="1640067477">
              <w:marLeft w:val="0"/>
              <w:marRight w:val="0"/>
              <w:marTop w:val="0"/>
              <w:marBottom w:val="0"/>
              <w:divBdr>
                <w:top w:val="none" w:sz="0" w:space="0" w:color="auto"/>
                <w:left w:val="none" w:sz="0" w:space="0" w:color="auto"/>
                <w:bottom w:val="none" w:sz="0" w:space="0" w:color="auto"/>
                <w:right w:val="none" w:sz="0" w:space="0" w:color="auto"/>
              </w:divBdr>
              <w:divsChild>
                <w:div w:id="1851406616">
                  <w:marLeft w:val="0"/>
                  <w:marRight w:val="0"/>
                  <w:marTop w:val="0"/>
                  <w:marBottom w:val="0"/>
                  <w:divBdr>
                    <w:top w:val="none" w:sz="0" w:space="0" w:color="auto"/>
                    <w:left w:val="none" w:sz="0" w:space="0" w:color="auto"/>
                    <w:bottom w:val="none" w:sz="0" w:space="0" w:color="auto"/>
                    <w:right w:val="none" w:sz="0" w:space="0" w:color="auto"/>
                  </w:divBdr>
                  <w:divsChild>
                    <w:div w:id="68624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561745">
      <w:bodyDiv w:val="1"/>
      <w:marLeft w:val="0"/>
      <w:marRight w:val="0"/>
      <w:marTop w:val="0"/>
      <w:marBottom w:val="0"/>
      <w:divBdr>
        <w:top w:val="none" w:sz="0" w:space="0" w:color="auto"/>
        <w:left w:val="none" w:sz="0" w:space="0" w:color="auto"/>
        <w:bottom w:val="none" w:sz="0" w:space="0" w:color="auto"/>
        <w:right w:val="none" w:sz="0" w:space="0" w:color="auto"/>
      </w:divBdr>
      <w:divsChild>
        <w:div w:id="1983807038">
          <w:marLeft w:val="0"/>
          <w:marRight w:val="0"/>
          <w:marTop w:val="0"/>
          <w:marBottom w:val="0"/>
          <w:divBdr>
            <w:top w:val="none" w:sz="0" w:space="0" w:color="auto"/>
            <w:left w:val="none" w:sz="0" w:space="0" w:color="auto"/>
            <w:bottom w:val="none" w:sz="0" w:space="0" w:color="auto"/>
            <w:right w:val="none" w:sz="0" w:space="0" w:color="auto"/>
          </w:divBdr>
          <w:divsChild>
            <w:div w:id="1184436165">
              <w:marLeft w:val="0"/>
              <w:marRight w:val="0"/>
              <w:marTop w:val="0"/>
              <w:marBottom w:val="0"/>
              <w:divBdr>
                <w:top w:val="none" w:sz="0" w:space="0" w:color="auto"/>
                <w:left w:val="none" w:sz="0" w:space="0" w:color="auto"/>
                <w:bottom w:val="none" w:sz="0" w:space="0" w:color="auto"/>
                <w:right w:val="none" w:sz="0" w:space="0" w:color="auto"/>
              </w:divBdr>
              <w:divsChild>
                <w:div w:id="48196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202967">
      <w:bodyDiv w:val="1"/>
      <w:marLeft w:val="0"/>
      <w:marRight w:val="0"/>
      <w:marTop w:val="0"/>
      <w:marBottom w:val="0"/>
      <w:divBdr>
        <w:top w:val="none" w:sz="0" w:space="0" w:color="auto"/>
        <w:left w:val="none" w:sz="0" w:space="0" w:color="auto"/>
        <w:bottom w:val="none" w:sz="0" w:space="0" w:color="auto"/>
        <w:right w:val="none" w:sz="0" w:space="0" w:color="auto"/>
      </w:divBdr>
      <w:divsChild>
        <w:div w:id="1966888845">
          <w:marLeft w:val="0"/>
          <w:marRight w:val="0"/>
          <w:marTop w:val="0"/>
          <w:marBottom w:val="0"/>
          <w:divBdr>
            <w:top w:val="none" w:sz="0" w:space="0" w:color="auto"/>
            <w:left w:val="none" w:sz="0" w:space="0" w:color="auto"/>
            <w:bottom w:val="none" w:sz="0" w:space="0" w:color="auto"/>
            <w:right w:val="none" w:sz="0" w:space="0" w:color="auto"/>
          </w:divBdr>
          <w:divsChild>
            <w:div w:id="1216432032">
              <w:marLeft w:val="0"/>
              <w:marRight w:val="0"/>
              <w:marTop w:val="0"/>
              <w:marBottom w:val="0"/>
              <w:divBdr>
                <w:top w:val="none" w:sz="0" w:space="0" w:color="auto"/>
                <w:left w:val="none" w:sz="0" w:space="0" w:color="auto"/>
                <w:bottom w:val="none" w:sz="0" w:space="0" w:color="auto"/>
                <w:right w:val="none" w:sz="0" w:space="0" w:color="auto"/>
              </w:divBdr>
              <w:divsChild>
                <w:div w:id="1185096902">
                  <w:marLeft w:val="0"/>
                  <w:marRight w:val="0"/>
                  <w:marTop w:val="0"/>
                  <w:marBottom w:val="0"/>
                  <w:divBdr>
                    <w:top w:val="none" w:sz="0" w:space="0" w:color="auto"/>
                    <w:left w:val="none" w:sz="0" w:space="0" w:color="auto"/>
                    <w:bottom w:val="none" w:sz="0" w:space="0" w:color="auto"/>
                    <w:right w:val="none" w:sz="0" w:space="0" w:color="auto"/>
                  </w:divBdr>
                  <w:divsChild>
                    <w:div w:id="104139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8268">
      <w:bodyDiv w:val="1"/>
      <w:marLeft w:val="0"/>
      <w:marRight w:val="0"/>
      <w:marTop w:val="0"/>
      <w:marBottom w:val="0"/>
      <w:divBdr>
        <w:top w:val="none" w:sz="0" w:space="0" w:color="auto"/>
        <w:left w:val="none" w:sz="0" w:space="0" w:color="auto"/>
        <w:bottom w:val="none" w:sz="0" w:space="0" w:color="auto"/>
        <w:right w:val="none" w:sz="0" w:space="0" w:color="auto"/>
      </w:divBdr>
      <w:divsChild>
        <w:div w:id="304774568">
          <w:marLeft w:val="0"/>
          <w:marRight w:val="0"/>
          <w:marTop w:val="0"/>
          <w:marBottom w:val="0"/>
          <w:divBdr>
            <w:top w:val="none" w:sz="0" w:space="0" w:color="auto"/>
            <w:left w:val="none" w:sz="0" w:space="0" w:color="auto"/>
            <w:bottom w:val="none" w:sz="0" w:space="0" w:color="auto"/>
            <w:right w:val="none" w:sz="0" w:space="0" w:color="auto"/>
          </w:divBdr>
          <w:divsChild>
            <w:div w:id="1840728963">
              <w:marLeft w:val="0"/>
              <w:marRight w:val="0"/>
              <w:marTop w:val="0"/>
              <w:marBottom w:val="0"/>
              <w:divBdr>
                <w:top w:val="none" w:sz="0" w:space="0" w:color="auto"/>
                <w:left w:val="none" w:sz="0" w:space="0" w:color="auto"/>
                <w:bottom w:val="none" w:sz="0" w:space="0" w:color="auto"/>
                <w:right w:val="none" w:sz="0" w:space="0" w:color="auto"/>
              </w:divBdr>
              <w:divsChild>
                <w:div w:id="180820957">
                  <w:marLeft w:val="0"/>
                  <w:marRight w:val="0"/>
                  <w:marTop w:val="0"/>
                  <w:marBottom w:val="0"/>
                  <w:divBdr>
                    <w:top w:val="none" w:sz="0" w:space="0" w:color="auto"/>
                    <w:left w:val="none" w:sz="0" w:space="0" w:color="auto"/>
                    <w:bottom w:val="none" w:sz="0" w:space="0" w:color="auto"/>
                    <w:right w:val="none" w:sz="0" w:space="0" w:color="auto"/>
                  </w:divBdr>
                  <w:divsChild>
                    <w:div w:id="209723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206687">
      <w:bodyDiv w:val="1"/>
      <w:marLeft w:val="0"/>
      <w:marRight w:val="0"/>
      <w:marTop w:val="0"/>
      <w:marBottom w:val="0"/>
      <w:divBdr>
        <w:top w:val="none" w:sz="0" w:space="0" w:color="auto"/>
        <w:left w:val="none" w:sz="0" w:space="0" w:color="auto"/>
        <w:bottom w:val="none" w:sz="0" w:space="0" w:color="auto"/>
        <w:right w:val="none" w:sz="0" w:space="0" w:color="auto"/>
      </w:divBdr>
      <w:divsChild>
        <w:div w:id="1109010794">
          <w:marLeft w:val="0"/>
          <w:marRight w:val="0"/>
          <w:marTop w:val="0"/>
          <w:marBottom w:val="0"/>
          <w:divBdr>
            <w:top w:val="none" w:sz="0" w:space="0" w:color="auto"/>
            <w:left w:val="none" w:sz="0" w:space="0" w:color="auto"/>
            <w:bottom w:val="none" w:sz="0" w:space="0" w:color="auto"/>
            <w:right w:val="none" w:sz="0" w:space="0" w:color="auto"/>
          </w:divBdr>
          <w:divsChild>
            <w:div w:id="614797999">
              <w:marLeft w:val="0"/>
              <w:marRight w:val="0"/>
              <w:marTop w:val="0"/>
              <w:marBottom w:val="0"/>
              <w:divBdr>
                <w:top w:val="none" w:sz="0" w:space="0" w:color="auto"/>
                <w:left w:val="none" w:sz="0" w:space="0" w:color="auto"/>
                <w:bottom w:val="none" w:sz="0" w:space="0" w:color="auto"/>
                <w:right w:val="none" w:sz="0" w:space="0" w:color="auto"/>
              </w:divBdr>
              <w:divsChild>
                <w:div w:id="18065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371323">
      <w:bodyDiv w:val="1"/>
      <w:marLeft w:val="0"/>
      <w:marRight w:val="0"/>
      <w:marTop w:val="0"/>
      <w:marBottom w:val="0"/>
      <w:divBdr>
        <w:top w:val="none" w:sz="0" w:space="0" w:color="auto"/>
        <w:left w:val="none" w:sz="0" w:space="0" w:color="auto"/>
        <w:bottom w:val="none" w:sz="0" w:space="0" w:color="auto"/>
        <w:right w:val="none" w:sz="0" w:space="0" w:color="auto"/>
      </w:divBdr>
      <w:divsChild>
        <w:div w:id="139658446">
          <w:marLeft w:val="0"/>
          <w:marRight w:val="0"/>
          <w:marTop w:val="0"/>
          <w:marBottom w:val="0"/>
          <w:divBdr>
            <w:top w:val="none" w:sz="0" w:space="0" w:color="auto"/>
            <w:left w:val="none" w:sz="0" w:space="0" w:color="auto"/>
            <w:bottom w:val="none" w:sz="0" w:space="0" w:color="auto"/>
            <w:right w:val="none" w:sz="0" w:space="0" w:color="auto"/>
          </w:divBdr>
          <w:divsChild>
            <w:div w:id="133956355">
              <w:marLeft w:val="0"/>
              <w:marRight w:val="0"/>
              <w:marTop w:val="0"/>
              <w:marBottom w:val="0"/>
              <w:divBdr>
                <w:top w:val="none" w:sz="0" w:space="0" w:color="auto"/>
                <w:left w:val="none" w:sz="0" w:space="0" w:color="auto"/>
                <w:bottom w:val="none" w:sz="0" w:space="0" w:color="auto"/>
                <w:right w:val="none" w:sz="0" w:space="0" w:color="auto"/>
              </w:divBdr>
              <w:divsChild>
                <w:div w:id="95691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169311">
      <w:bodyDiv w:val="1"/>
      <w:marLeft w:val="0"/>
      <w:marRight w:val="0"/>
      <w:marTop w:val="0"/>
      <w:marBottom w:val="0"/>
      <w:divBdr>
        <w:top w:val="none" w:sz="0" w:space="0" w:color="auto"/>
        <w:left w:val="none" w:sz="0" w:space="0" w:color="auto"/>
        <w:bottom w:val="none" w:sz="0" w:space="0" w:color="auto"/>
        <w:right w:val="none" w:sz="0" w:space="0" w:color="auto"/>
      </w:divBdr>
      <w:divsChild>
        <w:div w:id="1650984159">
          <w:marLeft w:val="0"/>
          <w:marRight w:val="0"/>
          <w:marTop w:val="0"/>
          <w:marBottom w:val="0"/>
          <w:divBdr>
            <w:top w:val="none" w:sz="0" w:space="0" w:color="auto"/>
            <w:left w:val="none" w:sz="0" w:space="0" w:color="auto"/>
            <w:bottom w:val="none" w:sz="0" w:space="0" w:color="auto"/>
            <w:right w:val="none" w:sz="0" w:space="0" w:color="auto"/>
          </w:divBdr>
          <w:divsChild>
            <w:div w:id="1971548451">
              <w:marLeft w:val="0"/>
              <w:marRight w:val="0"/>
              <w:marTop w:val="0"/>
              <w:marBottom w:val="0"/>
              <w:divBdr>
                <w:top w:val="none" w:sz="0" w:space="0" w:color="auto"/>
                <w:left w:val="none" w:sz="0" w:space="0" w:color="auto"/>
                <w:bottom w:val="none" w:sz="0" w:space="0" w:color="auto"/>
                <w:right w:val="none" w:sz="0" w:space="0" w:color="auto"/>
              </w:divBdr>
              <w:divsChild>
                <w:div w:id="515968788">
                  <w:marLeft w:val="0"/>
                  <w:marRight w:val="0"/>
                  <w:marTop w:val="0"/>
                  <w:marBottom w:val="0"/>
                  <w:divBdr>
                    <w:top w:val="none" w:sz="0" w:space="0" w:color="auto"/>
                    <w:left w:val="none" w:sz="0" w:space="0" w:color="auto"/>
                    <w:bottom w:val="none" w:sz="0" w:space="0" w:color="auto"/>
                    <w:right w:val="none" w:sz="0" w:space="0" w:color="auto"/>
                  </w:divBdr>
                  <w:divsChild>
                    <w:div w:id="17989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517659">
      <w:bodyDiv w:val="1"/>
      <w:marLeft w:val="0"/>
      <w:marRight w:val="0"/>
      <w:marTop w:val="0"/>
      <w:marBottom w:val="0"/>
      <w:divBdr>
        <w:top w:val="none" w:sz="0" w:space="0" w:color="auto"/>
        <w:left w:val="none" w:sz="0" w:space="0" w:color="auto"/>
        <w:bottom w:val="none" w:sz="0" w:space="0" w:color="auto"/>
        <w:right w:val="none" w:sz="0" w:space="0" w:color="auto"/>
      </w:divBdr>
      <w:divsChild>
        <w:div w:id="318340307">
          <w:marLeft w:val="0"/>
          <w:marRight w:val="0"/>
          <w:marTop w:val="0"/>
          <w:marBottom w:val="0"/>
          <w:divBdr>
            <w:top w:val="none" w:sz="0" w:space="0" w:color="auto"/>
            <w:left w:val="none" w:sz="0" w:space="0" w:color="auto"/>
            <w:bottom w:val="none" w:sz="0" w:space="0" w:color="auto"/>
            <w:right w:val="none" w:sz="0" w:space="0" w:color="auto"/>
          </w:divBdr>
          <w:divsChild>
            <w:div w:id="890071244">
              <w:marLeft w:val="0"/>
              <w:marRight w:val="0"/>
              <w:marTop w:val="0"/>
              <w:marBottom w:val="0"/>
              <w:divBdr>
                <w:top w:val="none" w:sz="0" w:space="0" w:color="auto"/>
                <w:left w:val="none" w:sz="0" w:space="0" w:color="auto"/>
                <w:bottom w:val="none" w:sz="0" w:space="0" w:color="auto"/>
                <w:right w:val="none" w:sz="0" w:space="0" w:color="auto"/>
              </w:divBdr>
              <w:divsChild>
                <w:div w:id="19414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02848">
      <w:bodyDiv w:val="1"/>
      <w:marLeft w:val="0"/>
      <w:marRight w:val="0"/>
      <w:marTop w:val="0"/>
      <w:marBottom w:val="0"/>
      <w:divBdr>
        <w:top w:val="none" w:sz="0" w:space="0" w:color="auto"/>
        <w:left w:val="none" w:sz="0" w:space="0" w:color="auto"/>
        <w:bottom w:val="none" w:sz="0" w:space="0" w:color="auto"/>
        <w:right w:val="none" w:sz="0" w:space="0" w:color="auto"/>
      </w:divBdr>
      <w:divsChild>
        <w:div w:id="412893528">
          <w:marLeft w:val="0"/>
          <w:marRight w:val="0"/>
          <w:marTop w:val="0"/>
          <w:marBottom w:val="0"/>
          <w:divBdr>
            <w:top w:val="none" w:sz="0" w:space="0" w:color="auto"/>
            <w:left w:val="none" w:sz="0" w:space="0" w:color="auto"/>
            <w:bottom w:val="none" w:sz="0" w:space="0" w:color="auto"/>
            <w:right w:val="none" w:sz="0" w:space="0" w:color="auto"/>
          </w:divBdr>
          <w:divsChild>
            <w:div w:id="1090199665">
              <w:marLeft w:val="0"/>
              <w:marRight w:val="0"/>
              <w:marTop w:val="0"/>
              <w:marBottom w:val="0"/>
              <w:divBdr>
                <w:top w:val="none" w:sz="0" w:space="0" w:color="auto"/>
                <w:left w:val="none" w:sz="0" w:space="0" w:color="auto"/>
                <w:bottom w:val="none" w:sz="0" w:space="0" w:color="auto"/>
                <w:right w:val="none" w:sz="0" w:space="0" w:color="auto"/>
              </w:divBdr>
              <w:divsChild>
                <w:div w:id="1888294708">
                  <w:marLeft w:val="0"/>
                  <w:marRight w:val="0"/>
                  <w:marTop w:val="0"/>
                  <w:marBottom w:val="0"/>
                  <w:divBdr>
                    <w:top w:val="none" w:sz="0" w:space="0" w:color="auto"/>
                    <w:left w:val="none" w:sz="0" w:space="0" w:color="auto"/>
                    <w:bottom w:val="none" w:sz="0" w:space="0" w:color="auto"/>
                    <w:right w:val="none" w:sz="0" w:space="0" w:color="auto"/>
                  </w:divBdr>
                  <w:divsChild>
                    <w:div w:id="19967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578572">
      <w:bodyDiv w:val="1"/>
      <w:marLeft w:val="0"/>
      <w:marRight w:val="0"/>
      <w:marTop w:val="0"/>
      <w:marBottom w:val="0"/>
      <w:divBdr>
        <w:top w:val="none" w:sz="0" w:space="0" w:color="auto"/>
        <w:left w:val="none" w:sz="0" w:space="0" w:color="auto"/>
        <w:bottom w:val="none" w:sz="0" w:space="0" w:color="auto"/>
        <w:right w:val="none" w:sz="0" w:space="0" w:color="auto"/>
      </w:divBdr>
      <w:divsChild>
        <w:div w:id="391582854">
          <w:marLeft w:val="0"/>
          <w:marRight w:val="0"/>
          <w:marTop w:val="0"/>
          <w:marBottom w:val="0"/>
          <w:divBdr>
            <w:top w:val="none" w:sz="0" w:space="0" w:color="auto"/>
            <w:left w:val="none" w:sz="0" w:space="0" w:color="auto"/>
            <w:bottom w:val="none" w:sz="0" w:space="0" w:color="auto"/>
            <w:right w:val="none" w:sz="0" w:space="0" w:color="auto"/>
          </w:divBdr>
          <w:divsChild>
            <w:div w:id="1216550247">
              <w:marLeft w:val="0"/>
              <w:marRight w:val="0"/>
              <w:marTop w:val="0"/>
              <w:marBottom w:val="0"/>
              <w:divBdr>
                <w:top w:val="none" w:sz="0" w:space="0" w:color="auto"/>
                <w:left w:val="none" w:sz="0" w:space="0" w:color="auto"/>
                <w:bottom w:val="none" w:sz="0" w:space="0" w:color="auto"/>
                <w:right w:val="none" w:sz="0" w:space="0" w:color="auto"/>
              </w:divBdr>
              <w:divsChild>
                <w:div w:id="548348815">
                  <w:marLeft w:val="0"/>
                  <w:marRight w:val="0"/>
                  <w:marTop w:val="0"/>
                  <w:marBottom w:val="0"/>
                  <w:divBdr>
                    <w:top w:val="none" w:sz="0" w:space="0" w:color="auto"/>
                    <w:left w:val="none" w:sz="0" w:space="0" w:color="auto"/>
                    <w:bottom w:val="none" w:sz="0" w:space="0" w:color="auto"/>
                    <w:right w:val="none" w:sz="0" w:space="0" w:color="auto"/>
                  </w:divBdr>
                  <w:divsChild>
                    <w:div w:id="214106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576790">
      <w:bodyDiv w:val="1"/>
      <w:marLeft w:val="0"/>
      <w:marRight w:val="0"/>
      <w:marTop w:val="0"/>
      <w:marBottom w:val="0"/>
      <w:divBdr>
        <w:top w:val="none" w:sz="0" w:space="0" w:color="auto"/>
        <w:left w:val="none" w:sz="0" w:space="0" w:color="auto"/>
        <w:bottom w:val="none" w:sz="0" w:space="0" w:color="auto"/>
        <w:right w:val="none" w:sz="0" w:space="0" w:color="auto"/>
      </w:divBdr>
      <w:divsChild>
        <w:div w:id="861091126">
          <w:marLeft w:val="0"/>
          <w:marRight w:val="0"/>
          <w:marTop w:val="0"/>
          <w:marBottom w:val="0"/>
          <w:divBdr>
            <w:top w:val="none" w:sz="0" w:space="0" w:color="auto"/>
            <w:left w:val="none" w:sz="0" w:space="0" w:color="auto"/>
            <w:bottom w:val="none" w:sz="0" w:space="0" w:color="auto"/>
            <w:right w:val="none" w:sz="0" w:space="0" w:color="auto"/>
          </w:divBdr>
          <w:divsChild>
            <w:div w:id="1566137408">
              <w:marLeft w:val="0"/>
              <w:marRight w:val="0"/>
              <w:marTop w:val="0"/>
              <w:marBottom w:val="0"/>
              <w:divBdr>
                <w:top w:val="none" w:sz="0" w:space="0" w:color="auto"/>
                <w:left w:val="none" w:sz="0" w:space="0" w:color="auto"/>
                <w:bottom w:val="none" w:sz="0" w:space="0" w:color="auto"/>
                <w:right w:val="none" w:sz="0" w:space="0" w:color="auto"/>
              </w:divBdr>
              <w:divsChild>
                <w:div w:id="21175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030687">
      <w:bodyDiv w:val="1"/>
      <w:marLeft w:val="0"/>
      <w:marRight w:val="0"/>
      <w:marTop w:val="0"/>
      <w:marBottom w:val="0"/>
      <w:divBdr>
        <w:top w:val="none" w:sz="0" w:space="0" w:color="auto"/>
        <w:left w:val="none" w:sz="0" w:space="0" w:color="auto"/>
        <w:bottom w:val="none" w:sz="0" w:space="0" w:color="auto"/>
        <w:right w:val="none" w:sz="0" w:space="0" w:color="auto"/>
      </w:divBdr>
    </w:div>
    <w:div w:id="1789742303">
      <w:bodyDiv w:val="1"/>
      <w:marLeft w:val="0"/>
      <w:marRight w:val="0"/>
      <w:marTop w:val="0"/>
      <w:marBottom w:val="0"/>
      <w:divBdr>
        <w:top w:val="none" w:sz="0" w:space="0" w:color="auto"/>
        <w:left w:val="none" w:sz="0" w:space="0" w:color="auto"/>
        <w:bottom w:val="none" w:sz="0" w:space="0" w:color="auto"/>
        <w:right w:val="none" w:sz="0" w:space="0" w:color="auto"/>
      </w:divBdr>
      <w:divsChild>
        <w:div w:id="1361663011">
          <w:marLeft w:val="0"/>
          <w:marRight w:val="0"/>
          <w:marTop w:val="0"/>
          <w:marBottom w:val="0"/>
          <w:divBdr>
            <w:top w:val="none" w:sz="0" w:space="0" w:color="auto"/>
            <w:left w:val="none" w:sz="0" w:space="0" w:color="auto"/>
            <w:bottom w:val="none" w:sz="0" w:space="0" w:color="auto"/>
            <w:right w:val="none" w:sz="0" w:space="0" w:color="auto"/>
          </w:divBdr>
          <w:divsChild>
            <w:div w:id="1003048387">
              <w:marLeft w:val="0"/>
              <w:marRight w:val="0"/>
              <w:marTop w:val="0"/>
              <w:marBottom w:val="0"/>
              <w:divBdr>
                <w:top w:val="none" w:sz="0" w:space="0" w:color="auto"/>
                <w:left w:val="none" w:sz="0" w:space="0" w:color="auto"/>
                <w:bottom w:val="none" w:sz="0" w:space="0" w:color="auto"/>
                <w:right w:val="none" w:sz="0" w:space="0" w:color="auto"/>
              </w:divBdr>
              <w:divsChild>
                <w:div w:id="7644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07545">
      <w:bodyDiv w:val="1"/>
      <w:marLeft w:val="0"/>
      <w:marRight w:val="0"/>
      <w:marTop w:val="0"/>
      <w:marBottom w:val="0"/>
      <w:divBdr>
        <w:top w:val="none" w:sz="0" w:space="0" w:color="auto"/>
        <w:left w:val="none" w:sz="0" w:space="0" w:color="auto"/>
        <w:bottom w:val="none" w:sz="0" w:space="0" w:color="auto"/>
        <w:right w:val="none" w:sz="0" w:space="0" w:color="auto"/>
      </w:divBdr>
      <w:divsChild>
        <w:div w:id="209803219">
          <w:marLeft w:val="0"/>
          <w:marRight w:val="0"/>
          <w:marTop w:val="0"/>
          <w:marBottom w:val="0"/>
          <w:divBdr>
            <w:top w:val="none" w:sz="0" w:space="0" w:color="auto"/>
            <w:left w:val="none" w:sz="0" w:space="0" w:color="auto"/>
            <w:bottom w:val="none" w:sz="0" w:space="0" w:color="auto"/>
            <w:right w:val="none" w:sz="0" w:space="0" w:color="auto"/>
          </w:divBdr>
          <w:divsChild>
            <w:div w:id="622535429">
              <w:marLeft w:val="0"/>
              <w:marRight w:val="0"/>
              <w:marTop w:val="0"/>
              <w:marBottom w:val="0"/>
              <w:divBdr>
                <w:top w:val="none" w:sz="0" w:space="0" w:color="auto"/>
                <w:left w:val="none" w:sz="0" w:space="0" w:color="auto"/>
                <w:bottom w:val="none" w:sz="0" w:space="0" w:color="auto"/>
                <w:right w:val="none" w:sz="0" w:space="0" w:color="auto"/>
              </w:divBdr>
              <w:divsChild>
                <w:div w:id="601764315">
                  <w:marLeft w:val="0"/>
                  <w:marRight w:val="0"/>
                  <w:marTop w:val="0"/>
                  <w:marBottom w:val="0"/>
                  <w:divBdr>
                    <w:top w:val="none" w:sz="0" w:space="0" w:color="auto"/>
                    <w:left w:val="none" w:sz="0" w:space="0" w:color="auto"/>
                    <w:bottom w:val="none" w:sz="0" w:space="0" w:color="auto"/>
                    <w:right w:val="none" w:sz="0" w:space="0" w:color="auto"/>
                  </w:divBdr>
                  <w:divsChild>
                    <w:div w:id="161736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557867">
      <w:bodyDiv w:val="1"/>
      <w:marLeft w:val="0"/>
      <w:marRight w:val="0"/>
      <w:marTop w:val="0"/>
      <w:marBottom w:val="0"/>
      <w:divBdr>
        <w:top w:val="none" w:sz="0" w:space="0" w:color="auto"/>
        <w:left w:val="none" w:sz="0" w:space="0" w:color="auto"/>
        <w:bottom w:val="none" w:sz="0" w:space="0" w:color="auto"/>
        <w:right w:val="none" w:sz="0" w:space="0" w:color="auto"/>
      </w:divBdr>
      <w:divsChild>
        <w:div w:id="96141942">
          <w:marLeft w:val="0"/>
          <w:marRight w:val="0"/>
          <w:marTop w:val="0"/>
          <w:marBottom w:val="0"/>
          <w:divBdr>
            <w:top w:val="none" w:sz="0" w:space="0" w:color="auto"/>
            <w:left w:val="none" w:sz="0" w:space="0" w:color="auto"/>
            <w:bottom w:val="none" w:sz="0" w:space="0" w:color="auto"/>
            <w:right w:val="none" w:sz="0" w:space="0" w:color="auto"/>
          </w:divBdr>
          <w:divsChild>
            <w:div w:id="46732680">
              <w:marLeft w:val="0"/>
              <w:marRight w:val="0"/>
              <w:marTop w:val="0"/>
              <w:marBottom w:val="0"/>
              <w:divBdr>
                <w:top w:val="none" w:sz="0" w:space="0" w:color="auto"/>
                <w:left w:val="none" w:sz="0" w:space="0" w:color="auto"/>
                <w:bottom w:val="none" w:sz="0" w:space="0" w:color="auto"/>
                <w:right w:val="none" w:sz="0" w:space="0" w:color="auto"/>
              </w:divBdr>
              <w:divsChild>
                <w:div w:id="1124813626">
                  <w:marLeft w:val="0"/>
                  <w:marRight w:val="0"/>
                  <w:marTop w:val="0"/>
                  <w:marBottom w:val="0"/>
                  <w:divBdr>
                    <w:top w:val="none" w:sz="0" w:space="0" w:color="auto"/>
                    <w:left w:val="none" w:sz="0" w:space="0" w:color="auto"/>
                    <w:bottom w:val="none" w:sz="0" w:space="0" w:color="auto"/>
                    <w:right w:val="none" w:sz="0" w:space="0" w:color="auto"/>
                  </w:divBdr>
                  <w:divsChild>
                    <w:div w:id="78061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066692">
      <w:bodyDiv w:val="1"/>
      <w:marLeft w:val="0"/>
      <w:marRight w:val="0"/>
      <w:marTop w:val="0"/>
      <w:marBottom w:val="0"/>
      <w:divBdr>
        <w:top w:val="none" w:sz="0" w:space="0" w:color="auto"/>
        <w:left w:val="none" w:sz="0" w:space="0" w:color="auto"/>
        <w:bottom w:val="none" w:sz="0" w:space="0" w:color="auto"/>
        <w:right w:val="none" w:sz="0" w:space="0" w:color="auto"/>
      </w:divBdr>
      <w:divsChild>
        <w:div w:id="1984264650">
          <w:marLeft w:val="0"/>
          <w:marRight w:val="0"/>
          <w:marTop w:val="0"/>
          <w:marBottom w:val="0"/>
          <w:divBdr>
            <w:top w:val="none" w:sz="0" w:space="0" w:color="auto"/>
            <w:left w:val="none" w:sz="0" w:space="0" w:color="auto"/>
            <w:bottom w:val="none" w:sz="0" w:space="0" w:color="auto"/>
            <w:right w:val="none" w:sz="0" w:space="0" w:color="auto"/>
          </w:divBdr>
          <w:divsChild>
            <w:div w:id="1399985146">
              <w:marLeft w:val="0"/>
              <w:marRight w:val="0"/>
              <w:marTop w:val="0"/>
              <w:marBottom w:val="0"/>
              <w:divBdr>
                <w:top w:val="none" w:sz="0" w:space="0" w:color="auto"/>
                <w:left w:val="none" w:sz="0" w:space="0" w:color="auto"/>
                <w:bottom w:val="none" w:sz="0" w:space="0" w:color="auto"/>
                <w:right w:val="none" w:sz="0" w:space="0" w:color="auto"/>
              </w:divBdr>
              <w:divsChild>
                <w:div w:id="64882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457496">
      <w:bodyDiv w:val="1"/>
      <w:marLeft w:val="0"/>
      <w:marRight w:val="0"/>
      <w:marTop w:val="0"/>
      <w:marBottom w:val="0"/>
      <w:divBdr>
        <w:top w:val="none" w:sz="0" w:space="0" w:color="auto"/>
        <w:left w:val="none" w:sz="0" w:space="0" w:color="auto"/>
        <w:bottom w:val="none" w:sz="0" w:space="0" w:color="auto"/>
        <w:right w:val="none" w:sz="0" w:space="0" w:color="auto"/>
      </w:divBdr>
      <w:divsChild>
        <w:div w:id="1737052499">
          <w:marLeft w:val="0"/>
          <w:marRight w:val="0"/>
          <w:marTop w:val="0"/>
          <w:marBottom w:val="0"/>
          <w:divBdr>
            <w:top w:val="none" w:sz="0" w:space="0" w:color="auto"/>
            <w:left w:val="none" w:sz="0" w:space="0" w:color="auto"/>
            <w:bottom w:val="none" w:sz="0" w:space="0" w:color="auto"/>
            <w:right w:val="none" w:sz="0" w:space="0" w:color="auto"/>
          </w:divBdr>
          <w:divsChild>
            <w:div w:id="543174568">
              <w:marLeft w:val="0"/>
              <w:marRight w:val="0"/>
              <w:marTop w:val="0"/>
              <w:marBottom w:val="0"/>
              <w:divBdr>
                <w:top w:val="none" w:sz="0" w:space="0" w:color="auto"/>
                <w:left w:val="none" w:sz="0" w:space="0" w:color="auto"/>
                <w:bottom w:val="none" w:sz="0" w:space="0" w:color="auto"/>
                <w:right w:val="none" w:sz="0" w:space="0" w:color="auto"/>
              </w:divBdr>
              <w:divsChild>
                <w:div w:id="15753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274846">
      <w:bodyDiv w:val="1"/>
      <w:marLeft w:val="0"/>
      <w:marRight w:val="0"/>
      <w:marTop w:val="0"/>
      <w:marBottom w:val="0"/>
      <w:divBdr>
        <w:top w:val="none" w:sz="0" w:space="0" w:color="auto"/>
        <w:left w:val="none" w:sz="0" w:space="0" w:color="auto"/>
        <w:bottom w:val="none" w:sz="0" w:space="0" w:color="auto"/>
        <w:right w:val="none" w:sz="0" w:space="0" w:color="auto"/>
      </w:divBdr>
      <w:divsChild>
        <w:div w:id="845902792">
          <w:marLeft w:val="0"/>
          <w:marRight w:val="0"/>
          <w:marTop w:val="0"/>
          <w:marBottom w:val="0"/>
          <w:divBdr>
            <w:top w:val="none" w:sz="0" w:space="0" w:color="auto"/>
            <w:left w:val="none" w:sz="0" w:space="0" w:color="auto"/>
            <w:bottom w:val="none" w:sz="0" w:space="0" w:color="auto"/>
            <w:right w:val="none" w:sz="0" w:space="0" w:color="auto"/>
          </w:divBdr>
          <w:divsChild>
            <w:div w:id="1903978147">
              <w:marLeft w:val="0"/>
              <w:marRight w:val="0"/>
              <w:marTop w:val="0"/>
              <w:marBottom w:val="0"/>
              <w:divBdr>
                <w:top w:val="none" w:sz="0" w:space="0" w:color="auto"/>
                <w:left w:val="none" w:sz="0" w:space="0" w:color="auto"/>
                <w:bottom w:val="none" w:sz="0" w:space="0" w:color="auto"/>
                <w:right w:val="none" w:sz="0" w:space="0" w:color="auto"/>
              </w:divBdr>
              <w:divsChild>
                <w:div w:id="375785118">
                  <w:marLeft w:val="0"/>
                  <w:marRight w:val="0"/>
                  <w:marTop w:val="0"/>
                  <w:marBottom w:val="0"/>
                  <w:divBdr>
                    <w:top w:val="none" w:sz="0" w:space="0" w:color="auto"/>
                    <w:left w:val="none" w:sz="0" w:space="0" w:color="auto"/>
                    <w:bottom w:val="none" w:sz="0" w:space="0" w:color="auto"/>
                    <w:right w:val="none" w:sz="0" w:space="0" w:color="auto"/>
                  </w:divBdr>
                  <w:divsChild>
                    <w:div w:id="183614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636707">
      <w:bodyDiv w:val="1"/>
      <w:marLeft w:val="0"/>
      <w:marRight w:val="0"/>
      <w:marTop w:val="0"/>
      <w:marBottom w:val="0"/>
      <w:divBdr>
        <w:top w:val="none" w:sz="0" w:space="0" w:color="auto"/>
        <w:left w:val="none" w:sz="0" w:space="0" w:color="auto"/>
        <w:bottom w:val="none" w:sz="0" w:space="0" w:color="auto"/>
        <w:right w:val="none" w:sz="0" w:space="0" w:color="auto"/>
      </w:divBdr>
      <w:divsChild>
        <w:div w:id="1270550338">
          <w:marLeft w:val="0"/>
          <w:marRight w:val="0"/>
          <w:marTop w:val="0"/>
          <w:marBottom w:val="0"/>
          <w:divBdr>
            <w:top w:val="none" w:sz="0" w:space="0" w:color="auto"/>
            <w:left w:val="none" w:sz="0" w:space="0" w:color="auto"/>
            <w:bottom w:val="none" w:sz="0" w:space="0" w:color="auto"/>
            <w:right w:val="none" w:sz="0" w:space="0" w:color="auto"/>
          </w:divBdr>
          <w:divsChild>
            <w:div w:id="171724430">
              <w:marLeft w:val="0"/>
              <w:marRight w:val="0"/>
              <w:marTop w:val="0"/>
              <w:marBottom w:val="0"/>
              <w:divBdr>
                <w:top w:val="none" w:sz="0" w:space="0" w:color="auto"/>
                <w:left w:val="none" w:sz="0" w:space="0" w:color="auto"/>
                <w:bottom w:val="none" w:sz="0" w:space="0" w:color="auto"/>
                <w:right w:val="none" w:sz="0" w:space="0" w:color="auto"/>
              </w:divBdr>
              <w:divsChild>
                <w:div w:id="207181844">
                  <w:marLeft w:val="0"/>
                  <w:marRight w:val="0"/>
                  <w:marTop w:val="0"/>
                  <w:marBottom w:val="0"/>
                  <w:divBdr>
                    <w:top w:val="none" w:sz="0" w:space="0" w:color="auto"/>
                    <w:left w:val="none" w:sz="0" w:space="0" w:color="auto"/>
                    <w:bottom w:val="none" w:sz="0" w:space="0" w:color="auto"/>
                    <w:right w:val="none" w:sz="0" w:space="0" w:color="auto"/>
                  </w:divBdr>
                  <w:divsChild>
                    <w:div w:id="61132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767257">
      <w:bodyDiv w:val="1"/>
      <w:marLeft w:val="0"/>
      <w:marRight w:val="0"/>
      <w:marTop w:val="0"/>
      <w:marBottom w:val="0"/>
      <w:divBdr>
        <w:top w:val="none" w:sz="0" w:space="0" w:color="auto"/>
        <w:left w:val="none" w:sz="0" w:space="0" w:color="auto"/>
        <w:bottom w:val="none" w:sz="0" w:space="0" w:color="auto"/>
        <w:right w:val="none" w:sz="0" w:space="0" w:color="auto"/>
      </w:divBdr>
      <w:divsChild>
        <w:div w:id="23674357">
          <w:marLeft w:val="0"/>
          <w:marRight w:val="0"/>
          <w:marTop w:val="0"/>
          <w:marBottom w:val="0"/>
          <w:divBdr>
            <w:top w:val="none" w:sz="0" w:space="0" w:color="auto"/>
            <w:left w:val="none" w:sz="0" w:space="0" w:color="auto"/>
            <w:bottom w:val="none" w:sz="0" w:space="0" w:color="auto"/>
            <w:right w:val="none" w:sz="0" w:space="0" w:color="auto"/>
          </w:divBdr>
          <w:divsChild>
            <w:div w:id="1964531989">
              <w:marLeft w:val="0"/>
              <w:marRight w:val="0"/>
              <w:marTop w:val="0"/>
              <w:marBottom w:val="0"/>
              <w:divBdr>
                <w:top w:val="none" w:sz="0" w:space="0" w:color="auto"/>
                <w:left w:val="none" w:sz="0" w:space="0" w:color="auto"/>
                <w:bottom w:val="none" w:sz="0" w:space="0" w:color="auto"/>
                <w:right w:val="none" w:sz="0" w:space="0" w:color="auto"/>
              </w:divBdr>
              <w:divsChild>
                <w:div w:id="9798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896571">
      <w:bodyDiv w:val="1"/>
      <w:marLeft w:val="0"/>
      <w:marRight w:val="0"/>
      <w:marTop w:val="0"/>
      <w:marBottom w:val="0"/>
      <w:divBdr>
        <w:top w:val="none" w:sz="0" w:space="0" w:color="auto"/>
        <w:left w:val="none" w:sz="0" w:space="0" w:color="auto"/>
        <w:bottom w:val="none" w:sz="0" w:space="0" w:color="auto"/>
        <w:right w:val="none" w:sz="0" w:space="0" w:color="auto"/>
      </w:divBdr>
      <w:divsChild>
        <w:div w:id="1817603476">
          <w:marLeft w:val="0"/>
          <w:marRight w:val="0"/>
          <w:marTop w:val="0"/>
          <w:marBottom w:val="0"/>
          <w:divBdr>
            <w:top w:val="none" w:sz="0" w:space="0" w:color="auto"/>
            <w:left w:val="none" w:sz="0" w:space="0" w:color="auto"/>
            <w:bottom w:val="none" w:sz="0" w:space="0" w:color="auto"/>
            <w:right w:val="none" w:sz="0" w:space="0" w:color="auto"/>
          </w:divBdr>
          <w:divsChild>
            <w:div w:id="1592665997">
              <w:marLeft w:val="0"/>
              <w:marRight w:val="0"/>
              <w:marTop w:val="0"/>
              <w:marBottom w:val="0"/>
              <w:divBdr>
                <w:top w:val="none" w:sz="0" w:space="0" w:color="auto"/>
                <w:left w:val="none" w:sz="0" w:space="0" w:color="auto"/>
                <w:bottom w:val="none" w:sz="0" w:space="0" w:color="auto"/>
                <w:right w:val="none" w:sz="0" w:space="0" w:color="auto"/>
              </w:divBdr>
              <w:divsChild>
                <w:div w:id="16192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02870">
      <w:bodyDiv w:val="1"/>
      <w:marLeft w:val="0"/>
      <w:marRight w:val="0"/>
      <w:marTop w:val="0"/>
      <w:marBottom w:val="0"/>
      <w:divBdr>
        <w:top w:val="none" w:sz="0" w:space="0" w:color="auto"/>
        <w:left w:val="none" w:sz="0" w:space="0" w:color="auto"/>
        <w:bottom w:val="none" w:sz="0" w:space="0" w:color="auto"/>
        <w:right w:val="none" w:sz="0" w:space="0" w:color="auto"/>
      </w:divBdr>
      <w:divsChild>
        <w:div w:id="2009289794">
          <w:marLeft w:val="0"/>
          <w:marRight w:val="0"/>
          <w:marTop w:val="0"/>
          <w:marBottom w:val="0"/>
          <w:divBdr>
            <w:top w:val="none" w:sz="0" w:space="0" w:color="auto"/>
            <w:left w:val="none" w:sz="0" w:space="0" w:color="auto"/>
            <w:bottom w:val="none" w:sz="0" w:space="0" w:color="auto"/>
            <w:right w:val="none" w:sz="0" w:space="0" w:color="auto"/>
          </w:divBdr>
          <w:divsChild>
            <w:div w:id="1725133481">
              <w:marLeft w:val="0"/>
              <w:marRight w:val="0"/>
              <w:marTop w:val="0"/>
              <w:marBottom w:val="0"/>
              <w:divBdr>
                <w:top w:val="none" w:sz="0" w:space="0" w:color="auto"/>
                <w:left w:val="none" w:sz="0" w:space="0" w:color="auto"/>
                <w:bottom w:val="none" w:sz="0" w:space="0" w:color="auto"/>
                <w:right w:val="none" w:sz="0" w:space="0" w:color="auto"/>
              </w:divBdr>
              <w:divsChild>
                <w:div w:id="11728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63016">
      <w:bodyDiv w:val="1"/>
      <w:marLeft w:val="0"/>
      <w:marRight w:val="0"/>
      <w:marTop w:val="0"/>
      <w:marBottom w:val="0"/>
      <w:divBdr>
        <w:top w:val="none" w:sz="0" w:space="0" w:color="auto"/>
        <w:left w:val="none" w:sz="0" w:space="0" w:color="auto"/>
        <w:bottom w:val="none" w:sz="0" w:space="0" w:color="auto"/>
        <w:right w:val="none" w:sz="0" w:space="0" w:color="auto"/>
      </w:divBdr>
      <w:divsChild>
        <w:div w:id="85814249">
          <w:marLeft w:val="0"/>
          <w:marRight w:val="0"/>
          <w:marTop w:val="0"/>
          <w:marBottom w:val="0"/>
          <w:divBdr>
            <w:top w:val="none" w:sz="0" w:space="0" w:color="auto"/>
            <w:left w:val="none" w:sz="0" w:space="0" w:color="auto"/>
            <w:bottom w:val="none" w:sz="0" w:space="0" w:color="auto"/>
            <w:right w:val="none" w:sz="0" w:space="0" w:color="auto"/>
          </w:divBdr>
          <w:divsChild>
            <w:div w:id="442458686">
              <w:marLeft w:val="0"/>
              <w:marRight w:val="0"/>
              <w:marTop w:val="0"/>
              <w:marBottom w:val="0"/>
              <w:divBdr>
                <w:top w:val="none" w:sz="0" w:space="0" w:color="auto"/>
                <w:left w:val="none" w:sz="0" w:space="0" w:color="auto"/>
                <w:bottom w:val="none" w:sz="0" w:space="0" w:color="auto"/>
                <w:right w:val="none" w:sz="0" w:space="0" w:color="auto"/>
              </w:divBdr>
              <w:divsChild>
                <w:div w:id="16734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4696">
      <w:bodyDiv w:val="1"/>
      <w:marLeft w:val="0"/>
      <w:marRight w:val="0"/>
      <w:marTop w:val="0"/>
      <w:marBottom w:val="0"/>
      <w:divBdr>
        <w:top w:val="none" w:sz="0" w:space="0" w:color="auto"/>
        <w:left w:val="none" w:sz="0" w:space="0" w:color="auto"/>
        <w:bottom w:val="none" w:sz="0" w:space="0" w:color="auto"/>
        <w:right w:val="none" w:sz="0" w:space="0" w:color="auto"/>
      </w:divBdr>
      <w:divsChild>
        <w:div w:id="989553734">
          <w:marLeft w:val="0"/>
          <w:marRight w:val="0"/>
          <w:marTop w:val="0"/>
          <w:marBottom w:val="0"/>
          <w:divBdr>
            <w:top w:val="none" w:sz="0" w:space="0" w:color="auto"/>
            <w:left w:val="none" w:sz="0" w:space="0" w:color="auto"/>
            <w:bottom w:val="none" w:sz="0" w:space="0" w:color="auto"/>
            <w:right w:val="none" w:sz="0" w:space="0" w:color="auto"/>
          </w:divBdr>
          <w:divsChild>
            <w:div w:id="386102782">
              <w:marLeft w:val="0"/>
              <w:marRight w:val="0"/>
              <w:marTop w:val="0"/>
              <w:marBottom w:val="0"/>
              <w:divBdr>
                <w:top w:val="none" w:sz="0" w:space="0" w:color="auto"/>
                <w:left w:val="none" w:sz="0" w:space="0" w:color="auto"/>
                <w:bottom w:val="none" w:sz="0" w:space="0" w:color="auto"/>
                <w:right w:val="none" w:sz="0" w:space="0" w:color="auto"/>
              </w:divBdr>
              <w:divsChild>
                <w:div w:id="474496508">
                  <w:marLeft w:val="0"/>
                  <w:marRight w:val="0"/>
                  <w:marTop w:val="0"/>
                  <w:marBottom w:val="0"/>
                  <w:divBdr>
                    <w:top w:val="none" w:sz="0" w:space="0" w:color="auto"/>
                    <w:left w:val="none" w:sz="0" w:space="0" w:color="auto"/>
                    <w:bottom w:val="none" w:sz="0" w:space="0" w:color="auto"/>
                    <w:right w:val="none" w:sz="0" w:space="0" w:color="auto"/>
                  </w:divBdr>
                  <w:divsChild>
                    <w:div w:id="81699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506940">
      <w:bodyDiv w:val="1"/>
      <w:marLeft w:val="0"/>
      <w:marRight w:val="0"/>
      <w:marTop w:val="0"/>
      <w:marBottom w:val="0"/>
      <w:divBdr>
        <w:top w:val="none" w:sz="0" w:space="0" w:color="auto"/>
        <w:left w:val="none" w:sz="0" w:space="0" w:color="auto"/>
        <w:bottom w:val="none" w:sz="0" w:space="0" w:color="auto"/>
        <w:right w:val="none" w:sz="0" w:space="0" w:color="auto"/>
      </w:divBdr>
      <w:divsChild>
        <w:div w:id="1603998254">
          <w:marLeft w:val="0"/>
          <w:marRight w:val="0"/>
          <w:marTop w:val="0"/>
          <w:marBottom w:val="0"/>
          <w:divBdr>
            <w:top w:val="none" w:sz="0" w:space="0" w:color="auto"/>
            <w:left w:val="none" w:sz="0" w:space="0" w:color="auto"/>
            <w:bottom w:val="none" w:sz="0" w:space="0" w:color="auto"/>
            <w:right w:val="none" w:sz="0" w:space="0" w:color="auto"/>
          </w:divBdr>
          <w:divsChild>
            <w:div w:id="1921718917">
              <w:marLeft w:val="0"/>
              <w:marRight w:val="0"/>
              <w:marTop w:val="0"/>
              <w:marBottom w:val="0"/>
              <w:divBdr>
                <w:top w:val="none" w:sz="0" w:space="0" w:color="auto"/>
                <w:left w:val="none" w:sz="0" w:space="0" w:color="auto"/>
                <w:bottom w:val="none" w:sz="0" w:space="0" w:color="auto"/>
                <w:right w:val="none" w:sz="0" w:space="0" w:color="auto"/>
              </w:divBdr>
              <w:divsChild>
                <w:div w:id="789862042">
                  <w:marLeft w:val="0"/>
                  <w:marRight w:val="0"/>
                  <w:marTop w:val="0"/>
                  <w:marBottom w:val="0"/>
                  <w:divBdr>
                    <w:top w:val="none" w:sz="0" w:space="0" w:color="auto"/>
                    <w:left w:val="none" w:sz="0" w:space="0" w:color="auto"/>
                    <w:bottom w:val="none" w:sz="0" w:space="0" w:color="auto"/>
                    <w:right w:val="none" w:sz="0" w:space="0" w:color="auto"/>
                  </w:divBdr>
                  <w:divsChild>
                    <w:div w:id="125751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s://doi.org/10.1017/s0889189300003787" TargetMode="External"/><Relationship Id="rId26" Type="http://schemas.openxmlformats.org/officeDocument/2006/relationships/hyperlink" Target="https://iit.adelaide.edu.au/ua/media/1975/wp10-desktop-analysis-ash-and-cox-final-1.pdf" TargetMode="External"/><Relationship Id="rId21" Type="http://schemas.openxmlformats.org/officeDocument/2006/relationships/hyperlink" Target="https://wtocentre.iift.ac.in/Occassinalpaper/01.pdf" TargetMode="External"/><Relationship Id="rId34" Type="http://schemas.openxmlformats.org/officeDocument/2006/relationships/hyperlink" Target="https://www.wto.org/english/res_e/booksp_e/wtr22_e/wtr22_e.pdf"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www.fao.org/3/cb6562en/cb6562en.pdf" TargetMode="External"/><Relationship Id="rId33" Type="http://schemas.openxmlformats.org/officeDocument/2006/relationships/hyperlink" Target="https://doi.org/10.1007/s12571-019-00967-2" TargetMode="Externa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hyperlink" Target="https://tessforum.org/latest/trade-and-sustainability-in-the-agricultural-sector-options-for-multilateral-trade-cooperation" TargetMode="External"/><Relationship Id="rId29" Type="http://schemas.openxmlformats.org/officeDocument/2006/relationships/hyperlink" Target="https://doi.org/10.5958/0974-0279.2018.00038.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s://www.fao.org/3/cb6562en/cb6562en.pdf" TargetMode="External"/><Relationship Id="rId32" Type="http://schemas.openxmlformats.org/officeDocument/2006/relationships/hyperlink" Target="https://doi.org/10.1163/15718069-bja10082"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yperlink" Target="https://www.fao.org/3/i3940e/i3940e.pdf" TargetMode="External"/><Relationship Id="rId28" Type="http://schemas.openxmlformats.org/officeDocument/2006/relationships/hyperlink" Target="https://www.oecd.org/agriculture/topics/agricultural-policy-monitoring-and-evaluation/documents/producer-support-estimates-manual.pdf" TargetMode="External"/><Relationship Id="rId36" Type="http://schemas.openxmlformats.org/officeDocument/2006/relationships/fontTable" Target="fontTable.xml"/><Relationship Id="rId10" Type="http://schemas.openxmlformats.org/officeDocument/2006/relationships/hyperlink" Target="https://data.imf.org/" TargetMode="External"/><Relationship Id="rId19" Type="http://schemas.openxmlformats.org/officeDocument/2006/relationships/hyperlink" Target="https://drive.google.com/file/d/1Fc2Wh3BDT7am9Zmv7laNYAu3YvqdAegY/view?pli=1" TargetMode="External"/><Relationship Id="rId31" Type="http://schemas.openxmlformats.org/officeDocument/2006/relationships/hyperlink" Target="https://doi.org/10.1080/09638199.2021.1967429" TargetMode="Externa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hyperlink" Target="https://library.villanova.edu/Find/Record/1505493" TargetMode="External"/><Relationship Id="rId27" Type="http://schemas.openxmlformats.org/officeDocument/2006/relationships/hyperlink" Target="https://www.oecd-ilibrary.org/trade/subsidies-trade-and-international-cooperation_a4f01ddb-en" TargetMode="External"/><Relationship Id="rId30" Type="http://schemas.openxmlformats.org/officeDocument/2006/relationships/hyperlink" Target="https://wtocentre.iift.ac.in/workingpaper/Working%20Paper%2062.pdf"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mailto:sksharma@iift.ed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3.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wdDnDiag">
                <a:fgClr>
                  <a:schemeClr val="accent1"/>
                </a:fgClr>
                <a:bgClr>
                  <a:schemeClr val="bg1"/>
                </a:bgClr>
              </a:pattFill>
              <a:ln>
                <a:solidFill>
                  <a:schemeClr val="tx1"/>
                </a:solidFill>
              </a:ln>
              <a:effectLst/>
            </c:spPr>
            <c:extLst>
              <c:ext xmlns:c16="http://schemas.microsoft.com/office/drawing/2014/chart" uri="{C3380CC4-5D6E-409C-BE32-E72D297353CC}">
                <c16:uniqueId val="{00000001-34A3-0342-8F04-7B4A551155B1}"/>
              </c:ext>
            </c:extLst>
          </c:dPt>
          <c:dPt>
            <c:idx val="1"/>
            <c:invertIfNegative val="0"/>
            <c:bubble3D val="0"/>
            <c:spPr>
              <a:pattFill prst="wdDnDiag">
                <a:fgClr>
                  <a:schemeClr val="accent1"/>
                </a:fgClr>
                <a:bgClr>
                  <a:schemeClr val="bg1"/>
                </a:bgClr>
              </a:pattFill>
              <a:ln>
                <a:solidFill>
                  <a:schemeClr val="tx1"/>
                </a:solidFill>
              </a:ln>
              <a:effectLst/>
            </c:spPr>
            <c:extLst>
              <c:ext xmlns:c16="http://schemas.microsoft.com/office/drawing/2014/chart" uri="{C3380CC4-5D6E-409C-BE32-E72D297353CC}">
                <c16:uniqueId val="{00000003-34A3-0342-8F04-7B4A551155B1}"/>
              </c:ext>
            </c:extLst>
          </c:dPt>
          <c:dPt>
            <c:idx val="2"/>
            <c:invertIfNegative val="0"/>
            <c:bubble3D val="0"/>
            <c:spPr>
              <a:pattFill prst="wdDnDiag">
                <a:fgClr>
                  <a:schemeClr val="accent1"/>
                </a:fgClr>
                <a:bgClr>
                  <a:schemeClr val="bg1"/>
                </a:bgClr>
              </a:pattFill>
              <a:ln>
                <a:solidFill>
                  <a:schemeClr val="tx1"/>
                </a:solidFill>
              </a:ln>
              <a:effectLst/>
            </c:spPr>
            <c:extLst>
              <c:ext xmlns:c16="http://schemas.microsoft.com/office/drawing/2014/chart" uri="{C3380CC4-5D6E-409C-BE32-E72D297353CC}">
                <c16:uniqueId val="{00000005-34A3-0342-8F04-7B4A551155B1}"/>
              </c:ext>
            </c:extLst>
          </c:dPt>
          <c:dPt>
            <c:idx val="3"/>
            <c:invertIfNegative val="0"/>
            <c:bubble3D val="0"/>
            <c:spPr>
              <a:pattFill prst="wdDnDiag">
                <a:fgClr>
                  <a:schemeClr val="accent1"/>
                </a:fgClr>
                <a:bgClr>
                  <a:schemeClr val="bg1"/>
                </a:bgClr>
              </a:pattFill>
              <a:ln>
                <a:solidFill>
                  <a:schemeClr val="tx1"/>
                </a:solidFill>
              </a:ln>
              <a:effectLst/>
            </c:spPr>
            <c:extLst>
              <c:ext xmlns:c16="http://schemas.microsoft.com/office/drawing/2014/chart" uri="{C3380CC4-5D6E-409C-BE32-E72D297353CC}">
                <c16:uniqueId val="{00000007-34A3-0342-8F04-7B4A551155B1}"/>
              </c:ext>
            </c:extLst>
          </c:dPt>
          <c:dPt>
            <c:idx val="4"/>
            <c:invertIfNegative val="0"/>
            <c:bubble3D val="0"/>
            <c:spPr>
              <a:pattFill prst="wdDnDiag">
                <a:fgClr>
                  <a:schemeClr val="accent1"/>
                </a:fgClr>
                <a:bgClr>
                  <a:schemeClr val="bg1"/>
                </a:bgClr>
              </a:pattFill>
              <a:ln>
                <a:solidFill>
                  <a:schemeClr val="tx1"/>
                </a:solidFill>
              </a:ln>
              <a:effectLst/>
            </c:spPr>
            <c:extLst>
              <c:ext xmlns:c16="http://schemas.microsoft.com/office/drawing/2014/chart" uri="{C3380CC4-5D6E-409C-BE32-E72D297353CC}">
                <c16:uniqueId val="{00000009-34A3-0342-8F04-7B4A551155B1}"/>
              </c:ext>
            </c:extLst>
          </c:dPt>
          <c:dPt>
            <c:idx val="5"/>
            <c:invertIfNegative val="0"/>
            <c:bubble3D val="0"/>
            <c:spPr>
              <a:pattFill prst="wdDnDiag">
                <a:fgClr>
                  <a:schemeClr val="accent1"/>
                </a:fgClr>
                <a:bgClr>
                  <a:schemeClr val="bg1"/>
                </a:bgClr>
              </a:pattFill>
              <a:ln>
                <a:solidFill>
                  <a:schemeClr val="tx1"/>
                </a:solidFill>
              </a:ln>
              <a:effectLst/>
            </c:spPr>
            <c:extLst>
              <c:ext xmlns:c16="http://schemas.microsoft.com/office/drawing/2014/chart" uri="{C3380CC4-5D6E-409C-BE32-E72D297353CC}">
                <c16:uniqueId val="{0000000B-34A3-0342-8F04-7B4A551155B1}"/>
              </c:ext>
            </c:extLst>
          </c:dPt>
          <c:dLbls>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'AMS Entitlement figure 1'!$H$2:$I$13</c:f>
              <c:multiLvlStrCache>
                <c:ptCount val="12"/>
                <c:lvl>
                  <c:pt idx="0">
                    <c:v>All</c:v>
                  </c:pt>
                  <c:pt idx="1">
                    <c:v>EU</c:v>
                  </c:pt>
                  <c:pt idx="2">
                    <c:v>Japan</c:v>
                  </c:pt>
                  <c:pt idx="3">
                    <c:v>USA</c:v>
                  </c:pt>
                  <c:pt idx="4">
                    <c:v>Russian Federation</c:v>
                  </c:pt>
                  <c:pt idx="5">
                    <c:v>Other Developed</c:v>
                  </c:pt>
                  <c:pt idx="6">
                    <c:v>All</c:v>
                  </c:pt>
                  <c:pt idx="7">
                    <c:v>Mexico</c:v>
                  </c:pt>
                  <c:pt idx="8">
                    <c:v>Republic of Korea</c:v>
                  </c:pt>
                  <c:pt idx="9">
                    <c:v>Venezuela </c:v>
                  </c:pt>
                  <c:pt idx="10">
                    <c:v>Brazil</c:v>
                  </c:pt>
                  <c:pt idx="11">
                    <c:v>Other Developing</c:v>
                  </c:pt>
                </c:lvl>
                <c:lvl>
                  <c:pt idx="0">
                    <c:v>Developed </c:v>
                  </c:pt>
                  <c:pt idx="6">
                    <c:v>Developing </c:v>
                  </c:pt>
                </c:lvl>
              </c:multiLvlStrCache>
            </c:multiLvlStrRef>
          </c:cat>
          <c:val>
            <c:numRef>
              <c:f>'AMS Entitlement figure 1'!$J$2:$J$13</c:f>
              <c:numCache>
                <c:formatCode>0.00</c:formatCode>
                <c:ptCount val="12"/>
                <c:pt idx="0">
                  <c:v>95.079653338190454</c:v>
                </c:pt>
                <c:pt idx="1">
                  <c:v>52.067801572718189</c:v>
                </c:pt>
                <c:pt idx="2">
                  <c:v>22.000952307087243</c:v>
                </c:pt>
                <c:pt idx="3">
                  <c:v>11.681264240110298</c:v>
                </c:pt>
                <c:pt idx="4">
                  <c:v>3.3019869189363678</c:v>
                </c:pt>
                <c:pt idx="5">
                  <c:v>6.0276482993383578</c:v>
                </c:pt>
                <c:pt idx="6">
                  <c:v>4.9203466618095488</c:v>
                </c:pt>
                <c:pt idx="7">
                  <c:v>0.7996645998377393</c:v>
                </c:pt>
                <c:pt idx="8">
                  <c:v>0.82815572098859491</c:v>
                </c:pt>
                <c:pt idx="9">
                  <c:v>0.69137919327278263</c:v>
                </c:pt>
                <c:pt idx="10">
                  <c:v>0.55773319888786921</c:v>
                </c:pt>
                <c:pt idx="11">
                  <c:v>2.043413948822562</c:v>
                </c:pt>
              </c:numCache>
            </c:numRef>
          </c:val>
          <c:extLst>
            <c:ext xmlns:c16="http://schemas.microsoft.com/office/drawing/2014/chart" uri="{C3380CC4-5D6E-409C-BE32-E72D297353CC}">
              <c16:uniqueId val="{0000000C-34A3-0342-8F04-7B4A551155B1}"/>
            </c:ext>
          </c:extLst>
        </c:ser>
        <c:dLbls>
          <c:showLegendKey val="0"/>
          <c:showVal val="0"/>
          <c:showCatName val="0"/>
          <c:showSerName val="0"/>
          <c:showPercent val="0"/>
          <c:showBubbleSize val="0"/>
        </c:dLbls>
        <c:gapWidth val="219"/>
        <c:overlap val="-27"/>
        <c:axId val="1778432223"/>
        <c:axId val="1778982479"/>
      </c:barChart>
      <c:catAx>
        <c:axId val="1778432223"/>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78982479"/>
        <c:crosses val="autoZero"/>
        <c:auto val="1"/>
        <c:lblAlgn val="ctr"/>
        <c:lblOffset val="100"/>
        <c:noMultiLvlLbl val="0"/>
      </c:catAx>
      <c:valAx>
        <c:axId val="177898247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t>Share in Total AMS  Entitlement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78432223"/>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'Figure 1'!$M$1</c:f>
              <c:strCache>
                <c:ptCount val="1"/>
                <c:pt idx="0">
                  <c:v>2018</c:v>
                </c:pt>
              </c:strCache>
            </c:strRef>
          </c:tx>
          <c:spPr>
            <a:pattFill prst="pct20">
              <a:fgClr>
                <a:schemeClr val="accent1"/>
              </a:fgClr>
              <a:bgClr>
                <a:schemeClr val="bg1"/>
              </a:bgClr>
            </a:pattFill>
            <a:ln>
              <a:solidFill>
                <a:schemeClr val="tx1"/>
              </a:solidFill>
            </a:ln>
            <a:effectLst/>
          </c:spPr>
          <c:invertIfNegative val="0"/>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5-F679-FD4B-8C75-4A2517D391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1'!$L$2:$L$6</c:f>
              <c:strCache>
                <c:ptCount val="5"/>
                <c:pt idx="0">
                  <c:v>Japan</c:v>
                </c:pt>
                <c:pt idx="1">
                  <c:v>US</c:v>
                </c:pt>
                <c:pt idx="2">
                  <c:v>EU </c:v>
                </c:pt>
                <c:pt idx="3">
                  <c:v>India</c:v>
                </c:pt>
                <c:pt idx="4">
                  <c:v>China</c:v>
                </c:pt>
              </c:strCache>
            </c:strRef>
          </c:cat>
          <c:val>
            <c:numRef>
              <c:f>'Figure 1'!$M$2:$M$6</c:f>
              <c:numCache>
                <c:formatCode>0</c:formatCode>
                <c:ptCount val="5"/>
                <c:pt idx="0">
                  <c:v>44.385737197109201</c:v>
                </c:pt>
                <c:pt idx="1">
                  <c:v>56.032631000000002</c:v>
                </c:pt>
                <c:pt idx="2">
                  <c:v>131.42053629950564</c:v>
                </c:pt>
                <c:pt idx="3">
                  <c:v>90.155247367117809</c:v>
                </c:pt>
                <c:pt idx="4">
                  <c:v>150.19198216000001</c:v>
                </c:pt>
              </c:numCache>
            </c:numRef>
          </c:val>
          <c:extLst>
            <c:ext xmlns:c16="http://schemas.microsoft.com/office/drawing/2014/chart" uri="{C3380CC4-5D6E-409C-BE32-E72D297353CC}">
              <c16:uniqueId val="{00000000-F679-FD4B-8C75-4A2517D39140}"/>
            </c:ext>
          </c:extLst>
        </c:ser>
        <c:ser>
          <c:idx val="1"/>
          <c:order val="1"/>
          <c:tx>
            <c:strRef>
              <c:f>'Figure 1'!$N$1</c:f>
              <c:strCache>
                <c:ptCount val="1"/>
                <c:pt idx="0">
                  <c:v>2025</c:v>
                </c:pt>
              </c:strCache>
            </c:strRef>
          </c:tx>
          <c:spPr>
            <a:pattFill prst="wdDnDiag">
              <a:fgClr>
                <a:schemeClr val="accent2"/>
              </a:fgClr>
              <a:bgClr>
                <a:schemeClr val="bg1"/>
              </a:bgClr>
            </a:pattFill>
            <a:ln>
              <a:solidFill>
                <a:schemeClr val="tx1"/>
              </a:solidFill>
            </a:ln>
            <a:effectLst/>
          </c:spPr>
          <c:invertIfNegative val="0"/>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4-F679-FD4B-8C75-4A2517D391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1'!$L$2:$L$6</c:f>
              <c:strCache>
                <c:ptCount val="5"/>
                <c:pt idx="0">
                  <c:v>Japan</c:v>
                </c:pt>
                <c:pt idx="1">
                  <c:v>US</c:v>
                </c:pt>
                <c:pt idx="2">
                  <c:v>EU </c:v>
                </c:pt>
                <c:pt idx="3">
                  <c:v>India</c:v>
                </c:pt>
                <c:pt idx="4">
                  <c:v>China</c:v>
                </c:pt>
              </c:strCache>
            </c:strRef>
          </c:cat>
          <c:val>
            <c:numRef>
              <c:f>'Figure 1'!$N$2:$N$6</c:f>
              <c:numCache>
                <c:formatCode>0</c:formatCode>
                <c:ptCount val="5"/>
                <c:pt idx="0">
                  <c:v>44.451754766953584</c:v>
                </c:pt>
                <c:pt idx="1">
                  <c:v>67.593357045700984</c:v>
                </c:pt>
                <c:pt idx="2">
                  <c:v>144.46849226019222</c:v>
                </c:pt>
                <c:pt idx="3">
                  <c:v>153.46098350218253</c:v>
                </c:pt>
                <c:pt idx="4">
                  <c:v>260.56530820107599</c:v>
                </c:pt>
              </c:numCache>
            </c:numRef>
          </c:val>
          <c:extLst>
            <c:ext xmlns:c16="http://schemas.microsoft.com/office/drawing/2014/chart" uri="{C3380CC4-5D6E-409C-BE32-E72D297353CC}">
              <c16:uniqueId val="{00000001-F679-FD4B-8C75-4A2517D39140}"/>
            </c:ext>
          </c:extLst>
        </c:ser>
        <c:ser>
          <c:idx val="2"/>
          <c:order val="2"/>
          <c:tx>
            <c:strRef>
              <c:f>'Figure 1'!$O$1</c:f>
              <c:strCache>
                <c:ptCount val="1"/>
                <c:pt idx="0">
                  <c:v>2030</c:v>
                </c:pt>
              </c:strCache>
            </c:strRef>
          </c:tx>
          <c:spPr>
            <a:pattFill prst="dkVert">
              <a:fgClr>
                <a:schemeClr val="bg2">
                  <a:lumMod val="50000"/>
                </a:schemeClr>
              </a:fgClr>
              <a:bgClr>
                <a:schemeClr val="bg1"/>
              </a:bgClr>
            </a:pattFill>
            <a:ln>
              <a:solidFill>
                <a:schemeClr val="tx1"/>
              </a:solidFill>
            </a:ln>
            <a:effectLst/>
          </c:spPr>
          <c:invertIfNegative val="0"/>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3-F679-FD4B-8C75-4A2517D391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1'!$L$2:$L$6</c:f>
              <c:strCache>
                <c:ptCount val="5"/>
                <c:pt idx="0">
                  <c:v>Japan</c:v>
                </c:pt>
                <c:pt idx="1">
                  <c:v>US</c:v>
                </c:pt>
                <c:pt idx="2">
                  <c:v>EU </c:v>
                </c:pt>
                <c:pt idx="3">
                  <c:v>India</c:v>
                </c:pt>
                <c:pt idx="4">
                  <c:v>China</c:v>
                </c:pt>
              </c:strCache>
            </c:strRef>
          </c:cat>
          <c:val>
            <c:numRef>
              <c:f>'Figure 1'!$O$2:$O$6</c:f>
              <c:numCache>
                <c:formatCode>0</c:formatCode>
                <c:ptCount val="5"/>
                <c:pt idx="0">
                  <c:v>44.499227378134648</c:v>
                </c:pt>
                <c:pt idx="1">
                  <c:v>78.006556156185923</c:v>
                </c:pt>
                <c:pt idx="2">
                  <c:v>155.98556997231802</c:v>
                </c:pt>
                <c:pt idx="3">
                  <c:v>224.38971875004768</c:v>
                </c:pt>
                <c:pt idx="4">
                  <c:v>386.21009774196654</c:v>
                </c:pt>
              </c:numCache>
            </c:numRef>
          </c:val>
          <c:extLst>
            <c:ext xmlns:c16="http://schemas.microsoft.com/office/drawing/2014/chart" uri="{C3380CC4-5D6E-409C-BE32-E72D297353CC}">
              <c16:uniqueId val="{00000002-F679-FD4B-8C75-4A2517D39140}"/>
            </c:ext>
          </c:extLst>
        </c:ser>
        <c:dLbls>
          <c:showLegendKey val="0"/>
          <c:showVal val="0"/>
          <c:showCatName val="0"/>
          <c:showSerName val="0"/>
          <c:showPercent val="0"/>
          <c:showBubbleSize val="0"/>
        </c:dLbls>
        <c:gapWidth val="182"/>
        <c:axId val="586222447"/>
        <c:axId val="545442191"/>
      </c:barChart>
      <c:catAx>
        <c:axId val="586222447"/>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5442191"/>
        <c:crosses val="autoZero"/>
        <c:auto val="1"/>
        <c:lblAlgn val="ctr"/>
        <c:lblOffset val="100"/>
        <c:noMultiLvlLbl val="0"/>
      </c:catAx>
      <c:valAx>
        <c:axId val="545442191"/>
        <c:scaling>
          <c:orientation val="minMax"/>
        </c:scaling>
        <c:delete val="0"/>
        <c:axPos val="b"/>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6222447"/>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'figure 3top 10 reduced'!$D$17</c:f>
              <c:strCache>
                <c:ptCount val="1"/>
                <c:pt idx="0">
                  <c:v>New Limit</c:v>
                </c:pt>
              </c:strCache>
            </c:strRef>
          </c:tx>
          <c:spPr>
            <a:pattFill prst="wdUpDiag">
              <a:fgClr>
                <a:schemeClr val="accent1"/>
              </a:fgClr>
              <a:bgClr>
                <a:schemeClr val="bg1"/>
              </a:bgClr>
            </a:pattFill>
            <a:ln>
              <a:solidFill>
                <a:schemeClr val="tx1"/>
              </a:solidFill>
            </a:ln>
            <a:effectLst/>
          </c:spPr>
          <c:invertIfNegative val="0"/>
          <c:dLbls>
            <c:spPr>
              <a:no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3top 10 reduced'!$C$18:$C$27</c:f>
              <c:strCache>
                <c:ptCount val="10"/>
                <c:pt idx="0">
                  <c:v>Pakistan</c:v>
                </c:pt>
                <c:pt idx="1">
                  <c:v>Russia</c:v>
                </c:pt>
                <c:pt idx="2">
                  <c:v>Turkiye</c:v>
                </c:pt>
                <c:pt idx="3">
                  <c:v>Indonesia</c:v>
                </c:pt>
                <c:pt idx="4">
                  <c:v>Brazil</c:v>
                </c:pt>
                <c:pt idx="5">
                  <c:v>Japan</c:v>
                </c:pt>
                <c:pt idx="6">
                  <c:v>US</c:v>
                </c:pt>
                <c:pt idx="7">
                  <c:v>India</c:v>
                </c:pt>
                <c:pt idx="8">
                  <c:v>EU</c:v>
                </c:pt>
                <c:pt idx="9">
                  <c:v>China</c:v>
                </c:pt>
              </c:strCache>
            </c:strRef>
          </c:cat>
          <c:val>
            <c:numRef>
              <c:f>'figure 3top 10 reduced'!$D$18:$D$27</c:f>
              <c:numCache>
                <c:formatCode>0.0</c:formatCode>
                <c:ptCount val="10"/>
                <c:pt idx="0">
                  <c:v>5.6273004960367983</c:v>
                </c:pt>
                <c:pt idx="1">
                  <c:v>6.1457490990383645</c:v>
                </c:pt>
                <c:pt idx="2">
                  <c:v>9.4891768830969028</c:v>
                </c:pt>
                <c:pt idx="3">
                  <c:v>10.482033004293074</c:v>
                </c:pt>
                <c:pt idx="4">
                  <c:v>14.378729142359303</c:v>
                </c:pt>
                <c:pt idx="5">
                  <c:v>20.944358205469474</c:v>
                </c:pt>
                <c:pt idx="6">
                  <c:v>26.44</c:v>
                </c:pt>
                <c:pt idx="7">
                  <c:v>42.541679246517134</c:v>
                </c:pt>
                <c:pt idx="8">
                  <c:v>62.014000000000003</c:v>
                </c:pt>
                <c:pt idx="9">
                  <c:v>70.870999999999995</c:v>
                </c:pt>
              </c:numCache>
            </c:numRef>
          </c:val>
          <c:extLst>
            <c:ext xmlns:c16="http://schemas.microsoft.com/office/drawing/2014/chart" uri="{C3380CC4-5D6E-409C-BE32-E72D297353CC}">
              <c16:uniqueId val="{00000000-E66D-7F41-BB85-403D07166CAA}"/>
            </c:ext>
          </c:extLst>
        </c:ser>
        <c:dLbls>
          <c:showLegendKey val="0"/>
          <c:showVal val="0"/>
          <c:showCatName val="0"/>
          <c:showSerName val="0"/>
          <c:showPercent val="0"/>
          <c:showBubbleSize val="0"/>
        </c:dLbls>
        <c:gapWidth val="182"/>
        <c:axId val="686295471"/>
        <c:axId val="686297199"/>
      </c:barChart>
      <c:catAx>
        <c:axId val="686295471"/>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86297199"/>
        <c:crosses val="autoZero"/>
        <c:auto val="1"/>
        <c:lblAlgn val="ctr"/>
        <c:lblOffset val="100"/>
        <c:noMultiLvlLbl val="0"/>
      </c:catAx>
      <c:valAx>
        <c:axId val="686297199"/>
        <c:scaling>
          <c:orientation val="minMax"/>
        </c:scaling>
        <c:delete val="0"/>
        <c:axPos val="b"/>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86295471"/>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'China Figure'!$J$2</c:f>
              <c:strCache>
                <c:ptCount val="1"/>
                <c:pt idx="0">
                  <c:v>Base Entitlement </c:v>
                </c:pt>
              </c:strCache>
            </c:strRef>
          </c:tx>
          <c:spPr>
            <a:ln w="28575" cap="rnd">
              <a:solidFill>
                <a:schemeClr val="accent1"/>
              </a:solidFill>
              <a:round/>
            </a:ln>
            <a:effectLst/>
          </c:spPr>
          <c:marker>
            <c:symbol val="triangle"/>
            <c:size val="7"/>
            <c:spPr>
              <a:solidFill>
                <a:schemeClr val="accent1"/>
              </a:solidFill>
              <a:ln w="9525">
                <a:solidFill>
                  <a:schemeClr val="accent1"/>
                </a:solidFill>
              </a:ln>
              <a:effectLst/>
            </c:spPr>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86-8D44-8231-A72648565A23}"/>
                </c:ext>
              </c:extLst>
            </c:dLbl>
            <c:dLbl>
              <c:idx val="2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86-8D44-8231-A72648565A23}"/>
                </c:ext>
              </c:extLst>
            </c:dLbl>
            <c:dLbl>
              <c:idx val="3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86-8D44-8231-A72648565A23}"/>
                </c:ext>
              </c:extLst>
            </c:dLbl>
            <c:spPr>
              <a:solidFill>
                <a:schemeClr val="bg1"/>
              </a:solid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'China Figure'!$I$3:$I$38</c:f>
              <c:numCache>
                <c:formatCode>General</c:formatCode>
                <c:ptCount val="36"/>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pt idx="29">
                  <c:v>2024</c:v>
                </c:pt>
                <c:pt idx="30">
                  <c:v>2025</c:v>
                </c:pt>
                <c:pt idx="31">
                  <c:v>2026</c:v>
                </c:pt>
                <c:pt idx="32">
                  <c:v>2027</c:v>
                </c:pt>
                <c:pt idx="33">
                  <c:v>2028</c:v>
                </c:pt>
                <c:pt idx="34">
                  <c:v>2029</c:v>
                </c:pt>
                <c:pt idx="35">
                  <c:v>2030</c:v>
                </c:pt>
              </c:numCache>
            </c:numRef>
          </c:cat>
          <c:val>
            <c:numRef>
              <c:f>'China Figure'!$J$3:$J$38</c:f>
              <c:numCache>
                <c:formatCode>0</c:formatCode>
                <c:ptCount val="36"/>
                <c:pt idx="0">
                  <c:v>46.196519440000003</c:v>
                </c:pt>
                <c:pt idx="1">
                  <c:v>58.214214010000006</c:v>
                </c:pt>
                <c:pt idx="2">
                  <c:v>52.308689749999999</c:v>
                </c:pt>
                <c:pt idx="3">
                  <c:v>52.423600739999998</c:v>
                </c:pt>
                <c:pt idx="4">
                  <c:v>47.748055549999997</c:v>
                </c:pt>
                <c:pt idx="5">
                  <c:v>51.29899906</c:v>
                </c:pt>
                <c:pt idx="6">
                  <c:v>47.214749909999995</c:v>
                </c:pt>
                <c:pt idx="7">
                  <c:v>49.453579189999999</c:v>
                </c:pt>
                <c:pt idx="8">
                  <c:v>59.532525589999999</c:v>
                </c:pt>
                <c:pt idx="9">
                  <c:v>73.7619902</c:v>
                </c:pt>
                <c:pt idx="10">
                  <c:v>80.258968940000003</c:v>
                </c:pt>
                <c:pt idx="11">
                  <c:v>89.70640478</c:v>
                </c:pt>
                <c:pt idx="12">
                  <c:v>105.59036396</c:v>
                </c:pt>
                <c:pt idx="13">
                  <c:v>132.39674341</c:v>
                </c:pt>
                <c:pt idx="14">
                  <c:v>132.80450847</c:v>
                </c:pt>
                <c:pt idx="15">
                  <c:v>151.47042653</c:v>
                </c:pt>
                <c:pt idx="16">
                  <c:v>199.46035094000001</c:v>
                </c:pt>
                <c:pt idx="17">
                  <c:v>208.05014000999998</c:v>
                </c:pt>
                <c:pt idx="18">
                  <c:v>217.48965266000002</c:v>
                </c:pt>
                <c:pt idx="19">
                  <c:v>200.69854967999999</c:v>
                </c:pt>
                <c:pt idx="20">
                  <c:v>203.44320392999998</c:v>
                </c:pt>
                <c:pt idx="21">
                  <c:v>204.29622194000001</c:v>
                </c:pt>
                <c:pt idx="22">
                  <c:v>188.2297902</c:v>
                </c:pt>
                <c:pt idx="23">
                  <c:v>150.19198216000001</c:v>
                </c:pt>
                <c:pt idx="24">
                  <c:v>162.49056741646336</c:v>
                </c:pt>
                <c:pt idx="25">
                  <c:v>175.7962317269162</c:v>
                </c:pt>
                <c:pt idx="26">
                  <c:v>190.19144052944225</c:v>
                </c:pt>
                <c:pt idx="27">
                  <c:v>205.76541200755415</c:v>
                </c:pt>
                <c:pt idx="28">
                  <c:v>222.61467004391409</c:v>
                </c:pt>
                <c:pt idx="29">
                  <c:v>240.843642453093</c:v>
                </c:pt>
                <c:pt idx="30">
                  <c:v>260.56530820107599</c:v>
                </c:pt>
                <c:pt idx="31">
                  <c:v>281.90189762283171</c:v>
                </c:pt>
                <c:pt idx="32">
                  <c:v>304.98564997773303</c:v>
                </c:pt>
                <c:pt idx="33">
                  <c:v>329.95963303798192</c:v>
                </c:pt>
                <c:pt idx="34">
                  <c:v>356.97862978965901</c:v>
                </c:pt>
                <c:pt idx="35">
                  <c:v>386.21009774196654</c:v>
                </c:pt>
              </c:numCache>
            </c:numRef>
          </c:val>
          <c:smooth val="0"/>
          <c:extLst>
            <c:ext xmlns:c16="http://schemas.microsoft.com/office/drawing/2014/chart" uri="{C3380CC4-5D6E-409C-BE32-E72D297353CC}">
              <c16:uniqueId val="{00000003-A586-8D44-8231-A72648565A23}"/>
            </c:ext>
          </c:extLst>
        </c:ser>
        <c:ser>
          <c:idx val="1"/>
          <c:order val="1"/>
          <c:tx>
            <c:strRef>
              <c:f>'China Figure'!$K$2</c:f>
              <c:strCache>
                <c:ptCount val="1"/>
                <c:pt idx="0">
                  <c:v>New Limit</c:v>
                </c:pt>
              </c:strCache>
            </c:strRef>
          </c:tx>
          <c:spPr>
            <a:ln w="28575" cap="rnd">
              <a:solidFill>
                <a:schemeClr val="accent2"/>
              </a:solidFill>
              <a:round/>
            </a:ln>
            <a:effectLst/>
          </c:spPr>
          <c:marker>
            <c:symbol val="none"/>
          </c:marker>
          <c:dLbls>
            <c:dLbl>
              <c:idx val="35"/>
              <c:layout>
                <c:manualLayout>
                  <c:x val="-7.1770334928229667E-3"/>
                  <c:y val="-2.35017626321991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86-8D44-8231-A72648565A23}"/>
                </c:ext>
              </c:extLst>
            </c:dLbl>
            <c:spPr>
              <a:solidFill>
                <a:schemeClr val="bg1"/>
              </a:solid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'China Figure'!$I$3:$I$38</c:f>
              <c:numCache>
                <c:formatCode>General</c:formatCode>
                <c:ptCount val="36"/>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pt idx="29">
                  <c:v>2024</c:v>
                </c:pt>
                <c:pt idx="30">
                  <c:v>2025</c:v>
                </c:pt>
                <c:pt idx="31">
                  <c:v>2026</c:v>
                </c:pt>
                <c:pt idx="32">
                  <c:v>2027</c:v>
                </c:pt>
                <c:pt idx="33">
                  <c:v>2028</c:v>
                </c:pt>
                <c:pt idx="34">
                  <c:v>2029</c:v>
                </c:pt>
                <c:pt idx="35">
                  <c:v>2030</c:v>
                </c:pt>
              </c:numCache>
            </c:numRef>
          </c:cat>
          <c:val>
            <c:numRef>
              <c:f>'China Figure'!$K$3:$K$38</c:f>
              <c:numCache>
                <c:formatCode>0</c:formatCode>
                <c:ptCount val="36"/>
                <c:pt idx="0">
                  <c:v>70.871294983321704</c:v>
                </c:pt>
                <c:pt idx="1">
                  <c:v>70.871294983321704</c:v>
                </c:pt>
                <c:pt idx="2">
                  <c:v>70.871294983321704</c:v>
                </c:pt>
                <c:pt idx="3">
                  <c:v>70.871294983321704</c:v>
                </c:pt>
                <c:pt idx="4">
                  <c:v>70.871294983321704</c:v>
                </c:pt>
                <c:pt idx="5">
                  <c:v>70.871294983321704</c:v>
                </c:pt>
                <c:pt idx="6">
                  <c:v>70.871294983321704</c:v>
                </c:pt>
                <c:pt idx="7">
                  <c:v>70.871294983321704</c:v>
                </c:pt>
                <c:pt idx="8">
                  <c:v>70.871294983321704</c:v>
                </c:pt>
                <c:pt idx="9">
                  <c:v>70.871294983321704</c:v>
                </c:pt>
                <c:pt idx="10">
                  <c:v>70.871294983321704</c:v>
                </c:pt>
                <c:pt idx="11">
                  <c:v>70.871294983321704</c:v>
                </c:pt>
                <c:pt idx="12">
                  <c:v>70.871294983321704</c:v>
                </c:pt>
                <c:pt idx="13">
                  <c:v>70.871294983321704</c:v>
                </c:pt>
                <c:pt idx="14">
                  <c:v>70.871294983321704</c:v>
                </c:pt>
                <c:pt idx="15">
                  <c:v>70.871294983321704</c:v>
                </c:pt>
                <c:pt idx="16">
                  <c:v>70.871294983321704</c:v>
                </c:pt>
                <c:pt idx="17">
                  <c:v>70.871294983321704</c:v>
                </c:pt>
                <c:pt idx="18">
                  <c:v>70.871294983321704</c:v>
                </c:pt>
                <c:pt idx="19">
                  <c:v>70.871294983321704</c:v>
                </c:pt>
                <c:pt idx="20">
                  <c:v>70.871294983321704</c:v>
                </c:pt>
                <c:pt idx="21">
                  <c:v>70.871294983321704</c:v>
                </c:pt>
                <c:pt idx="22">
                  <c:v>70.871294983321704</c:v>
                </c:pt>
                <c:pt idx="23">
                  <c:v>70.871294983321704</c:v>
                </c:pt>
                <c:pt idx="24">
                  <c:v>70.871294983321704</c:v>
                </c:pt>
                <c:pt idx="25">
                  <c:v>70.871294983321704</c:v>
                </c:pt>
                <c:pt idx="26">
                  <c:v>70.871294983321704</c:v>
                </c:pt>
                <c:pt idx="27">
                  <c:v>70.871294983321704</c:v>
                </c:pt>
                <c:pt idx="28">
                  <c:v>70.871294983321704</c:v>
                </c:pt>
                <c:pt idx="29">
                  <c:v>70.871294983321704</c:v>
                </c:pt>
                <c:pt idx="30">
                  <c:v>70.871294983321704</c:v>
                </c:pt>
                <c:pt idx="31">
                  <c:v>70.871294983321704</c:v>
                </c:pt>
                <c:pt idx="32">
                  <c:v>70.871294983321704</c:v>
                </c:pt>
                <c:pt idx="33">
                  <c:v>70.871294983321704</c:v>
                </c:pt>
                <c:pt idx="34">
                  <c:v>70.871294983321704</c:v>
                </c:pt>
                <c:pt idx="35">
                  <c:v>70.871294983321704</c:v>
                </c:pt>
              </c:numCache>
            </c:numRef>
          </c:val>
          <c:smooth val="0"/>
          <c:extLst>
            <c:ext xmlns:c16="http://schemas.microsoft.com/office/drawing/2014/chart" uri="{C3380CC4-5D6E-409C-BE32-E72D297353CC}">
              <c16:uniqueId val="{00000005-A586-8D44-8231-A72648565A23}"/>
            </c:ext>
          </c:extLst>
        </c:ser>
        <c:dLbls>
          <c:showLegendKey val="0"/>
          <c:showVal val="0"/>
          <c:showCatName val="0"/>
          <c:showSerName val="0"/>
          <c:showPercent val="0"/>
          <c:showBubbleSize val="0"/>
        </c:dLbls>
        <c:marker val="1"/>
        <c:smooth val="0"/>
        <c:axId val="1396735407"/>
        <c:axId val="1396737135"/>
      </c:lineChart>
      <c:catAx>
        <c:axId val="1396735407"/>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96737135"/>
        <c:crosses val="autoZero"/>
        <c:auto val="1"/>
        <c:lblAlgn val="ctr"/>
        <c:lblOffset val="100"/>
        <c:noMultiLvlLbl val="0"/>
      </c:catAx>
      <c:valAx>
        <c:axId val="139673713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solidFill>
                      <a:schemeClr val="tx1"/>
                    </a:solidFill>
                    <a:latin typeface="Times New Roman" panose="02020603050405020304" pitchFamily="18" charset="0"/>
                    <a:cs typeface="Times New Roman" panose="02020603050405020304" pitchFamily="18" charset="0"/>
                  </a:rPr>
                  <a:t>US$</a:t>
                </a:r>
                <a:r>
                  <a:rPr lang="en-GB" baseline="0">
                    <a:solidFill>
                      <a:schemeClr val="tx1"/>
                    </a:solidFill>
                    <a:latin typeface="Times New Roman" panose="02020603050405020304" pitchFamily="18" charset="0"/>
                    <a:cs typeface="Times New Roman" panose="02020603050405020304" pitchFamily="18" charset="0"/>
                  </a:rPr>
                  <a:t> Billion</a:t>
                </a:r>
                <a:endParaRPr lang="en-GB">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96735407"/>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'US Sugar support %'!$D$4</c:f>
              <c:strCache>
                <c:ptCount val="1"/>
                <c:pt idx="0">
                  <c:v>Support as a % of Value of Production for Sugar</c:v>
                </c:pt>
              </c:strCache>
            </c:strRef>
          </c:tx>
          <c:spPr>
            <a:ln w="28575" cap="rnd">
              <a:solidFill>
                <a:schemeClr val="accent1"/>
              </a:solidFill>
              <a:round/>
            </a:ln>
            <a:effectLst/>
          </c:spPr>
          <c:marker>
            <c:symbol val="diamond"/>
            <c:size val="7"/>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DA09-024A-8DC2-12E41D69ED7F}"/>
                </c:ext>
              </c:extLst>
            </c:dLbl>
            <c:dLbl>
              <c:idx val="2"/>
              <c:delete val="1"/>
              <c:extLst>
                <c:ext xmlns:c15="http://schemas.microsoft.com/office/drawing/2012/chart" uri="{CE6537A1-D6FC-4f65-9D91-7224C49458BB}"/>
                <c:ext xmlns:c16="http://schemas.microsoft.com/office/drawing/2014/chart" uri="{C3380CC4-5D6E-409C-BE32-E72D297353CC}">
                  <c16:uniqueId val="{00000001-DA09-024A-8DC2-12E41D69ED7F}"/>
                </c:ext>
              </c:extLst>
            </c:dLbl>
            <c:dLbl>
              <c:idx val="3"/>
              <c:delete val="1"/>
              <c:extLst>
                <c:ext xmlns:c15="http://schemas.microsoft.com/office/drawing/2012/chart" uri="{CE6537A1-D6FC-4f65-9D91-7224C49458BB}"/>
                <c:ext xmlns:c16="http://schemas.microsoft.com/office/drawing/2014/chart" uri="{C3380CC4-5D6E-409C-BE32-E72D297353CC}">
                  <c16:uniqueId val="{00000002-DA09-024A-8DC2-12E41D69ED7F}"/>
                </c:ext>
              </c:extLst>
            </c:dLbl>
            <c:dLbl>
              <c:idx val="4"/>
              <c:delete val="1"/>
              <c:extLst>
                <c:ext xmlns:c15="http://schemas.microsoft.com/office/drawing/2012/chart" uri="{CE6537A1-D6FC-4f65-9D91-7224C49458BB}"/>
                <c:ext xmlns:c16="http://schemas.microsoft.com/office/drawing/2014/chart" uri="{C3380CC4-5D6E-409C-BE32-E72D297353CC}">
                  <c16:uniqueId val="{00000003-DA09-024A-8DC2-12E41D69ED7F}"/>
                </c:ext>
              </c:extLst>
            </c:dLbl>
            <c:dLbl>
              <c:idx val="5"/>
              <c:delete val="1"/>
              <c:extLst>
                <c:ext xmlns:c15="http://schemas.microsoft.com/office/drawing/2012/chart" uri="{CE6537A1-D6FC-4f65-9D91-7224C49458BB}"/>
                <c:ext xmlns:c16="http://schemas.microsoft.com/office/drawing/2014/chart" uri="{C3380CC4-5D6E-409C-BE32-E72D297353CC}">
                  <c16:uniqueId val="{00000004-DA09-024A-8DC2-12E41D69ED7F}"/>
                </c:ext>
              </c:extLst>
            </c:dLbl>
            <c:dLbl>
              <c:idx val="6"/>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A09-024A-8DC2-12E41D69ED7F}"/>
                </c:ext>
              </c:extLst>
            </c:dLbl>
            <c:dLbl>
              <c:idx val="7"/>
              <c:delete val="1"/>
              <c:extLst>
                <c:ext xmlns:c15="http://schemas.microsoft.com/office/drawing/2012/chart" uri="{CE6537A1-D6FC-4f65-9D91-7224C49458BB}"/>
                <c:ext xmlns:c16="http://schemas.microsoft.com/office/drawing/2014/chart" uri="{C3380CC4-5D6E-409C-BE32-E72D297353CC}">
                  <c16:uniqueId val="{00000006-DA09-024A-8DC2-12E41D69ED7F}"/>
                </c:ext>
              </c:extLst>
            </c:dLbl>
            <c:dLbl>
              <c:idx val="8"/>
              <c:delete val="1"/>
              <c:extLst>
                <c:ext xmlns:c15="http://schemas.microsoft.com/office/drawing/2012/chart" uri="{CE6537A1-D6FC-4f65-9D91-7224C49458BB}"/>
                <c:ext xmlns:c16="http://schemas.microsoft.com/office/drawing/2014/chart" uri="{C3380CC4-5D6E-409C-BE32-E72D297353CC}">
                  <c16:uniqueId val="{00000007-DA09-024A-8DC2-12E41D69ED7F}"/>
                </c:ext>
              </c:extLst>
            </c:dLbl>
            <c:dLbl>
              <c:idx val="10"/>
              <c:delete val="1"/>
              <c:extLst>
                <c:ext xmlns:c15="http://schemas.microsoft.com/office/drawing/2012/chart" uri="{CE6537A1-D6FC-4f65-9D91-7224C49458BB}"/>
                <c:ext xmlns:c16="http://schemas.microsoft.com/office/drawing/2014/chart" uri="{C3380CC4-5D6E-409C-BE32-E72D297353CC}">
                  <c16:uniqueId val="{00000008-DA09-024A-8DC2-12E41D69ED7F}"/>
                </c:ext>
              </c:extLst>
            </c:dLbl>
            <c:dLbl>
              <c:idx val="11"/>
              <c:delete val="1"/>
              <c:extLst>
                <c:ext xmlns:c15="http://schemas.microsoft.com/office/drawing/2012/chart" uri="{CE6537A1-D6FC-4f65-9D91-7224C49458BB}"/>
                <c:ext xmlns:c16="http://schemas.microsoft.com/office/drawing/2014/chart" uri="{C3380CC4-5D6E-409C-BE32-E72D297353CC}">
                  <c16:uniqueId val="{00000009-DA09-024A-8DC2-12E41D69ED7F}"/>
                </c:ext>
              </c:extLst>
            </c:dLbl>
            <c:dLbl>
              <c:idx val="13"/>
              <c:delete val="1"/>
              <c:extLst>
                <c:ext xmlns:c15="http://schemas.microsoft.com/office/drawing/2012/chart" uri="{CE6537A1-D6FC-4f65-9D91-7224C49458BB}"/>
                <c:ext xmlns:c16="http://schemas.microsoft.com/office/drawing/2014/chart" uri="{C3380CC4-5D6E-409C-BE32-E72D297353CC}">
                  <c16:uniqueId val="{0000000A-DA09-024A-8DC2-12E41D69ED7F}"/>
                </c:ext>
              </c:extLst>
            </c:dLbl>
            <c:dLbl>
              <c:idx val="14"/>
              <c:delete val="1"/>
              <c:extLst>
                <c:ext xmlns:c15="http://schemas.microsoft.com/office/drawing/2012/chart" uri="{CE6537A1-D6FC-4f65-9D91-7224C49458BB}"/>
                <c:ext xmlns:c16="http://schemas.microsoft.com/office/drawing/2014/chart" uri="{C3380CC4-5D6E-409C-BE32-E72D297353CC}">
                  <c16:uniqueId val="{0000000B-DA09-024A-8DC2-12E41D69ED7F}"/>
                </c:ext>
              </c:extLst>
            </c:dLbl>
            <c:dLbl>
              <c:idx val="1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A09-024A-8DC2-12E41D69ED7F}"/>
                </c:ext>
              </c:extLst>
            </c:dLbl>
            <c:dLbl>
              <c:idx val="16"/>
              <c:delete val="1"/>
              <c:extLst>
                <c:ext xmlns:c15="http://schemas.microsoft.com/office/drawing/2012/chart" uri="{CE6537A1-D6FC-4f65-9D91-7224C49458BB}"/>
                <c:ext xmlns:c16="http://schemas.microsoft.com/office/drawing/2014/chart" uri="{C3380CC4-5D6E-409C-BE32-E72D297353CC}">
                  <c16:uniqueId val="{0000000D-DA09-024A-8DC2-12E41D69ED7F}"/>
                </c:ext>
              </c:extLst>
            </c:dLbl>
            <c:dLbl>
              <c:idx val="17"/>
              <c:delete val="1"/>
              <c:extLst>
                <c:ext xmlns:c15="http://schemas.microsoft.com/office/drawing/2012/chart" uri="{CE6537A1-D6FC-4f65-9D91-7224C49458BB}"/>
                <c:ext xmlns:c16="http://schemas.microsoft.com/office/drawing/2014/chart" uri="{C3380CC4-5D6E-409C-BE32-E72D297353CC}">
                  <c16:uniqueId val="{0000000E-DA09-024A-8DC2-12E41D69ED7F}"/>
                </c:ext>
              </c:extLst>
            </c:dLbl>
            <c:dLbl>
              <c:idx val="18"/>
              <c:dLblPos val="l"/>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A09-024A-8DC2-12E41D69ED7F}"/>
                </c:ext>
              </c:extLst>
            </c:dLbl>
            <c:dLbl>
              <c:idx val="19"/>
              <c:delete val="1"/>
              <c:extLst>
                <c:ext xmlns:c15="http://schemas.microsoft.com/office/drawing/2012/chart" uri="{CE6537A1-D6FC-4f65-9D91-7224C49458BB}"/>
                <c:ext xmlns:c16="http://schemas.microsoft.com/office/drawing/2014/chart" uri="{C3380CC4-5D6E-409C-BE32-E72D297353CC}">
                  <c16:uniqueId val="{00000010-DA09-024A-8DC2-12E41D69ED7F}"/>
                </c:ext>
              </c:extLst>
            </c:dLbl>
            <c:dLbl>
              <c:idx val="20"/>
              <c:delete val="1"/>
              <c:extLst>
                <c:ext xmlns:c15="http://schemas.microsoft.com/office/drawing/2012/chart" uri="{CE6537A1-D6FC-4f65-9D91-7224C49458BB}"/>
                <c:ext xmlns:c16="http://schemas.microsoft.com/office/drawing/2014/chart" uri="{C3380CC4-5D6E-409C-BE32-E72D297353CC}">
                  <c16:uniqueId val="{00000011-DA09-024A-8DC2-12E41D69ED7F}"/>
                </c:ext>
              </c:extLst>
            </c:dLbl>
            <c:dLbl>
              <c:idx val="22"/>
              <c:delete val="1"/>
              <c:extLst>
                <c:ext xmlns:c15="http://schemas.microsoft.com/office/drawing/2012/chart" uri="{CE6537A1-D6FC-4f65-9D91-7224C49458BB}"/>
                <c:ext xmlns:c16="http://schemas.microsoft.com/office/drawing/2014/chart" uri="{C3380CC4-5D6E-409C-BE32-E72D297353CC}">
                  <c16:uniqueId val="{00000012-DA09-024A-8DC2-12E41D69ED7F}"/>
                </c:ext>
              </c:extLst>
            </c:dLbl>
            <c:dLbl>
              <c:idx val="23"/>
              <c:delete val="1"/>
              <c:extLst>
                <c:ext xmlns:c15="http://schemas.microsoft.com/office/drawing/2012/chart" uri="{CE6537A1-D6FC-4f65-9D91-7224C49458BB}"/>
                <c:ext xmlns:c16="http://schemas.microsoft.com/office/drawing/2014/chart" uri="{C3380CC4-5D6E-409C-BE32-E72D297353CC}">
                  <c16:uniqueId val="{00000013-DA09-024A-8DC2-12E41D69ED7F}"/>
                </c:ext>
              </c:extLst>
            </c:dLbl>
            <c:dLbl>
              <c:idx val="25"/>
              <c:delete val="1"/>
              <c:extLst>
                <c:ext xmlns:c15="http://schemas.microsoft.com/office/drawing/2012/chart" uri="{CE6537A1-D6FC-4f65-9D91-7224C49458BB}"/>
                <c:ext xmlns:c16="http://schemas.microsoft.com/office/drawing/2014/chart" uri="{C3380CC4-5D6E-409C-BE32-E72D297353CC}">
                  <c16:uniqueId val="{00000014-DA09-024A-8DC2-12E41D69ED7F}"/>
                </c:ext>
              </c:extLst>
            </c:dLbl>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'US Sugar support %'!$C$5:$C$31</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'US Sugar support %'!$D$5:$D$31</c:f>
              <c:numCache>
                <c:formatCode>0%</c:formatCode>
                <c:ptCount val="27"/>
                <c:pt idx="0">
                  <c:v>0.51</c:v>
                </c:pt>
                <c:pt idx="1">
                  <c:v>0.44</c:v>
                </c:pt>
                <c:pt idx="2">
                  <c:v>0.49</c:v>
                </c:pt>
                <c:pt idx="3">
                  <c:v>0.5</c:v>
                </c:pt>
                <c:pt idx="4">
                  <c:v>0.56000000000000005</c:v>
                </c:pt>
                <c:pt idx="5">
                  <c:v>0.56999999999999995</c:v>
                </c:pt>
                <c:pt idx="6">
                  <c:v>0.52</c:v>
                </c:pt>
                <c:pt idx="7">
                  <c:v>0.63</c:v>
                </c:pt>
                <c:pt idx="8">
                  <c:v>0.55000000000000004</c:v>
                </c:pt>
                <c:pt idx="9">
                  <c:v>0.66</c:v>
                </c:pt>
                <c:pt idx="10">
                  <c:v>0.62</c:v>
                </c:pt>
                <c:pt idx="11">
                  <c:v>0.53</c:v>
                </c:pt>
                <c:pt idx="12">
                  <c:v>0.57999999999999996</c:v>
                </c:pt>
                <c:pt idx="13">
                  <c:v>0.55000000000000004</c:v>
                </c:pt>
                <c:pt idx="14">
                  <c:v>0.49</c:v>
                </c:pt>
                <c:pt idx="15">
                  <c:v>0.39</c:v>
                </c:pt>
                <c:pt idx="16">
                  <c:v>0.43</c:v>
                </c:pt>
                <c:pt idx="17">
                  <c:v>0.39</c:v>
                </c:pt>
                <c:pt idx="18">
                  <c:v>0.57999999999999996</c:v>
                </c:pt>
                <c:pt idx="19">
                  <c:v>0.59</c:v>
                </c:pt>
                <c:pt idx="20">
                  <c:v>0.57261445379564968</c:v>
                </c:pt>
                <c:pt idx="21">
                  <c:v>0.64410000000000001</c:v>
                </c:pt>
                <c:pt idx="22">
                  <c:v>0.63529999999999998</c:v>
                </c:pt>
                <c:pt idx="23">
                  <c:v>0.65600000000000003</c:v>
                </c:pt>
                <c:pt idx="24">
                  <c:v>0.65510000000000002</c:v>
                </c:pt>
                <c:pt idx="25">
                  <c:v>0.56230000000000002</c:v>
                </c:pt>
                <c:pt idx="26">
                  <c:v>0.50439999999999996</c:v>
                </c:pt>
              </c:numCache>
            </c:numRef>
          </c:val>
          <c:smooth val="0"/>
          <c:extLst>
            <c:ext xmlns:c16="http://schemas.microsoft.com/office/drawing/2014/chart" uri="{C3380CC4-5D6E-409C-BE32-E72D297353CC}">
              <c16:uniqueId val="{00000015-DA09-024A-8DC2-12E41D69ED7F}"/>
            </c:ext>
          </c:extLst>
        </c:ser>
        <c:dLbls>
          <c:showLegendKey val="0"/>
          <c:showVal val="0"/>
          <c:showCatName val="0"/>
          <c:showSerName val="0"/>
          <c:showPercent val="0"/>
          <c:showBubbleSize val="0"/>
        </c:dLbls>
        <c:marker val="1"/>
        <c:smooth val="0"/>
        <c:axId val="1748190623"/>
        <c:axId val="1447462079"/>
      </c:lineChart>
      <c:catAx>
        <c:axId val="1748190623"/>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47462079"/>
        <c:crosses val="autoZero"/>
        <c:auto val="1"/>
        <c:lblAlgn val="ctr"/>
        <c:lblOffset val="100"/>
        <c:noMultiLvlLbl val="0"/>
      </c:catAx>
      <c:valAx>
        <c:axId val="1447462079"/>
        <c:scaling>
          <c:orientation val="minMax"/>
          <c:min val="0.3"/>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t>Support</a:t>
                </a:r>
                <a:r>
                  <a:rPr lang="en-GB" baseline="0"/>
                  <a:t> as a % of Value of Production for sugar</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48190623"/>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32643404617631"/>
          <c:y val="4.884004884004884E-2"/>
          <c:w val="0.7680810118101512"/>
          <c:h val="0.57453395248670835"/>
        </c:manualLayout>
      </c:layout>
      <c:lineChart>
        <c:grouping val="standard"/>
        <c:varyColors val="0"/>
        <c:ser>
          <c:idx val="0"/>
          <c:order val="0"/>
          <c:tx>
            <c:strRef>
              <c:f>'Figure 2'!$B$1</c:f>
              <c:strCache>
                <c:ptCount val="1"/>
                <c:pt idx="0">
                  <c:v> TTDS Entitlement as a Percentage of VoP Total Agriculture</c:v>
                </c:pt>
              </c:strCache>
            </c:strRef>
          </c:tx>
          <c:spPr>
            <a:ln w="28575" cap="rnd">
              <a:solidFill>
                <a:schemeClr val="accent1"/>
              </a:solidFill>
              <a:round/>
            </a:ln>
            <a:effectLst/>
          </c:spPr>
          <c:marker>
            <c:symbol val="diamond"/>
            <c:size val="7"/>
            <c:spPr>
              <a:solidFill>
                <a:schemeClr val="accent1"/>
              </a:solidFill>
              <a:ln w="9525">
                <a:solidFill>
                  <a:schemeClr val="accent1"/>
                </a:solidFill>
              </a:ln>
              <a:effectLst/>
            </c:spPr>
          </c:marker>
          <c:dLbls>
            <c:dLbl>
              <c:idx val="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0D-B94B-88BD-FA30E9490BD6}"/>
                </c:ext>
              </c:extLst>
            </c:dLbl>
            <c:dLbl>
              <c:idx val="2"/>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0D-B94B-88BD-FA30E9490BD6}"/>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0D-B94B-88BD-FA30E9490BD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2'!$A$2:$A$15</c:f>
              <c:strCache>
                <c:ptCount val="14"/>
                <c:pt idx="0">
                  <c:v>Before 2018</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strCache>
            </c:strRef>
          </c:cat>
          <c:val>
            <c:numRef>
              <c:f>'Figure 2'!$B$2:$B$15</c:f>
              <c:numCache>
                <c:formatCode>0.0</c:formatCode>
                <c:ptCount val="14"/>
                <c:pt idx="0" formatCode="General">
                  <c:v>20</c:v>
                </c:pt>
                <c:pt idx="1">
                  <c:v>9.4374272133677941</c:v>
                </c:pt>
                <c:pt idx="2">
                  <c:v>8.6156649203961226</c:v>
                </c:pt>
                <c:pt idx="3">
                  <c:v>7.8654574326571236</c:v>
                </c:pt>
                <c:pt idx="4">
                  <c:v>7.1805741282353397</c:v>
                </c:pt>
                <c:pt idx="5">
                  <c:v>6.5553269155083829</c:v>
                </c:pt>
                <c:pt idx="6">
                  <c:v>5.9845229924183379</c:v>
                </c:pt>
                <c:pt idx="7">
                  <c:v>5.4634217192211887</c:v>
                </c:pt>
                <c:pt idx="8">
                  <c:v>4.9876952465339057</c:v>
                </c:pt>
                <c:pt idx="9">
                  <c:v>4.5533925716873176</c:v>
                </c:pt>
                <c:pt idx="10">
                  <c:v>4.156906724865653</c:v>
                </c:pt>
                <c:pt idx="11">
                  <c:v>3.7949448125071319</c:v>
                </c:pt>
                <c:pt idx="12">
                  <c:v>3.4645006691701106</c:v>
                </c:pt>
                <c:pt idx="13">
                  <c:v>3.1628298907331174</c:v>
                </c:pt>
              </c:numCache>
            </c:numRef>
          </c:val>
          <c:smooth val="0"/>
          <c:extLst>
            <c:ext xmlns:c16="http://schemas.microsoft.com/office/drawing/2014/chart" uri="{C3380CC4-5D6E-409C-BE32-E72D297353CC}">
              <c16:uniqueId val="{00000003-890D-B94B-88BD-FA30E9490BD6}"/>
            </c:ext>
          </c:extLst>
        </c:ser>
        <c:dLbls>
          <c:showLegendKey val="0"/>
          <c:showVal val="0"/>
          <c:showCatName val="0"/>
          <c:showSerName val="0"/>
          <c:showPercent val="0"/>
          <c:showBubbleSize val="0"/>
        </c:dLbls>
        <c:marker val="1"/>
        <c:smooth val="0"/>
        <c:axId val="1445741616"/>
        <c:axId val="1445743344"/>
      </c:lineChart>
      <c:lineChart>
        <c:grouping val="standard"/>
        <c:varyColors val="0"/>
        <c:ser>
          <c:idx val="1"/>
          <c:order val="1"/>
          <c:tx>
            <c:strRef>
              <c:f>'Figure 2'!$C$1</c:f>
              <c:strCache>
                <c:ptCount val="1"/>
                <c:pt idx="0">
                  <c:v>TTDS Entitlement Limit</c:v>
                </c:pt>
              </c:strCache>
            </c:strRef>
          </c:tx>
          <c:spPr>
            <a:ln w="28575" cap="rnd">
              <a:solidFill>
                <a:schemeClr val="accent2"/>
              </a:solidFill>
              <a:round/>
            </a:ln>
            <a:effectLst/>
          </c:spPr>
          <c:marker>
            <c:symbol val="none"/>
          </c:marker>
          <c:val>
            <c:numRef>
              <c:f>'Figure 2'!$C$2:$C$15</c:f>
              <c:numCache>
                <c:formatCode>0.00</c:formatCode>
                <c:ptCount val="14"/>
                <c:pt idx="0">
                  <c:v>10.482033004293074</c:v>
                </c:pt>
                <c:pt idx="1">
                  <c:v>10.482033004293074</c:v>
                </c:pt>
                <c:pt idx="2">
                  <c:v>10.482033004293074</c:v>
                </c:pt>
                <c:pt idx="3">
                  <c:v>10.482033004293074</c:v>
                </c:pt>
                <c:pt idx="4">
                  <c:v>10.482033004293074</c:v>
                </c:pt>
                <c:pt idx="5">
                  <c:v>10.482033004293074</c:v>
                </c:pt>
                <c:pt idx="6">
                  <c:v>10.482033004293074</c:v>
                </c:pt>
                <c:pt idx="7">
                  <c:v>10.482033004293074</c:v>
                </c:pt>
                <c:pt idx="8">
                  <c:v>10.482033004293074</c:v>
                </c:pt>
                <c:pt idx="9">
                  <c:v>10.482033004293074</c:v>
                </c:pt>
                <c:pt idx="10">
                  <c:v>10.482033004293074</c:v>
                </c:pt>
                <c:pt idx="11">
                  <c:v>10.482033004293074</c:v>
                </c:pt>
                <c:pt idx="12">
                  <c:v>10.482033004293074</c:v>
                </c:pt>
                <c:pt idx="13">
                  <c:v>10.482033004293074</c:v>
                </c:pt>
              </c:numCache>
            </c:numRef>
          </c:val>
          <c:smooth val="0"/>
          <c:extLst>
            <c:ext xmlns:c16="http://schemas.microsoft.com/office/drawing/2014/chart" uri="{C3380CC4-5D6E-409C-BE32-E72D297353CC}">
              <c16:uniqueId val="{00000004-890D-B94B-88BD-FA30E9490BD6}"/>
            </c:ext>
          </c:extLst>
        </c:ser>
        <c:dLbls>
          <c:showLegendKey val="0"/>
          <c:showVal val="0"/>
          <c:showCatName val="0"/>
          <c:showSerName val="0"/>
          <c:showPercent val="0"/>
          <c:showBubbleSize val="0"/>
        </c:dLbls>
        <c:marker val="1"/>
        <c:smooth val="0"/>
        <c:axId val="1510920816"/>
        <c:axId val="1614521232"/>
      </c:lineChart>
      <c:catAx>
        <c:axId val="144574161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45743344"/>
        <c:crosses val="autoZero"/>
        <c:auto val="1"/>
        <c:lblAlgn val="ctr"/>
        <c:lblOffset val="100"/>
        <c:noMultiLvlLbl val="0"/>
      </c:catAx>
      <c:valAx>
        <c:axId val="14457433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000" baseline="0">
                    <a:latin typeface="Times New Roman" panose="02020603050405020304" pitchFamily="18" charset="0"/>
                    <a:cs typeface="Times New Roman" panose="02020603050405020304" pitchFamily="18" charset="0"/>
                  </a:rPr>
                  <a:t> Share (%)</a:t>
                </a:r>
                <a:endParaRPr lang="en-GB" sz="10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45741616"/>
        <c:crosses val="autoZero"/>
        <c:crossBetween val="between"/>
      </c:valAx>
      <c:valAx>
        <c:axId val="1614521232"/>
        <c:scaling>
          <c:orientation val="minMax"/>
          <c:max val="21"/>
          <c:min val="0"/>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000" baseline="0">
                    <a:latin typeface="Times New Roman" panose="02020603050405020304" pitchFamily="18" charset="0"/>
                    <a:cs typeface="Times New Roman" panose="02020603050405020304" pitchFamily="18" charset="0"/>
                  </a:rPr>
                  <a:t> Billion US$</a:t>
                </a:r>
                <a:endParaRPr lang="en-GB" sz="10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10920816"/>
        <c:crosses val="max"/>
        <c:crossBetween val="between"/>
      </c:valAx>
      <c:catAx>
        <c:axId val="1510920816"/>
        <c:scaling>
          <c:orientation val="minMax"/>
        </c:scaling>
        <c:delete val="1"/>
        <c:axPos val="b"/>
        <c:majorTickMark val="out"/>
        <c:minorTickMark val="none"/>
        <c:tickLblPos val="nextTo"/>
        <c:crossAx val="1614521232"/>
        <c:crosses val="autoZero"/>
        <c:auto val="1"/>
        <c:lblAlgn val="ctr"/>
        <c:lblOffset val="100"/>
        <c:noMultiLvlLbl val="0"/>
      </c:cat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3'!$C$1</c:f>
              <c:strCache>
                <c:ptCount val="1"/>
                <c:pt idx="0">
                  <c:v>2030 Per Famer support based on prposed OTDS Limit  (US$)</c:v>
                </c:pt>
              </c:strCache>
            </c:strRef>
          </c:tx>
          <c:spPr>
            <a:pattFill prst="wdUpDiag">
              <a:fgClr>
                <a:srgbClr val="0070C0"/>
              </a:fgClr>
              <a:bgClr>
                <a:schemeClr val="bg1"/>
              </a:bgClr>
            </a:pattFill>
            <a:ln>
              <a:solidFill>
                <a:schemeClr val="tx1"/>
              </a:solid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'Figure 3'!$A$2:$B$14</c:f>
              <c:multiLvlStrCache>
                <c:ptCount val="13"/>
                <c:lvl>
                  <c:pt idx="0">
                    <c:v>Australia</c:v>
                  </c:pt>
                  <c:pt idx="1">
                    <c:v>Canada</c:v>
                  </c:pt>
                  <c:pt idx="2">
                    <c:v>European Union</c:v>
                  </c:pt>
                  <c:pt idx="3">
                    <c:v>Japan</c:v>
                  </c:pt>
                  <c:pt idx="4">
                    <c:v>Switzerland</c:v>
                  </c:pt>
                  <c:pt idx="5">
                    <c:v>United States</c:v>
                  </c:pt>
                  <c:pt idx="6">
                    <c:v>Brazil</c:v>
                  </c:pt>
                  <c:pt idx="7">
                    <c:v>China</c:v>
                  </c:pt>
                  <c:pt idx="8">
                    <c:v>Egypt</c:v>
                  </c:pt>
                  <c:pt idx="9">
                    <c:v>India</c:v>
                  </c:pt>
                  <c:pt idx="10">
                    <c:v>Nigeria</c:v>
                  </c:pt>
                  <c:pt idx="11">
                    <c:v>Nepal</c:v>
                  </c:pt>
                  <c:pt idx="12">
                    <c:v>Tanzania</c:v>
                  </c:pt>
                </c:lvl>
                <c:lvl>
                  <c:pt idx="0">
                    <c:v>Developed</c:v>
                  </c:pt>
                  <c:pt idx="6">
                    <c:v>Developing and LDC</c:v>
                  </c:pt>
                </c:lvl>
              </c:multiLvlStrCache>
            </c:multiLvlStrRef>
          </c:cat>
          <c:val>
            <c:numRef>
              <c:f>'Figure 3'!$C$2:$C$14</c:f>
              <c:numCache>
                <c:formatCode>0</c:formatCode>
                <c:ptCount val="13"/>
                <c:pt idx="0">
                  <c:v>8666.8443074141887</c:v>
                </c:pt>
                <c:pt idx="1">
                  <c:v>16288.932714523411</c:v>
                </c:pt>
                <c:pt idx="2">
                  <c:v>9305.3622391477602</c:v>
                </c:pt>
                <c:pt idx="3">
                  <c:v>11324.558120165744</c:v>
                </c:pt>
                <c:pt idx="4">
                  <c:v>21011.024201950979</c:v>
                </c:pt>
                <c:pt idx="5">
                  <c:v>12994.015403209542</c:v>
                </c:pt>
                <c:pt idx="6">
                  <c:v>2000.7264899684722</c:v>
                </c:pt>
                <c:pt idx="7">
                  <c:v>527.52466561953861</c:v>
                </c:pt>
                <c:pt idx="8">
                  <c:v>267.41542292749909</c:v>
                </c:pt>
                <c:pt idx="9" formatCode="0.00">
                  <c:v>236.0127360353604</c:v>
                </c:pt>
                <c:pt idx="10">
                  <c:v>121.03480970775702</c:v>
                </c:pt>
                <c:pt idx="11">
                  <c:v>142.78542256837011</c:v>
                </c:pt>
                <c:pt idx="12">
                  <c:v>87.950251874642134</c:v>
                </c:pt>
              </c:numCache>
            </c:numRef>
          </c:val>
          <c:extLst>
            <c:ext xmlns:c16="http://schemas.microsoft.com/office/drawing/2014/chart" uri="{C3380CC4-5D6E-409C-BE32-E72D297353CC}">
              <c16:uniqueId val="{00000000-A7B9-5B47-843C-A4A961A850DF}"/>
            </c:ext>
          </c:extLst>
        </c:ser>
        <c:dLbls>
          <c:showLegendKey val="0"/>
          <c:showVal val="0"/>
          <c:showCatName val="0"/>
          <c:showSerName val="0"/>
          <c:showPercent val="0"/>
          <c:showBubbleSize val="0"/>
        </c:dLbls>
        <c:gapWidth val="219"/>
        <c:axId val="2092827504"/>
        <c:axId val="2092829232"/>
      </c:barChart>
      <c:catAx>
        <c:axId val="20928275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92829232"/>
        <c:crosses val="autoZero"/>
        <c:auto val="1"/>
        <c:lblAlgn val="ctr"/>
        <c:lblOffset val="100"/>
        <c:noMultiLvlLbl val="0"/>
      </c:catAx>
      <c:valAx>
        <c:axId val="2092829232"/>
        <c:scaling>
          <c:orientation val="minMax"/>
          <c:max val="2500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000">
                    <a:latin typeface="Times New Roman" panose="02020603050405020304" pitchFamily="18" charset="0"/>
                    <a:cs typeface="Times New Roman" panose="02020603050405020304" pitchFamily="18" charset="0"/>
                  </a:rPr>
                  <a:t>US$</a:t>
                </a:r>
                <a:endParaRPr lang="en-GB" sz="1000" baseline="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92827504"/>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'F8 Indonesia AAP and ERP'!$D$2</c:f>
              <c:strCache>
                <c:ptCount val="1"/>
                <c:pt idx="0">
                  <c:v>Applied Administered Price</c:v>
                </c:pt>
              </c:strCache>
            </c:strRef>
          </c:tx>
          <c:spPr>
            <a:pattFill prst="narHorz">
              <a:fgClr>
                <a:schemeClr val="accent2">
                  <a:lumMod val="75000"/>
                </a:schemeClr>
              </a:fgClr>
              <a:bgClr>
                <a:schemeClr val="bg1"/>
              </a:bgClr>
            </a:pattFill>
            <a:ln w="19050">
              <a:solidFill>
                <a:schemeClr val="accent1"/>
              </a:solidFill>
            </a:ln>
            <a:effectLst/>
          </c:spPr>
          <c:invertIfNegative val="0"/>
          <c:dLbls>
            <c:dLbl>
              <c:idx val="2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16-2C48-AF63-41C4385C970E}"/>
                </c:ext>
              </c:extLst>
            </c:dLbl>
            <c:spPr>
              <a:solidFill>
                <a:schemeClr val="bg1"/>
              </a:solidFill>
              <a:ln>
                <a:solidFill>
                  <a:schemeClr val="tx1"/>
                </a:solid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'F8 Indonesia AAP and ERP'!$C$3:$C$23</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'F8 Indonesia AAP and ERP'!$D$3:$D$23</c:f>
              <c:numCache>
                <c:formatCode>#,###,###,##0</c:formatCode>
                <c:ptCount val="21"/>
                <c:pt idx="0">
                  <c:v>2470</c:v>
                </c:pt>
                <c:pt idx="1">
                  <c:v>2470</c:v>
                </c:pt>
                <c:pt idx="2">
                  <c:v>2790</c:v>
                </c:pt>
                <c:pt idx="3">
                  <c:v>2790</c:v>
                </c:pt>
                <c:pt idx="4">
                  <c:v>2790</c:v>
                </c:pt>
                <c:pt idx="5">
                  <c:v>3550</c:v>
                </c:pt>
                <c:pt idx="6">
                  <c:v>4000</c:v>
                </c:pt>
                <c:pt idx="7">
                  <c:v>4300</c:v>
                </c:pt>
                <c:pt idx="8">
                  <c:v>4600</c:v>
                </c:pt>
                <c:pt idx="9">
                  <c:v>5060</c:v>
                </c:pt>
                <c:pt idx="10">
                  <c:v>5060</c:v>
                </c:pt>
                <c:pt idx="11">
                  <c:v>6600</c:v>
                </c:pt>
                <c:pt idx="12">
                  <c:v>6600</c:v>
                </c:pt>
                <c:pt idx="13">
                  <c:v>6600</c:v>
                </c:pt>
                <c:pt idx="14">
                  <c:v>7300</c:v>
                </c:pt>
                <c:pt idx="15">
                  <c:v>7300</c:v>
                </c:pt>
                <c:pt idx="16">
                  <c:v>7300</c:v>
                </c:pt>
                <c:pt idx="17">
                  <c:v>7300</c:v>
                </c:pt>
                <c:pt idx="18">
                  <c:v>7300</c:v>
                </c:pt>
                <c:pt idx="19">
                  <c:v>8300</c:v>
                </c:pt>
                <c:pt idx="20">
                  <c:v>8300</c:v>
                </c:pt>
              </c:numCache>
            </c:numRef>
          </c:val>
          <c:extLst>
            <c:ext xmlns:c16="http://schemas.microsoft.com/office/drawing/2014/chart" uri="{C3380CC4-5D6E-409C-BE32-E72D297353CC}">
              <c16:uniqueId val="{00000001-9816-2C48-AF63-41C4385C970E}"/>
            </c:ext>
          </c:extLst>
        </c:ser>
        <c:dLbls>
          <c:showLegendKey val="0"/>
          <c:showVal val="0"/>
          <c:showCatName val="0"/>
          <c:showSerName val="0"/>
          <c:showPercent val="0"/>
          <c:showBubbleSize val="0"/>
        </c:dLbls>
        <c:gapWidth val="219"/>
        <c:overlap val="-27"/>
        <c:axId val="1904913967"/>
        <c:axId val="1484341423"/>
      </c:barChart>
      <c:lineChart>
        <c:grouping val="standard"/>
        <c:varyColors val="0"/>
        <c:ser>
          <c:idx val="1"/>
          <c:order val="1"/>
          <c:tx>
            <c:strRef>
              <c:f>'F8 Indonesia AAP and ERP'!$E$2</c:f>
              <c:strCache>
                <c:ptCount val="1"/>
                <c:pt idx="0">
                  <c:v>Fixed External Reference Price </c:v>
                </c:pt>
              </c:strCache>
            </c:strRef>
          </c:tx>
          <c:spPr>
            <a:ln w="44450" cap="rnd">
              <a:solidFill>
                <a:schemeClr val="tx1"/>
              </a:solidFill>
              <a:round/>
            </a:ln>
            <a:effectLst/>
          </c:spPr>
          <c:marker>
            <c:symbol val="triangle"/>
            <c:size val="5"/>
            <c:spPr>
              <a:solidFill>
                <a:srgbClr val="92D050"/>
              </a:solidFill>
              <a:ln w="9525">
                <a:solidFill>
                  <a:srgbClr val="92D050"/>
                </a:solidFill>
              </a:ln>
              <a:effectLst/>
            </c:spPr>
          </c:marker>
          <c:dLbls>
            <c:dLbl>
              <c:idx val="20"/>
              <c:layout>
                <c:manualLayout>
                  <c:x val="-1.1111111111111112E-2"/>
                  <c:y val="-6.0185185185185272E-2"/>
                </c:manualLayout>
              </c:layout>
              <c:spPr>
                <a:solidFill>
                  <a:schemeClr val="bg1"/>
                </a:solidFill>
                <a:ln>
                  <a:solidFill>
                    <a:schemeClr val="tx1"/>
                  </a:solid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16-2C48-AF63-41C4385C970E}"/>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'F8 Indonesia AAP and ERP'!$E$3:$E$23</c:f>
              <c:numCache>
                <c:formatCode>#,###,###,##0.0</c:formatCode>
                <c:ptCount val="21"/>
                <c:pt idx="0">
                  <c:v>370.7</c:v>
                </c:pt>
                <c:pt idx="1">
                  <c:v>370.7</c:v>
                </c:pt>
                <c:pt idx="2">
                  <c:v>370.7</c:v>
                </c:pt>
                <c:pt idx="3">
                  <c:v>370.7</c:v>
                </c:pt>
                <c:pt idx="4">
                  <c:v>370.7</c:v>
                </c:pt>
                <c:pt idx="5">
                  <c:v>370.7</c:v>
                </c:pt>
                <c:pt idx="6">
                  <c:v>370.7</c:v>
                </c:pt>
                <c:pt idx="7">
                  <c:v>370.7</c:v>
                </c:pt>
                <c:pt idx="8">
                  <c:v>370.7</c:v>
                </c:pt>
                <c:pt idx="9">
                  <c:v>370.7</c:v>
                </c:pt>
                <c:pt idx="10">
                  <c:v>370.7</c:v>
                </c:pt>
                <c:pt idx="11">
                  <c:v>370.7</c:v>
                </c:pt>
                <c:pt idx="12">
                  <c:v>370.7</c:v>
                </c:pt>
                <c:pt idx="13">
                  <c:v>370.7</c:v>
                </c:pt>
                <c:pt idx="14">
                  <c:v>370.7</c:v>
                </c:pt>
                <c:pt idx="15">
                  <c:v>370.7</c:v>
                </c:pt>
                <c:pt idx="16">
                  <c:v>370.7</c:v>
                </c:pt>
                <c:pt idx="17">
                  <c:v>370.7</c:v>
                </c:pt>
                <c:pt idx="18">
                  <c:v>370.7</c:v>
                </c:pt>
                <c:pt idx="19">
                  <c:v>370.7</c:v>
                </c:pt>
                <c:pt idx="20">
                  <c:v>370.7</c:v>
                </c:pt>
              </c:numCache>
            </c:numRef>
          </c:val>
          <c:smooth val="0"/>
          <c:extLst>
            <c:ext xmlns:c16="http://schemas.microsoft.com/office/drawing/2014/chart" uri="{C3380CC4-5D6E-409C-BE32-E72D297353CC}">
              <c16:uniqueId val="{00000003-9816-2C48-AF63-41C4385C970E}"/>
            </c:ext>
          </c:extLst>
        </c:ser>
        <c:dLbls>
          <c:showLegendKey val="0"/>
          <c:showVal val="0"/>
          <c:showCatName val="0"/>
          <c:showSerName val="0"/>
          <c:showPercent val="0"/>
          <c:showBubbleSize val="0"/>
        </c:dLbls>
        <c:marker val="1"/>
        <c:smooth val="0"/>
        <c:axId val="1904913967"/>
        <c:axId val="1484341423"/>
      </c:lineChart>
      <c:catAx>
        <c:axId val="1904913967"/>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84341423"/>
        <c:crosses val="autoZero"/>
        <c:auto val="1"/>
        <c:lblAlgn val="ctr"/>
        <c:lblOffset val="100"/>
        <c:noMultiLvlLbl val="0"/>
      </c:catAx>
      <c:valAx>
        <c:axId val="148434142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t>Thousdand IDR/Ton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04913967"/>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0.51866</cdr:x>
      <cdr:y>0.08828</cdr:y>
    </cdr:from>
    <cdr:to>
      <cdr:x>0.86381</cdr:x>
      <cdr:y>0.3835</cdr:y>
    </cdr:to>
    <cdr:sp macro="" textlink="">
      <cdr:nvSpPr>
        <cdr:cNvPr id="2" name="TextBox 1">
          <a:extLst xmlns:a="http://schemas.openxmlformats.org/drawingml/2006/main">
            <a:ext uri="{FF2B5EF4-FFF2-40B4-BE49-F238E27FC236}">
              <a16:creationId xmlns:a16="http://schemas.microsoft.com/office/drawing/2014/main" id="{9786A15A-4D58-D3AF-F1F2-2A7EF89D93A8}"/>
            </a:ext>
          </a:extLst>
        </cdr:cNvPr>
        <cdr:cNvSpPr txBox="1"/>
      </cdr:nvSpPr>
      <cdr:spPr>
        <a:xfrm xmlns:a="http://schemas.openxmlformats.org/drawingml/2006/main">
          <a:off x="3530600" y="387350"/>
          <a:ext cx="2349500" cy="1295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0.47034</cdr:x>
      <cdr:y>0.06935</cdr:y>
    </cdr:from>
    <cdr:to>
      <cdr:x>0.9522</cdr:x>
      <cdr:y>0.21359</cdr:y>
    </cdr:to>
    <cdr:sp macro="" textlink="">
      <cdr:nvSpPr>
        <cdr:cNvPr id="3" name="TextBox 2">
          <a:extLst xmlns:a="http://schemas.openxmlformats.org/drawingml/2006/main">
            <a:ext uri="{FF2B5EF4-FFF2-40B4-BE49-F238E27FC236}">
              <a16:creationId xmlns:a16="http://schemas.microsoft.com/office/drawing/2014/main" id="{E33F80E8-73E5-2B29-7DD3-7D456F151D81}"/>
            </a:ext>
          </a:extLst>
        </cdr:cNvPr>
        <cdr:cNvSpPr txBox="1"/>
      </cdr:nvSpPr>
      <cdr:spPr>
        <a:xfrm xmlns:a="http://schemas.openxmlformats.org/drawingml/2006/main">
          <a:off x="2695740" y="196884"/>
          <a:ext cx="2761784" cy="409507"/>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GB" sz="1000" b="1">
              <a:latin typeface="Times New Roman" panose="02020603050405020304" pitchFamily="18" charset="0"/>
              <a:cs typeface="Times New Roman" panose="02020603050405020304" pitchFamily="18" charset="0"/>
            </a:rPr>
            <a:t>Total</a:t>
          </a:r>
          <a:r>
            <a:rPr lang="en-GB" sz="1000" b="1" baseline="0">
              <a:latin typeface="Times New Roman" panose="02020603050405020304" pitchFamily="18" charset="0"/>
              <a:cs typeface="Times New Roman" panose="02020603050405020304" pitchFamily="18" charset="0"/>
            </a:rPr>
            <a:t> AMS Entitlement is USD 163.54 Billion</a:t>
          </a:r>
          <a:endParaRPr lang="en-GB" sz="1000" b="1">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0.96452</cdr:x>
      <cdr:y>0.15794</cdr:y>
    </cdr:from>
    <cdr:to>
      <cdr:x>0.96452</cdr:x>
      <cdr:y>0.66021</cdr:y>
    </cdr:to>
    <cdr:cxnSp macro="">
      <cdr:nvCxnSpPr>
        <cdr:cNvPr id="2" name="Straight Connector 1">
          <a:extLst xmlns:a="http://schemas.openxmlformats.org/drawingml/2006/main">
            <a:ext uri="{FF2B5EF4-FFF2-40B4-BE49-F238E27FC236}">
              <a16:creationId xmlns:a16="http://schemas.microsoft.com/office/drawing/2014/main" id="{35CF31E4-8CEB-20AE-B0E7-1576822DDBF1}"/>
            </a:ext>
          </a:extLst>
        </cdr:cNvPr>
        <cdr:cNvCxnSpPr/>
      </cdr:nvCxnSpPr>
      <cdr:spPr>
        <a:xfrm xmlns:a="http://schemas.openxmlformats.org/drawingml/2006/main">
          <a:off x="5528144" y="575072"/>
          <a:ext cx="0" cy="182880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0.89482</cdr:x>
      <cdr:y>0.37749</cdr:y>
    </cdr:from>
    <cdr:to>
      <cdr:x>0.9521</cdr:x>
      <cdr:y>0.4211</cdr:y>
    </cdr:to>
    <cdr:sp macro="" textlink="">
      <cdr:nvSpPr>
        <cdr:cNvPr id="2" name="TextBox 1">
          <a:extLst xmlns:a="http://schemas.openxmlformats.org/drawingml/2006/main">
            <a:ext uri="{FF2B5EF4-FFF2-40B4-BE49-F238E27FC236}">
              <a16:creationId xmlns:a16="http://schemas.microsoft.com/office/drawing/2014/main" id="{B26C63AE-BDDB-781C-65D2-B306D9B47249}"/>
            </a:ext>
          </a:extLst>
        </cdr:cNvPr>
        <cdr:cNvSpPr txBox="1"/>
      </cdr:nvSpPr>
      <cdr:spPr>
        <a:xfrm xmlns:a="http://schemas.openxmlformats.org/drawingml/2006/main">
          <a:off x="7042150" y="1758950"/>
          <a:ext cx="450850" cy="203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0.65718</cdr:x>
      <cdr:y>0.21054</cdr:y>
    </cdr:from>
    <cdr:to>
      <cdr:x>0.85917</cdr:x>
      <cdr:y>0.29767</cdr:y>
    </cdr:to>
    <cdr:sp macro="" textlink="">
      <cdr:nvSpPr>
        <cdr:cNvPr id="3" name="TextBox 2">
          <a:extLst xmlns:a="http://schemas.openxmlformats.org/drawingml/2006/main">
            <a:ext uri="{FF2B5EF4-FFF2-40B4-BE49-F238E27FC236}">
              <a16:creationId xmlns:a16="http://schemas.microsoft.com/office/drawing/2014/main" id="{B086E46A-4D7E-A148-13A7-54C0E3A1F8A4}"/>
            </a:ext>
          </a:extLst>
        </cdr:cNvPr>
        <cdr:cNvSpPr txBox="1"/>
      </cdr:nvSpPr>
      <cdr:spPr>
        <a:xfrm xmlns:a="http://schemas.openxmlformats.org/drawingml/2006/main">
          <a:off x="3766657" y="729842"/>
          <a:ext cx="1157681" cy="302004"/>
        </a:xfrm>
        <a:prstGeom xmlns:a="http://schemas.openxmlformats.org/drawingml/2006/main" prst="rect">
          <a:avLst/>
        </a:prstGeom>
        <a:noFill xmlns:a="http://schemas.openxmlformats.org/drawingml/2006/main"/>
        <a:ln xmlns:a="http://schemas.openxmlformats.org/drawingml/2006/main" w="9525" cap="flat" cmpd="sng" algn="ctr">
          <a:solidFill>
            <a:schemeClr val="tx1"/>
          </a:solidFill>
          <a:prstDash val="solid"/>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en-GB" sz="1000" b="0">
              <a:latin typeface="Times New Roman" panose="02020603050405020304" pitchFamily="18" charset="0"/>
              <a:cs typeface="Times New Roman" panose="02020603050405020304" pitchFamily="18" charset="0"/>
            </a:rPr>
            <a:t>US$ 10.48 Billion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0BDC842-90ED-4F24-BEFE-2BDDF5883094}">
  <we:reference id="f78a3046-9e99-4300-aa2b-5814002b01a2" version="1.55.1.0" store="EXCatalog" storeType="EXCatalog"/>
  <we:alternateReferences>
    <we:reference id="WA104382081" version="1.55.1.0" store="en-IN" storeType="OMEX"/>
  </we:alternateReferences>
  <we:properties>
    <we:property name="MENDELEY_CITATIONS" value="[]"/>
  </we:properties>
  <we:bindings/>
  <we:snapshot xmlns:r="http://schemas.openxmlformats.org/officeDocument/2006/relationships"/>
</we:webextension>
</file>

<file path=word/webextensions/webextension2.xml><?xml version="1.0" encoding="utf-8"?>
<we:webextension xmlns:we="http://schemas.microsoft.com/office/webextensions/webextension/2010/11" id="{CE4EC6C7-09AD-F945-8305-75222C102124}">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U7+NEJpvfEWFC69l+F91g7URA==">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52323F-F0E8-41B4-B70B-A4741E020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8921</Words>
  <Characters>50854</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Dr.Sachin Kumar Sharma</cp:lastModifiedBy>
  <cp:revision>2</cp:revision>
  <cp:lastPrinted>2023-10-13T11:12:00Z</cp:lastPrinted>
  <dcterms:created xsi:type="dcterms:W3CDTF">2024-04-08T10:22:00Z</dcterms:created>
  <dcterms:modified xsi:type="dcterms:W3CDTF">2024-04-08T10:22:00Z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documentId_9064</vt:lpwstr>
  </property>
  <property fmtid="{D5CDD505-2E9C-101B-9397-08002B2CF9AE}" pid="3" name="grammarly_documentContext">
    <vt:lpwstr>{"goals":[],"domain":"general","emotions":[],"dialect":"american"}</vt:lpwstr>
  </property>
  <property fmtid="{D5CDD505-2E9C-101B-9397-08002B2CF9AE}" pid="4" name="GrammarlyDocumentId">
    <vt:lpwstr>d36cfc958656a75979b638fbc70d05e6054b9cd877454a12d842a7dd93bb7834</vt:lpwstr>
  </property>
</Properties>
</file>