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32EC3" w14:textId="65845BBE" w:rsidR="00B51619" w:rsidRPr="00C81036" w:rsidRDefault="00B97CC4" w:rsidP="00CA6C46">
      <w:pPr>
        <w:spacing w:line="240" w:lineRule="auto"/>
        <w:jc w:val="center"/>
        <w:rPr>
          <w:rFonts w:ascii="Times New Roman" w:hAnsi="Times New Roman" w:cs="Times New Roman"/>
          <w:sz w:val="24"/>
          <w:szCs w:val="24"/>
        </w:rPr>
      </w:pPr>
      <w:r w:rsidRPr="00C81036">
        <w:rPr>
          <w:rFonts w:ascii="Times New Roman" w:hAnsi="Times New Roman" w:cs="Times New Roman"/>
          <w:sz w:val="24"/>
          <w:szCs w:val="24"/>
        </w:rPr>
        <w:t>Fertilizers in the EU Carbon Border Adjustment Mechanism: Implications for Trade and the Environment</w:t>
      </w:r>
    </w:p>
    <w:p w14:paraId="628280A2" w14:textId="15A5B3F6" w:rsidR="00B97CC4" w:rsidRPr="00C81036" w:rsidRDefault="00B97CC4" w:rsidP="00CA6C46">
      <w:pPr>
        <w:spacing w:line="240" w:lineRule="auto"/>
        <w:jc w:val="center"/>
        <w:rPr>
          <w:rFonts w:ascii="Times New Roman" w:hAnsi="Times New Roman" w:cs="Times New Roman"/>
          <w:sz w:val="24"/>
          <w:szCs w:val="24"/>
        </w:rPr>
      </w:pPr>
      <w:r w:rsidRPr="00C81036">
        <w:rPr>
          <w:rFonts w:ascii="Times New Roman" w:hAnsi="Times New Roman" w:cs="Times New Roman"/>
          <w:sz w:val="24"/>
          <w:szCs w:val="24"/>
        </w:rPr>
        <w:t>Elizabeth A. Fraysse</w:t>
      </w:r>
    </w:p>
    <w:p w14:paraId="720869A2" w14:textId="77777777" w:rsidR="00AD7BFF" w:rsidRDefault="002F7D3D" w:rsidP="00AD7BFF">
      <w:pPr>
        <w:pStyle w:val="ListParagraph"/>
        <w:numPr>
          <w:ilvl w:val="0"/>
          <w:numId w:val="5"/>
        </w:numPr>
        <w:rPr>
          <w:rFonts w:ascii="Times New Roman" w:hAnsi="Times New Roman" w:cs="Times New Roman"/>
          <w:sz w:val="24"/>
          <w:szCs w:val="24"/>
        </w:rPr>
      </w:pPr>
      <w:r w:rsidRPr="00AD7BFF">
        <w:rPr>
          <w:rFonts w:ascii="Times New Roman" w:hAnsi="Times New Roman" w:cs="Times New Roman"/>
          <w:b/>
          <w:bCs/>
          <w:sz w:val="24"/>
          <w:szCs w:val="24"/>
        </w:rPr>
        <w:t>Introduction and Background</w:t>
      </w:r>
      <w:r w:rsidRPr="00AD7BFF">
        <w:rPr>
          <w:rFonts w:ascii="Times New Roman" w:hAnsi="Times New Roman" w:cs="Times New Roman"/>
          <w:sz w:val="24"/>
          <w:szCs w:val="24"/>
        </w:rPr>
        <w:t xml:space="preserve"> </w:t>
      </w:r>
    </w:p>
    <w:p w14:paraId="5159F0D6" w14:textId="26FEC5C6" w:rsidR="00882833" w:rsidRPr="00AD7BFF" w:rsidRDefault="0026323D" w:rsidP="00AD7BFF">
      <w:pPr>
        <w:rPr>
          <w:rFonts w:ascii="Times New Roman" w:hAnsi="Times New Roman" w:cs="Times New Roman"/>
          <w:sz w:val="24"/>
          <w:szCs w:val="24"/>
        </w:rPr>
      </w:pPr>
      <w:r w:rsidRPr="00AD7BFF">
        <w:rPr>
          <w:rFonts w:ascii="Times New Roman" w:hAnsi="Times New Roman" w:cs="Times New Roman"/>
          <w:sz w:val="24"/>
          <w:szCs w:val="24"/>
        </w:rPr>
        <w:t xml:space="preserve">The Carbon Border Adjustment Mechanism (CBAM) announced by the European Union </w:t>
      </w:r>
      <w:r w:rsidR="0010459A" w:rsidRPr="00AD7BFF">
        <w:rPr>
          <w:rFonts w:ascii="Times New Roman" w:hAnsi="Times New Roman" w:cs="Times New Roman"/>
          <w:sz w:val="24"/>
          <w:szCs w:val="24"/>
        </w:rPr>
        <w:t xml:space="preserve">(EU) </w:t>
      </w:r>
      <w:r w:rsidRPr="00AD7BFF">
        <w:rPr>
          <w:rFonts w:ascii="Times New Roman" w:hAnsi="Times New Roman" w:cs="Times New Roman"/>
          <w:sz w:val="24"/>
          <w:szCs w:val="24"/>
        </w:rPr>
        <w:t>will require importers of selected carbon-intensive goods to pay for carbon emissions embodied in imported commodities</w:t>
      </w:r>
      <w:r w:rsidR="00226D11" w:rsidRPr="00AD7BFF">
        <w:rPr>
          <w:rFonts w:ascii="Times New Roman" w:hAnsi="Times New Roman" w:cs="Times New Roman"/>
          <w:sz w:val="24"/>
          <w:szCs w:val="24"/>
        </w:rPr>
        <w:t xml:space="preserve"> </w:t>
      </w:r>
      <w:r w:rsidR="0000690A" w:rsidRPr="00AD7BFF">
        <w:rPr>
          <w:rFonts w:ascii="Times New Roman" w:hAnsi="Times New Roman" w:cs="Times New Roman"/>
          <w:sz w:val="24"/>
          <w:szCs w:val="24"/>
        </w:rPr>
        <w:fldChar w:fldCharType="begin"/>
      </w:r>
      <w:r w:rsidR="0000690A" w:rsidRPr="00AD7BFF">
        <w:rPr>
          <w:rFonts w:ascii="Times New Roman" w:hAnsi="Times New Roman" w:cs="Times New Roman"/>
          <w:sz w:val="24"/>
          <w:szCs w:val="24"/>
        </w:rPr>
        <w:instrText xml:space="preserve"> ADDIN ZOTERO_ITEM CSL_CITATION {"citationID":"57ewOZf7","properties":{"formattedCitation":"(\\uc0\\u8220{}Carbon Border Adjustment Mechanism - European Commission,\\uc0\\u8221{} n.d.)","plainCitation":"(“Carbon Border Adjustment Mechanism - European Commission,” n.d.)","noteIndex":0},"citationItems":[{"id":7786,"uris":["http://zotero.org/users/9930273/items/HGMPT6YL"],"itemData":{"id":7786,"type":"webpage","abstract":"The CBAM will initially apply to imports of certain goods and selected precursors whose production is carbon intensive and at most significant risk of carbon leakage: cement, iron and steel, aluminium, fertilisers, electricity and hydrogen.","language":"en","title":"Carbon Border Adjustment Mechanism - European Commission","URL":"https://taxation-customs.ec.europa.eu/carbon-border-adjustment-mechanism_en","accessed":{"date-parts":[["2024",2,28]]}}}],"schema":"https://github.com/citation-style-language/schema/raw/master/csl-citation.json"} </w:instrText>
      </w:r>
      <w:r w:rsidR="0000690A" w:rsidRPr="00AD7BFF">
        <w:rPr>
          <w:rFonts w:ascii="Times New Roman" w:hAnsi="Times New Roman" w:cs="Times New Roman"/>
          <w:sz w:val="24"/>
          <w:szCs w:val="24"/>
        </w:rPr>
        <w:fldChar w:fldCharType="separate"/>
      </w:r>
      <w:r w:rsidR="0000690A" w:rsidRPr="00AD7BFF">
        <w:rPr>
          <w:rFonts w:ascii="Times New Roman" w:hAnsi="Times New Roman" w:cs="Times New Roman"/>
          <w:kern w:val="0"/>
          <w:sz w:val="24"/>
          <w:szCs w:val="24"/>
        </w:rPr>
        <w:t>(“Carbon Border Adjustment Mechanism - European Commission,” n.d.)</w:t>
      </w:r>
      <w:r w:rsidR="0000690A" w:rsidRPr="00AD7BFF">
        <w:rPr>
          <w:rFonts w:ascii="Times New Roman" w:hAnsi="Times New Roman" w:cs="Times New Roman"/>
          <w:sz w:val="24"/>
          <w:szCs w:val="24"/>
        </w:rPr>
        <w:fldChar w:fldCharType="end"/>
      </w:r>
      <w:r w:rsidRPr="00AD7BFF">
        <w:rPr>
          <w:rFonts w:ascii="Times New Roman" w:hAnsi="Times New Roman" w:cs="Times New Roman"/>
          <w:sz w:val="24"/>
          <w:szCs w:val="24"/>
        </w:rPr>
        <w:t xml:space="preserve">. </w:t>
      </w:r>
      <w:r w:rsidR="00072059">
        <w:rPr>
          <w:rFonts w:ascii="Times New Roman" w:hAnsi="Times New Roman" w:cs="Times New Roman"/>
          <w:sz w:val="24"/>
          <w:szCs w:val="24"/>
        </w:rPr>
        <w:t>This policy aims</w:t>
      </w:r>
      <w:r w:rsidRPr="00AD7BFF">
        <w:rPr>
          <w:rFonts w:ascii="Times New Roman" w:hAnsi="Times New Roman" w:cs="Times New Roman"/>
          <w:sz w:val="24"/>
          <w:szCs w:val="24"/>
        </w:rPr>
        <w:t xml:space="preserve"> to limit carbon leakage, reduce global greenhouse gas emissions, and create an incentive for </w:t>
      </w:r>
      <w:r w:rsidR="007105DD" w:rsidRPr="00AD7BFF">
        <w:rPr>
          <w:rFonts w:ascii="Times New Roman" w:hAnsi="Times New Roman" w:cs="Times New Roman"/>
          <w:sz w:val="24"/>
          <w:szCs w:val="24"/>
        </w:rPr>
        <w:t xml:space="preserve">EU </w:t>
      </w:r>
      <w:r w:rsidRPr="00AD7BFF">
        <w:rPr>
          <w:rFonts w:ascii="Times New Roman" w:hAnsi="Times New Roman" w:cs="Times New Roman"/>
          <w:sz w:val="24"/>
          <w:szCs w:val="24"/>
        </w:rPr>
        <w:t>consumers to buy goods from countries with more sustainable production practices</w:t>
      </w:r>
      <w:r w:rsidR="007105DD" w:rsidRPr="00AD7BFF">
        <w:rPr>
          <w:rFonts w:ascii="Times New Roman" w:hAnsi="Times New Roman" w:cs="Times New Roman"/>
          <w:sz w:val="24"/>
          <w:szCs w:val="24"/>
        </w:rPr>
        <w:t xml:space="preserve"> or domestically</w:t>
      </w:r>
      <w:r w:rsidRPr="00AD7BFF">
        <w:rPr>
          <w:rFonts w:ascii="Times New Roman" w:hAnsi="Times New Roman" w:cs="Times New Roman"/>
          <w:sz w:val="24"/>
          <w:szCs w:val="24"/>
        </w:rPr>
        <w:t>. Without a global carbon policy, those countries</w:t>
      </w:r>
      <w:r w:rsidR="00357F6A" w:rsidRPr="00AD7BFF">
        <w:rPr>
          <w:rFonts w:ascii="Times New Roman" w:hAnsi="Times New Roman" w:cs="Times New Roman"/>
          <w:sz w:val="24"/>
          <w:szCs w:val="24"/>
        </w:rPr>
        <w:t xml:space="preserve"> without stringent climate policies </w:t>
      </w:r>
      <w:r w:rsidR="00F73978" w:rsidRPr="00AD7BFF">
        <w:rPr>
          <w:rFonts w:ascii="Times New Roman" w:hAnsi="Times New Roman" w:cs="Times New Roman"/>
          <w:sz w:val="24"/>
          <w:szCs w:val="24"/>
        </w:rPr>
        <w:t xml:space="preserve">hold an economic advantage over countries with stringent climate policies, such as a carbon tax. </w:t>
      </w:r>
      <w:r w:rsidR="00066DE0" w:rsidRPr="00AD7BFF">
        <w:rPr>
          <w:rFonts w:ascii="Times New Roman" w:hAnsi="Times New Roman" w:cs="Times New Roman"/>
          <w:sz w:val="24"/>
          <w:szCs w:val="24"/>
        </w:rPr>
        <w:t xml:space="preserve">This advantage comes from the </w:t>
      </w:r>
      <w:r w:rsidR="00BA58AB" w:rsidRPr="00AD7BFF">
        <w:rPr>
          <w:rFonts w:ascii="Times New Roman" w:hAnsi="Times New Roman" w:cs="Times New Roman"/>
          <w:sz w:val="24"/>
          <w:szCs w:val="24"/>
        </w:rPr>
        <w:t xml:space="preserve">theoretically </w:t>
      </w:r>
      <w:r w:rsidR="00066DE0" w:rsidRPr="00AD7BFF">
        <w:rPr>
          <w:rFonts w:ascii="Times New Roman" w:hAnsi="Times New Roman" w:cs="Times New Roman"/>
          <w:sz w:val="24"/>
          <w:szCs w:val="24"/>
        </w:rPr>
        <w:t>lower production cost in the country with less stringent climate policies</w:t>
      </w:r>
      <w:r w:rsidR="00072059">
        <w:rPr>
          <w:rFonts w:ascii="Times New Roman" w:hAnsi="Times New Roman" w:cs="Times New Roman"/>
          <w:sz w:val="24"/>
          <w:szCs w:val="24"/>
        </w:rPr>
        <w:t>. Therefore, such countries maintain the ability to out-compete</w:t>
      </w:r>
      <w:r w:rsidR="00BA58AB" w:rsidRPr="00AD7BFF">
        <w:rPr>
          <w:rFonts w:ascii="Times New Roman" w:hAnsi="Times New Roman" w:cs="Times New Roman"/>
          <w:sz w:val="24"/>
          <w:szCs w:val="24"/>
        </w:rPr>
        <w:t xml:space="preserve"> firms facing higher production costs from </w:t>
      </w:r>
      <w:r w:rsidR="0063189F" w:rsidRPr="00AD7BFF">
        <w:rPr>
          <w:rFonts w:ascii="Times New Roman" w:hAnsi="Times New Roman" w:cs="Times New Roman"/>
          <w:sz w:val="24"/>
          <w:szCs w:val="24"/>
        </w:rPr>
        <w:t>climate policies</w:t>
      </w:r>
      <w:r w:rsidR="00BA58AB" w:rsidRPr="00AD7BFF">
        <w:rPr>
          <w:rFonts w:ascii="Times New Roman" w:hAnsi="Times New Roman" w:cs="Times New Roman"/>
          <w:sz w:val="24"/>
          <w:szCs w:val="24"/>
        </w:rPr>
        <w:t xml:space="preserve">. </w:t>
      </w:r>
      <w:r w:rsidR="00796C87" w:rsidRPr="00AD7BFF">
        <w:rPr>
          <w:rFonts w:ascii="Times New Roman" w:hAnsi="Times New Roman" w:cs="Times New Roman"/>
          <w:sz w:val="24"/>
          <w:szCs w:val="24"/>
        </w:rPr>
        <w:t>In previous literature</w:t>
      </w:r>
      <w:r w:rsidR="00072059">
        <w:rPr>
          <w:rFonts w:ascii="Times New Roman" w:hAnsi="Times New Roman" w:cs="Times New Roman"/>
          <w:sz w:val="24"/>
          <w:szCs w:val="24"/>
        </w:rPr>
        <w:t>, the chemical sector was identified as the most impacted sector. However,</w:t>
      </w:r>
      <w:r w:rsidR="00796C87" w:rsidRPr="00AD7BFF">
        <w:rPr>
          <w:rFonts w:ascii="Times New Roman" w:hAnsi="Times New Roman" w:cs="Times New Roman"/>
          <w:sz w:val="24"/>
          <w:szCs w:val="24"/>
        </w:rPr>
        <w:t xml:space="preserve"> this research was done </w:t>
      </w:r>
      <w:r w:rsidR="006C2EB9" w:rsidRPr="00AD7BFF">
        <w:rPr>
          <w:rFonts w:ascii="Times New Roman" w:hAnsi="Times New Roman" w:cs="Times New Roman"/>
          <w:sz w:val="24"/>
          <w:szCs w:val="24"/>
        </w:rPr>
        <w:t xml:space="preserve">using an aggregation of the chemical sector to include fertilizer, rubber, and plastics. </w:t>
      </w:r>
      <w:r w:rsidR="00775720" w:rsidRPr="00AD7BFF">
        <w:rPr>
          <w:rFonts w:ascii="Times New Roman" w:hAnsi="Times New Roman" w:cs="Times New Roman"/>
          <w:sz w:val="24"/>
          <w:szCs w:val="24"/>
        </w:rPr>
        <w:t xml:space="preserve">Fertilizer is an important commodity </w:t>
      </w:r>
      <w:r w:rsidR="00251274" w:rsidRPr="00AD7BFF">
        <w:rPr>
          <w:rFonts w:ascii="Times New Roman" w:hAnsi="Times New Roman" w:cs="Times New Roman"/>
          <w:sz w:val="24"/>
          <w:szCs w:val="24"/>
        </w:rPr>
        <w:t xml:space="preserve">to agriculture, but its production and use </w:t>
      </w:r>
      <w:r w:rsidR="00E41F32" w:rsidRPr="00AD7BFF">
        <w:rPr>
          <w:rFonts w:ascii="Times New Roman" w:hAnsi="Times New Roman" w:cs="Times New Roman"/>
          <w:sz w:val="24"/>
          <w:szCs w:val="24"/>
        </w:rPr>
        <w:t xml:space="preserve">cause high levels of greenhouse gas emissions. </w:t>
      </w:r>
      <w:r w:rsidR="00670B8F" w:rsidRPr="00AD7BFF">
        <w:rPr>
          <w:rFonts w:ascii="Times New Roman" w:hAnsi="Times New Roman" w:cs="Times New Roman"/>
          <w:sz w:val="24"/>
          <w:szCs w:val="24"/>
        </w:rPr>
        <w:t>Ammonia production (</w:t>
      </w:r>
      <w:r w:rsidR="00A25A1F" w:rsidRPr="00AD7BFF">
        <w:rPr>
          <w:rFonts w:ascii="Times New Roman" w:hAnsi="Times New Roman" w:cs="Times New Roman"/>
          <w:sz w:val="24"/>
          <w:szCs w:val="24"/>
        </w:rPr>
        <w:t>an</w:t>
      </w:r>
      <w:r w:rsidR="00670B8F" w:rsidRPr="00AD7BFF">
        <w:rPr>
          <w:rFonts w:ascii="Times New Roman" w:hAnsi="Times New Roman" w:cs="Times New Roman"/>
          <w:sz w:val="24"/>
          <w:szCs w:val="24"/>
        </w:rPr>
        <w:t xml:space="preserve"> </w:t>
      </w:r>
      <w:r w:rsidR="00B228AD" w:rsidRPr="00AD7BFF">
        <w:rPr>
          <w:rFonts w:ascii="Times New Roman" w:hAnsi="Times New Roman" w:cs="Times New Roman"/>
          <w:sz w:val="24"/>
          <w:szCs w:val="24"/>
        </w:rPr>
        <w:t>input for</w:t>
      </w:r>
      <w:r w:rsidR="00670B8F" w:rsidRPr="00AD7BFF">
        <w:rPr>
          <w:rFonts w:ascii="Times New Roman" w:hAnsi="Times New Roman" w:cs="Times New Roman"/>
          <w:sz w:val="24"/>
          <w:szCs w:val="24"/>
        </w:rPr>
        <w:t xml:space="preserve"> fertilizer) is estimated to emit 1-2% of all greenhouse gas emissions and </w:t>
      </w:r>
      <w:r w:rsidR="00790543" w:rsidRPr="00AD7BFF">
        <w:rPr>
          <w:rFonts w:ascii="Times New Roman" w:hAnsi="Times New Roman" w:cs="Times New Roman"/>
          <w:sz w:val="24"/>
          <w:szCs w:val="24"/>
        </w:rPr>
        <w:t xml:space="preserve">it is estimated that </w:t>
      </w:r>
      <w:r w:rsidR="00EE0EBD" w:rsidRPr="00AD7BFF">
        <w:rPr>
          <w:rFonts w:ascii="Times New Roman" w:hAnsi="Times New Roman" w:cs="Times New Roman"/>
          <w:sz w:val="24"/>
          <w:szCs w:val="24"/>
        </w:rPr>
        <w:t xml:space="preserve">about half of all fertilizer applied becomes an environmental pollutant resulting in </w:t>
      </w:r>
      <w:r w:rsidR="00EE7B52" w:rsidRPr="00AD7BFF">
        <w:rPr>
          <w:rFonts w:ascii="Times New Roman" w:hAnsi="Times New Roman" w:cs="Times New Roman"/>
          <w:sz w:val="24"/>
          <w:szCs w:val="24"/>
        </w:rPr>
        <w:t>nitrous oxide emissions, which warm the plant 300 times more than carbon</w:t>
      </w:r>
      <w:r w:rsidR="00D04DF7" w:rsidRPr="00AD7BFF">
        <w:rPr>
          <w:rFonts w:ascii="Times New Roman" w:hAnsi="Times New Roman" w:cs="Times New Roman"/>
          <w:sz w:val="24"/>
          <w:szCs w:val="24"/>
        </w:rPr>
        <w:t xml:space="preserve"> </w:t>
      </w:r>
      <w:r w:rsidR="0000690A" w:rsidRPr="00AD7BFF">
        <w:rPr>
          <w:rFonts w:ascii="Times New Roman" w:hAnsi="Times New Roman" w:cs="Times New Roman"/>
          <w:sz w:val="24"/>
          <w:szCs w:val="24"/>
        </w:rPr>
        <w:fldChar w:fldCharType="begin"/>
      </w:r>
      <w:r w:rsidR="0000690A" w:rsidRPr="00AD7BFF">
        <w:rPr>
          <w:rFonts w:ascii="Times New Roman" w:hAnsi="Times New Roman" w:cs="Times New Roman"/>
          <w:sz w:val="24"/>
          <w:szCs w:val="24"/>
        </w:rPr>
        <w:instrText xml:space="preserve"> ADDIN ZOTERO_ITEM CSL_CITATION {"citationID":"pRcuXJcN","properties":{"formattedCitation":"(\\uc0\\u8220{}Fertilizer and Climate Change | MIT Climate Portal,\\uc0\\u8221{} n.d.)","plainCitation":"(“Fertilizer and Climate Change | MIT Climate Portal,” n.d.)","noteIndex":0},"citationItems":[{"id":7691,"uris":["http://zotero.org/users/9930273/items/5GYKNEIF"],"itemData":{"id":7691,"type":"webpage","abstract":"Human-made fertilizers have greatly boosted crop production, letting farmers grow more food on less land. But this uptick in fertilizer use has come at a cost: planet-warming greenhouse gas emissions.","language":"en","title":"Fertilizer and Climate Change | MIT Climate Portal","URL":"https://climate.mit.edu/explainers/fertilizer-and-climate-change","accessed":{"date-parts":[["2024",2,10]]}}}],"schema":"https://github.com/citation-style-language/schema/raw/master/csl-citation.json"} </w:instrText>
      </w:r>
      <w:r w:rsidR="0000690A" w:rsidRPr="00AD7BFF">
        <w:rPr>
          <w:rFonts w:ascii="Times New Roman" w:hAnsi="Times New Roman" w:cs="Times New Roman"/>
          <w:sz w:val="24"/>
          <w:szCs w:val="24"/>
        </w:rPr>
        <w:fldChar w:fldCharType="separate"/>
      </w:r>
      <w:r w:rsidR="0000690A" w:rsidRPr="00AD7BFF">
        <w:rPr>
          <w:rFonts w:ascii="Times New Roman" w:hAnsi="Times New Roman" w:cs="Times New Roman"/>
          <w:kern w:val="0"/>
          <w:sz w:val="24"/>
          <w:szCs w:val="24"/>
        </w:rPr>
        <w:t>(“Fertilizer and Climate Change | MIT Climate Portal,” n.d.)</w:t>
      </w:r>
      <w:r w:rsidR="0000690A" w:rsidRPr="00AD7BFF">
        <w:rPr>
          <w:rFonts w:ascii="Times New Roman" w:hAnsi="Times New Roman" w:cs="Times New Roman"/>
          <w:sz w:val="24"/>
          <w:szCs w:val="24"/>
        </w:rPr>
        <w:fldChar w:fldCharType="end"/>
      </w:r>
      <w:r w:rsidR="00EE7B52" w:rsidRPr="00AD7BFF">
        <w:rPr>
          <w:rFonts w:ascii="Times New Roman" w:hAnsi="Times New Roman" w:cs="Times New Roman"/>
          <w:sz w:val="24"/>
          <w:szCs w:val="24"/>
        </w:rPr>
        <w:t>.</w:t>
      </w:r>
      <w:r w:rsidR="00670B8F" w:rsidRPr="00AD7BFF">
        <w:rPr>
          <w:rFonts w:ascii="Times New Roman" w:hAnsi="Times New Roman" w:cs="Times New Roman"/>
          <w:sz w:val="24"/>
          <w:szCs w:val="24"/>
        </w:rPr>
        <w:t xml:space="preserve"> </w:t>
      </w:r>
      <w:r w:rsidR="007C0D7C" w:rsidRPr="00AD7BFF">
        <w:rPr>
          <w:rFonts w:ascii="Times New Roman" w:hAnsi="Times New Roman" w:cs="Times New Roman"/>
          <w:sz w:val="24"/>
          <w:szCs w:val="24"/>
        </w:rPr>
        <w:t xml:space="preserve">This paper investigates </w:t>
      </w:r>
      <w:r w:rsidR="006250A6" w:rsidRPr="00AD7BFF">
        <w:rPr>
          <w:rFonts w:ascii="Times New Roman" w:hAnsi="Times New Roman" w:cs="Times New Roman"/>
          <w:sz w:val="24"/>
          <w:szCs w:val="24"/>
        </w:rPr>
        <w:t xml:space="preserve">takes a deeper analysis at a previously aggregated sector, fertilizers, to analyze </w:t>
      </w:r>
      <w:r w:rsidR="007C0D7C" w:rsidRPr="00AD7BFF">
        <w:rPr>
          <w:rFonts w:ascii="Times New Roman" w:hAnsi="Times New Roman" w:cs="Times New Roman"/>
          <w:sz w:val="24"/>
          <w:szCs w:val="24"/>
        </w:rPr>
        <w:t xml:space="preserve">the impact </w:t>
      </w:r>
      <w:r w:rsidR="00180367" w:rsidRPr="00AD7BFF">
        <w:rPr>
          <w:rFonts w:ascii="Times New Roman" w:hAnsi="Times New Roman" w:cs="Times New Roman"/>
          <w:sz w:val="24"/>
          <w:szCs w:val="24"/>
        </w:rPr>
        <w:t xml:space="preserve">of CBAM </w:t>
      </w:r>
      <w:r w:rsidR="007C0D7C" w:rsidRPr="00AD7BFF">
        <w:rPr>
          <w:rFonts w:ascii="Times New Roman" w:hAnsi="Times New Roman" w:cs="Times New Roman"/>
          <w:sz w:val="24"/>
          <w:szCs w:val="24"/>
        </w:rPr>
        <w:t xml:space="preserve">on global fertilizer production and trade patterns </w:t>
      </w:r>
      <w:r w:rsidR="00B92468" w:rsidRPr="00AD7BFF">
        <w:rPr>
          <w:rFonts w:ascii="Times New Roman" w:hAnsi="Times New Roman" w:cs="Times New Roman"/>
          <w:sz w:val="24"/>
          <w:szCs w:val="24"/>
        </w:rPr>
        <w:t xml:space="preserve">through a series of trade scenarios </w:t>
      </w:r>
      <w:r w:rsidR="007C0D7C" w:rsidRPr="00AD7BFF">
        <w:rPr>
          <w:rFonts w:ascii="Times New Roman" w:hAnsi="Times New Roman" w:cs="Times New Roman"/>
          <w:sz w:val="24"/>
          <w:szCs w:val="24"/>
        </w:rPr>
        <w:t>using the GTAP model.</w:t>
      </w:r>
    </w:p>
    <w:p w14:paraId="6B2C8DC9" w14:textId="3B071F2F" w:rsidR="009E585E" w:rsidRPr="00C81036" w:rsidRDefault="0010459A" w:rsidP="0026323D">
      <w:pPr>
        <w:rPr>
          <w:rFonts w:ascii="Times New Roman" w:hAnsi="Times New Roman" w:cs="Times New Roman"/>
          <w:sz w:val="24"/>
          <w:szCs w:val="24"/>
        </w:rPr>
      </w:pPr>
      <w:r w:rsidRPr="00C81036">
        <w:rPr>
          <w:rFonts w:ascii="Times New Roman" w:hAnsi="Times New Roman" w:cs="Times New Roman"/>
          <w:sz w:val="24"/>
          <w:szCs w:val="24"/>
        </w:rPr>
        <w:t xml:space="preserve">The EU </w:t>
      </w:r>
      <w:r w:rsidR="00975C8E" w:rsidRPr="00C81036">
        <w:rPr>
          <w:rFonts w:ascii="Times New Roman" w:hAnsi="Times New Roman" w:cs="Times New Roman"/>
          <w:sz w:val="24"/>
          <w:szCs w:val="24"/>
        </w:rPr>
        <w:t>has an established goal of being carbon neutral by 2050</w:t>
      </w:r>
      <w:r w:rsidR="009860EB" w:rsidRPr="00C81036">
        <w:rPr>
          <w:rFonts w:ascii="Times New Roman" w:hAnsi="Times New Roman" w:cs="Times New Roman"/>
          <w:sz w:val="24"/>
          <w:szCs w:val="24"/>
        </w:rPr>
        <w:t xml:space="preserve"> and has set out </w:t>
      </w:r>
      <w:r w:rsidR="00C801DD" w:rsidRPr="00C81036">
        <w:rPr>
          <w:rFonts w:ascii="Times New Roman" w:hAnsi="Times New Roman" w:cs="Times New Roman"/>
          <w:sz w:val="24"/>
          <w:szCs w:val="24"/>
        </w:rPr>
        <w:t>to achieve</w:t>
      </w:r>
      <w:r w:rsidR="009860EB" w:rsidRPr="00C81036">
        <w:rPr>
          <w:rFonts w:ascii="Times New Roman" w:hAnsi="Times New Roman" w:cs="Times New Roman"/>
          <w:sz w:val="24"/>
          <w:szCs w:val="24"/>
        </w:rPr>
        <w:t xml:space="preserve"> that goal through </w:t>
      </w:r>
      <w:r w:rsidR="00A82032" w:rsidRPr="00C81036">
        <w:rPr>
          <w:rFonts w:ascii="Times New Roman" w:hAnsi="Times New Roman" w:cs="Times New Roman"/>
          <w:sz w:val="24"/>
          <w:szCs w:val="24"/>
        </w:rPr>
        <w:t>several</w:t>
      </w:r>
      <w:r w:rsidR="009860EB" w:rsidRPr="00C81036">
        <w:rPr>
          <w:rFonts w:ascii="Times New Roman" w:hAnsi="Times New Roman" w:cs="Times New Roman"/>
          <w:sz w:val="24"/>
          <w:szCs w:val="24"/>
        </w:rPr>
        <w:t xml:space="preserve"> decarbonization measures. In 2005, </w:t>
      </w:r>
      <w:r w:rsidR="00817DA9" w:rsidRPr="00C81036">
        <w:rPr>
          <w:rFonts w:ascii="Times New Roman" w:hAnsi="Times New Roman" w:cs="Times New Roman"/>
          <w:sz w:val="24"/>
          <w:szCs w:val="24"/>
        </w:rPr>
        <w:t xml:space="preserve">the EU established the Emissions Trading System (ETS) </w:t>
      </w:r>
      <w:r w:rsidR="000432B8" w:rsidRPr="00C81036">
        <w:rPr>
          <w:rFonts w:ascii="Times New Roman" w:hAnsi="Times New Roman" w:cs="Times New Roman"/>
          <w:sz w:val="24"/>
          <w:szCs w:val="24"/>
        </w:rPr>
        <w:t xml:space="preserve">which </w:t>
      </w:r>
      <w:r w:rsidR="004600CC" w:rsidRPr="00C81036">
        <w:rPr>
          <w:rFonts w:ascii="Times New Roman" w:hAnsi="Times New Roman" w:cs="Times New Roman"/>
          <w:sz w:val="24"/>
          <w:szCs w:val="24"/>
        </w:rPr>
        <w:t>set a cap-and-trade market for greenhouse gas emissions</w:t>
      </w:r>
      <w:r w:rsidR="00752EC6" w:rsidRPr="00C81036">
        <w:rPr>
          <w:rFonts w:ascii="Times New Roman" w:hAnsi="Times New Roman" w:cs="Times New Roman"/>
          <w:sz w:val="24"/>
          <w:szCs w:val="24"/>
        </w:rPr>
        <w:t xml:space="preserve"> </w:t>
      </w:r>
      <w:r w:rsidR="00752EC6" w:rsidRPr="00C81036">
        <w:rPr>
          <w:rFonts w:ascii="Times New Roman" w:hAnsi="Times New Roman" w:cs="Times New Roman"/>
          <w:sz w:val="24"/>
          <w:szCs w:val="24"/>
        </w:rPr>
        <w:fldChar w:fldCharType="begin"/>
      </w:r>
      <w:r w:rsidR="00752EC6" w:rsidRPr="00C81036">
        <w:rPr>
          <w:rFonts w:ascii="Times New Roman" w:hAnsi="Times New Roman" w:cs="Times New Roman"/>
          <w:sz w:val="24"/>
          <w:szCs w:val="24"/>
        </w:rPr>
        <w:instrText xml:space="preserve"> ADDIN ZOTERO_ITEM CSL_CITATION {"citationID":"cdmwSPMT","properties":{"formattedCitation":"(\\uc0\\u8220{}EU Emissions Trading System (EU ETS) - European Commission,\\uc0\\u8221{} n.d.)","plainCitation":"(“EU Emissions Trading System (EU ETS) - European Commission,” n.d.)","noteIndex":0},"citationItems":[{"id":7804,"uris":["http://zotero.org/users/9930273/items/26BZE3IZ"],"itemData":{"id":7804,"type":"webpage","abstract":"A ‘cap and trade’ system to reduce emissions via a carbon market.","language":"en","title":"EU Emissions Trading System (EU ETS) - European Commission","URL":"https://climate.ec.europa.eu/eu-action/eu-emissions-trading-system-eu-ets_en","accessed":{"date-parts":[["2024",2,28]]}}}],"schema":"https://github.com/citation-style-language/schema/raw/master/csl-citation.json"} </w:instrText>
      </w:r>
      <w:r w:rsidR="00752EC6" w:rsidRPr="00C81036">
        <w:rPr>
          <w:rFonts w:ascii="Times New Roman" w:hAnsi="Times New Roman" w:cs="Times New Roman"/>
          <w:sz w:val="24"/>
          <w:szCs w:val="24"/>
        </w:rPr>
        <w:fldChar w:fldCharType="separate"/>
      </w:r>
      <w:r w:rsidR="00752EC6" w:rsidRPr="00C81036">
        <w:rPr>
          <w:rFonts w:ascii="Times New Roman" w:hAnsi="Times New Roman" w:cs="Times New Roman"/>
          <w:kern w:val="0"/>
          <w:sz w:val="24"/>
          <w:szCs w:val="24"/>
        </w:rPr>
        <w:t>(“EU Emissions Trading System (EU ETS) - European Commission,” n.d.)</w:t>
      </w:r>
      <w:r w:rsidR="00752EC6" w:rsidRPr="00C81036">
        <w:rPr>
          <w:rFonts w:ascii="Times New Roman" w:hAnsi="Times New Roman" w:cs="Times New Roman"/>
          <w:sz w:val="24"/>
          <w:szCs w:val="24"/>
        </w:rPr>
        <w:fldChar w:fldCharType="end"/>
      </w:r>
      <w:r w:rsidR="004600CC" w:rsidRPr="00C81036">
        <w:rPr>
          <w:rFonts w:ascii="Times New Roman" w:hAnsi="Times New Roman" w:cs="Times New Roman"/>
          <w:sz w:val="24"/>
          <w:szCs w:val="24"/>
        </w:rPr>
        <w:t xml:space="preserve">. </w:t>
      </w:r>
      <w:r w:rsidR="00F57215" w:rsidRPr="00C81036">
        <w:rPr>
          <w:rFonts w:ascii="Times New Roman" w:hAnsi="Times New Roman" w:cs="Times New Roman"/>
          <w:sz w:val="24"/>
          <w:szCs w:val="24"/>
        </w:rPr>
        <w:t xml:space="preserve">This cap on emissions steadily </w:t>
      </w:r>
      <w:r w:rsidR="002A5971" w:rsidRPr="00C81036">
        <w:rPr>
          <w:rFonts w:ascii="Times New Roman" w:hAnsi="Times New Roman" w:cs="Times New Roman"/>
          <w:sz w:val="24"/>
          <w:szCs w:val="24"/>
        </w:rPr>
        <w:t>has been lowered</w:t>
      </w:r>
      <w:r w:rsidR="00F57215" w:rsidRPr="00C81036">
        <w:rPr>
          <w:rFonts w:ascii="Times New Roman" w:hAnsi="Times New Roman" w:cs="Times New Roman"/>
          <w:sz w:val="24"/>
          <w:szCs w:val="24"/>
        </w:rPr>
        <w:t xml:space="preserve"> over time</w:t>
      </w:r>
      <w:r w:rsidR="00083416" w:rsidRPr="00C81036">
        <w:rPr>
          <w:rFonts w:ascii="Times New Roman" w:hAnsi="Times New Roman" w:cs="Times New Roman"/>
          <w:sz w:val="24"/>
          <w:szCs w:val="24"/>
        </w:rPr>
        <w:t xml:space="preserve"> to reduce greenhouse gas emissions and in the hopes of shifting production to less carbon intensive methods. </w:t>
      </w:r>
      <w:r w:rsidR="002A5971" w:rsidRPr="00C81036">
        <w:rPr>
          <w:rFonts w:ascii="Times New Roman" w:hAnsi="Times New Roman" w:cs="Times New Roman"/>
          <w:sz w:val="24"/>
          <w:szCs w:val="24"/>
        </w:rPr>
        <w:t xml:space="preserve">Current EU policy has </w:t>
      </w:r>
      <w:r w:rsidR="00324B3C" w:rsidRPr="00C81036">
        <w:rPr>
          <w:rFonts w:ascii="Times New Roman" w:hAnsi="Times New Roman" w:cs="Times New Roman"/>
          <w:sz w:val="24"/>
          <w:szCs w:val="24"/>
        </w:rPr>
        <w:t xml:space="preserve">set aside free allocations (or allowance of emissions) for sectors of carbon intensive goods that are </w:t>
      </w:r>
      <w:r w:rsidR="00193DA2" w:rsidRPr="00C81036">
        <w:rPr>
          <w:rFonts w:ascii="Times New Roman" w:hAnsi="Times New Roman" w:cs="Times New Roman"/>
          <w:sz w:val="24"/>
          <w:szCs w:val="24"/>
        </w:rPr>
        <w:t xml:space="preserve">at high risk </w:t>
      </w:r>
      <w:r w:rsidR="00324B3C" w:rsidRPr="00C81036">
        <w:rPr>
          <w:rFonts w:ascii="Times New Roman" w:hAnsi="Times New Roman" w:cs="Times New Roman"/>
          <w:sz w:val="24"/>
          <w:szCs w:val="24"/>
        </w:rPr>
        <w:t xml:space="preserve">for carbon leakage. Carbon leakage refers to </w:t>
      </w:r>
      <w:r w:rsidR="006B3B79" w:rsidRPr="00C81036">
        <w:rPr>
          <w:rFonts w:ascii="Times New Roman" w:hAnsi="Times New Roman" w:cs="Times New Roman"/>
          <w:sz w:val="24"/>
          <w:szCs w:val="24"/>
        </w:rPr>
        <w:t>type of spillover effect caused whe</w:t>
      </w:r>
      <w:r w:rsidR="00DD20DC" w:rsidRPr="00C81036">
        <w:rPr>
          <w:rFonts w:ascii="Times New Roman" w:hAnsi="Times New Roman" w:cs="Times New Roman"/>
          <w:sz w:val="24"/>
          <w:szCs w:val="24"/>
        </w:rPr>
        <w:t xml:space="preserve">re the reduction of greenhouse gas emissions in a region or country </w:t>
      </w:r>
      <w:r w:rsidR="00BC0009" w:rsidRPr="00C81036">
        <w:rPr>
          <w:rFonts w:ascii="Times New Roman" w:hAnsi="Times New Roman" w:cs="Times New Roman"/>
          <w:sz w:val="24"/>
          <w:szCs w:val="24"/>
        </w:rPr>
        <w:t xml:space="preserve">ends of shifting greenhouse gas emissions to a different region or country that does not face the same stringent environmental policies. </w:t>
      </w:r>
      <w:r w:rsidR="00EE4411" w:rsidRPr="00C81036">
        <w:rPr>
          <w:rFonts w:ascii="Times New Roman" w:hAnsi="Times New Roman" w:cs="Times New Roman"/>
          <w:sz w:val="24"/>
          <w:szCs w:val="24"/>
        </w:rPr>
        <w:t>There has been criticism about these free allocations as this policy does not incentivize EU producers within these sectors to reduce carbon emissions</w:t>
      </w:r>
      <w:r w:rsidR="0041033E" w:rsidRPr="00C81036">
        <w:rPr>
          <w:rFonts w:ascii="Times New Roman" w:hAnsi="Times New Roman" w:cs="Times New Roman"/>
          <w:sz w:val="24"/>
          <w:szCs w:val="24"/>
        </w:rPr>
        <w:t xml:space="preserve"> and thus CBAM was established to replace such a policy. </w:t>
      </w:r>
      <w:r w:rsidR="00193DA2" w:rsidRPr="00C81036">
        <w:rPr>
          <w:rFonts w:ascii="Times New Roman" w:hAnsi="Times New Roman" w:cs="Times New Roman"/>
          <w:sz w:val="24"/>
          <w:szCs w:val="24"/>
        </w:rPr>
        <w:t>With the i</w:t>
      </w:r>
      <w:r w:rsidR="00417EF2" w:rsidRPr="00C81036">
        <w:rPr>
          <w:rFonts w:ascii="Times New Roman" w:hAnsi="Times New Roman" w:cs="Times New Roman"/>
          <w:sz w:val="24"/>
          <w:szCs w:val="24"/>
        </w:rPr>
        <w:t xml:space="preserve">mplementation of CBAM, previous sectors that were </w:t>
      </w:r>
      <w:r w:rsidR="007E2A9F" w:rsidRPr="00C81036">
        <w:rPr>
          <w:rFonts w:ascii="Times New Roman" w:hAnsi="Times New Roman" w:cs="Times New Roman"/>
          <w:sz w:val="24"/>
          <w:szCs w:val="24"/>
        </w:rPr>
        <w:t>given</w:t>
      </w:r>
      <w:r w:rsidR="00417EF2" w:rsidRPr="00C81036">
        <w:rPr>
          <w:rFonts w:ascii="Times New Roman" w:hAnsi="Times New Roman" w:cs="Times New Roman"/>
          <w:sz w:val="24"/>
          <w:szCs w:val="24"/>
        </w:rPr>
        <w:t xml:space="preserve"> free allowances are </w:t>
      </w:r>
      <w:r w:rsidR="007E2A9F" w:rsidRPr="00C81036">
        <w:rPr>
          <w:rFonts w:ascii="Times New Roman" w:hAnsi="Times New Roman" w:cs="Times New Roman"/>
          <w:sz w:val="24"/>
          <w:szCs w:val="24"/>
        </w:rPr>
        <w:t>no</w:t>
      </w:r>
      <w:r w:rsidR="00E12B56" w:rsidRPr="00C81036">
        <w:rPr>
          <w:rFonts w:ascii="Times New Roman" w:hAnsi="Times New Roman" w:cs="Times New Roman"/>
          <w:sz w:val="24"/>
          <w:szCs w:val="24"/>
        </w:rPr>
        <w:t>w</w:t>
      </w:r>
      <w:r w:rsidR="00182EF2" w:rsidRPr="00C81036">
        <w:rPr>
          <w:rFonts w:ascii="Times New Roman" w:hAnsi="Times New Roman" w:cs="Times New Roman"/>
          <w:sz w:val="24"/>
          <w:szCs w:val="24"/>
        </w:rPr>
        <w:t xml:space="preserve"> required</w:t>
      </w:r>
      <w:r w:rsidR="00417EF2" w:rsidRPr="00C81036">
        <w:rPr>
          <w:rFonts w:ascii="Times New Roman" w:hAnsi="Times New Roman" w:cs="Times New Roman"/>
          <w:sz w:val="24"/>
          <w:szCs w:val="24"/>
        </w:rPr>
        <w:t xml:space="preserve"> to </w:t>
      </w:r>
      <w:r w:rsidR="00D96E58" w:rsidRPr="00C81036">
        <w:rPr>
          <w:rFonts w:ascii="Times New Roman" w:hAnsi="Times New Roman" w:cs="Times New Roman"/>
          <w:sz w:val="24"/>
          <w:szCs w:val="24"/>
        </w:rPr>
        <w:t xml:space="preserve">participate in the ETS </w:t>
      </w:r>
      <w:r w:rsidR="007E2A9F" w:rsidRPr="00C81036">
        <w:rPr>
          <w:rFonts w:ascii="Times New Roman" w:hAnsi="Times New Roman" w:cs="Times New Roman"/>
          <w:sz w:val="24"/>
          <w:szCs w:val="24"/>
        </w:rPr>
        <w:t>where</w:t>
      </w:r>
      <w:r w:rsidR="004000CD" w:rsidRPr="00C81036">
        <w:rPr>
          <w:rFonts w:ascii="Times New Roman" w:hAnsi="Times New Roman" w:cs="Times New Roman"/>
          <w:sz w:val="24"/>
          <w:szCs w:val="24"/>
        </w:rPr>
        <w:t xml:space="preserve"> they must purchase allowances </w:t>
      </w:r>
      <w:r w:rsidR="007E2A9F" w:rsidRPr="00C81036">
        <w:rPr>
          <w:rFonts w:ascii="Times New Roman" w:hAnsi="Times New Roman" w:cs="Times New Roman"/>
          <w:sz w:val="24"/>
          <w:szCs w:val="24"/>
        </w:rPr>
        <w:t>to</w:t>
      </w:r>
      <w:r w:rsidR="004000CD" w:rsidRPr="00C81036">
        <w:rPr>
          <w:rFonts w:ascii="Times New Roman" w:hAnsi="Times New Roman" w:cs="Times New Roman"/>
          <w:sz w:val="24"/>
          <w:szCs w:val="24"/>
        </w:rPr>
        <w:t xml:space="preserve"> emit more than </w:t>
      </w:r>
      <w:r w:rsidR="00AD59D5" w:rsidRPr="00C81036">
        <w:rPr>
          <w:rFonts w:ascii="Times New Roman" w:hAnsi="Times New Roman" w:cs="Times New Roman"/>
          <w:sz w:val="24"/>
          <w:szCs w:val="24"/>
        </w:rPr>
        <w:t xml:space="preserve">their established allocation. </w:t>
      </w:r>
      <w:r w:rsidR="00E27F03" w:rsidRPr="00C81036">
        <w:rPr>
          <w:rFonts w:ascii="Times New Roman" w:hAnsi="Times New Roman" w:cs="Times New Roman"/>
          <w:sz w:val="24"/>
          <w:szCs w:val="24"/>
        </w:rPr>
        <w:t xml:space="preserve">Allowances have varied in price since the establishment of ETS with a range between </w:t>
      </w:r>
      <w:r w:rsidR="004F7F51" w:rsidRPr="00C81036">
        <w:rPr>
          <w:rFonts w:ascii="Times New Roman" w:hAnsi="Times New Roman" w:cs="Times New Roman"/>
          <w:sz w:val="24"/>
          <w:szCs w:val="24"/>
        </w:rPr>
        <w:t>€</w:t>
      </w:r>
      <w:r w:rsidR="00C646B2" w:rsidRPr="00C81036">
        <w:rPr>
          <w:rFonts w:ascii="Times New Roman" w:hAnsi="Times New Roman" w:cs="Times New Roman"/>
          <w:sz w:val="24"/>
          <w:szCs w:val="24"/>
        </w:rPr>
        <w:t>2</w:t>
      </w:r>
      <w:r w:rsidR="004F7F51" w:rsidRPr="00C81036">
        <w:rPr>
          <w:rFonts w:ascii="Times New Roman" w:hAnsi="Times New Roman" w:cs="Times New Roman"/>
          <w:sz w:val="24"/>
          <w:szCs w:val="24"/>
        </w:rPr>
        <w:t>0–100 per ton of CO</w:t>
      </w:r>
      <w:r w:rsidR="004F7F51" w:rsidRPr="00C81036">
        <w:rPr>
          <w:rFonts w:ascii="Times New Roman" w:hAnsi="Times New Roman" w:cs="Times New Roman"/>
          <w:sz w:val="24"/>
          <w:szCs w:val="24"/>
          <w:vertAlign w:val="subscript"/>
        </w:rPr>
        <w:t>2</w:t>
      </w:r>
      <w:r w:rsidR="00D16F90" w:rsidRPr="00C81036">
        <w:rPr>
          <w:rFonts w:ascii="Times New Roman" w:hAnsi="Times New Roman" w:cs="Times New Roman"/>
          <w:sz w:val="24"/>
          <w:szCs w:val="24"/>
          <w:vertAlign w:val="subscript"/>
        </w:rPr>
        <w:t xml:space="preserve"> </w:t>
      </w:r>
      <w:r w:rsidR="00D16F90" w:rsidRPr="00C81036">
        <w:rPr>
          <w:rFonts w:ascii="Times New Roman" w:hAnsi="Times New Roman" w:cs="Times New Roman"/>
          <w:sz w:val="24"/>
          <w:szCs w:val="24"/>
          <w:vertAlign w:val="subscript"/>
        </w:rPr>
        <w:fldChar w:fldCharType="begin"/>
      </w:r>
      <w:r w:rsidR="00D16F90" w:rsidRPr="00C81036">
        <w:rPr>
          <w:rFonts w:ascii="Times New Roman" w:hAnsi="Times New Roman" w:cs="Times New Roman"/>
          <w:sz w:val="24"/>
          <w:szCs w:val="24"/>
          <w:vertAlign w:val="subscript"/>
        </w:rPr>
        <w:instrText xml:space="preserve"> ADDIN ZOTERO_ITEM CSL_CITATION {"citationID":"zbNBpetn","properties":{"formattedCitation":"(\\uc0\\u8220{}EU Carbon Permits - Price - Chart - Historical Data - News,\\uc0\\u8221{} n.d.)","plainCitation":"(“EU Carbon Permits - Price - Chart - Historical Data - News,” n.d.)","noteIndex":0},"citationItems":[{"id":7806,"uris":["http://zotero.org/users/9930273/items/MKHZUQQI"],"itemData":{"id":7806,"type":"webpage","title":"EU Carbon Permits - Price - Chart - Historical Data - News","URL":"https://tradingeconomics.com/commodity/carbon","accessed":{"date-parts":[["2024",2,28]]}}}],"schema":"https://github.com/citation-style-language/schema/raw/master/csl-citation.json"} </w:instrText>
      </w:r>
      <w:r w:rsidR="00D16F90" w:rsidRPr="00C81036">
        <w:rPr>
          <w:rFonts w:ascii="Times New Roman" w:hAnsi="Times New Roman" w:cs="Times New Roman"/>
          <w:sz w:val="24"/>
          <w:szCs w:val="24"/>
          <w:vertAlign w:val="subscript"/>
        </w:rPr>
        <w:fldChar w:fldCharType="separate"/>
      </w:r>
      <w:r w:rsidR="00D16F90" w:rsidRPr="00C81036">
        <w:rPr>
          <w:rFonts w:ascii="Times New Roman" w:hAnsi="Times New Roman" w:cs="Times New Roman"/>
          <w:kern w:val="0"/>
          <w:sz w:val="24"/>
          <w:szCs w:val="24"/>
        </w:rPr>
        <w:t>(“EU Carbon Permits - Price - Chart - Historical Data - News,” n.d.)</w:t>
      </w:r>
      <w:r w:rsidR="00D16F90" w:rsidRPr="00C81036">
        <w:rPr>
          <w:rFonts w:ascii="Times New Roman" w:hAnsi="Times New Roman" w:cs="Times New Roman"/>
          <w:sz w:val="24"/>
          <w:szCs w:val="24"/>
          <w:vertAlign w:val="subscript"/>
        </w:rPr>
        <w:fldChar w:fldCharType="end"/>
      </w:r>
      <w:r w:rsidR="004F7F51" w:rsidRPr="00C81036">
        <w:rPr>
          <w:rFonts w:ascii="Times New Roman" w:hAnsi="Times New Roman" w:cs="Times New Roman"/>
          <w:sz w:val="24"/>
          <w:szCs w:val="24"/>
        </w:rPr>
        <w:t xml:space="preserve">. </w:t>
      </w:r>
      <w:r w:rsidR="00F52E23" w:rsidRPr="00C81036">
        <w:rPr>
          <w:rFonts w:ascii="Times New Roman" w:hAnsi="Times New Roman" w:cs="Times New Roman"/>
          <w:sz w:val="24"/>
          <w:szCs w:val="24"/>
        </w:rPr>
        <w:t xml:space="preserve">To mitigate the incentive to purchase </w:t>
      </w:r>
      <w:r w:rsidR="0035697E" w:rsidRPr="00C81036">
        <w:rPr>
          <w:rFonts w:ascii="Times New Roman" w:hAnsi="Times New Roman" w:cs="Times New Roman"/>
          <w:sz w:val="24"/>
          <w:szCs w:val="24"/>
        </w:rPr>
        <w:t xml:space="preserve">carbon-intensive goods in countries </w:t>
      </w:r>
      <w:r w:rsidR="0035697E" w:rsidRPr="00C81036">
        <w:rPr>
          <w:rFonts w:ascii="Times New Roman" w:hAnsi="Times New Roman" w:cs="Times New Roman"/>
          <w:sz w:val="24"/>
          <w:szCs w:val="24"/>
        </w:rPr>
        <w:lastRenderedPageBreak/>
        <w:t xml:space="preserve">that do not have these </w:t>
      </w:r>
      <w:r w:rsidR="007E354C" w:rsidRPr="00C81036">
        <w:rPr>
          <w:rFonts w:ascii="Times New Roman" w:hAnsi="Times New Roman" w:cs="Times New Roman"/>
          <w:sz w:val="24"/>
          <w:szCs w:val="24"/>
        </w:rPr>
        <w:t xml:space="preserve">carbon policies, CBAM sets </w:t>
      </w:r>
      <w:r w:rsidR="00743902" w:rsidRPr="00C81036">
        <w:rPr>
          <w:rFonts w:ascii="Times New Roman" w:hAnsi="Times New Roman" w:cs="Times New Roman"/>
          <w:sz w:val="24"/>
          <w:szCs w:val="24"/>
        </w:rPr>
        <w:t>an</w:t>
      </w:r>
      <w:r w:rsidR="007E354C" w:rsidRPr="00C81036">
        <w:rPr>
          <w:rFonts w:ascii="Times New Roman" w:hAnsi="Times New Roman" w:cs="Times New Roman"/>
          <w:sz w:val="24"/>
          <w:szCs w:val="24"/>
        </w:rPr>
        <w:t xml:space="preserve"> import tax on all carbon-intensive goods based on their</w:t>
      </w:r>
      <w:r w:rsidR="007B035B" w:rsidRPr="00C81036">
        <w:rPr>
          <w:rFonts w:ascii="Times New Roman" w:hAnsi="Times New Roman" w:cs="Times New Roman"/>
          <w:sz w:val="24"/>
          <w:szCs w:val="24"/>
        </w:rPr>
        <w:t xml:space="preserve"> volume of emissions that were generated during production </w:t>
      </w:r>
      <w:r w:rsidR="006F55D6" w:rsidRPr="00C81036">
        <w:rPr>
          <w:rFonts w:ascii="Times New Roman" w:hAnsi="Times New Roman" w:cs="Times New Roman"/>
          <w:sz w:val="24"/>
          <w:szCs w:val="24"/>
        </w:rPr>
        <w:t xml:space="preserve">through a CBAM certificate (based on </w:t>
      </w:r>
      <w:r w:rsidR="00BC64E3" w:rsidRPr="00C81036">
        <w:rPr>
          <w:rFonts w:ascii="Times New Roman" w:hAnsi="Times New Roman" w:cs="Times New Roman"/>
          <w:sz w:val="24"/>
          <w:szCs w:val="24"/>
        </w:rPr>
        <w:t xml:space="preserve">the carbon allowances price). </w:t>
      </w:r>
    </w:p>
    <w:p w14:paraId="37F1331B" w14:textId="78DCB4C8" w:rsidR="001D127A" w:rsidRPr="00C81036" w:rsidRDefault="009B3BEC" w:rsidP="009D31C5">
      <w:pPr>
        <w:rPr>
          <w:rFonts w:ascii="Times New Roman" w:hAnsi="Times New Roman" w:cs="Times New Roman"/>
          <w:sz w:val="24"/>
          <w:szCs w:val="24"/>
        </w:rPr>
      </w:pPr>
      <w:r w:rsidRPr="00C81036">
        <w:rPr>
          <w:rFonts w:ascii="Times New Roman" w:hAnsi="Times New Roman" w:cs="Times New Roman"/>
          <w:sz w:val="24"/>
          <w:szCs w:val="24"/>
        </w:rPr>
        <w:t>In December of 2022, the EU voted to a CBAM on selecting carbon-intensive products including iron and steel, aluminum, cement, fertilizers, and electricity</w:t>
      </w:r>
      <w:r w:rsidR="00226D11" w:rsidRPr="00C81036">
        <w:rPr>
          <w:rFonts w:ascii="Times New Roman" w:hAnsi="Times New Roman" w:cs="Times New Roman"/>
          <w:sz w:val="24"/>
          <w:szCs w:val="24"/>
        </w:rPr>
        <w:t xml:space="preserve"> </w:t>
      </w:r>
      <w:r w:rsidR="00226D11" w:rsidRPr="00C81036">
        <w:rPr>
          <w:rFonts w:ascii="Times New Roman" w:hAnsi="Times New Roman" w:cs="Times New Roman"/>
          <w:sz w:val="24"/>
          <w:szCs w:val="24"/>
        </w:rPr>
        <w:fldChar w:fldCharType="begin"/>
      </w:r>
      <w:r w:rsidR="005C7462" w:rsidRPr="00C81036">
        <w:rPr>
          <w:rFonts w:ascii="Times New Roman" w:hAnsi="Times New Roman" w:cs="Times New Roman"/>
          <w:sz w:val="24"/>
          <w:szCs w:val="24"/>
        </w:rPr>
        <w:instrText xml:space="preserve"> ADDIN ZOTERO_ITEM CSL_CITATION {"citationID":"h0bNd9s0","properties":{"formattedCitation":"(\\uc0\\u8220{}Carbon Border Adjustment Mechanism - European Commission,\\uc0\\u8221{} n.d.)","plainCitation":"(“Carbon Border Adjustment Mechanism - European Commission,” n.d.)","noteIndex":0},"citationItems":[{"id":7786,"uris":["http://zotero.org/users/9930273/items/HGMPT6YL"],"itemData":{"id":7786,"type":"webpage","abstract":"The CBAM will initially apply to imports of certain goods and selected precursors whose production is carbon intensive and at most significant risk of carbon leakage: cement, iron and steel, aluminium, fertilisers, electricity and hydrogen.","language":"en","title":"Carbon Border Adjustment Mechanism - European Commission","URL":"https://taxation-customs.ec.europa.eu/carbon-border-adjustment-mechanism_en","accessed":{"date-parts":[["2024",2,28]]}}}],"schema":"https://github.com/citation-style-language/schema/raw/master/csl-citation.json"} </w:instrText>
      </w:r>
      <w:r w:rsidR="00226D11" w:rsidRPr="00C81036">
        <w:rPr>
          <w:rFonts w:ascii="Times New Roman" w:hAnsi="Times New Roman" w:cs="Times New Roman"/>
          <w:sz w:val="24"/>
          <w:szCs w:val="24"/>
        </w:rPr>
        <w:fldChar w:fldCharType="separate"/>
      </w:r>
      <w:r w:rsidR="00226D11" w:rsidRPr="00C81036">
        <w:rPr>
          <w:rFonts w:ascii="Times New Roman" w:hAnsi="Times New Roman" w:cs="Times New Roman"/>
          <w:kern w:val="0"/>
          <w:sz w:val="24"/>
          <w:szCs w:val="24"/>
        </w:rPr>
        <w:t>(“Carbon Border Adjustment Mechanism - European Commission,” n.d.)</w:t>
      </w:r>
      <w:r w:rsidR="00226D11" w:rsidRPr="00C81036">
        <w:rPr>
          <w:rFonts w:ascii="Times New Roman" w:hAnsi="Times New Roman" w:cs="Times New Roman"/>
          <w:sz w:val="24"/>
          <w:szCs w:val="24"/>
        </w:rPr>
        <w:fldChar w:fldCharType="end"/>
      </w:r>
      <w:r w:rsidRPr="00C81036">
        <w:rPr>
          <w:rFonts w:ascii="Times New Roman" w:hAnsi="Times New Roman" w:cs="Times New Roman"/>
          <w:sz w:val="24"/>
          <w:szCs w:val="24"/>
        </w:rPr>
        <w:t>. These products were selected because of their high risk of carbon leakage, their high GHG emission levels, and the relative feasibility of enacting such a tax. Currently, the European Union (EU) is implementing a CBAM reporting-only measure as of October 1, 2023, and is set to continue with a transition period from October 2023 to December 2025 when Scope 1 and Scope 2 of the CBAM measure will be implemented. Scope 1 of the CBAM measures specifically taxes GHG emissions emitted during production</w:t>
      </w:r>
      <w:r w:rsidR="00F85C15" w:rsidRPr="00C81036">
        <w:rPr>
          <w:rFonts w:ascii="Times New Roman" w:hAnsi="Times New Roman" w:cs="Times New Roman"/>
          <w:sz w:val="24"/>
          <w:szCs w:val="24"/>
        </w:rPr>
        <w:t xml:space="preserve"> </w:t>
      </w:r>
      <w:r w:rsidR="0065588F" w:rsidRPr="00C81036">
        <w:rPr>
          <w:rFonts w:ascii="Times New Roman" w:hAnsi="Times New Roman" w:cs="Times New Roman"/>
          <w:sz w:val="24"/>
          <w:szCs w:val="24"/>
        </w:rPr>
        <w:fldChar w:fldCharType="begin"/>
      </w:r>
      <w:r w:rsidR="005C7462" w:rsidRPr="00C81036">
        <w:rPr>
          <w:rFonts w:ascii="Times New Roman" w:hAnsi="Times New Roman" w:cs="Times New Roman"/>
          <w:sz w:val="24"/>
          <w:szCs w:val="24"/>
        </w:rPr>
        <w:instrText xml:space="preserve"> ADDIN ZOTERO_ITEM CSL_CITATION {"citationID":"kMuvRN9v","properties":{"formattedCitation":"(\\uc0\\u8220{}Carbon Border Adjustment Mechanism - European Commission,\\uc0\\u8221{} n.d.)","plainCitation":"(“Carbon Border Adjustment Mechanism - European Commission,” n.d.)","noteIndex":0},"citationItems":[{"id":7786,"uris":["http://zotero.org/users/9930273/items/HGMPT6YL"],"itemData":{"id":7786,"type":"webpage","abstract":"The CBAM will initially apply to imports of certain goods and selected precursors whose production is carbon intensive and at most significant risk of carbon leakage: cement, iron and steel, aluminium, fertilisers, electricity and hydrogen.","language":"en","title":"Carbon Border Adjustment Mechanism - European Commission","URL":"https://taxation-customs.ec.europa.eu/carbon-border-adjustment-mechanism_en","accessed":{"date-parts":[["2024",2,28]]}}}],"schema":"https://github.com/citation-style-language/schema/raw/master/csl-citation.json"} </w:instrText>
      </w:r>
      <w:r w:rsidR="0065588F" w:rsidRPr="00C81036">
        <w:rPr>
          <w:rFonts w:ascii="Times New Roman" w:hAnsi="Times New Roman" w:cs="Times New Roman"/>
          <w:sz w:val="24"/>
          <w:szCs w:val="24"/>
        </w:rPr>
        <w:fldChar w:fldCharType="separate"/>
      </w:r>
      <w:r w:rsidR="0065588F" w:rsidRPr="00C81036">
        <w:rPr>
          <w:rFonts w:ascii="Times New Roman" w:hAnsi="Times New Roman" w:cs="Times New Roman"/>
          <w:kern w:val="0"/>
          <w:sz w:val="24"/>
          <w:szCs w:val="24"/>
        </w:rPr>
        <w:t>(“Carbon Border Adjustment Mechanism - European Commission,” n.d.)</w:t>
      </w:r>
      <w:r w:rsidR="0065588F" w:rsidRPr="00C81036">
        <w:rPr>
          <w:rFonts w:ascii="Times New Roman" w:hAnsi="Times New Roman" w:cs="Times New Roman"/>
          <w:sz w:val="24"/>
          <w:szCs w:val="24"/>
        </w:rPr>
        <w:fldChar w:fldCharType="end"/>
      </w:r>
      <w:r w:rsidRPr="00C81036">
        <w:rPr>
          <w:rFonts w:ascii="Times New Roman" w:hAnsi="Times New Roman" w:cs="Times New Roman"/>
          <w:sz w:val="24"/>
          <w:szCs w:val="24"/>
        </w:rPr>
        <w:t>. Scope 2 of the CBAM measures and accounts for the indirect GHG emitted during production through the sectors’ electricity use.</w:t>
      </w:r>
      <w:r w:rsidR="00D072F6" w:rsidRPr="00C81036">
        <w:rPr>
          <w:rFonts w:ascii="Times New Roman" w:hAnsi="Times New Roman" w:cs="Times New Roman"/>
          <w:sz w:val="24"/>
          <w:szCs w:val="24"/>
        </w:rPr>
        <w:t xml:space="preserve"> Starting from January 2026, importers of CBAM goods will be required to purchase the CBAM certificates, offsetting the emissions embedded into the imported commodities.</w:t>
      </w:r>
      <w:r w:rsidRPr="00C81036">
        <w:rPr>
          <w:rFonts w:ascii="Times New Roman" w:hAnsi="Times New Roman" w:cs="Times New Roman"/>
          <w:sz w:val="24"/>
          <w:szCs w:val="24"/>
        </w:rPr>
        <w:t xml:space="preserve"> </w:t>
      </w:r>
      <w:r w:rsidR="00F174C5" w:rsidRPr="00C81036">
        <w:rPr>
          <w:rFonts w:ascii="Times New Roman" w:hAnsi="Times New Roman" w:cs="Times New Roman"/>
          <w:sz w:val="24"/>
          <w:szCs w:val="24"/>
        </w:rPr>
        <w:t xml:space="preserve">It is important to note that CBAM </w:t>
      </w:r>
      <w:r w:rsidR="00456955" w:rsidRPr="00C81036">
        <w:rPr>
          <w:rFonts w:ascii="Times New Roman" w:hAnsi="Times New Roman" w:cs="Times New Roman"/>
          <w:sz w:val="24"/>
          <w:szCs w:val="24"/>
        </w:rPr>
        <w:t xml:space="preserve">may </w:t>
      </w:r>
      <w:r w:rsidR="00A366CB" w:rsidRPr="00C81036">
        <w:rPr>
          <w:rFonts w:ascii="Times New Roman" w:hAnsi="Times New Roman" w:cs="Times New Roman"/>
          <w:sz w:val="24"/>
          <w:szCs w:val="24"/>
        </w:rPr>
        <w:t>be in</w:t>
      </w:r>
      <w:r w:rsidR="00456955" w:rsidRPr="00C81036">
        <w:rPr>
          <w:rFonts w:ascii="Times New Roman" w:hAnsi="Times New Roman" w:cs="Times New Roman"/>
          <w:sz w:val="24"/>
          <w:szCs w:val="24"/>
        </w:rPr>
        <w:t xml:space="preserve"> violation of </w:t>
      </w:r>
      <w:r w:rsidR="00ED274E" w:rsidRPr="00C81036">
        <w:rPr>
          <w:rFonts w:ascii="Times New Roman" w:hAnsi="Times New Roman" w:cs="Times New Roman"/>
          <w:sz w:val="24"/>
          <w:szCs w:val="24"/>
        </w:rPr>
        <w:t xml:space="preserve">internation trade </w:t>
      </w:r>
      <w:r w:rsidR="00EB7869" w:rsidRPr="00C81036">
        <w:rPr>
          <w:rFonts w:ascii="Times New Roman" w:hAnsi="Times New Roman" w:cs="Times New Roman"/>
          <w:sz w:val="24"/>
          <w:szCs w:val="24"/>
        </w:rPr>
        <w:t>commitments</w:t>
      </w:r>
      <w:r w:rsidR="00ED274E" w:rsidRPr="00C81036">
        <w:rPr>
          <w:rFonts w:ascii="Times New Roman" w:hAnsi="Times New Roman" w:cs="Times New Roman"/>
          <w:sz w:val="24"/>
          <w:szCs w:val="24"/>
        </w:rPr>
        <w:t xml:space="preserve"> governed by the </w:t>
      </w:r>
      <w:r w:rsidR="00456955" w:rsidRPr="00C81036">
        <w:rPr>
          <w:rFonts w:ascii="Times New Roman" w:hAnsi="Times New Roman" w:cs="Times New Roman"/>
          <w:sz w:val="24"/>
          <w:szCs w:val="24"/>
        </w:rPr>
        <w:t xml:space="preserve">World Trade Organization </w:t>
      </w:r>
      <w:r w:rsidR="00ED274E" w:rsidRPr="00C81036">
        <w:rPr>
          <w:rFonts w:ascii="Times New Roman" w:hAnsi="Times New Roman" w:cs="Times New Roman"/>
          <w:sz w:val="24"/>
          <w:szCs w:val="24"/>
        </w:rPr>
        <w:t>(WTO)</w:t>
      </w:r>
      <w:r w:rsidR="0010768D" w:rsidRPr="00C81036">
        <w:rPr>
          <w:rFonts w:ascii="Times New Roman" w:hAnsi="Times New Roman" w:cs="Times New Roman"/>
          <w:sz w:val="24"/>
          <w:szCs w:val="24"/>
        </w:rPr>
        <w:t xml:space="preserve"> </w:t>
      </w:r>
      <w:r w:rsidR="005C7462" w:rsidRPr="00C81036">
        <w:rPr>
          <w:rFonts w:ascii="Times New Roman" w:hAnsi="Times New Roman" w:cs="Times New Roman"/>
          <w:sz w:val="24"/>
          <w:szCs w:val="24"/>
        </w:rPr>
        <w:fldChar w:fldCharType="begin"/>
      </w:r>
      <w:r w:rsidR="005C7462" w:rsidRPr="00C81036">
        <w:rPr>
          <w:rFonts w:ascii="Times New Roman" w:hAnsi="Times New Roman" w:cs="Times New Roman"/>
          <w:sz w:val="24"/>
          <w:szCs w:val="24"/>
        </w:rPr>
        <w:instrText xml:space="preserve"> ADDIN ZOTERO_ITEM CSL_CITATION {"citationID":"w2uMbDCV","properties":{"formattedCitation":"(\\uc0\\u8220{}Potential Conflicts between the European CBAM and the WTO Rules | Global Law Firm | Norton Rose Fulbright,\\uc0\\u8221{} n.d.)","plainCitation":"(“Potential Conflicts between the European CBAM and the WTO Rules | Global Law Firm | Norton Rose Fulbright,” n.d.)","noteIndex":0},"citationItems":[{"id":7694,"uris":["http://zotero.org/users/9930273/items/PXSI86ZV"],"itemData":{"id":7694,"type":"webpage","title":"Potential conflicts between the European CBAM and the WTO rules | Global law firm | Norton Rose Fulbright","URL":"https://www.nortonrosefulbright.com/en/knowledge/publications/9c5d9ec6/potential-conflicts-between-the-european-cbam-and-the-wto-rules","accessed":{"date-parts":[["2024",2,10]]}}}],"schema":"https://github.com/citation-style-language/schema/raw/master/csl-citation.json"} </w:instrText>
      </w:r>
      <w:r w:rsidR="005C7462" w:rsidRPr="00C81036">
        <w:rPr>
          <w:rFonts w:ascii="Times New Roman" w:hAnsi="Times New Roman" w:cs="Times New Roman"/>
          <w:sz w:val="24"/>
          <w:szCs w:val="24"/>
        </w:rPr>
        <w:fldChar w:fldCharType="separate"/>
      </w:r>
      <w:r w:rsidR="005C7462" w:rsidRPr="00C81036">
        <w:rPr>
          <w:rFonts w:ascii="Times New Roman" w:hAnsi="Times New Roman" w:cs="Times New Roman"/>
          <w:kern w:val="0"/>
          <w:sz w:val="24"/>
          <w:szCs w:val="24"/>
        </w:rPr>
        <w:t xml:space="preserve">(Norton Rose Fulbright, </w:t>
      </w:r>
      <w:r w:rsidR="001A0D18" w:rsidRPr="00C81036">
        <w:rPr>
          <w:rFonts w:ascii="Times New Roman" w:hAnsi="Times New Roman" w:cs="Times New Roman"/>
          <w:kern w:val="0"/>
          <w:sz w:val="24"/>
          <w:szCs w:val="24"/>
        </w:rPr>
        <w:t>2023</w:t>
      </w:r>
      <w:r w:rsidR="005C7462" w:rsidRPr="00C81036">
        <w:rPr>
          <w:rFonts w:ascii="Times New Roman" w:hAnsi="Times New Roman" w:cs="Times New Roman"/>
          <w:kern w:val="0"/>
          <w:sz w:val="24"/>
          <w:szCs w:val="24"/>
        </w:rPr>
        <w:t>)</w:t>
      </w:r>
      <w:r w:rsidR="005C7462" w:rsidRPr="00C81036">
        <w:rPr>
          <w:rFonts w:ascii="Times New Roman" w:hAnsi="Times New Roman" w:cs="Times New Roman"/>
          <w:sz w:val="24"/>
          <w:szCs w:val="24"/>
        </w:rPr>
        <w:fldChar w:fldCharType="end"/>
      </w:r>
      <w:r w:rsidR="00ED274E" w:rsidRPr="00C81036">
        <w:rPr>
          <w:rFonts w:ascii="Times New Roman" w:hAnsi="Times New Roman" w:cs="Times New Roman"/>
          <w:sz w:val="24"/>
          <w:szCs w:val="24"/>
        </w:rPr>
        <w:t xml:space="preserve">. </w:t>
      </w:r>
      <w:r w:rsidR="00D922B1" w:rsidRPr="00C81036">
        <w:rPr>
          <w:rFonts w:ascii="Times New Roman" w:hAnsi="Times New Roman" w:cs="Times New Roman"/>
          <w:sz w:val="24"/>
          <w:szCs w:val="24"/>
        </w:rPr>
        <w:t xml:space="preserve">The WTO </w:t>
      </w:r>
      <w:r w:rsidR="00C634BE" w:rsidRPr="00C81036">
        <w:rPr>
          <w:rFonts w:ascii="Times New Roman" w:hAnsi="Times New Roman" w:cs="Times New Roman"/>
          <w:sz w:val="24"/>
          <w:szCs w:val="24"/>
        </w:rPr>
        <w:t xml:space="preserve">has an established policy of </w:t>
      </w:r>
      <w:r w:rsidR="001F6AEB" w:rsidRPr="00C81036">
        <w:rPr>
          <w:rFonts w:ascii="Times New Roman" w:hAnsi="Times New Roman" w:cs="Times New Roman"/>
          <w:sz w:val="24"/>
          <w:szCs w:val="24"/>
        </w:rPr>
        <w:t xml:space="preserve">non-discrimination </w:t>
      </w:r>
      <w:r w:rsidR="004E1F90" w:rsidRPr="00C81036">
        <w:rPr>
          <w:rFonts w:ascii="Times New Roman" w:hAnsi="Times New Roman" w:cs="Times New Roman"/>
          <w:sz w:val="24"/>
          <w:szCs w:val="24"/>
        </w:rPr>
        <w:t xml:space="preserve">amongst WTO members as a pillar of free trade. </w:t>
      </w:r>
      <w:r w:rsidR="003F3079" w:rsidRPr="00C81036">
        <w:rPr>
          <w:rFonts w:ascii="Times New Roman" w:hAnsi="Times New Roman" w:cs="Times New Roman"/>
          <w:sz w:val="24"/>
          <w:szCs w:val="24"/>
        </w:rPr>
        <w:t xml:space="preserve">CBAM may violate the WTO’s “most favored nation rule” </w:t>
      </w:r>
      <w:r w:rsidR="005B5A59" w:rsidRPr="00C81036">
        <w:rPr>
          <w:rFonts w:ascii="Times New Roman" w:hAnsi="Times New Roman" w:cs="Times New Roman"/>
          <w:sz w:val="24"/>
          <w:szCs w:val="24"/>
        </w:rPr>
        <w:t xml:space="preserve">because it will treat WTO member nations differently based on the individual countries carbon emissions and production practices. </w:t>
      </w:r>
      <w:r w:rsidR="008A05FF" w:rsidRPr="00C81036">
        <w:rPr>
          <w:rFonts w:ascii="Times New Roman" w:hAnsi="Times New Roman" w:cs="Times New Roman"/>
          <w:sz w:val="24"/>
          <w:szCs w:val="24"/>
        </w:rPr>
        <w:t xml:space="preserve">Whether or not this policy is seen as discriminatory and </w:t>
      </w:r>
      <w:r w:rsidR="009B788E" w:rsidRPr="00C81036">
        <w:rPr>
          <w:rFonts w:ascii="Times New Roman" w:hAnsi="Times New Roman" w:cs="Times New Roman"/>
          <w:sz w:val="24"/>
          <w:szCs w:val="24"/>
        </w:rPr>
        <w:t xml:space="preserve">therefore in violation of the WTO policies has not been established yet, but worth considering as a part of this analysis. </w:t>
      </w:r>
    </w:p>
    <w:p w14:paraId="7A6B7969" w14:textId="40906FC8" w:rsidR="00BF0A8C" w:rsidRDefault="00F95DD8" w:rsidP="009D31C5">
      <w:pPr>
        <w:rPr>
          <w:rFonts w:ascii="Times New Roman" w:hAnsi="Times New Roman" w:cs="Times New Roman"/>
          <w:sz w:val="24"/>
          <w:szCs w:val="24"/>
        </w:rPr>
      </w:pPr>
      <w:r w:rsidRPr="00C81036">
        <w:rPr>
          <w:rFonts w:ascii="Times New Roman" w:hAnsi="Times New Roman" w:cs="Times New Roman"/>
          <w:sz w:val="24"/>
          <w:szCs w:val="24"/>
        </w:rPr>
        <w:t>F</w:t>
      </w:r>
      <w:r w:rsidR="009D31C5" w:rsidRPr="00C81036">
        <w:rPr>
          <w:rFonts w:ascii="Times New Roman" w:hAnsi="Times New Roman" w:cs="Times New Roman"/>
          <w:sz w:val="24"/>
          <w:szCs w:val="24"/>
        </w:rPr>
        <w:t xml:space="preserve">ertilizers – a backbone of the agricultural sector –are particularly carbon intensive, with natural gas comprising roughly half of the total production costs. Production and trade in these fertilizers have proven particularly sensitive to the price of natural gas and, therefore, are prone to a high risk of carbon leakage. </w:t>
      </w:r>
      <w:r w:rsidRPr="00C81036">
        <w:rPr>
          <w:rFonts w:ascii="Times New Roman" w:hAnsi="Times New Roman" w:cs="Times New Roman"/>
          <w:sz w:val="24"/>
          <w:szCs w:val="24"/>
        </w:rPr>
        <w:t>There are various types of fertilizer</w:t>
      </w:r>
      <w:r w:rsidR="00270D4B" w:rsidRPr="00C81036">
        <w:rPr>
          <w:rFonts w:ascii="Times New Roman" w:hAnsi="Times New Roman" w:cs="Times New Roman"/>
          <w:sz w:val="24"/>
          <w:szCs w:val="24"/>
        </w:rPr>
        <w:t xml:space="preserve"> nutrients with varying degrees of carbon intensiveness and therefore, it is important to disaggregate </w:t>
      </w:r>
      <w:r w:rsidR="00FA4BB1" w:rsidRPr="00C81036">
        <w:rPr>
          <w:rFonts w:ascii="Times New Roman" w:hAnsi="Times New Roman" w:cs="Times New Roman"/>
          <w:sz w:val="24"/>
          <w:szCs w:val="24"/>
        </w:rPr>
        <w:t xml:space="preserve">the different types of nutrients with the fertilizer sector </w:t>
      </w:r>
      <w:r w:rsidR="00753ED1" w:rsidRPr="00C81036">
        <w:rPr>
          <w:rFonts w:ascii="Times New Roman" w:hAnsi="Times New Roman" w:cs="Times New Roman"/>
          <w:sz w:val="24"/>
          <w:szCs w:val="24"/>
        </w:rPr>
        <w:t xml:space="preserve">Nitrogen (N), Phosphorous (P2O5), and Potassium (K2O). </w:t>
      </w:r>
      <w:r w:rsidR="00E37D57" w:rsidRPr="00C81036">
        <w:rPr>
          <w:rFonts w:ascii="Times New Roman" w:hAnsi="Times New Roman" w:cs="Times New Roman"/>
          <w:sz w:val="24"/>
          <w:szCs w:val="24"/>
        </w:rPr>
        <w:t xml:space="preserve">The production of nitrogen fertilizer is based on </w:t>
      </w:r>
      <w:r w:rsidR="00441A45" w:rsidRPr="00C81036">
        <w:rPr>
          <w:rFonts w:ascii="Times New Roman" w:hAnsi="Times New Roman" w:cs="Times New Roman"/>
          <w:sz w:val="24"/>
          <w:szCs w:val="24"/>
        </w:rPr>
        <w:t xml:space="preserve">the Haber-Bosch process in which atmospheric nitrogen is fixed to hydrogen </w:t>
      </w:r>
      <w:r w:rsidR="003143FA" w:rsidRPr="00C81036">
        <w:rPr>
          <w:rFonts w:ascii="Times New Roman" w:hAnsi="Times New Roman" w:cs="Times New Roman"/>
          <w:sz w:val="24"/>
          <w:szCs w:val="24"/>
        </w:rPr>
        <w:t xml:space="preserve">resulting in liquid ammonia. </w:t>
      </w:r>
      <w:r w:rsidR="00CF077C" w:rsidRPr="00C81036">
        <w:rPr>
          <w:rFonts w:ascii="Times New Roman" w:hAnsi="Times New Roman" w:cs="Times New Roman"/>
          <w:sz w:val="24"/>
          <w:szCs w:val="24"/>
        </w:rPr>
        <w:t xml:space="preserve">Natural gas is used in this process </w:t>
      </w:r>
      <w:r w:rsidR="003736EC" w:rsidRPr="00C81036">
        <w:rPr>
          <w:rFonts w:ascii="Times New Roman" w:hAnsi="Times New Roman" w:cs="Times New Roman"/>
          <w:sz w:val="24"/>
          <w:szCs w:val="24"/>
        </w:rPr>
        <w:t xml:space="preserve">both in sourcing hydrogen and needed to heat the </w:t>
      </w:r>
      <w:r w:rsidR="00B01F82" w:rsidRPr="00C81036">
        <w:rPr>
          <w:rFonts w:ascii="Times New Roman" w:hAnsi="Times New Roman" w:cs="Times New Roman"/>
          <w:sz w:val="24"/>
          <w:szCs w:val="24"/>
        </w:rPr>
        <w:t xml:space="preserve">nitrogen fixation process itself. It is estimated that </w:t>
      </w:r>
      <w:r w:rsidR="00A22398" w:rsidRPr="00C81036">
        <w:rPr>
          <w:rFonts w:ascii="Times New Roman" w:hAnsi="Times New Roman" w:cs="Times New Roman"/>
          <w:sz w:val="24"/>
          <w:szCs w:val="24"/>
        </w:rPr>
        <w:t>this process uses about 3-5% of global annual natural gas consumption</w:t>
      </w:r>
      <w:r w:rsidR="00B269AB" w:rsidRPr="00C81036">
        <w:rPr>
          <w:rFonts w:ascii="Times New Roman" w:hAnsi="Times New Roman" w:cs="Times New Roman"/>
          <w:sz w:val="24"/>
          <w:szCs w:val="24"/>
        </w:rPr>
        <w:t xml:space="preserve"> </w:t>
      </w:r>
      <w:r w:rsidR="00B269AB" w:rsidRPr="00C81036">
        <w:rPr>
          <w:rFonts w:ascii="Times New Roman" w:hAnsi="Times New Roman" w:cs="Times New Roman"/>
          <w:sz w:val="24"/>
          <w:szCs w:val="24"/>
        </w:rPr>
        <w:fldChar w:fldCharType="begin"/>
      </w:r>
      <w:r w:rsidR="00B269AB" w:rsidRPr="00C81036">
        <w:rPr>
          <w:rFonts w:ascii="Times New Roman" w:hAnsi="Times New Roman" w:cs="Times New Roman"/>
          <w:sz w:val="24"/>
          <w:szCs w:val="24"/>
        </w:rPr>
        <w:instrText xml:space="preserve"> ADDIN ZOTERO_ITEM CSL_CITATION {"citationID":"G3peccwp","properties":{"formattedCitation":"(\\uc0\\u8220{}Green Ammonia Synthesis\\uc0\\u8221{} 2023)","plainCitation":"(“Green Ammonia Synthesis” 2023)","noteIndex":0},"citationItems":[{"id":7812,"uris":["http://zotero.org/users/9930273/items/LFUMNRQJ"],"itemData":{"id":7812,"type":"article-journal","abstract":"The Haber–Bosch process revolutionized ammonia production on a global scale. In this Focus issue, we examine the new era of green ammonia synthesis.","container-title":"Nature Synthesis","DOI":"10.1038/s44160-023-00362-y","ISSN":"2731-0582","issue":"7","journalAbbreviation":"Nat. Synth","language":"en","license":"2023 Springer Nature Limited","note":"number: 7\npublisher: Nature Publishing Group","page":"581-582","source":"www.nature.com","title":"Green ammonia synthesis","volume":"2","issued":{"date-parts":[["2023",7]]}}}],"schema":"https://github.com/citation-style-language/schema/raw/master/csl-citation.json"} </w:instrText>
      </w:r>
      <w:r w:rsidR="00B269AB" w:rsidRPr="00C81036">
        <w:rPr>
          <w:rFonts w:ascii="Times New Roman" w:hAnsi="Times New Roman" w:cs="Times New Roman"/>
          <w:sz w:val="24"/>
          <w:szCs w:val="24"/>
        </w:rPr>
        <w:fldChar w:fldCharType="separate"/>
      </w:r>
      <w:r w:rsidR="00B269AB" w:rsidRPr="00C81036">
        <w:rPr>
          <w:rFonts w:ascii="Times New Roman" w:hAnsi="Times New Roman" w:cs="Times New Roman"/>
          <w:kern w:val="0"/>
          <w:sz w:val="24"/>
          <w:szCs w:val="24"/>
        </w:rPr>
        <w:t>(“Green Ammonia Synthesis” 2023)</w:t>
      </w:r>
      <w:r w:rsidR="00B269AB" w:rsidRPr="00C81036">
        <w:rPr>
          <w:rFonts w:ascii="Times New Roman" w:hAnsi="Times New Roman" w:cs="Times New Roman"/>
          <w:sz w:val="24"/>
          <w:szCs w:val="24"/>
        </w:rPr>
        <w:fldChar w:fldCharType="end"/>
      </w:r>
      <w:r w:rsidR="00F01078" w:rsidRPr="00C81036">
        <w:rPr>
          <w:rFonts w:ascii="Times New Roman" w:hAnsi="Times New Roman" w:cs="Times New Roman"/>
          <w:sz w:val="24"/>
          <w:szCs w:val="24"/>
        </w:rPr>
        <w:t xml:space="preserve">. This sets nitrogen fertilizer as a carbon-intensive product </w:t>
      </w:r>
      <w:r w:rsidR="00A54F4D" w:rsidRPr="00C81036">
        <w:rPr>
          <w:rFonts w:ascii="Times New Roman" w:hAnsi="Times New Roman" w:cs="Times New Roman"/>
          <w:sz w:val="24"/>
          <w:szCs w:val="24"/>
        </w:rPr>
        <w:t>whose</w:t>
      </w:r>
      <w:r w:rsidR="004677A1" w:rsidRPr="00C81036">
        <w:rPr>
          <w:rFonts w:ascii="Times New Roman" w:hAnsi="Times New Roman" w:cs="Times New Roman"/>
          <w:sz w:val="24"/>
          <w:szCs w:val="24"/>
        </w:rPr>
        <w:t xml:space="preserve"> market will be </w:t>
      </w:r>
      <w:r w:rsidR="00A54F4D" w:rsidRPr="00C81036">
        <w:rPr>
          <w:rFonts w:ascii="Times New Roman" w:hAnsi="Times New Roman" w:cs="Times New Roman"/>
          <w:sz w:val="24"/>
          <w:szCs w:val="24"/>
        </w:rPr>
        <w:t>affected</w:t>
      </w:r>
      <w:r w:rsidR="00997F4B" w:rsidRPr="00C81036">
        <w:rPr>
          <w:rFonts w:ascii="Times New Roman" w:hAnsi="Times New Roman" w:cs="Times New Roman"/>
          <w:sz w:val="24"/>
          <w:szCs w:val="24"/>
        </w:rPr>
        <w:t xml:space="preserve"> by CBAM. </w:t>
      </w:r>
      <w:r w:rsidR="009B788E" w:rsidRPr="00C81036">
        <w:rPr>
          <w:rFonts w:ascii="Times New Roman" w:hAnsi="Times New Roman" w:cs="Times New Roman"/>
          <w:sz w:val="24"/>
          <w:szCs w:val="24"/>
        </w:rPr>
        <w:t>Whereas</w:t>
      </w:r>
      <w:r w:rsidR="00902730" w:rsidRPr="00C81036">
        <w:rPr>
          <w:rFonts w:ascii="Times New Roman" w:hAnsi="Times New Roman" w:cs="Times New Roman"/>
          <w:sz w:val="24"/>
          <w:szCs w:val="24"/>
        </w:rPr>
        <w:t xml:space="preserve"> </w:t>
      </w:r>
      <w:r w:rsidR="00DF3D02" w:rsidRPr="00C81036">
        <w:rPr>
          <w:rFonts w:ascii="Times New Roman" w:hAnsi="Times New Roman" w:cs="Times New Roman"/>
          <w:sz w:val="24"/>
          <w:szCs w:val="24"/>
        </w:rPr>
        <w:t>phosphorus-based</w:t>
      </w:r>
      <w:r w:rsidR="00902730" w:rsidRPr="00C81036">
        <w:rPr>
          <w:rFonts w:ascii="Times New Roman" w:hAnsi="Times New Roman" w:cs="Times New Roman"/>
          <w:sz w:val="24"/>
          <w:szCs w:val="24"/>
        </w:rPr>
        <w:t xml:space="preserve"> fertilizers</w:t>
      </w:r>
      <w:r w:rsidR="005037F5" w:rsidRPr="00C81036">
        <w:rPr>
          <w:rFonts w:ascii="Times New Roman" w:hAnsi="Times New Roman" w:cs="Times New Roman"/>
          <w:sz w:val="24"/>
          <w:szCs w:val="24"/>
        </w:rPr>
        <w:t xml:space="preserve"> </w:t>
      </w:r>
      <w:r w:rsidR="009B788E" w:rsidRPr="00C81036">
        <w:rPr>
          <w:rFonts w:ascii="Times New Roman" w:hAnsi="Times New Roman" w:cs="Times New Roman"/>
          <w:sz w:val="24"/>
          <w:szCs w:val="24"/>
        </w:rPr>
        <w:t>come</w:t>
      </w:r>
      <w:r w:rsidR="00063ED2" w:rsidRPr="00C81036">
        <w:rPr>
          <w:rFonts w:ascii="Times New Roman" w:hAnsi="Times New Roman" w:cs="Times New Roman"/>
          <w:sz w:val="24"/>
          <w:szCs w:val="24"/>
        </w:rPr>
        <w:t xml:space="preserve"> from mined ore that is </w:t>
      </w:r>
      <w:r w:rsidR="00DF3D02" w:rsidRPr="00C81036">
        <w:rPr>
          <w:rFonts w:ascii="Times New Roman" w:hAnsi="Times New Roman" w:cs="Times New Roman"/>
          <w:sz w:val="24"/>
          <w:szCs w:val="24"/>
        </w:rPr>
        <w:t>converted</w:t>
      </w:r>
      <w:r w:rsidR="00455EAA" w:rsidRPr="00C81036">
        <w:rPr>
          <w:rFonts w:ascii="Times New Roman" w:hAnsi="Times New Roman" w:cs="Times New Roman"/>
          <w:sz w:val="24"/>
          <w:szCs w:val="24"/>
        </w:rPr>
        <w:t xml:space="preserve"> into fertilizer through chemical extraction</w:t>
      </w:r>
      <w:r w:rsidR="00391FC3" w:rsidRPr="00C81036">
        <w:rPr>
          <w:rFonts w:ascii="Times New Roman" w:hAnsi="Times New Roman" w:cs="Times New Roman"/>
          <w:sz w:val="24"/>
          <w:szCs w:val="24"/>
        </w:rPr>
        <w:t xml:space="preserve"> </w:t>
      </w:r>
      <w:r w:rsidR="00391FC3" w:rsidRPr="00C81036">
        <w:rPr>
          <w:rFonts w:ascii="Times New Roman" w:hAnsi="Times New Roman" w:cs="Times New Roman"/>
          <w:sz w:val="24"/>
          <w:szCs w:val="24"/>
        </w:rPr>
        <w:fldChar w:fldCharType="begin"/>
      </w:r>
      <w:r w:rsidR="00391FC3" w:rsidRPr="00C81036">
        <w:rPr>
          <w:rFonts w:ascii="Times New Roman" w:hAnsi="Times New Roman" w:cs="Times New Roman"/>
          <w:sz w:val="24"/>
          <w:szCs w:val="24"/>
        </w:rPr>
        <w:instrText xml:space="preserve"> ADDIN ZOTERO_ITEM CSL_CITATION {"citationID":"Tr0wrVak","properties":{"formattedCitation":"(\\uc0\\u8220{}A More Sustainable Way to Generate Phosphorus\\uc0\\u8221{} 2023)","plainCitation":"(“A More Sustainable Way to Generate Phosphorus” 2023)","noteIndex":0},"citationItems":[{"id":7814,"uris":["http://zotero.org/users/9930273/items/LSZB37JS"],"itemData":{"id":7814,"type":"webpage","abstract":"MIT chemists devised a new way to generate white phosphorus, a critical intermediate in the manufacture of phosphorus-containing products. Their approach could reduce the carbon emissions of the process by half or even more.","container-title":"MIT News | Massachusetts Institute of Technology","language":"en","title":"A more sustainable way to generate phosphorus","URL":"https://news.mit.edu/2023/more-sustainable-way-generate-phosphorus-0221","accessed":{"date-parts":[["2024",2,28]]},"issued":{"date-parts":[["2023",2,21]]}}}],"schema":"https://github.com/citation-style-language/schema/raw/master/csl-citation.json"} </w:instrText>
      </w:r>
      <w:r w:rsidR="00391FC3" w:rsidRPr="00C81036">
        <w:rPr>
          <w:rFonts w:ascii="Times New Roman" w:hAnsi="Times New Roman" w:cs="Times New Roman"/>
          <w:sz w:val="24"/>
          <w:szCs w:val="24"/>
        </w:rPr>
        <w:fldChar w:fldCharType="separate"/>
      </w:r>
      <w:r w:rsidR="00391FC3" w:rsidRPr="00C81036">
        <w:rPr>
          <w:rFonts w:ascii="Times New Roman" w:hAnsi="Times New Roman" w:cs="Times New Roman"/>
          <w:kern w:val="0"/>
          <w:sz w:val="24"/>
          <w:szCs w:val="24"/>
        </w:rPr>
        <w:t>(“A More Sustainable Way to Generate Phosphorus” 2023)</w:t>
      </w:r>
      <w:r w:rsidR="00391FC3" w:rsidRPr="00C81036">
        <w:rPr>
          <w:rFonts w:ascii="Times New Roman" w:hAnsi="Times New Roman" w:cs="Times New Roman"/>
          <w:sz w:val="24"/>
          <w:szCs w:val="24"/>
        </w:rPr>
        <w:fldChar w:fldCharType="end"/>
      </w:r>
      <w:r w:rsidR="00455EAA" w:rsidRPr="00C81036">
        <w:rPr>
          <w:rFonts w:ascii="Times New Roman" w:hAnsi="Times New Roman" w:cs="Times New Roman"/>
          <w:sz w:val="24"/>
          <w:szCs w:val="24"/>
        </w:rPr>
        <w:t xml:space="preserve">. Finally, </w:t>
      </w:r>
      <w:r w:rsidR="00DF3D02" w:rsidRPr="00C81036">
        <w:rPr>
          <w:rFonts w:ascii="Times New Roman" w:hAnsi="Times New Roman" w:cs="Times New Roman"/>
          <w:sz w:val="24"/>
          <w:szCs w:val="24"/>
        </w:rPr>
        <w:t xml:space="preserve">potassium-based fertilizer </w:t>
      </w:r>
      <w:r w:rsidR="00A84A05" w:rsidRPr="00C81036">
        <w:rPr>
          <w:rFonts w:ascii="Times New Roman" w:hAnsi="Times New Roman" w:cs="Times New Roman"/>
          <w:sz w:val="24"/>
          <w:szCs w:val="24"/>
        </w:rPr>
        <w:t>(</w:t>
      </w:r>
      <w:r w:rsidR="00DF3D02" w:rsidRPr="00C81036">
        <w:rPr>
          <w:rFonts w:ascii="Times New Roman" w:hAnsi="Times New Roman" w:cs="Times New Roman"/>
          <w:sz w:val="24"/>
          <w:szCs w:val="24"/>
        </w:rPr>
        <w:t xml:space="preserve">known as potash) </w:t>
      </w:r>
      <w:r w:rsidR="00E37E18" w:rsidRPr="00C81036">
        <w:rPr>
          <w:rFonts w:ascii="Times New Roman" w:hAnsi="Times New Roman" w:cs="Times New Roman"/>
          <w:sz w:val="24"/>
          <w:szCs w:val="24"/>
        </w:rPr>
        <w:t>comes from a mined rock and is converted into fertilizer through a purification process</w:t>
      </w:r>
      <w:r w:rsidR="00A84A05" w:rsidRPr="00C81036">
        <w:rPr>
          <w:rFonts w:ascii="Times New Roman" w:hAnsi="Times New Roman" w:cs="Times New Roman"/>
          <w:sz w:val="24"/>
          <w:szCs w:val="24"/>
        </w:rPr>
        <w:t xml:space="preserve">. This process is much less energy demanding than nitrogen or </w:t>
      </w:r>
      <w:r w:rsidR="00E922A4" w:rsidRPr="00C81036">
        <w:rPr>
          <w:rFonts w:ascii="Times New Roman" w:hAnsi="Times New Roman" w:cs="Times New Roman"/>
          <w:sz w:val="24"/>
          <w:szCs w:val="24"/>
        </w:rPr>
        <w:t>phosphorus-based</w:t>
      </w:r>
      <w:r w:rsidR="00A84A05" w:rsidRPr="00C81036">
        <w:rPr>
          <w:rFonts w:ascii="Times New Roman" w:hAnsi="Times New Roman" w:cs="Times New Roman"/>
          <w:sz w:val="24"/>
          <w:szCs w:val="24"/>
        </w:rPr>
        <w:t xml:space="preserve"> fertilizer production</w:t>
      </w:r>
      <w:r w:rsidR="004F286C" w:rsidRPr="00C81036">
        <w:rPr>
          <w:rFonts w:ascii="Times New Roman" w:hAnsi="Times New Roman" w:cs="Times New Roman"/>
          <w:sz w:val="24"/>
          <w:szCs w:val="24"/>
        </w:rPr>
        <w:t xml:space="preserve"> </w:t>
      </w:r>
      <w:r w:rsidR="009B495C" w:rsidRPr="00C81036">
        <w:rPr>
          <w:rFonts w:ascii="Times New Roman" w:hAnsi="Times New Roman" w:cs="Times New Roman"/>
          <w:sz w:val="24"/>
          <w:szCs w:val="24"/>
        </w:rPr>
        <w:fldChar w:fldCharType="begin"/>
      </w:r>
      <w:r w:rsidR="009B495C" w:rsidRPr="00C81036">
        <w:rPr>
          <w:rFonts w:ascii="Times New Roman" w:hAnsi="Times New Roman" w:cs="Times New Roman"/>
          <w:sz w:val="24"/>
          <w:szCs w:val="24"/>
        </w:rPr>
        <w:instrText xml:space="preserve"> ADDIN ZOTERO_ITEM CSL_CITATION {"citationID":"XbY4Nqx9","properties":{"formattedCitation":"(Prakash and Verma 2016)","plainCitation":"(Prakash and Verma 2016)","noteIndex":0},"citationItems":[{"id":7816,"uris":["http://zotero.org/users/9930273/items/ACA8HLGN"],"itemData":{"id":7816,"type":"chapter","abstract":"Potash is used as a fertilizer to fulfil the requirement of potassium (K) which is one of the essential macronutrients among NPK fertilizers that are widely used in agriculture to increase crop production. Potash is the common name given to a naturally occurring potassium salt, e.g. sylvinite. These salts are water soluble and thus are available for the plant. The sources of potash are sulfosalts found in rock and clay within various geological sets. Potash is mined and processed in few countries (Canada, Belarus, Russia, Germany, Brazil, Chile, Spain, China, the USA, Israel, Jordan, UK and Ukraine). This commodity is consumed in a large number of countries of the world which reflects its importance for discovery of new deposit. The aim of this review is to highlight the various deposits of potash globally to fulfil the current requirement of potassium fertilizers for agricultural production.","container-title":"Potassium Solubilizing Microorganisms for Sustainable Agriculture","event-place":"New Delhi","ISBN":"978-81-322-2776-2","language":"en","note":"DOI: 10.1007/978-81-322-2776-2_23","page":"327-331","publisher":"Springer India","publisher-place":"New Delhi","source":"Springer Link","title":"Global Perspective of Potash for Fertilizer Production","URL":"https://doi.org/10.1007/978-81-322-2776-2_23","author":[{"family":"Prakash","given":"Satya"},{"family":"Verma","given":"Jay Prakash"}],"editor":[{"family":"Meena","given":"Vijay Singh"},{"family":"Maurya","given":"Bihari Ram"},{"family":"Verma","given":"Jay Prakash"},{"family":"Meena","given":"Ram Swaroop"}],"accessed":{"date-parts":[["2024",2,28]]},"issued":{"date-parts":[["2016"]]}}}],"schema":"https://github.com/citation-style-language/schema/raw/master/csl-citation.json"} </w:instrText>
      </w:r>
      <w:r w:rsidR="009B495C" w:rsidRPr="00C81036">
        <w:rPr>
          <w:rFonts w:ascii="Times New Roman" w:hAnsi="Times New Roman" w:cs="Times New Roman"/>
          <w:sz w:val="24"/>
          <w:szCs w:val="24"/>
        </w:rPr>
        <w:fldChar w:fldCharType="separate"/>
      </w:r>
      <w:r w:rsidR="009B495C" w:rsidRPr="00C81036">
        <w:rPr>
          <w:rFonts w:ascii="Times New Roman" w:hAnsi="Times New Roman" w:cs="Times New Roman"/>
          <w:sz w:val="24"/>
          <w:szCs w:val="24"/>
        </w:rPr>
        <w:t>(Prakash and Verma 2016)</w:t>
      </w:r>
      <w:r w:rsidR="009B495C" w:rsidRPr="00C81036">
        <w:rPr>
          <w:rFonts w:ascii="Times New Roman" w:hAnsi="Times New Roman" w:cs="Times New Roman"/>
          <w:sz w:val="24"/>
          <w:szCs w:val="24"/>
        </w:rPr>
        <w:fldChar w:fldCharType="end"/>
      </w:r>
      <w:r w:rsidR="00A84A05" w:rsidRPr="00C81036">
        <w:rPr>
          <w:rFonts w:ascii="Times New Roman" w:hAnsi="Times New Roman" w:cs="Times New Roman"/>
          <w:sz w:val="24"/>
          <w:szCs w:val="24"/>
        </w:rPr>
        <w:t xml:space="preserve">. </w:t>
      </w:r>
      <w:r w:rsidR="00BF0A8C" w:rsidRPr="00C81036">
        <w:rPr>
          <w:rFonts w:ascii="Times New Roman" w:hAnsi="Times New Roman" w:cs="Times New Roman"/>
          <w:sz w:val="24"/>
          <w:szCs w:val="24"/>
        </w:rPr>
        <w:t xml:space="preserve">The EU </w:t>
      </w:r>
      <w:r w:rsidR="00E922A4" w:rsidRPr="00C81036">
        <w:rPr>
          <w:rFonts w:ascii="Times New Roman" w:hAnsi="Times New Roman" w:cs="Times New Roman"/>
          <w:sz w:val="24"/>
          <w:szCs w:val="24"/>
        </w:rPr>
        <w:t xml:space="preserve">produces a relatively small amount of fertilizer and </w:t>
      </w:r>
      <w:r w:rsidR="006674D9" w:rsidRPr="00C81036">
        <w:rPr>
          <w:rFonts w:ascii="Times New Roman" w:hAnsi="Times New Roman" w:cs="Times New Roman"/>
          <w:sz w:val="24"/>
          <w:szCs w:val="24"/>
        </w:rPr>
        <w:t xml:space="preserve">instead imports a substantial amount of </w:t>
      </w:r>
      <w:r w:rsidR="00A54F4D" w:rsidRPr="00C81036">
        <w:rPr>
          <w:rFonts w:ascii="Times New Roman" w:hAnsi="Times New Roman" w:cs="Times New Roman"/>
          <w:sz w:val="24"/>
          <w:szCs w:val="24"/>
        </w:rPr>
        <w:t>fertilizer</w:t>
      </w:r>
      <w:r w:rsidR="005F731D" w:rsidRPr="00C81036">
        <w:rPr>
          <w:rFonts w:ascii="Times New Roman" w:hAnsi="Times New Roman" w:cs="Times New Roman"/>
          <w:sz w:val="24"/>
          <w:szCs w:val="24"/>
        </w:rPr>
        <w:t xml:space="preserve">. In 2022, the EU imported </w:t>
      </w:r>
      <w:r w:rsidR="00567BEA" w:rsidRPr="00C81036">
        <w:rPr>
          <w:rFonts w:ascii="Times New Roman" w:hAnsi="Times New Roman" w:cs="Times New Roman"/>
          <w:sz w:val="24"/>
          <w:szCs w:val="24"/>
        </w:rPr>
        <w:t xml:space="preserve">about half of its consumption of fertilizer. </w:t>
      </w:r>
      <w:r w:rsidR="004F6F6D" w:rsidRPr="00C81036">
        <w:rPr>
          <w:rFonts w:ascii="Times New Roman" w:hAnsi="Times New Roman" w:cs="Times New Roman"/>
          <w:sz w:val="24"/>
          <w:szCs w:val="24"/>
        </w:rPr>
        <w:t xml:space="preserve">Its leading fertilizer trade partners were </w:t>
      </w:r>
      <w:r w:rsidR="00316977" w:rsidRPr="00C81036">
        <w:rPr>
          <w:rFonts w:ascii="Times New Roman" w:hAnsi="Times New Roman" w:cs="Times New Roman"/>
          <w:sz w:val="24"/>
          <w:szCs w:val="24"/>
        </w:rPr>
        <w:t xml:space="preserve">Russia, </w:t>
      </w:r>
      <w:r w:rsidR="004F6F6D" w:rsidRPr="00C81036">
        <w:rPr>
          <w:rFonts w:ascii="Times New Roman" w:hAnsi="Times New Roman" w:cs="Times New Roman"/>
          <w:sz w:val="24"/>
          <w:szCs w:val="24"/>
        </w:rPr>
        <w:t>Egypt, Algeria,</w:t>
      </w:r>
      <w:r w:rsidR="00316977" w:rsidRPr="00C81036">
        <w:rPr>
          <w:rFonts w:ascii="Times New Roman" w:hAnsi="Times New Roman" w:cs="Times New Roman"/>
          <w:sz w:val="24"/>
          <w:szCs w:val="24"/>
        </w:rPr>
        <w:t xml:space="preserve"> and Morocco</w:t>
      </w:r>
      <w:r w:rsidR="005E52C2">
        <w:rPr>
          <w:rFonts w:ascii="Times New Roman" w:hAnsi="Times New Roman" w:cs="Times New Roman"/>
          <w:sz w:val="24"/>
          <w:szCs w:val="24"/>
        </w:rPr>
        <w:t xml:space="preserve"> for Nitrogen. Table 1 below shows </w:t>
      </w:r>
      <w:r w:rsidR="000D208A">
        <w:rPr>
          <w:rFonts w:ascii="Times New Roman" w:hAnsi="Times New Roman" w:cs="Times New Roman"/>
          <w:sz w:val="24"/>
          <w:szCs w:val="24"/>
        </w:rPr>
        <w:t xml:space="preserve">the top 15 </w:t>
      </w:r>
      <w:r w:rsidR="00CA7700">
        <w:rPr>
          <w:rFonts w:ascii="Times New Roman" w:hAnsi="Times New Roman" w:cs="Times New Roman"/>
          <w:sz w:val="24"/>
          <w:szCs w:val="24"/>
        </w:rPr>
        <w:t xml:space="preserve">exporters to the EU in 2017. We can see that across all fertilizer trade within </w:t>
      </w:r>
      <w:r w:rsidR="00CA7700">
        <w:rPr>
          <w:rFonts w:ascii="Times New Roman" w:hAnsi="Times New Roman" w:cs="Times New Roman"/>
          <w:sz w:val="24"/>
          <w:szCs w:val="24"/>
        </w:rPr>
        <w:lastRenderedPageBreak/>
        <w:t>the EU is the highest</w:t>
      </w:r>
      <w:r w:rsidR="00DA0235">
        <w:rPr>
          <w:rFonts w:ascii="Times New Roman" w:hAnsi="Times New Roman" w:cs="Times New Roman"/>
          <w:sz w:val="24"/>
          <w:szCs w:val="24"/>
        </w:rPr>
        <w:t xml:space="preserve">, second being Russia. It is important to note that not </w:t>
      </w:r>
      <w:proofErr w:type="gramStart"/>
      <w:r w:rsidR="00DA0235">
        <w:rPr>
          <w:rFonts w:ascii="Times New Roman" w:hAnsi="Times New Roman" w:cs="Times New Roman"/>
          <w:sz w:val="24"/>
          <w:szCs w:val="24"/>
        </w:rPr>
        <w:t>all of</w:t>
      </w:r>
      <w:proofErr w:type="gramEnd"/>
      <w:r w:rsidR="00DA0235">
        <w:rPr>
          <w:rFonts w:ascii="Times New Roman" w:hAnsi="Times New Roman" w:cs="Times New Roman"/>
          <w:sz w:val="24"/>
          <w:szCs w:val="24"/>
        </w:rPr>
        <w:t xml:space="preserve"> these top exporters are developed countries, with many being </w:t>
      </w:r>
      <w:r w:rsidR="009A1BD7">
        <w:rPr>
          <w:rFonts w:ascii="Times New Roman" w:hAnsi="Times New Roman" w:cs="Times New Roman"/>
          <w:sz w:val="24"/>
          <w:szCs w:val="24"/>
        </w:rPr>
        <w:t xml:space="preserve">developing </w:t>
      </w:r>
      <w:proofErr w:type="gramStart"/>
      <w:r w:rsidR="009A1BD7">
        <w:rPr>
          <w:rFonts w:ascii="Times New Roman" w:hAnsi="Times New Roman" w:cs="Times New Roman"/>
          <w:sz w:val="24"/>
          <w:szCs w:val="24"/>
        </w:rPr>
        <w:t>country</w:t>
      </w:r>
      <w:proofErr w:type="gramEnd"/>
      <w:r w:rsidR="009A1BD7">
        <w:rPr>
          <w:rFonts w:ascii="Times New Roman" w:hAnsi="Times New Roman" w:cs="Times New Roman"/>
          <w:sz w:val="24"/>
          <w:szCs w:val="24"/>
        </w:rPr>
        <w:t xml:space="preserve"> they may be very effected by CBAM and have a harder time adjusting their production practices to be in compliance with the EU standards</w:t>
      </w:r>
      <w:r w:rsidR="00336FE4">
        <w:rPr>
          <w:rFonts w:ascii="Times New Roman" w:hAnsi="Times New Roman" w:cs="Times New Roman"/>
          <w:sz w:val="24"/>
          <w:szCs w:val="24"/>
        </w:rPr>
        <w:t xml:space="preserve">. </w:t>
      </w:r>
    </w:p>
    <w:tbl>
      <w:tblPr>
        <w:tblStyle w:val="TableGrid"/>
        <w:tblW w:w="0" w:type="auto"/>
        <w:jc w:val="center"/>
        <w:tblLook w:val="04A0" w:firstRow="1" w:lastRow="0" w:firstColumn="1" w:lastColumn="0" w:noHBand="0" w:noVBand="1"/>
      </w:tblPr>
      <w:tblGrid>
        <w:gridCol w:w="2636"/>
        <w:gridCol w:w="2636"/>
        <w:gridCol w:w="2636"/>
      </w:tblGrid>
      <w:tr w:rsidR="00492135" w:rsidRPr="00492135" w14:paraId="208A9B99" w14:textId="77777777" w:rsidTr="00336FE4">
        <w:trPr>
          <w:trHeight w:val="300"/>
          <w:jc w:val="center"/>
        </w:trPr>
        <w:tc>
          <w:tcPr>
            <w:tcW w:w="0" w:type="auto"/>
            <w:gridSpan w:val="3"/>
            <w:tcBorders>
              <w:top w:val="nil"/>
              <w:left w:val="nil"/>
              <w:right w:val="nil"/>
            </w:tcBorders>
            <w:noWrap/>
            <w:vAlign w:val="center"/>
            <w:hideMark/>
          </w:tcPr>
          <w:p w14:paraId="49BADBAF" w14:textId="02A4E2CF" w:rsidR="00492135" w:rsidRPr="00492135" w:rsidRDefault="00492135" w:rsidP="00492135">
            <w:pPr>
              <w:rPr>
                <w:rFonts w:ascii="Times New Roman" w:hAnsi="Times New Roman" w:cs="Times New Roman"/>
                <w:sz w:val="24"/>
                <w:szCs w:val="24"/>
              </w:rPr>
            </w:pPr>
            <w:r>
              <w:rPr>
                <w:rFonts w:ascii="Times New Roman" w:hAnsi="Times New Roman" w:cs="Times New Roman"/>
                <w:sz w:val="24"/>
                <w:szCs w:val="24"/>
              </w:rPr>
              <w:t xml:space="preserve">Table 1. </w:t>
            </w:r>
            <w:r w:rsidRPr="00492135">
              <w:rPr>
                <w:rFonts w:ascii="Times New Roman" w:hAnsi="Times New Roman" w:cs="Times New Roman"/>
                <w:sz w:val="24"/>
                <w:szCs w:val="24"/>
              </w:rPr>
              <w:t>Top 15 EU Importers by Fertilizer Type (Tons)</w:t>
            </w:r>
          </w:p>
        </w:tc>
      </w:tr>
      <w:tr w:rsidR="00492135" w:rsidRPr="00492135" w14:paraId="0FEF0A20" w14:textId="77777777" w:rsidTr="00336FE4">
        <w:trPr>
          <w:trHeight w:val="300"/>
          <w:jc w:val="center"/>
        </w:trPr>
        <w:tc>
          <w:tcPr>
            <w:tcW w:w="0" w:type="auto"/>
            <w:shd w:val="clear" w:color="auto" w:fill="D9D9D9" w:themeFill="background1" w:themeFillShade="D9"/>
            <w:noWrap/>
            <w:vAlign w:val="center"/>
            <w:hideMark/>
          </w:tcPr>
          <w:p w14:paraId="007FF9F4"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Nitrogen</w:t>
            </w:r>
          </w:p>
        </w:tc>
        <w:tc>
          <w:tcPr>
            <w:tcW w:w="0" w:type="auto"/>
            <w:shd w:val="clear" w:color="auto" w:fill="D9D9D9" w:themeFill="background1" w:themeFillShade="D9"/>
            <w:noWrap/>
            <w:vAlign w:val="center"/>
            <w:hideMark/>
          </w:tcPr>
          <w:p w14:paraId="48A4B00D"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P2O5</w:t>
            </w:r>
          </w:p>
        </w:tc>
        <w:tc>
          <w:tcPr>
            <w:tcW w:w="0" w:type="auto"/>
            <w:shd w:val="clear" w:color="auto" w:fill="D9D9D9" w:themeFill="background1" w:themeFillShade="D9"/>
            <w:noWrap/>
            <w:vAlign w:val="center"/>
            <w:hideMark/>
          </w:tcPr>
          <w:p w14:paraId="7102B538"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K20</w:t>
            </w:r>
          </w:p>
        </w:tc>
      </w:tr>
      <w:tr w:rsidR="00492135" w:rsidRPr="00492135" w14:paraId="7B85B137" w14:textId="77777777" w:rsidTr="00336FE4">
        <w:trPr>
          <w:trHeight w:val="300"/>
          <w:jc w:val="center"/>
        </w:trPr>
        <w:tc>
          <w:tcPr>
            <w:tcW w:w="0" w:type="auto"/>
            <w:noWrap/>
            <w:vAlign w:val="center"/>
            <w:hideMark/>
          </w:tcPr>
          <w:p w14:paraId="60642CF0"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EU</w:t>
            </w:r>
          </w:p>
        </w:tc>
        <w:tc>
          <w:tcPr>
            <w:tcW w:w="0" w:type="auto"/>
            <w:noWrap/>
            <w:vAlign w:val="center"/>
            <w:hideMark/>
          </w:tcPr>
          <w:p w14:paraId="7E1CDFAE"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EU</w:t>
            </w:r>
          </w:p>
        </w:tc>
        <w:tc>
          <w:tcPr>
            <w:tcW w:w="0" w:type="auto"/>
            <w:noWrap/>
            <w:vAlign w:val="center"/>
            <w:hideMark/>
          </w:tcPr>
          <w:p w14:paraId="34BE1704"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EU</w:t>
            </w:r>
          </w:p>
        </w:tc>
      </w:tr>
      <w:tr w:rsidR="00492135" w:rsidRPr="00492135" w14:paraId="16384F8B" w14:textId="77777777" w:rsidTr="00336FE4">
        <w:trPr>
          <w:trHeight w:val="300"/>
          <w:jc w:val="center"/>
        </w:trPr>
        <w:tc>
          <w:tcPr>
            <w:tcW w:w="0" w:type="auto"/>
            <w:noWrap/>
            <w:vAlign w:val="center"/>
            <w:hideMark/>
          </w:tcPr>
          <w:p w14:paraId="52EC9718"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Russian Federation</w:t>
            </w:r>
          </w:p>
        </w:tc>
        <w:tc>
          <w:tcPr>
            <w:tcW w:w="0" w:type="auto"/>
            <w:noWrap/>
            <w:vAlign w:val="center"/>
            <w:hideMark/>
          </w:tcPr>
          <w:p w14:paraId="596D6755"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Russian Federation</w:t>
            </w:r>
          </w:p>
        </w:tc>
        <w:tc>
          <w:tcPr>
            <w:tcW w:w="0" w:type="auto"/>
            <w:noWrap/>
            <w:vAlign w:val="center"/>
            <w:hideMark/>
          </w:tcPr>
          <w:p w14:paraId="55220C22"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Russian Federation</w:t>
            </w:r>
          </w:p>
        </w:tc>
      </w:tr>
      <w:tr w:rsidR="00492135" w:rsidRPr="00492135" w14:paraId="59B10058" w14:textId="77777777" w:rsidTr="00336FE4">
        <w:trPr>
          <w:trHeight w:val="300"/>
          <w:jc w:val="center"/>
        </w:trPr>
        <w:tc>
          <w:tcPr>
            <w:tcW w:w="0" w:type="auto"/>
            <w:noWrap/>
            <w:vAlign w:val="center"/>
            <w:hideMark/>
          </w:tcPr>
          <w:p w14:paraId="09503D26"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Egypt</w:t>
            </w:r>
          </w:p>
        </w:tc>
        <w:tc>
          <w:tcPr>
            <w:tcW w:w="0" w:type="auto"/>
            <w:noWrap/>
            <w:vAlign w:val="center"/>
            <w:hideMark/>
          </w:tcPr>
          <w:p w14:paraId="66469060"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Morocco</w:t>
            </w:r>
          </w:p>
        </w:tc>
        <w:tc>
          <w:tcPr>
            <w:tcW w:w="0" w:type="auto"/>
            <w:noWrap/>
            <w:vAlign w:val="center"/>
            <w:hideMark/>
          </w:tcPr>
          <w:p w14:paraId="3C1DAE35"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Belarus</w:t>
            </w:r>
          </w:p>
        </w:tc>
      </w:tr>
      <w:tr w:rsidR="00492135" w:rsidRPr="00492135" w14:paraId="3E015179" w14:textId="77777777" w:rsidTr="00336FE4">
        <w:trPr>
          <w:trHeight w:val="300"/>
          <w:jc w:val="center"/>
        </w:trPr>
        <w:tc>
          <w:tcPr>
            <w:tcW w:w="0" w:type="auto"/>
            <w:noWrap/>
            <w:vAlign w:val="center"/>
            <w:hideMark/>
          </w:tcPr>
          <w:p w14:paraId="766708AE"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Algeria</w:t>
            </w:r>
          </w:p>
        </w:tc>
        <w:tc>
          <w:tcPr>
            <w:tcW w:w="0" w:type="auto"/>
            <w:noWrap/>
            <w:vAlign w:val="center"/>
            <w:hideMark/>
          </w:tcPr>
          <w:p w14:paraId="69C4FDCF"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Tunisia</w:t>
            </w:r>
          </w:p>
        </w:tc>
        <w:tc>
          <w:tcPr>
            <w:tcW w:w="0" w:type="auto"/>
            <w:noWrap/>
            <w:vAlign w:val="center"/>
            <w:hideMark/>
          </w:tcPr>
          <w:p w14:paraId="4549DF1E"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Israel</w:t>
            </w:r>
          </w:p>
        </w:tc>
      </w:tr>
      <w:tr w:rsidR="00492135" w:rsidRPr="00492135" w14:paraId="4D65FD72" w14:textId="77777777" w:rsidTr="00336FE4">
        <w:trPr>
          <w:trHeight w:val="300"/>
          <w:jc w:val="center"/>
        </w:trPr>
        <w:tc>
          <w:tcPr>
            <w:tcW w:w="0" w:type="auto"/>
            <w:noWrap/>
            <w:vAlign w:val="center"/>
            <w:hideMark/>
          </w:tcPr>
          <w:p w14:paraId="539F650C"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United States of America</w:t>
            </w:r>
          </w:p>
        </w:tc>
        <w:tc>
          <w:tcPr>
            <w:tcW w:w="0" w:type="auto"/>
            <w:noWrap/>
            <w:vAlign w:val="center"/>
            <w:hideMark/>
          </w:tcPr>
          <w:p w14:paraId="24F47240"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Israel</w:t>
            </w:r>
          </w:p>
        </w:tc>
        <w:tc>
          <w:tcPr>
            <w:tcW w:w="0" w:type="auto"/>
            <w:noWrap/>
            <w:vAlign w:val="center"/>
            <w:hideMark/>
          </w:tcPr>
          <w:p w14:paraId="50CFC283"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Chile</w:t>
            </w:r>
          </w:p>
        </w:tc>
      </w:tr>
      <w:tr w:rsidR="00492135" w:rsidRPr="00492135" w14:paraId="504AF3FC" w14:textId="77777777" w:rsidTr="00336FE4">
        <w:trPr>
          <w:trHeight w:val="300"/>
          <w:jc w:val="center"/>
        </w:trPr>
        <w:tc>
          <w:tcPr>
            <w:tcW w:w="0" w:type="auto"/>
            <w:noWrap/>
            <w:vAlign w:val="center"/>
            <w:hideMark/>
          </w:tcPr>
          <w:p w14:paraId="5CB8E0CB"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Belarus</w:t>
            </w:r>
          </w:p>
        </w:tc>
        <w:tc>
          <w:tcPr>
            <w:tcW w:w="0" w:type="auto"/>
            <w:noWrap/>
            <w:vAlign w:val="center"/>
            <w:hideMark/>
          </w:tcPr>
          <w:p w14:paraId="3B94B88B"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Belarus</w:t>
            </w:r>
          </w:p>
        </w:tc>
        <w:tc>
          <w:tcPr>
            <w:tcW w:w="0" w:type="auto"/>
            <w:noWrap/>
            <w:vAlign w:val="center"/>
            <w:hideMark/>
          </w:tcPr>
          <w:p w14:paraId="53787C72"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Canada</w:t>
            </w:r>
          </w:p>
        </w:tc>
      </w:tr>
      <w:tr w:rsidR="00492135" w:rsidRPr="00492135" w14:paraId="7650FAF8" w14:textId="77777777" w:rsidTr="00336FE4">
        <w:trPr>
          <w:trHeight w:val="300"/>
          <w:jc w:val="center"/>
        </w:trPr>
        <w:tc>
          <w:tcPr>
            <w:tcW w:w="0" w:type="auto"/>
            <w:noWrap/>
            <w:vAlign w:val="center"/>
            <w:hideMark/>
          </w:tcPr>
          <w:p w14:paraId="667EEAD4"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Morocco</w:t>
            </w:r>
          </w:p>
        </w:tc>
        <w:tc>
          <w:tcPr>
            <w:tcW w:w="0" w:type="auto"/>
            <w:noWrap/>
            <w:vAlign w:val="center"/>
            <w:hideMark/>
          </w:tcPr>
          <w:p w14:paraId="2E03B084"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Norway</w:t>
            </w:r>
          </w:p>
        </w:tc>
        <w:tc>
          <w:tcPr>
            <w:tcW w:w="0" w:type="auto"/>
            <w:noWrap/>
            <w:vAlign w:val="center"/>
            <w:hideMark/>
          </w:tcPr>
          <w:p w14:paraId="5E978833"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Norway</w:t>
            </w:r>
          </w:p>
        </w:tc>
      </w:tr>
      <w:tr w:rsidR="00492135" w:rsidRPr="00492135" w14:paraId="1CDDF7CF" w14:textId="77777777" w:rsidTr="00336FE4">
        <w:trPr>
          <w:trHeight w:val="300"/>
          <w:jc w:val="center"/>
        </w:trPr>
        <w:tc>
          <w:tcPr>
            <w:tcW w:w="0" w:type="auto"/>
            <w:noWrap/>
            <w:vAlign w:val="center"/>
            <w:hideMark/>
          </w:tcPr>
          <w:p w14:paraId="1BB8F242"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Trinidad and Tobago</w:t>
            </w:r>
          </w:p>
        </w:tc>
        <w:tc>
          <w:tcPr>
            <w:tcW w:w="0" w:type="auto"/>
            <w:noWrap/>
            <w:vAlign w:val="center"/>
            <w:hideMark/>
          </w:tcPr>
          <w:p w14:paraId="213292B0"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Mexico</w:t>
            </w:r>
          </w:p>
        </w:tc>
        <w:tc>
          <w:tcPr>
            <w:tcW w:w="0" w:type="auto"/>
            <w:noWrap/>
            <w:vAlign w:val="center"/>
            <w:hideMark/>
          </w:tcPr>
          <w:p w14:paraId="2C323312"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Jordan</w:t>
            </w:r>
          </w:p>
        </w:tc>
      </w:tr>
      <w:tr w:rsidR="00492135" w:rsidRPr="00492135" w14:paraId="38D89019" w14:textId="77777777" w:rsidTr="00336FE4">
        <w:trPr>
          <w:trHeight w:val="300"/>
          <w:jc w:val="center"/>
        </w:trPr>
        <w:tc>
          <w:tcPr>
            <w:tcW w:w="0" w:type="auto"/>
            <w:noWrap/>
            <w:vAlign w:val="center"/>
            <w:hideMark/>
          </w:tcPr>
          <w:p w14:paraId="0A787181"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Norway</w:t>
            </w:r>
          </w:p>
        </w:tc>
        <w:tc>
          <w:tcPr>
            <w:tcW w:w="0" w:type="auto"/>
            <w:noWrap/>
            <w:vAlign w:val="center"/>
            <w:hideMark/>
          </w:tcPr>
          <w:p w14:paraId="49A72945"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Jordan</w:t>
            </w:r>
          </w:p>
        </w:tc>
        <w:tc>
          <w:tcPr>
            <w:tcW w:w="0" w:type="auto"/>
            <w:noWrap/>
            <w:vAlign w:val="center"/>
            <w:hideMark/>
          </w:tcPr>
          <w:p w14:paraId="2CE719E1"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United States of America</w:t>
            </w:r>
          </w:p>
        </w:tc>
      </w:tr>
      <w:tr w:rsidR="00492135" w:rsidRPr="00492135" w14:paraId="6C3D76D3" w14:textId="77777777" w:rsidTr="00336FE4">
        <w:trPr>
          <w:trHeight w:val="300"/>
          <w:jc w:val="center"/>
        </w:trPr>
        <w:tc>
          <w:tcPr>
            <w:tcW w:w="0" w:type="auto"/>
            <w:noWrap/>
            <w:vAlign w:val="center"/>
            <w:hideMark/>
          </w:tcPr>
          <w:p w14:paraId="671CF43C"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United Kingdom</w:t>
            </w:r>
          </w:p>
        </w:tc>
        <w:tc>
          <w:tcPr>
            <w:tcW w:w="0" w:type="auto"/>
            <w:noWrap/>
            <w:vAlign w:val="center"/>
            <w:hideMark/>
          </w:tcPr>
          <w:p w14:paraId="5CD283E0"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Serbia</w:t>
            </w:r>
          </w:p>
        </w:tc>
        <w:tc>
          <w:tcPr>
            <w:tcW w:w="0" w:type="auto"/>
            <w:noWrap/>
            <w:vAlign w:val="center"/>
            <w:hideMark/>
          </w:tcPr>
          <w:p w14:paraId="131A1FAA"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United Kingdom</w:t>
            </w:r>
          </w:p>
        </w:tc>
      </w:tr>
      <w:tr w:rsidR="00492135" w:rsidRPr="00492135" w14:paraId="1FFBF016" w14:textId="77777777" w:rsidTr="00336FE4">
        <w:trPr>
          <w:trHeight w:val="300"/>
          <w:jc w:val="center"/>
        </w:trPr>
        <w:tc>
          <w:tcPr>
            <w:tcW w:w="0" w:type="auto"/>
            <w:noWrap/>
            <w:vAlign w:val="center"/>
            <w:hideMark/>
          </w:tcPr>
          <w:p w14:paraId="0D047417"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Ukraine</w:t>
            </w:r>
          </w:p>
        </w:tc>
        <w:tc>
          <w:tcPr>
            <w:tcW w:w="0" w:type="auto"/>
            <w:noWrap/>
            <w:vAlign w:val="center"/>
            <w:hideMark/>
          </w:tcPr>
          <w:p w14:paraId="7EE65E82"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United Kingdom</w:t>
            </w:r>
          </w:p>
        </w:tc>
        <w:tc>
          <w:tcPr>
            <w:tcW w:w="0" w:type="auto"/>
            <w:noWrap/>
            <w:vAlign w:val="center"/>
            <w:hideMark/>
          </w:tcPr>
          <w:p w14:paraId="66C49E5B"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Serbia</w:t>
            </w:r>
          </w:p>
        </w:tc>
      </w:tr>
      <w:tr w:rsidR="00492135" w:rsidRPr="00492135" w14:paraId="0397276B" w14:textId="77777777" w:rsidTr="00336FE4">
        <w:trPr>
          <w:trHeight w:val="300"/>
          <w:jc w:val="center"/>
        </w:trPr>
        <w:tc>
          <w:tcPr>
            <w:tcW w:w="0" w:type="auto"/>
            <w:noWrap/>
            <w:vAlign w:val="center"/>
            <w:hideMark/>
          </w:tcPr>
          <w:p w14:paraId="1F364C78"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Georgia</w:t>
            </w:r>
          </w:p>
        </w:tc>
        <w:tc>
          <w:tcPr>
            <w:tcW w:w="0" w:type="auto"/>
            <w:noWrap/>
            <w:vAlign w:val="center"/>
            <w:hideMark/>
          </w:tcPr>
          <w:p w14:paraId="01204E38"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Turkey</w:t>
            </w:r>
          </w:p>
        </w:tc>
        <w:tc>
          <w:tcPr>
            <w:tcW w:w="0" w:type="auto"/>
            <w:noWrap/>
            <w:vAlign w:val="center"/>
            <w:hideMark/>
          </w:tcPr>
          <w:p w14:paraId="4F657DC7"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Egypt</w:t>
            </w:r>
          </w:p>
        </w:tc>
      </w:tr>
      <w:tr w:rsidR="00492135" w:rsidRPr="00492135" w14:paraId="07567285" w14:textId="77777777" w:rsidTr="00336FE4">
        <w:trPr>
          <w:trHeight w:val="300"/>
          <w:jc w:val="center"/>
        </w:trPr>
        <w:tc>
          <w:tcPr>
            <w:tcW w:w="0" w:type="auto"/>
            <w:noWrap/>
            <w:vAlign w:val="center"/>
            <w:hideMark/>
          </w:tcPr>
          <w:p w14:paraId="58CFF6EE"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Tunisia</w:t>
            </w:r>
          </w:p>
        </w:tc>
        <w:tc>
          <w:tcPr>
            <w:tcW w:w="0" w:type="auto"/>
            <w:noWrap/>
            <w:vAlign w:val="center"/>
            <w:hideMark/>
          </w:tcPr>
          <w:p w14:paraId="3D40F81B"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Egypt</w:t>
            </w:r>
          </w:p>
        </w:tc>
        <w:tc>
          <w:tcPr>
            <w:tcW w:w="0" w:type="auto"/>
            <w:noWrap/>
            <w:vAlign w:val="center"/>
            <w:hideMark/>
          </w:tcPr>
          <w:p w14:paraId="007AF004"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Morocco</w:t>
            </w:r>
          </w:p>
        </w:tc>
      </w:tr>
      <w:tr w:rsidR="00492135" w:rsidRPr="00492135" w14:paraId="54D79D0A" w14:textId="77777777" w:rsidTr="00336FE4">
        <w:trPr>
          <w:trHeight w:val="300"/>
          <w:jc w:val="center"/>
        </w:trPr>
        <w:tc>
          <w:tcPr>
            <w:tcW w:w="0" w:type="auto"/>
            <w:noWrap/>
            <w:vAlign w:val="center"/>
            <w:hideMark/>
          </w:tcPr>
          <w:p w14:paraId="1A73FA1D"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Serbia</w:t>
            </w:r>
          </w:p>
        </w:tc>
        <w:tc>
          <w:tcPr>
            <w:tcW w:w="0" w:type="auto"/>
            <w:noWrap/>
            <w:vAlign w:val="center"/>
            <w:hideMark/>
          </w:tcPr>
          <w:p w14:paraId="6E4EE670"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China</w:t>
            </w:r>
          </w:p>
        </w:tc>
        <w:tc>
          <w:tcPr>
            <w:tcW w:w="0" w:type="auto"/>
            <w:noWrap/>
            <w:vAlign w:val="center"/>
            <w:hideMark/>
          </w:tcPr>
          <w:p w14:paraId="63EB4C36"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Ukraine</w:t>
            </w:r>
          </w:p>
        </w:tc>
      </w:tr>
      <w:tr w:rsidR="00492135" w:rsidRPr="00492135" w14:paraId="620ABAD7" w14:textId="77777777" w:rsidTr="00336FE4">
        <w:trPr>
          <w:trHeight w:val="300"/>
          <w:jc w:val="center"/>
        </w:trPr>
        <w:tc>
          <w:tcPr>
            <w:tcW w:w="0" w:type="auto"/>
            <w:noWrap/>
            <w:vAlign w:val="center"/>
            <w:hideMark/>
          </w:tcPr>
          <w:p w14:paraId="6EB07846"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Iran, Islamic Republic of</w:t>
            </w:r>
          </w:p>
        </w:tc>
        <w:tc>
          <w:tcPr>
            <w:tcW w:w="0" w:type="auto"/>
            <w:noWrap/>
            <w:vAlign w:val="center"/>
            <w:hideMark/>
          </w:tcPr>
          <w:p w14:paraId="03030800"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United States of America</w:t>
            </w:r>
          </w:p>
        </w:tc>
        <w:tc>
          <w:tcPr>
            <w:tcW w:w="0" w:type="auto"/>
            <w:noWrap/>
            <w:vAlign w:val="center"/>
            <w:hideMark/>
          </w:tcPr>
          <w:p w14:paraId="26569123" w14:textId="77777777" w:rsidR="00492135" w:rsidRPr="00492135" w:rsidRDefault="00492135" w:rsidP="00492135">
            <w:pPr>
              <w:jc w:val="center"/>
              <w:rPr>
                <w:rFonts w:ascii="Times New Roman" w:hAnsi="Times New Roman" w:cs="Times New Roman"/>
                <w:sz w:val="24"/>
                <w:szCs w:val="24"/>
              </w:rPr>
            </w:pPr>
            <w:r w:rsidRPr="00492135">
              <w:rPr>
                <w:rFonts w:ascii="Times New Roman" w:hAnsi="Times New Roman" w:cs="Times New Roman"/>
                <w:sz w:val="24"/>
                <w:szCs w:val="24"/>
              </w:rPr>
              <w:t>India</w:t>
            </w:r>
          </w:p>
        </w:tc>
      </w:tr>
      <w:tr w:rsidR="00336FE4" w:rsidRPr="00492135" w14:paraId="056B1D1A" w14:textId="77777777" w:rsidTr="00336FE4">
        <w:trPr>
          <w:trHeight w:val="300"/>
          <w:jc w:val="center"/>
        </w:trPr>
        <w:tc>
          <w:tcPr>
            <w:tcW w:w="0" w:type="auto"/>
            <w:gridSpan w:val="3"/>
            <w:noWrap/>
          </w:tcPr>
          <w:p w14:paraId="418AD070" w14:textId="224C5E00" w:rsidR="00336FE4" w:rsidRPr="00492135" w:rsidRDefault="00336FE4" w:rsidP="00336FE4">
            <w:pPr>
              <w:rPr>
                <w:rFonts w:ascii="Times New Roman" w:hAnsi="Times New Roman" w:cs="Times New Roman"/>
                <w:sz w:val="24"/>
                <w:szCs w:val="24"/>
              </w:rPr>
            </w:pPr>
            <w:r>
              <w:rPr>
                <w:rFonts w:ascii="Times New Roman" w:hAnsi="Times New Roman" w:cs="Times New Roman"/>
                <w:sz w:val="24"/>
                <w:szCs w:val="24"/>
              </w:rPr>
              <w:t xml:space="preserve">Source: BACI </w:t>
            </w:r>
          </w:p>
        </w:tc>
      </w:tr>
    </w:tbl>
    <w:p w14:paraId="23BDE7AE" w14:textId="77777777" w:rsidR="00492135" w:rsidRPr="00C81036" w:rsidRDefault="00492135" w:rsidP="009D31C5">
      <w:pPr>
        <w:rPr>
          <w:rFonts w:ascii="Times New Roman" w:hAnsi="Times New Roman" w:cs="Times New Roman"/>
          <w:sz w:val="24"/>
          <w:szCs w:val="24"/>
        </w:rPr>
      </w:pPr>
    </w:p>
    <w:p w14:paraId="19D8BFDE" w14:textId="77777777" w:rsidR="00AD7BFF" w:rsidRDefault="002F7D3D" w:rsidP="00AD7BFF">
      <w:pPr>
        <w:pStyle w:val="ListParagraph"/>
        <w:numPr>
          <w:ilvl w:val="0"/>
          <w:numId w:val="5"/>
        </w:numPr>
        <w:rPr>
          <w:rFonts w:ascii="Times New Roman" w:hAnsi="Times New Roman" w:cs="Times New Roman"/>
          <w:sz w:val="24"/>
          <w:szCs w:val="24"/>
        </w:rPr>
      </w:pPr>
      <w:r w:rsidRPr="00AD7BFF">
        <w:rPr>
          <w:rFonts w:ascii="Times New Roman" w:hAnsi="Times New Roman" w:cs="Times New Roman"/>
          <w:b/>
          <w:bCs/>
          <w:sz w:val="24"/>
          <w:szCs w:val="24"/>
        </w:rPr>
        <w:t>Literature Review</w:t>
      </w:r>
    </w:p>
    <w:p w14:paraId="2800EBEC" w14:textId="547B50D4" w:rsidR="00302008" w:rsidRPr="00AD7BFF" w:rsidRDefault="00E32D43" w:rsidP="00AD7BFF">
      <w:pPr>
        <w:rPr>
          <w:rFonts w:ascii="Times New Roman" w:hAnsi="Times New Roman" w:cs="Times New Roman"/>
          <w:sz w:val="24"/>
          <w:szCs w:val="24"/>
        </w:rPr>
      </w:pPr>
      <w:r w:rsidRPr="00AD7BFF">
        <w:rPr>
          <w:rFonts w:ascii="Times New Roman" w:hAnsi="Times New Roman" w:cs="Times New Roman"/>
          <w:sz w:val="24"/>
          <w:szCs w:val="24"/>
        </w:rPr>
        <w:t xml:space="preserve">The fundamental hurdle in </w:t>
      </w:r>
      <w:r w:rsidR="00DA10D0" w:rsidRPr="00AD7BFF">
        <w:rPr>
          <w:rFonts w:ascii="Times New Roman" w:hAnsi="Times New Roman" w:cs="Times New Roman"/>
          <w:sz w:val="24"/>
          <w:szCs w:val="24"/>
        </w:rPr>
        <w:t xml:space="preserve">developing effective and </w:t>
      </w:r>
      <w:r w:rsidR="0073104F" w:rsidRPr="00AD7BFF">
        <w:rPr>
          <w:rFonts w:ascii="Times New Roman" w:hAnsi="Times New Roman" w:cs="Times New Roman"/>
          <w:sz w:val="24"/>
          <w:szCs w:val="24"/>
        </w:rPr>
        <w:t>efficient</w:t>
      </w:r>
      <w:r w:rsidR="00DA10D0" w:rsidRPr="00AD7BFF">
        <w:rPr>
          <w:rFonts w:ascii="Times New Roman" w:hAnsi="Times New Roman" w:cs="Times New Roman"/>
          <w:sz w:val="24"/>
          <w:szCs w:val="24"/>
        </w:rPr>
        <w:t xml:space="preserve"> climate policy </w:t>
      </w:r>
      <w:r w:rsidR="00634394" w:rsidRPr="00AD7BFF">
        <w:rPr>
          <w:rFonts w:ascii="Times New Roman" w:hAnsi="Times New Roman" w:cs="Times New Roman"/>
          <w:sz w:val="24"/>
          <w:szCs w:val="24"/>
        </w:rPr>
        <w:t xml:space="preserve">originates from the very nature of climate protection as a global public good. </w:t>
      </w:r>
      <w:r w:rsidR="00DE7CB4" w:rsidRPr="00AD7BFF">
        <w:rPr>
          <w:rFonts w:ascii="Times New Roman" w:hAnsi="Times New Roman" w:cs="Times New Roman"/>
          <w:sz w:val="24"/>
          <w:szCs w:val="24"/>
        </w:rPr>
        <w:t>Thus,</w:t>
      </w:r>
      <w:r w:rsidR="00C70932" w:rsidRPr="00AD7BFF">
        <w:rPr>
          <w:rFonts w:ascii="Times New Roman" w:hAnsi="Times New Roman" w:cs="Times New Roman"/>
          <w:sz w:val="24"/>
          <w:szCs w:val="24"/>
        </w:rPr>
        <w:t xml:space="preserve"> </w:t>
      </w:r>
      <w:r w:rsidR="0073104F" w:rsidRPr="00AD7BFF">
        <w:rPr>
          <w:rFonts w:ascii="Times New Roman" w:hAnsi="Times New Roman" w:cs="Times New Roman"/>
          <w:sz w:val="24"/>
          <w:szCs w:val="24"/>
        </w:rPr>
        <w:t>it is necessary</w:t>
      </w:r>
      <w:r w:rsidR="00C70932" w:rsidRPr="00AD7BFF">
        <w:rPr>
          <w:rFonts w:ascii="Times New Roman" w:hAnsi="Times New Roman" w:cs="Times New Roman"/>
          <w:sz w:val="24"/>
          <w:szCs w:val="24"/>
        </w:rPr>
        <w:t xml:space="preserve"> that </w:t>
      </w:r>
      <w:r w:rsidR="003D4C76" w:rsidRPr="00AD7BFF">
        <w:rPr>
          <w:rFonts w:ascii="Times New Roman" w:hAnsi="Times New Roman" w:cs="Times New Roman"/>
          <w:sz w:val="24"/>
          <w:szCs w:val="24"/>
        </w:rPr>
        <w:t xml:space="preserve">climate policy address the intricacies of cross-border cooperation. </w:t>
      </w:r>
      <w:r w:rsidR="005C713E" w:rsidRPr="00AD7BFF">
        <w:rPr>
          <w:rFonts w:ascii="Times New Roman" w:hAnsi="Times New Roman" w:cs="Times New Roman"/>
          <w:sz w:val="24"/>
          <w:szCs w:val="24"/>
        </w:rPr>
        <w:t xml:space="preserve">Over the last thirty years of climate change policy there </w:t>
      </w:r>
      <w:r w:rsidR="00E63DEE" w:rsidRPr="00AD7BFF">
        <w:rPr>
          <w:rFonts w:ascii="Times New Roman" w:hAnsi="Times New Roman" w:cs="Times New Roman"/>
          <w:sz w:val="24"/>
          <w:szCs w:val="24"/>
        </w:rPr>
        <w:t xml:space="preserve">have been two main </w:t>
      </w:r>
      <w:r w:rsidR="00CF7533" w:rsidRPr="00AD7BFF">
        <w:rPr>
          <w:rFonts w:ascii="Times New Roman" w:hAnsi="Times New Roman" w:cs="Times New Roman"/>
          <w:sz w:val="24"/>
          <w:szCs w:val="24"/>
        </w:rPr>
        <w:t xml:space="preserve">schools of thought, a </w:t>
      </w:r>
      <w:r w:rsidR="00751737" w:rsidRPr="00AD7BFF">
        <w:rPr>
          <w:rFonts w:ascii="Times New Roman" w:hAnsi="Times New Roman" w:cs="Times New Roman"/>
          <w:sz w:val="24"/>
          <w:szCs w:val="24"/>
        </w:rPr>
        <w:t>neoclassical,</w:t>
      </w:r>
      <w:r w:rsidR="00CF7533" w:rsidRPr="00AD7BFF">
        <w:rPr>
          <w:rFonts w:ascii="Times New Roman" w:hAnsi="Times New Roman" w:cs="Times New Roman"/>
          <w:sz w:val="24"/>
          <w:szCs w:val="24"/>
        </w:rPr>
        <w:t xml:space="preserve"> and a Keynesian and Schumpeterian mindset, when it came </w:t>
      </w:r>
      <w:r w:rsidR="00803064" w:rsidRPr="00AD7BFF">
        <w:rPr>
          <w:rFonts w:ascii="Times New Roman" w:hAnsi="Times New Roman" w:cs="Times New Roman"/>
          <w:sz w:val="24"/>
          <w:szCs w:val="24"/>
        </w:rPr>
        <w:t xml:space="preserve">developing climate policies that were </w:t>
      </w:r>
      <w:r w:rsidR="00A37D1C" w:rsidRPr="00AD7BFF">
        <w:rPr>
          <w:rFonts w:ascii="Times New Roman" w:hAnsi="Times New Roman" w:cs="Times New Roman"/>
          <w:sz w:val="24"/>
          <w:szCs w:val="24"/>
        </w:rPr>
        <w:t>conscious of both the economic and environmental issues at hand</w:t>
      </w:r>
      <w:r w:rsidR="00650826" w:rsidRPr="00AD7BFF">
        <w:rPr>
          <w:rFonts w:ascii="Times New Roman" w:hAnsi="Times New Roman" w:cs="Times New Roman"/>
          <w:sz w:val="24"/>
          <w:szCs w:val="24"/>
        </w:rPr>
        <w:t xml:space="preserve"> </w:t>
      </w:r>
      <w:r w:rsidR="00650826" w:rsidRPr="00AD7BFF">
        <w:rPr>
          <w:rFonts w:ascii="Times New Roman" w:hAnsi="Times New Roman" w:cs="Times New Roman"/>
          <w:sz w:val="24"/>
          <w:szCs w:val="24"/>
        </w:rPr>
        <w:fldChar w:fldCharType="begin"/>
      </w:r>
      <w:r w:rsidR="00650826" w:rsidRPr="00AD7BFF">
        <w:rPr>
          <w:rFonts w:ascii="Times New Roman" w:hAnsi="Times New Roman" w:cs="Times New Roman"/>
          <w:sz w:val="24"/>
          <w:szCs w:val="24"/>
        </w:rPr>
        <w:instrText xml:space="preserve"> ADDIN ZOTERO_ITEM CSL_CITATION {"citationID":"Rruo4zoB","properties":{"formattedCitation":"(Meckling and Allan 2020)","plainCitation":"(Meckling and Allan 2020)","noteIndex":0},"citationItems":[{"id":7702,"uris":["http://zotero.org/users/9930273/items/XTKC4LEN"],"itemData":{"id":7702,"type":"article-journal","abstract":"From carbon pricing to green industrial policy, economic ideas have shaped climate policy. Drawing on a new dataset of policy reports, we show how economic ideas influenced climate policy advice by major international organizations, including the Organisation for Economic Cooperation and Development and the World Bank, from 1990 to 2017. In the 1990s, the neoclassical notion of weak complementarity between environmental protection and growth dominated debates on sustainable development. In the mid-2000s, economic thought on the environment diversified, as the idea of strong complementarity between environmental protection and growth emerged in the green growth discourse. Adaptations of Schumpeterian and Keynesian economics identified investment in energy innovation and infrastructure as drivers of growth. We thus identify a major transformation from a neoclassical paradigm to a diversified policy discourse, suggesting that climate policy has entered a postparadigmatic period. The diversification of ideas broadened policy advice from market-based policy to green industrial policy, including deployment subsidies and regulation.","container-title":"Nature Climate Change","DOI":"10.1038/s41558-020-0739-7","ISSN":"1758-6798","issue":"5","journalAbbreviation":"Nat. Clim. Chang.","language":"en","license":"2020 The Author(s), under exclusive licence to Springer Nature Limited","note":"number: 5\npublisher: Nature Publishing Group","page":"434-438","source":"www.nature.com","title":"The evolution of ideas in global climate policy","volume":"10","author":[{"family":"Meckling","given":"Jonas"},{"family":"Allan","given":"Bentley B."}],"issued":{"date-parts":[["2020",5]]}}}],"schema":"https://github.com/citation-style-language/schema/raw/master/csl-citation.json"} </w:instrText>
      </w:r>
      <w:r w:rsidR="00650826" w:rsidRPr="00AD7BFF">
        <w:rPr>
          <w:rFonts w:ascii="Times New Roman" w:hAnsi="Times New Roman" w:cs="Times New Roman"/>
          <w:sz w:val="24"/>
          <w:szCs w:val="24"/>
        </w:rPr>
        <w:fldChar w:fldCharType="separate"/>
      </w:r>
      <w:r w:rsidR="00650826" w:rsidRPr="00AD7BFF">
        <w:rPr>
          <w:rFonts w:ascii="Times New Roman" w:hAnsi="Times New Roman" w:cs="Times New Roman"/>
          <w:sz w:val="24"/>
          <w:szCs w:val="24"/>
        </w:rPr>
        <w:t>(Meckling and Allan 2020)</w:t>
      </w:r>
      <w:r w:rsidR="00650826" w:rsidRPr="00AD7BFF">
        <w:rPr>
          <w:rFonts w:ascii="Times New Roman" w:hAnsi="Times New Roman" w:cs="Times New Roman"/>
          <w:sz w:val="24"/>
          <w:szCs w:val="24"/>
        </w:rPr>
        <w:fldChar w:fldCharType="end"/>
      </w:r>
      <w:r w:rsidR="00A37D1C" w:rsidRPr="00AD7BFF">
        <w:rPr>
          <w:rFonts w:ascii="Times New Roman" w:hAnsi="Times New Roman" w:cs="Times New Roman"/>
          <w:sz w:val="24"/>
          <w:szCs w:val="24"/>
        </w:rPr>
        <w:t xml:space="preserve">. Early in the 1990’s </w:t>
      </w:r>
      <w:r w:rsidR="00751737" w:rsidRPr="00AD7BFF">
        <w:rPr>
          <w:rFonts w:ascii="Times New Roman" w:hAnsi="Times New Roman" w:cs="Times New Roman"/>
          <w:sz w:val="24"/>
          <w:szCs w:val="24"/>
        </w:rPr>
        <w:t>economists</w:t>
      </w:r>
      <w:r w:rsidR="00A37D1C" w:rsidRPr="00AD7BFF">
        <w:rPr>
          <w:rFonts w:ascii="Times New Roman" w:hAnsi="Times New Roman" w:cs="Times New Roman"/>
          <w:sz w:val="24"/>
          <w:szCs w:val="24"/>
        </w:rPr>
        <w:t xml:space="preserve"> and policymakers were very focused on </w:t>
      </w:r>
      <w:r w:rsidR="00FB1731" w:rsidRPr="00AD7BFF">
        <w:rPr>
          <w:rFonts w:ascii="Times New Roman" w:hAnsi="Times New Roman" w:cs="Times New Roman"/>
          <w:sz w:val="24"/>
          <w:szCs w:val="24"/>
        </w:rPr>
        <w:t xml:space="preserve">neoclassical policies aimed at </w:t>
      </w:r>
      <w:r w:rsidR="001507FA" w:rsidRPr="00AD7BFF">
        <w:rPr>
          <w:rFonts w:ascii="Times New Roman" w:hAnsi="Times New Roman" w:cs="Times New Roman"/>
          <w:sz w:val="24"/>
          <w:szCs w:val="24"/>
        </w:rPr>
        <w:t>constructing</w:t>
      </w:r>
      <w:r w:rsidR="00FB1731" w:rsidRPr="00AD7BFF">
        <w:rPr>
          <w:rFonts w:ascii="Times New Roman" w:hAnsi="Times New Roman" w:cs="Times New Roman"/>
          <w:sz w:val="24"/>
          <w:szCs w:val="24"/>
        </w:rPr>
        <w:t xml:space="preserve"> pricing </w:t>
      </w:r>
      <w:r w:rsidR="001507FA" w:rsidRPr="00AD7BFF">
        <w:rPr>
          <w:rFonts w:ascii="Times New Roman" w:hAnsi="Times New Roman" w:cs="Times New Roman"/>
          <w:sz w:val="24"/>
          <w:szCs w:val="24"/>
        </w:rPr>
        <w:t>metrics</w:t>
      </w:r>
      <w:r w:rsidR="00FB1731" w:rsidRPr="00AD7BFF">
        <w:rPr>
          <w:rFonts w:ascii="Times New Roman" w:hAnsi="Times New Roman" w:cs="Times New Roman"/>
          <w:sz w:val="24"/>
          <w:szCs w:val="24"/>
        </w:rPr>
        <w:t xml:space="preserve"> that </w:t>
      </w:r>
      <w:r w:rsidR="007A79DB" w:rsidRPr="00AD7BFF">
        <w:rPr>
          <w:rFonts w:ascii="Times New Roman" w:hAnsi="Times New Roman" w:cs="Times New Roman"/>
          <w:sz w:val="24"/>
          <w:szCs w:val="24"/>
        </w:rPr>
        <w:t>integrate the in</w:t>
      </w:r>
      <w:r w:rsidR="0092030D" w:rsidRPr="00AD7BFF">
        <w:rPr>
          <w:rFonts w:ascii="Times New Roman" w:hAnsi="Times New Roman" w:cs="Times New Roman"/>
          <w:sz w:val="24"/>
          <w:szCs w:val="24"/>
        </w:rPr>
        <w:t>trinsic</w:t>
      </w:r>
      <w:r w:rsidR="007A79DB" w:rsidRPr="00AD7BFF">
        <w:rPr>
          <w:rFonts w:ascii="Times New Roman" w:hAnsi="Times New Roman" w:cs="Times New Roman"/>
          <w:sz w:val="24"/>
          <w:szCs w:val="24"/>
        </w:rPr>
        <w:t xml:space="preserve"> </w:t>
      </w:r>
      <w:r w:rsidR="00751737" w:rsidRPr="00AD7BFF">
        <w:rPr>
          <w:rFonts w:ascii="Times New Roman" w:hAnsi="Times New Roman" w:cs="Times New Roman"/>
          <w:sz w:val="24"/>
          <w:szCs w:val="24"/>
        </w:rPr>
        <w:t xml:space="preserve">value of natural resources. </w:t>
      </w:r>
      <w:r w:rsidR="00611905" w:rsidRPr="00AD7BFF">
        <w:rPr>
          <w:rFonts w:ascii="Times New Roman" w:hAnsi="Times New Roman" w:cs="Times New Roman"/>
          <w:sz w:val="24"/>
          <w:szCs w:val="24"/>
        </w:rPr>
        <w:t xml:space="preserve">This includes the development of policies like carbon tax and pricing. </w:t>
      </w:r>
      <w:r w:rsidR="00751737" w:rsidRPr="00AD7BFF">
        <w:rPr>
          <w:rFonts w:ascii="Times New Roman" w:hAnsi="Times New Roman" w:cs="Times New Roman"/>
          <w:sz w:val="24"/>
          <w:szCs w:val="24"/>
        </w:rPr>
        <w:t xml:space="preserve">This shifted as time went on to </w:t>
      </w:r>
      <w:r w:rsidR="0092030D" w:rsidRPr="00AD7BFF">
        <w:rPr>
          <w:rFonts w:ascii="Times New Roman" w:hAnsi="Times New Roman" w:cs="Times New Roman"/>
          <w:sz w:val="24"/>
          <w:szCs w:val="24"/>
        </w:rPr>
        <w:t>include</w:t>
      </w:r>
      <w:r w:rsidR="00751737" w:rsidRPr="00AD7BFF">
        <w:rPr>
          <w:rFonts w:ascii="Times New Roman" w:hAnsi="Times New Roman" w:cs="Times New Roman"/>
          <w:sz w:val="24"/>
          <w:szCs w:val="24"/>
        </w:rPr>
        <w:t xml:space="preserve"> </w:t>
      </w:r>
      <w:r w:rsidR="006A5240" w:rsidRPr="00AD7BFF">
        <w:rPr>
          <w:rFonts w:ascii="Times New Roman" w:hAnsi="Times New Roman" w:cs="Times New Roman"/>
          <w:sz w:val="24"/>
          <w:szCs w:val="24"/>
        </w:rPr>
        <w:t>the idea of “green growth” embodied by the Keynesian and Schumpeterian</w:t>
      </w:r>
      <w:r w:rsidR="0089036A" w:rsidRPr="00AD7BFF">
        <w:rPr>
          <w:rFonts w:ascii="Times New Roman" w:hAnsi="Times New Roman" w:cs="Times New Roman"/>
          <w:sz w:val="24"/>
          <w:szCs w:val="24"/>
        </w:rPr>
        <w:t xml:space="preserve"> </w:t>
      </w:r>
      <w:r w:rsidR="005A1721" w:rsidRPr="00AD7BFF">
        <w:rPr>
          <w:rFonts w:ascii="Times New Roman" w:hAnsi="Times New Roman" w:cs="Times New Roman"/>
          <w:sz w:val="24"/>
          <w:szCs w:val="24"/>
        </w:rPr>
        <w:t xml:space="preserve">discourse where </w:t>
      </w:r>
      <w:r w:rsidR="004064E8" w:rsidRPr="00AD7BFF">
        <w:rPr>
          <w:rFonts w:ascii="Times New Roman" w:hAnsi="Times New Roman" w:cs="Times New Roman"/>
          <w:sz w:val="24"/>
          <w:szCs w:val="24"/>
        </w:rPr>
        <w:t>the idea of simulating a low-carbon industrial revolution through government intervention</w:t>
      </w:r>
      <w:r w:rsidR="00650826" w:rsidRPr="00AD7BFF">
        <w:rPr>
          <w:rFonts w:ascii="Times New Roman" w:hAnsi="Times New Roman" w:cs="Times New Roman"/>
          <w:sz w:val="24"/>
          <w:szCs w:val="24"/>
        </w:rPr>
        <w:t xml:space="preserve"> </w:t>
      </w:r>
      <w:r w:rsidR="00650826" w:rsidRPr="00AD7BFF">
        <w:rPr>
          <w:rFonts w:ascii="Times New Roman" w:hAnsi="Times New Roman" w:cs="Times New Roman"/>
          <w:sz w:val="24"/>
          <w:szCs w:val="24"/>
        </w:rPr>
        <w:fldChar w:fldCharType="begin"/>
      </w:r>
      <w:r w:rsidR="00650826" w:rsidRPr="00AD7BFF">
        <w:rPr>
          <w:rFonts w:ascii="Times New Roman" w:hAnsi="Times New Roman" w:cs="Times New Roman"/>
          <w:sz w:val="24"/>
          <w:szCs w:val="24"/>
        </w:rPr>
        <w:instrText xml:space="preserve"> ADDIN ZOTERO_ITEM CSL_CITATION {"citationID":"BRwr2rAQ","properties":{"formattedCitation":"(Meckling and Allan 2020)","plainCitation":"(Meckling and Allan 2020)","noteIndex":0},"citationItems":[{"id":7702,"uris":["http://zotero.org/users/9930273/items/XTKC4LEN"],"itemData":{"id":7702,"type":"article-journal","abstract":"From carbon pricing to green industrial policy, economic ideas have shaped climate policy. Drawing on a new dataset of policy reports, we show how economic ideas influenced climate policy advice by major international organizations, including the Organisation for Economic Cooperation and Development and the World Bank, from 1990 to 2017. In the 1990s, the neoclassical notion of weak complementarity between environmental protection and growth dominated debates on sustainable development. In the mid-2000s, economic thought on the environment diversified, as the idea of strong complementarity between environmental protection and growth emerged in the green growth discourse. Adaptations of Schumpeterian and Keynesian economics identified investment in energy innovation and infrastructure as drivers of growth. We thus identify a major transformation from a neoclassical paradigm to a diversified policy discourse, suggesting that climate policy has entered a postparadigmatic period. The diversification of ideas broadened policy advice from market-based policy to green industrial policy, including deployment subsidies and regulation.","container-title":"Nature Climate Change","DOI":"10.1038/s41558-020-0739-7","ISSN":"1758-6798","issue":"5","journalAbbreviation":"Nat. Clim. Chang.","language":"en","license":"2020 The Author(s), under exclusive licence to Springer Nature Limited","note":"number: 5\npublisher: Nature Publishing Group","page":"434-438","source":"www.nature.com","title":"The evolution of ideas in global climate policy","volume":"10","author":[{"family":"Meckling","given":"Jonas"},{"family":"Allan","given":"Bentley B."}],"issued":{"date-parts":[["2020",5]]}}}],"schema":"https://github.com/citation-style-language/schema/raw/master/csl-citation.json"} </w:instrText>
      </w:r>
      <w:r w:rsidR="00650826" w:rsidRPr="00AD7BFF">
        <w:rPr>
          <w:rFonts w:ascii="Times New Roman" w:hAnsi="Times New Roman" w:cs="Times New Roman"/>
          <w:sz w:val="24"/>
          <w:szCs w:val="24"/>
        </w:rPr>
        <w:fldChar w:fldCharType="separate"/>
      </w:r>
      <w:r w:rsidR="00650826" w:rsidRPr="00AD7BFF">
        <w:rPr>
          <w:rFonts w:ascii="Times New Roman" w:hAnsi="Times New Roman" w:cs="Times New Roman"/>
          <w:sz w:val="24"/>
          <w:szCs w:val="24"/>
        </w:rPr>
        <w:t>(Meckling and Allan 2020)</w:t>
      </w:r>
      <w:r w:rsidR="00650826" w:rsidRPr="00AD7BFF">
        <w:rPr>
          <w:rFonts w:ascii="Times New Roman" w:hAnsi="Times New Roman" w:cs="Times New Roman"/>
          <w:sz w:val="24"/>
          <w:szCs w:val="24"/>
        </w:rPr>
        <w:fldChar w:fldCharType="end"/>
      </w:r>
      <w:r w:rsidR="004C3440" w:rsidRPr="00AD7BFF">
        <w:rPr>
          <w:rFonts w:ascii="Times New Roman" w:hAnsi="Times New Roman" w:cs="Times New Roman"/>
          <w:sz w:val="24"/>
          <w:szCs w:val="24"/>
        </w:rPr>
        <w:t xml:space="preserve">. </w:t>
      </w:r>
      <w:r w:rsidR="00A21184" w:rsidRPr="00AD7BFF">
        <w:rPr>
          <w:rFonts w:ascii="Times New Roman" w:hAnsi="Times New Roman" w:cs="Times New Roman"/>
          <w:sz w:val="24"/>
          <w:szCs w:val="24"/>
        </w:rPr>
        <w:t>This school of thought on climate policy heavily emphasizes intervent</w:t>
      </w:r>
      <w:r w:rsidR="00D80E11" w:rsidRPr="00AD7BFF">
        <w:rPr>
          <w:rFonts w:ascii="Times New Roman" w:hAnsi="Times New Roman" w:cs="Times New Roman"/>
          <w:sz w:val="24"/>
          <w:szCs w:val="24"/>
        </w:rPr>
        <w:t xml:space="preserve">ions by government to push for </w:t>
      </w:r>
      <w:r w:rsidR="00C56405" w:rsidRPr="00AD7BFF">
        <w:rPr>
          <w:rFonts w:ascii="Times New Roman" w:hAnsi="Times New Roman" w:cs="Times New Roman"/>
          <w:sz w:val="24"/>
          <w:szCs w:val="24"/>
        </w:rPr>
        <w:t xml:space="preserve">technological change and therefore driving growth through adaptation to climate change rather than </w:t>
      </w:r>
      <w:r w:rsidR="00F25CD4" w:rsidRPr="00AD7BFF">
        <w:rPr>
          <w:rFonts w:ascii="Times New Roman" w:hAnsi="Times New Roman" w:cs="Times New Roman"/>
          <w:sz w:val="24"/>
          <w:szCs w:val="24"/>
        </w:rPr>
        <w:t xml:space="preserve">economic growth </w:t>
      </w:r>
      <w:r w:rsidR="00750821" w:rsidRPr="00AD7BFF">
        <w:rPr>
          <w:rFonts w:ascii="Times New Roman" w:hAnsi="Times New Roman" w:cs="Times New Roman"/>
          <w:sz w:val="24"/>
          <w:szCs w:val="24"/>
        </w:rPr>
        <w:t xml:space="preserve">stagnating from stringent environmental policies. These </w:t>
      </w:r>
      <w:r w:rsidR="00667F69" w:rsidRPr="00AD7BFF">
        <w:rPr>
          <w:rFonts w:ascii="Times New Roman" w:hAnsi="Times New Roman" w:cs="Times New Roman"/>
          <w:sz w:val="24"/>
          <w:szCs w:val="24"/>
        </w:rPr>
        <w:t xml:space="preserve">two policy frameworks have grown to be seen as complementary to one another </w:t>
      </w:r>
      <w:r w:rsidR="00CB61AE" w:rsidRPr="00AD7BFF">
        <w:rPr>
          <w:rFonts w:ascii="Times New Roman" w:hAnsi="Times New Roman" w:cs="Times New Roman"/>
          <w:sz w:val="24"/>
          <w:szCs w:val="24"/>
        </w:rPr>
        <w:t xml:space="preserve">as the need to address climate change has because politically more palatable. </w:t>
      </w:r>
    </w:p>
    <w:p w14:paraId="2C8FAF94" w14:textId="2A4DCF7B" w:rsidR="00D90A9A" w:rsidRPr="00C81036" w:rsidRDefault="00E800DB" w:rsidP="002F7D3D">
      <w:pPr>
        <w:rPr>
          <w:rFonts w:ascii="Times New Roman" w:hAnsi="Times New Roman" w:cs="Times New Roman"/>
          <w:sz w:val="24"/>
          <w:szCs w:val="24"/>
        </w:rPr>
      </w:pPr>
      <w:r w:rsidRPr="00C81036">
        <w:rPr>
          <w:rFonts w:ascii="Times New Roman" w:hAnsi="Times New Roman" w:cs="Times New Roman"/>
          <w:sz w:val="24"/>
          <w:szCs w:val="24"/>
        </w:rPr>
        <w:lastRenderedPageBreak/>
        <w:t>The United Nations Framework Convention on Climate Change was established in 1992 and was th</w:t>
      </w:r>
      <w:r w:rsidR="00195E39" w:rsidRPr="00C81036">
        <w:rPr>
          <w:rFonts w:ascii="Times New Roman" w:hAnsi="Times New Roman" w:cs="Times New Roman"/>
          <w:sz w:val="24"/>
          <w:szCs w:val="24"/>
        </w:rPr>
        <w:t>e first global joint effort to address climate change</w:t>
      </w:r>
      <w:r w:rsidR="005510EB" w:rsidRPr="00C81036">
        <w:rPr>
          <w:rFonts w:ascii="Times New Roman" w:hAnsi="Times New Roman" w:cs="Times New Roman"/>
          <w:sz w:val="24"/>
          <w:szCs w:val="24"/>
        </w:rPr>
        <w:t xml:space="preserve"> </w:t>
      </w:r>
      <w:r w:rsidR="005510EB" w:rsidRPr="00C81036">
        <w:rPr>
          <w:rFonts w:ascii="Times New Roman" w:hAnsi="Times New Roman" w:cs="Times New Roman"/>
          <w:sz w:val="24"/>
          <w:szCs w:val="24"/>
        </w:rPr>
        <w:fldChar w:fldCharType="begin"/>
      </w:r>
      <w:r w:rsidR="005510EB" w:rsidRPr="00C81036">
        <w:rPr>
          <w:rFonts w:ascii="Times New Roman" w:hAnsi="Times New Roman" w:cs="Times New Roman"/>
          <w:sz w:val="24"/>
          <w:szCs w:val="24"/>
        </w:rPr>
        <w:instrText xml:space="preserve"> ADDIN ZOTERO_ITEM CSL_CITATION {"citationID":"Lq7v2dbA","properties":{"formattedCitation":"(\\uc0\\u8220{}What Is the United Nations Framework Convention on Climate Change? | UNFCCC,\\uc0\\u8221{} n.d.)","plainCitation":"(“What Is the United Nations Framework Convention on Climate Change? | UNFCCC,” n.d.)","noteIndex":0},"citationItems":[{"id":7820,"uris":["http://zotero.org/users/9930273/items/7I3XYDXP"],"itemData":{"id":7820,"type":"webpage","title":"What is the United Nations Framework Convention on Climate Change? | UNFCCC","URL":"https://unfccc.int/process-and-meetings/what-is-the-united-nations-framework-convention-on-climate-change","accessed":{"date-parts":[["2024",2,28]]}}}],"schema":"https://github.com/citation-style-language/schema/raw/master/csl-citation.json"} </w:instrText>
      </w:r>
      <w:r w:rsidR="005510EB" w:rsidRPr="00C81036">
        <w:rPr>
          <w:rFonts w:ascii="Times New Roman" w:hAnsi="Times New Roman" w:cs="Times New Roman"/>
          <w:sz w:val="24"/>
          <w:szCs w:val="24"/>
        </w:rPr>
        <w:fldChar w:fldCharType="separate"/>
      </w:r>
      <w:r w:rsidR="005510EB" w:rsidRPr="00C81036">
        <w:rPr>
          <w:rFonts w:ascii="Times New Roman" w:hAnsi="Times New Roman" w:cs="Times New Roman"/>
          <w:kern w:val="0"/>
          <w:sz w:val="24"/>
          <w:szCs w:val="24"/>
        </w:rPr>
        <w:t>(UNFCCC)</w:t>
      </w:r>
      <w:r w:rsidR="005510EB" w:rsidRPr="00C81036">
        <w:rPr>
          <w:rFonts w:ascii="Times New Roman" w:hAnsi="Times New Roman" w:cs="Times New Roman"/>
          <w:sz w:val="24"/>
          <w:szCs w:val="24"/>
        </w:rPr>
        <w:fldChar w:fldCharType="end"/>
      </w:r>
      <w:r w:rsidR="00195E39" w:rsidRPr="00C81036">
        <w:rPr>
          <w:rFonts w:ascii="Times New Roman" w:hAnsi="Times New Roman" w:cs="Times New Roman"/>
          <w:sz w:val="24"/>
          <w:szCs w:val="24"/>
        </w:rPr>
        <w:t xml:space="preserve">. </w:t>
      </w:r>
      <w:r w:rsidR="00B46FEC" w:rsidRPr="00C81036">
        <w:rPr>
          <w:rFonts w:ascii="Times New Roman" w:hAnsi="Times New Roman" w:cs="Times New Roman"/>
          <w:sz w:val="24"/>
          <w:szCs w:val="24"/>
        </w:rPr>
        <w:t xml:space="preserve">This effort resulted in the enforcement of Kyoto </w:t>
      </w:r>
      <w:r w:rsidR="00881DA0" w:rsidRPr="00C81036">
        <w:rPr>
          <w:rFonts w:ascii="Times New Roman" w:hAnsi="Times New Roman" w:cs="Times New Roman"/>
          <w:sz w:val="24"/>
          <w:szCs w:val="24"/>
        </w:rPr>
        <w:t>Protocol</w:t>
      </w:r>
      <w:r w:rsidR="00B46FEC" w:rsidRPr="00C81036">
        <w:rPr>
          <w:rFonts w:ascii="Times New Roman" w:hAnsi="Times New Roman" w:cs="Times New Roman"/>
          <w:sz w:val="24"/>
          <w:szCs w:val="24"/>
        </w:rPr>
        <w:t xml:space="preserve"> in 2005 which </w:t>
      </w:r>
      <w:r w:rsidR="00EB076F" w:rsidRPr="00C81036">
        <w:rPr>
          <w:rFonts w:ascii="Times New Roman" w:hAnsi="Times New Roman" w:cs="Times New Roman"/>
          <w:sz w:val="24"/>
          <w:szCs w:val="24"/>
        </w:rPr>
        <w:t>set</w:t>
      </w:r>
      <w:r w:rsidR="00FC229B" w:rsidRPr="00C81036">
        <w:rPr>
          <w:rFonts w:ascii="Times New Roman" w:hAnsi="Times New Roman" w:cs="Times New Roman"/>
          <w:sz w:val="24"/>
          <w:szCs w:val="24"/>
        </w:rPr>
        <w:t xml:space="preserve">s binding </w:t>
      </w:r>
      <w:r w:rsidR="00EB076F" w:rsidRPr="00C81036">
        <w:rPr>
          <w:rFonts w:ascii="Times New Roman" w:hAnsi="Times New Roman" w:cs="Times New Roman"/>
          <w:sz w:val="24"/>
          <w:szCs w:val="24"/>
        </w:rPr>
        <w:t xml:space="preserve">targets for </w:t>
      </w:r>
      <w:r w:rsidR="005227AE" w:rsidRPr="00C81036">
        <w:rPr>
          <w:rFonts w:ascii="Times New Roman" w:hAnsi="Times New Roman" w:cs="Times New Roman"/>
          <w:sz w:val="24"/>
          <w:szCs w:val="24"/>
        </w:rPr>
        <w:t>industrial countries to limit their greenhouse gas emissions</w:t>
      </w:r>
      <w:r w:rsidR="00B277F1" w:rsidRPr="00C81036">
        <w:rPr>
          <w:rFonts w:ascii="Times New Roman" w:hAnsi="Times New Roman" w:cs="Times New Roman"/>
          <w:sz w:val="24"/>
          <w:szCs w:val="24"/>
        </w:rPr>
        <w:t xml:space="preserve"> </w:t>
      </w:r>
      <w:r w:rsidR="00B277F1" w:rsidRPr="00C81036">
        <w:rPr>
          <w:rFonts w:ascii="Times New Roman" w:hAnsi="Times New Roman" w:cs="Times New Roman"/>
          <w:sz w:val="24"/>
          <w:szCs w:val="24"/>
        </w:rPr>
        <w:fldChar w:fldCharType="begin"/>
      </w:r>
      <w:r w:rsidR="00B277F1" w:rsidRPr="00C81036">
        <w:rPr>
          <w:rFonts w:ascii="Times New Roman" w:hAnsi="Times New Roman" w:cs="Times New Roman"/>
          <w:sz w:val="24"/>
          <w:szCs w:val="24"/>
        </w:rPr>
        <w:instrText xml:space="preserve"> ADDIN ZOTERO_ITEM CSL_CITATION {"citationID":"9Pszbv6v","properties":{"formattedCitation":"(Purdy 2005)","plainCitation":"(Purdy 2005)","noteIndex":0},"citationItems":[{"id":7822,"uris":["http://zotero.org/users/9930273/items/4EQC8GWN"],"itemData":{"id":7822,"type":"article-newspaper","abstract":"The worldwide battle against climate change moves up a gear today as the landmark Kyoto protocol comes into force. Alison Purdy from the Press Association explains.","container-title":"The Guardian","ISSN":"0261-3077","language":"en-GB","section":"Environment","source":"The Guardian","title":"The Kyoto protocol","URL":"https://www.theguardian.com/environment/2005/feb/16/sciencenews.environment","author":[{"family":"Purdy","given":"Alison"}],"accessed":{"date-parts":[["2024",2,28]]},"issued":{"date-parts":[["2005",2,16]]}}}],"schema":"https://github.com/citation-style-language/schema/raw/master/csl-citation.json"} </w:instrText>
      </w:r>
      <w:r w:rsidR="00B277F1" w:rsidRPr="00C81036">
        <w:rPr>
          <w:rFonts w:ascii="Times New Roman" w:hAnsi="Times New Roman" w:cs="Times New Roman"/>
          <w:sz w:val="24"/>
          <w:szCs w:val="24"/>
        </w:rPr>
        <w:fldChar w:fldCharType="separate"/>
      </w:r>
      <w:r w:rsidR="00B277F1" w:rsidRPr="00C81036">
        <w:rPr>
          <w:rFonts w:ascii="Times New Roman" w:hAnsi="Times New Roman" w:cs="Times New Roman"/>
          <w:sz w:val="24"/>
          <w:szCs w:val="24"/>
        </w:rPr>
        <w:t>(Purdy 2005)</w:t>
      </w:r>
      <w:r w:rsidR="00B277F1" w:rsidRPr="00C81036">
        <w:rPr>
          <w:rFonts w:ascii="Times New Roman" w:hAnsi="Times New Roman" w:cs="Times New Roman"/>
          <w:sz w:val="24"/>
          <w:szCs w:val="24"/>
        </w:rPr>
        <w:fldChar w:fldCharType="end"/>
      </w:r>
      <w:r w:rsidR="005227AE" w:rsidRPr="00C81036">
        <w:rPr>
          <w:rFonts w:ascii="Times New Roman" w:hAnsi="Times New Roman" w:cs="Times New Roman"/>
          <w:sz w:val="24"/>
          <w:szCs w:val="24"/>
        </w:rPr>
        <w:t>.</w:t>
      </w:r>
      <w:r w:rsidR="0056080D" w:rsidRPr="00C81036">
        <w:rPr>
          <w:rFonts w:ascii="Times New Roman" w:hAnsi="Times New Roman" w:cs="Times New Roman"/>
          <w:sz w:val="24"/>
          <w:szCs w:val="24"/>
        </w:rPr>
        <w:t xml:space="preserve"> </w:t>
      </w:r>
      <w:r w:rsidR="00B21578" w:rsidRPr="00C81036">
        <w:rPr>
          <w:rFonts w:ascii="Times New Roman" w:hAnsi="Times New Roman" w:cs="Times New Roman"/>
          <w:sz w:val="24"/>
          <w:szCs w:val="24"/>
        </w:rPr>
        <w:t>Culminating</w:t>
      </w:r>
      <w:r w:rsidR="0056080D" w:rsidRPr="00C81036">
        <w:rPr>
          <w:rFonts w:ascii="Times New Roman" w:hAnsi="Times New Roman" w:cs="Times New Roman"/>
          <w:sz w:val="24"/>
          <w:szCs w:val="24"/>
        </w:rPr>
        <w:t xml:space="preserve"> nearly 20 years of </w:t>
      </w:r>
      <w:r w:rsidR="00B21578" w:rsidRPr="00C81036">
        <w:rPr>
          <w:rFonts w:ascii="Times New Roman" w:hAnsi="Times New Roman" w:cs="Times New Roman"/>
          <w:sz w:val="24"/>
          <w:szCs w:val="24"/>
        </w:rPr>
        <w:t>international effort</w:t>
      </w:r>
      <w:r w:rsidR="00D32ABA" w:rsidRPr="00C81036">
        <w:rPr>
          <w:rFonts w:ascii="Times New Roman" w:hAnsi="Times New Roman" w:cs="Times New Roman"/>
          <w:sz w:val="24"/>
          <w:szCs w:val="24"/>
        </w:rPr>
        <w:t>, the Paris Climate Agreement</w:t>
      </w:r>
      <w:r w:rsidR="00B21578" w:rsidRPr="00C81036">
        <w:rPr>
          <w:rFonts w:ascii="Times New Roman" w:hAnsi="Times New Roman" w:cs="Times New Roman"/>
          <w:sz w:val="24"/>
          <w:szCs w:val="24"/>
        </w:rPr>
        <w:t xml:space="preserve"> in 2015 </w:t>
      </w:r>
      <w:r w:rsidR="000E6265" w:rsidRPr="00C81036">
        <w:rPr>
          <w:rFonts w:ascii="Times New Roman" w:hAnsi="Times New Roman" w:cs="Times New Roman"/>
          <w:sz w:val="24"/>
          <w:szCs w:val="24"/>
        </w:rPr>
        <w:t>ser forth the ambitious goal of reducing</w:t>
      </w:r>
      <w:r w:rsidR="009E323A" w:rsidRPr="00C81036">
        <w:rPr>
          <w:rFonts w:ascii="Times New Roman" w:hAnsi="Times New Roman" w:cs="Times New Roman"/>
          <w:sz w:val="24"/>
          <w:szCs w:val="24"/>
        </w:rPr>
        <w:t xml:space="preserve"> global greenhouse gas emissions to </w:t>
      </w:r>
      <w:r w:rsidR="00926743" w:rsidRPr="00C81036">
        <w:rPr>
          <w:rFonts w:ascii="Times New Roman" w:hAnsi="Times New Roman" w:cs="Times New Roman"/>
          <w:sz w:val="24"/>
          <w:szCs w:val="24"/>
        </w:rPr>
        <w:t>limit goal warming to below 2 degrees Celsius</w:t>
      </w:r>
      <w:r w:rsidR="00407954" w:rsidRPr="00C81036">
        <w:rPr>
          <w:rFonts w:ascii="Times New Roman" w:hAnsi="Times New Roman" w:cs="Times New Roman"/>
          <w:sz w:val="24"/>
          <w:szCs w:val="24"/>
        </w:rPr>
        <w:t xml:space="preserve"> </w:t>
      </w:r>
      <w:r w:rsidR="00407954" w:rsidRPr="00C81036">
        <w:rPr>
          <w:rFonts w:ascii="Times New Roman" w:hAnsi="Times New Roman" w:cs="Times New Roman"/>
          <w:sz w:val="24"/>
          <w:szCs w:val="24"/>
        </w:rPr>
        <w:fldChar w:fldCharType="begin"/>
      </w:r>
      <w:r w:rsidR="00407954" w:rsidRPr="00C81036">
        <w:rPr>
          <w:rFonts w:ascii="Times New Roman" w:hAnsi="Times New Roman" w:cs="Times New Roman"/>
          <w:sz w:val="24"/>
          <w:szCs w:val="24"/>
        </w:rPr>
        <w:instrText xml:space="preserve"> ADDIN ZOTERO_ITEM CSL_CITATION {"citationID":"xke2ryxd","properties":{"formattedCitation":"(Martin, n.d.)","plainCitation":"(Martin, n.d.)","noteIndex":0},"citationItems":[{"id":7824,"uris":["http://zotero.org/users/9930273/items/EDTAAFWZ"],"itemData":{"id":7824,"type":"post-weblog","abstract":"United Nations Sustainable Development Goals - Time for Global Action for People and Planet","container-title":"United Nations Sustainable Development","language":"en-US","title":"Climate Action","URL":"https://www.un.org/sustainabledevelopment/climate-action/","author":[{"literal":"Martin"}],"accessed":{"date-parts":[["2024",2,28]]}}}],"schema":"https://github.com/citation-style-language/schema/raw/master/csl-citation.json"} </w:instrText>
      </w:r>
      <w:r w:rsidR="00407954" w:rsidRPr="00C81036">
        <w:rPr>
          <w:rFonts w:ascii="Times New Roman" w:hAnsi="Times New Roman" w:cs="Times New Roman"/>
          <w:sz w:val="24"/>
          <w:szCs w:val="24"/>
        </w:rPr>
        <w:fldChar w:fldCharType="separate"/>
      </w:r>
      <w:r w:rsidR="00407954" w:rsidRPr="00C81036">
        <w:rPr>
          <w:rFonts w:ascii="Times New Roman" w:hAnsi="Times New Roman" w:cs="Times New Roman"/>
          <w:sz w:val="24"/>
          <w:szCs w:val="24"/>
        </w:rPr>
        <w:t>(Martin, n.d.)</w:t>
      </w:r>
      <w:r w:rsidR="00407954" w:rsidRPr="00C81036">
        <w:rPr>
          <w:rFonts w:ascii="Times New Roman" w:hAnsi="Times New Roman" w:cs="Times New Roman"/>
          <w:sz w:val="24"/>
          <w:szCs w:val="24"/>
        </w:rPr>
        <w:fldChar w:fldCharType="end"/>
      </w:r>
      <w:r w:rsidR="00926743" w:rsidRPr="00C81036">
        <w:rPr>
          <w:rFonts w:ascii="Times New Roman" w:hAnsi="Times New Roman" w:cs="Times New Roman"/>
          <w:sz w:val="24"/>
          <w:szCs w:val="24"/>
        </w:rPr>
        <w:t xml:space="preserve">. </w:t>
      </w:r>
      <w:r w:rsidR="002577E7" w:rsidRPr="00C81036">
        <w:rPr>
          <w:rFonts w:ascii="Times New Roman" w:hAnsi="Times New Roman" w:cs="Times New Roman"/>
          <w:sz w:val="24"/>
          <w:szCs w:val="24"/>
        </w:rPr>
        <w:t xml:space="preserve">This established each country’s “nationally determined contribution” or NDC </w:t>
      </w:r>
      <w:r w:rsidR="000930A8" w:rsidRPr="00C81036">
        <w:rPr>
          <w:rFonts w:ascii="Times New Roman" w:hAnsi="Times New Roman" w:cs="Times New Roman"/>
          <w:sz w:val="24"/>
          <w:szCs w:val="24"/>
        </w:rPr>
        <w:t>which sets a greenhouse gas emission reduction by a set date</w:t>
      </w:r>
      <w:r w:rsidR="000A5AF1" w:rsidRPr="00C81036">
        <w:rPr>
          <w:rFonts w:ascii="Times New Roman" w:hAnsi="Times New Roman" w:cs="Times New Roman"/>
          <w:sz w:val="24"/>
          <w:szCs w:val="24"/>
        </w:rPr>
        <w:t xml:space="preserve"> and for transparency amongst nations on data related to greenhouse gas emissions</w:t>
      </w:r>
      <w:r w:rsidR="009A5619" w:rsidRPr="00C81036">
        <w:rPr>
          <w:rFonts w:ascii="Times New Roman" w:hAnsi="Times New Roman" w:cs="Times New Roman"/>
          <w:sz w:val="24"/>
          <w:szCs w:val="24"/>
        </w:rPr>
        <w:t xml:space="preserve">. The agreement </w:t>
      </w:r>
      <w:r w:rsidR="00767FE8" w:rsidRPr="00C81036">
        <w:rPr>
          <w:rFonts w:ascii="Times New Roman" w:hAnsi="Times New Roman" w:cs="Times New Roman"/>
          <w:sz w:val="24"/>
          <w:szCs w:val="24"/>
        </w:rPr>
        <w:t xml:space="preserve">set forth precedent that carbon taxes would be a means by which countries could lower their emissions and that </w:t>
      </w:r>
      <w:r w:rsidR="00FC3000" w:rsidRPr="00C81036">
        <w:rPr>
          <w:rFonts w:ascii="Times New Roman" w:hAnsi="Times New Roman" w:cs="Times New Roman"/>
          <w:sz w:val="24"/>
          <w:szCs w:val="24"/>
        </w:rPr>
        <w:t xml:space="preserve">high income countries have an obligation to lower income countries to provide technological aid that helps them reduce their emissions. </w:t>
      </w:r>
      <w:r w:rsidR="005C2FFD" w:rsidRPr="00C81036">
        <w:rPr>
          <w:rFonts w:ascii="Times New Roman" w:hAnsi="Times New Roman" w:cs="Times New Roman"/>
          <w:sz w:val="24"/>
          <w:szCs w:val="24"/>
        </w:rPr>
        <w:t>Even though</w:t>
      </w:r>
      <w:r w:rsidR="000D0B90" w:rsidRPr="00C81036">
        <w:rPr>
          <w:rFonts w:ascii="Times New Roman" w:hAnsi="Times New Roman" w:cs="Times New Roman"/>
          <w:sz w:val="24"/>
          <w:szCs w:val="24"/>
        </w:rPr>
        <w:t xml:space="preserve"> </w:t>
      </w:r>
      <w:r w:rsidR="00F7255D" w:rsidRPr="00C81036">
        <w:rPr>
          <w:rFonts w:ascii="Times New Roman" w:hAnsi="Times New Roman" w:cs="Times New Roman"/>
          <w:sz w:val="24"/>
          <w:szCs w:val="24"/>
        </w:rPr>
        <w:t xml:space="preserve">it brought climate change to the forefront of </w:t>
      </w:r>
      <w:r w:rsidR="00BC1AC4" w:rsidRPr="00C81036">
        <w:rPr>
          <w:rFonts w:ascii="Times New Roman" w:hAnsi="Times New Roman" w:cs="Times New Roman"/>
          <w:sz w:val="24"/>
          <w:szCs w:val="24"/>
        </w:rPr>
        <w:t>countries’ policies, current estimates have many countries falling far short of their set emissions targets</w:t>
      </w:r>
      <w:r w:rsidR="000D0B90" w:rsidRPr="00C81036">
        <w:rPr>
          <w:rFonts w:ascii="Times New Roman" w:hAnsi="Times New Roman" w:cs="Times New Roman"/>
          <w:sz w:val="24"/>
          <w:szCs w:val="24"/>
        </w:rPr>
        <w:t xml:space="preserve"> and there are no legally binding emissions caps globally. </w:t>
      </w:r>
    </w:p>
    <w:p w14:paraId="45D3C8DE" w14:textId="2376CBB7" w:rsidR="00AF289F" w:rsidRPr="00C81036" w:rsidRDefault="00E413FE" w:rsidP="002F7D3D">
      <w:pPr>
        <w:rPr>
          <w:rFonts w:ascii="Times New Roman" w:hAnsi="Times New Roman" w:cs="Times New Roman"/>
          <w:sz w:val="24"/>
          <w:szCs w:val="24"/>
        </w:rPr>
      </w:pPr>
      <w:r w:rsidRPr="00C81036">
        <w:rPr>
          <w:rFonts w:ascii="Times New Roman" w:hAnsi="Times New Roman" w:cs="Times New Roman"/>
          <w:sz w:val="24"/>
          <w:szCs w:val="24"/>
        </w:rPr>
        <w:t xml:space="preserve">Policies on how to reach these emissions </w:t>
      </w:r>
      <w:r w:rsidR="002A5BF2" w:rsidRPr="00C81036">
        <w:rPr>
          <w:rFonts w:ascii="Times New Roman" w:hAnsi="Times New Roman" w:cs="Times New Roman"/>
          <w:sz w:val="24"/>
          <w:szCs w:val="24"/>
        </w:rPr>
        <w:t xml:space="preserve">goals are referred to as climate mitigation policies. </w:t>
      </w:r>
      <w:r w:rsidR="000E71DC" w:rsidRPr="00C81036">
        <w:rPr>
          <w:rFonts w:ascii="Times New Roman" w:hAnsi="Times New Roman" w:cs="Times New Roman"/>
          <w:sz w:val="24"/>
          <w:szCs w:val="24"/>
        </w:rPr>
        <w:t xml:space="preserve">This literature </w:t>
      </w:r>
      <w:r w:rsidR="008852CB" w:rsidRPr="00C81036">
        <w:rPr>
          <w:rFonts w:ascii="Times New Roman" w:hAnsi="Times New Roman" w:cs="Times New Roman"/>
          <w:sz w:val="24"/>
          <w:szCs w:val="24"/>
        </w:rPr>
        <w:t>review offers</w:t>
      </w:r>
      <w:r w:rsidR="00063E3C" w:rsidRPr="00C81036">
        <w:rPr>
          <w:rFonts w:ascii="Times New Roman" w:hAnsi="Times New Roman" w:cs="Times New Roman"/>
          <w:sz w:val="24"/>
          <w:szCs w:val="24"/>
        </w:rPr>
        <w:t xml:space="preserve"> a comprehensive analysis of </w:t>
      </w:r>
      <w:r w:rsidR="009C4FC7" w:rsidRPr="00C81036">
        <w:rPr>
          <w:rFonts w:ascii="Times New Roman" w:hAnsi="Times New Roman" w:cs="Times New Roman"/>
          <w:sz w:val="24"/>
          <w:szCs w:val="24"/>
        </w:rPr>
        <w:t>economic research related to climate mitigation policies</w:t>
      </w:r>
      <w:r w:rsidR="00DE7634" w:rsidRPr="00C81036">
        <w:rPr>
          <w:rFonts w:ascii="Times New Roman" w:hAnsi="Times New Roman" w:cs="Times New Roman"/>
          <w:sz w:val="24"/>
          <w:szCs w:val="24"/>
        </w:rPr>
        <w:t xml:space="preserve"> by breaking climate mitigation into two groups, non-carbon </w:t>
      </w:r>
      <w:r w:rsidR="006C41FA" w:rsidRPr="00C81036">
        <w:rPr>
          <w:rFonts w:ascii="Times New Roman" w:hAnsi="Times New Roman" w:cs="Times New Roman"/>
          <w:sz w:val="24"/>
          <w:szCs w:val="24"/>
        </w:rPr>
        <w:t>tax-based</w:t>
      </w:r>
      <w:r w:rsidR="00D2459D" w:rsidRPr="00C81036">
        <w:rPr>
          <w:rFonts w:ascii="Times New Roman" w:hAnsi="Times New Roman" w:cs="Times New Roman"/>
          <w:sz w:val="24"/>
          <w:szCs w:val="24"/>
        </w:rPr>
        <w:t xml:space="preserve"> policies and carbon taxed based policies. </w:t>
      </w:r>
      <w:r w:rsidR="00F02F74" w:rsidRPr="00C81036">
        <w:rPr>
          <w:rFonts w:ascii="Times New Roman" w:hAnsi="Times New Roman" w:cs="Times New Roman"/>
          <w:sz w:val="24"/>
          <w:szCs w:val="24"/>
        </w:rPr>
        <w:t xml:space="preserve">Non-carbon taxed based policies </w:t>
      </w:r>
      <w:r w:rsidR="000D4F34" w:rsidRPr="00C81036">
        <w:rPr>
          <w:rFonts w:ascii="Times New Roman" w:hAnsi="Times New Roman" w:cs="Times New Roman"/>
          <w:sz w:val="24"/>
          <w:szCs w:val="24"/>
        </w:rPr>
        <w:t>include</w:t>
      </w:r>
      <w:r w:rsidR="00F02F74" w:rsidRPr="00C81036">
        <w:rPr>
          <w:rFonts w:ascii="Times New Roman" w:hAnsi="Times New Roman" w:cs="Times New Roman"/>
          <w:sz w:val="24"/>
          <w:szCs w:val="24"/>
        </w:rPr>
        <w:t xml:space="preserve"> </w:t>
      </w:r>
      <w:r w:rsidR="00EC6F0C" w:rsidRPr="00C81036">
        <w:rPr>
          <w:rFonts w:ascii="Times New Roman" w:hAnsi="Times New Roman" w:cs="Times New Roman"/>
          <w:sz w:val="24"/>
          <w:szCs w:val="24"/>
        </w:rPr>
        <w:t xml:space="preserve">emissions performance standards, renewable shares requirements, </w:t>
      </w:r>
      <w:r w:rsidR="006C41FA" w:rsidRPr="00C81036">
        <w:rPr>
          <w:rFonts w:ascii="Times New Roman" w:hAnsi="Times New Roman" w:cs="Times New Roman"/>
          <w:sz w:val="24"/>
          <w:szCs w:val="24"/>
        </w:rPr>
        <w:t xml:space="preserve">renewable subsidies, and research and development subsidies aimed at reducing greenhouse gas emissions. </w:t>
      </w:r>
      <w:r w:rsidR="004A32A8" w:rsidRPr="00C81036">
        <w:rPr>
          <w:rFonts w:ascii="Times New Roman" w:hAnsi="Times New Roman" w:cs="Times New Roman"/>
          <w:sz w:val="24"/>
          <w:szCs w:val="24"/>
        </w:rPr>
        <w:t>Fischer</w:t>
      </w:r>
      <w:r w:rsidR="00A54A12" w:rsidRPr="00C81036">
        <w:rPr>
          <w:rFonts w:ascii="Times New Roman" w:hAnsi="Times New Roman" w:cs="Times New Roman"/>
          <w:sz w:val="24"/>
          <w:szCs w:val="24"/>
        </w:rPr>
        <w:t xml:space="preserve"> and New</w:t>
      </w:r>
      <w:r w:rsidR="004A32A8" w:rsidRPr="00C81036">
        <w:rPr>
          <w:rFonts w:ascii="Times New Roman" w:hAnsi="Times New Roman" w:cs="Times New Roman"/>
          <w:sz w:val="24"/>
          <w:szCs w:val="24"/>
        </w:rPr>
        <w:t xml:space="preserve">ell (2007) argue that while </w:t>
      </w:r>
      <w:r w:rsidR="007B0465" w:rsidRPr="00C81036">
        <w:rPr>
          <w:rFonts w:ascii="Times New Roman" w:hAnsi="Times New Roman" w:cs="Times New Roman"/>
          <w:sz w:val="24"/>
          <w:szCs w:val="24"/>
        </w:rPr>
        <w:t>economists</w:t>
      </w:r>
      <w:r w:rsidR="004A32A8" w:rsidRPr="00C81036">
        <w:rPr>
          <w:rFonts w:ascii="Times New Roman" w:hAnsi="Times New Roman" w:cs="Times New Roman"/>
          <w:sz w:val="24"/>
          <w:szCs w:val="24"/>
        </w:rPr>
        <w:t xml:space="preserve"> may suggest that carbon pricing is the most efficient way to </w:t>
      </w:r>
      <w:r w:rsidR="001E2AF3" w:rsidRPr="00C81036">
        <w:rPr>
          <w:rFonts w:ascii="Times New Roman" w:hAnsi="Times New Roman" w:cs="Times New Roman"/>
          <w:sz w:val="24"/>
          <w:szCs w:val="24"/>
        </w:rPr>
        <w:t>combat</w:t>
      </w:r>
      <w:r w:rsidR="004A32A8" w:rsidRPr="00C81036">
        <w:rPr>
          <w:rFonts w:ascii="Times New Roman" w:hAnsi="Times New Roman" w:cs="Times New Roman"/>
          <w:sz w:val="24"/>
          <w:szCs w:val="24"/>
        </w:rPr>
        <w:t xml:space="preserve"> climate </w:t>
      </w:r>
      <w:r w:rsidR="004225C7" w:rsidRPr="00C81036">
        <w:rPr>
          <w:rFonts w:ascii="Times New Roman" w:hAnsi="Times New Roman" w:cs="Times New Roman"/>
          <w:sz w:val="24"/>
          <w:szCs w:val="24"/>
        </w:rPr>
        <w:t>change,</w:t>
      </w:r>
      <w:r w:rsidR="004A32A8" w:rsidRPr="00C81036">
        <w:rPr>
          <w:rFonts w:ascii="Times New Roman" w:hAnsi="Times New Roman" w:cs="Times New Roman"/>
          <w:sz w:val="24"/>
          <w:szCs w:val="24"/>
        </w:rPr>
        <w:t xml:space="preserve"> </w:t>
      </w:r>
      <w:r w:rsidR="0096025D" w:rsidRPr="00C81036">
        <w:rPr>
          <w:rFonts w:ascii="Times New Roman" w:hAnsi="Times New Roman" w:cs="Times New Roman"/>
          <w:sz w:val="24"/>
          <w:szCs w:val="24"/>
        </w:rPr>
        <w:t>they are not the types of policies coming forward</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{"citationID":"WwRZD446","properties":{"formattedCitation":"(Fischer and Newell 2008)","plainCitation":"(Fischer and Newell 2008)","noteIndex":0},"citationItems":[{"id":7716,"uris":["http://zotero.org/users/9930273/items/YZZYW3E6"],"itemData":{"id":7716,"type":"article-journal","abstract":"We assess different policies for reducing carbon dioxide emissions and promoting innovation and diffusion of renewable energy. We evaluate the relative performance of policies according to incentives provided for emissions reduction, efficiency, and other outcomes. We also assess how the nature of technological progress through learning and research and development (R&amp;D), and the degree of knowledge spillovers, affects the desirability of different policies. Due to knowledge spillovers, optimal policy involves a portfolio of different instruments targeted at emissions, learning, and R&amp;D. Although the relative cost of individual policies in achieving reductions depends on parameter values and the emissions target, in a numerical application to the U.S. electricity sector, the ranking is roughly as follows: (1) emissions price, (2) emissions performance standard, (3) fossil power tax, (4) renewables share requirement, (5) renewables subsidy, and (6) R&amp;D subsidy. Nonetheless, an optimal portfolio of policies achieves emissions reductions at a significantly lower cost than any single policy.","container-title":"Journal of Environmental Economics and Management","DOI":"10.1016/j.jeem.2007.11.001","ISSN":"0095-0696","issue":"2","journalAbbreviation":"Journal of Environmental Economics and Management","page":"142-162","source":"ScienceDirect","title":"Environmental and technology policies for climate mitigation","volume":"55","author":[{"family":"Fischer","given":"Carolyn"},{"family":"Newell","given":"Richard G."}],"issued":{"date-parts":[["2008",3,1]]}}}],"schema":"https://github.com/citation-style-language/schema/raw/master/csl-citation.json"}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sz w:val="24"/>
          <w:szCs w:val="24"/>
        </w:rPr>
        <w:t>(Fischer and Newell 2008)</w:t>
      </w:r>
      <w:r w:rsidR="0000690A" w:rsidRPr="00C81036">
        <w:rPr>
          <w:rFonts w:ascii="Times New Roman" w:hAnsi="Times New Roman" w:cs="Times New Roman"/>
          <w:sz w:val="24"/>
          <w:szCs w:val="24"/>
        </w:rPr>
        <w:fldChar w:fldCharType="end"/>
      </w:r>
      <w:r w:rsidR="00F30ED5" w:rsidRPr="00C81036">
        <w:rPr>
          <w:rFonts w:ascii="Times New Roman" w:hAnsi="Times New Roman" w:cs="Times New Roman"/>
          <w:sz w:val="24"/>
          <w:szCs w:val="24"/>
        </w:rPr>
        <w:t xml:space="preserve">. They </w:t>
      </w:r>
      <w:r w:rsidR="00F14EDA" w:rsidRPr="00C81036">
        <w:rPr>
          <w:rFonts w:ascii="Times New Roman" w:hAnsi="Times New Roman" w:cs="Times New Roman"/>
          <w:sz w:val="24"/>
          <w:szCs w:val="24"/>
        </w:rPr>
        <w:t xml:space="preserve">find that although carbon pricing is </w:t>
      </w:r>
      <w:r w:rsidR="0011569B" w:rsidRPr="00C81036">
        <w:rPr>
          <w:rFonts w:ascii="Times New Roman" w:hAnsi="Times New Roman" w:cs="Times New Roman"/>
          <w:sz w:val="24"/>
          <w:szCs w:val="24"/>
        </w:rPr>
        <w:t xml:space="preserve">the most efficient strategy alone, that </w:t>
      </w:r>
      <w:r w:rsidR="00D13F61" w:rsidRPr="00C81036">
        <w:rPr>
          <w:rFonts w:ascii="Times New Roman" w:hAnsi="Times New Roman" w:cs="Times New Roman"/>
          <w:sz w:val="24"/>
          <w:szCs w:val="24"/>
        </w:rPr>
        <w:t xml:space="preserve">research and development policies are keen to create a robust climate mitigation strategy. </w:t>
      </w:r>
      <w:r w:rsidR="00E34A19" w:rsidRPr="00C81036">
        <w:rPr>
          <w:rFonts w:ascii="Times New Roman" w:hAnsi="Times New Roman" w:cs="Times New Roman"/>
          <w:sz w:val="24"/>
          <w:szCs w:val="24"/>
        </w:rPr>
        <w:t xml:space="preserve">Green and </w:t>
      </w:r>
      <w:proofErr w:type="spellStart"/>
      <w:r w:rsidR="00E34A19" w:rsidRPr="00C81036">
        <w:rPr>
          <w:rFonts w:ascii="Times New Roman" w:hAnsi="Times New Roman" w:cs="Times New Roman"/>
          <w:sz w:val="24"/>
          <w:szCs w:val="24"/>
        </w:rPr>
        <w:t>Staffell</w:t>
      </w:r>
      <w:proofErr w:type="spellEnd"/>
      <w:r w:rsidR="00E34A19" w:rsidRPr="00C81036">
        <w:rPr>
          <w:rFonts w:ascii="Times New Roman" w:hAnsi="Times New Roman" w:cs="Times New Roman"/>
          <w:sz w:val="24"/>
          <w:szCs w:val="24"/>
        </w:rPr>
        <w:t xml:space="preserve"> (</w:t>
      </w:r>
      <w:r w:rsidR="00230B67" w:rsidRPr="00C81036">
        <w:rPr>
          <w:rFonts w:ascii="Times New Roman" w:hAnsi="Times New Roman" w:cs="Times New Roman"/>
          <w:sz w:val="24"/>
          <w:szCs w:val="24"/>
        </w:rPr>
        <w:t xml:space="preserve">2021) </w:t>
      </w:r>
      <w:r w:rsidR="000A1554" w:rsidRPr="00C81036">
        <w:rPr>
          <w:rFonts w:ascii="Times New Roman" w:hAnsi="Times New Roman" w:cs="Times New Roman"/>
          <w:sz w:val="24"/>
          <w:szCs w:val="24"/>
        </w:rPr>
        <w:t xml:space="preserve">find that expansion in </w:t>
      </w:r>
      <w:r w:rsidR="00230B67" w:rsidRPr="00C81036">
        <w:rPr>
          <w:rFonts w:ascii="Times New Roman" w:hAnsi="Times New Roman" w:cs="Times New Roman"/>
          <w:sz w:val="24"/>
          <w:szCs w:val="24"/>
        </w:rPr>
        <w:t>renewable</w:t>
      </w:r>
      <w:r w:rsidR="000A1554" w:rsidRPr="00C81036">
        <w:rPr>
          <w:rFonts w:ascii="Times New Roman" w:hAnsi="Times New Roman" w:cs="Times New Roman"/>
          <w:sz w:val="24"/>
          <w:szCs w:val="24"/>
        </w:rPr>
        <w:t xml:space="preserve"> energy </w:t>
      </w:r>
      <w:r w:rsidR="00726BAF" w:rsidRPr="00C81036">
        <w:rPr>
          <w:rFonts w:ascii="Times New Roman" w:hAnsi="Times New Roman" w:cs="Times New Roman"/>
          <w:sz w:val="24"/>
          <w:szCs w:val="24"/>
        </w:rPr>
        <w:t>sector driven through subsidies and policies have</w:t>
      </w:r>
      <w:r w:rsidR="00460EB7" w:rsidRPr="00C81036">
        <w:rPr>
          <w:rFonts w:ascii="Times New Roman" w:hAnsi="Times New Roman" w:cs="Times New Roman"/>
          <w:sz w:val="24"/>
          <w:szCs w:val="24"/>
        </w:rPr>
        <w:t xml:space="preserve"> replaced some fossil fuel combustion emissions</w:t>
      </w:r>
      <w:r w:rsidR="00C81036" w:rsidRPr="00C81036">
        <w:rPr>
          <w:rFonts w:ascii="Times New Roman" w:hAnsi="Times New Roman" w:cs="Times New Roman"/>
          <w:sz w:val="24"/>
          <w:szCs w:val="24"/>
        </w:rPr>
        <w:t xml:space="preserve"> </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{"citationID":"elqMEnoj","properties":{"formattedCitation":"(Green and Staffell 2021)","plainCitation":"(Green and Staffell 2021)","noteIndex":0},"citationItems":[{"id":7721,"uris":["http://zotero.org/users/9930273/items/B6ICD5R7"],"itemData":{"id":7721,"type":"article-journal","abstract":"Great Britain’s carbon emissions from electricity generation fell two-thirds between 2012 and 2019, providing an important example for other nations. This rapid transition was driven by a complex interplay of policies and events: subsidized investment in renewable generation, regulation-driven closure of coal power stations, rising carbon prices, and energy efficiency measures. Previous studies ignore the interactions of these simultaneous measures with each other and with exogenous changes to fuel prices and the weather. Here, we use Shapley values—a concept from game theory—to disentangle these and precisely attribute outcomes (changes to CO2 emissions, electricity prices, and fossil fuel consumption) to individual drivers. We find the effectiveness of each driver remained stable despite the broad transformation of the power system. The four main drivers each saved 19–29 MtCO2 per year in 2019, reinforcing the view that there is no “silver bullet” and that a multi-faceted approach to deep decarbonization is essential.","container-title":"Joule","DOI":"10.1016/j.joule.2021.09.011","ISSN":"2542-4351","issue":"10","journalAbbreviation":"Joule","page":"2625-2645","source":"ScienceDirect","title":"The contribution of taxes, subsidies, and regulations to British electricity decarbonization","volume":"5","author":[{"family":"Green","given":"Richard"},{"family":"Staffell","given":"Iain"}],"issued":{"date-parts":[["2021",10,20]]}}}],"schema":"https://github.com/citation-style-language/schema/raw/master/csl-citation.json"}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sz w:val="24"/>
          <w:szCs w:val="24"/>
        </w:rPr>
        <w:t>(Green and Staffell 2021)</w:t>
      </w:r>
      <w:r w:rsidR="0000690A" w:rsidRPr="00C81036">
        <w:rPr>
          <w:rFonts w:ascii="Times New Roman" w:hAnsi="Times New Roman" w:cs="Times New Roman"/>
          <w:sz w:val="24"/>
          <w:szCs w:val="24"/>
        </w:rPr>
        <w:fldChar w:fldCharType="end"/>
      </w:r>
      <w:r w:rsidR="00230B67" w:rsidRPr="00C81036">
        <w:rPr>
          <w:rFonts w:ascii="Times New Roman" w:hAnsi="Times New Roman" w:cs="Times New Roman"/>
          <w:sz w:val="24"/>
          <w:szCs w:val="24"/>
        </w:rPr>
        <w:t xml:space="preserve">. </w:t>
      </w:r>
      <w:r w:rsidR="00F905BF" w:rsidRPr="00C81036">
        <w:rPr>
          <w:rFonts w:ascii="Times New Roman" w:hAnsi="Times New Roman" w:cs="Times New Roman"/>
          <w:sz w:val="24"/>
          <w:szCs w:val="24"/>
        </w:rPr>
        <w:t xml:space="preserve">Their example focuses on the British electricity </w:t>
      </w:r>
      <w:r w:rsidR="003B7152" w:rsidRPr="00C81036">
        <w:rPr>
          <w:rFonts w:ascii="Times New Roman" w:hAnsi="Times New Roman" w:cs="Times New Roman"/>
          <w:sz w:val="24"/>
          <w:szCs w:val="24"/>
        </w:rPr>
        <w:t>market,</w:t>
      </w:r>
      <w:r w:rsidR="00F905BF" w:rsidRPr="00C81036">
        <w:rPr>
          <w:rFonts w:ascii="Times New Roman" w:hAnsi="Times New Roman" w:cs="Times New Roman"/>
          <w:sz w:val="24"/>
          <w:szCs w:val="24"/>
        </w:rPr>
        <w:t xml:space="preserve"> and they emphasize that th</w:t>
      </w:r>
      <w:r w:rsidR="00E535BF" w:rsidRPr="00C81036">
        <w:rPr>
          <w:rFonts w:ascii="Times New Roman" w:hAnsi="Times New Roman" w:cs="Times New Roman"/>
          <w:sz w:val="24"/>
          <w:szCs w:val="24"/>
        </w:rPr>
        <w:t xml:space="preserve">is shift in energy source was mostly driven by investment in renewables. </w:t>
      </w:r>
      <w:r w:rsidR="0022387D" w:rsidRPr="00C81036">
        <w:rPr>
          <w:rFonts w:ascii="Times New Roman" w:hAnsi="Times New Roman" w:cs="Times New Roman"/>
          <w:sz w:val="24"/>
          <w:szCs w:val="24"/>
        </w:rPr>
        <w:t>In India, the</w:t>
      </w:r>
      <w:r w:rsidR="008B0530" w:rsidRPr="00C81036">
        <w:rPr>
          <w:rFonts w:ascii="Times New Roman" w:hAnsi="Times New Roman" w:cs="Times New Roman"/>
          <w:sz w:val="24"/>
          <w:szCs w:val="24"/>
        </w:rPr>
        <w:t xml:space="preserve"> Bureau of Energy Efficiency addressed</w:t>
      </w:r>
      <w:r w:rsidR="0022387D" w:rsidRPr="00C81036">
        <w:rPr>
          <w:rFonts w:ascii="Times New Roman" w:hAnsi="Times New Roman" w:cs="Times New Roman"/>
          <w:sz w:val="24"/>
          <w:szCs w:val="24"/>
        </w:rPr>
        <w:t xml:space="preserve"> greenhouse gas emissions in their building sector</w:t>
      </w:r>
      <w:r w:rsidR="008B0530" w:rsidRPr="00C81036">
        <w:rPr>
          <w:rFonts w:ascii="Times New Roman" w:hAnsi="Times New Roman" w:cs="Times New Roman"/>
          <w:sz w:val="24"/>
          <w:szCs w:val="24"/>
        </w:rPr>
        <w:t xml:space="preserve"> through capacity building efforts</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{"citationID":"5cDT9hhT","properties":{"formattedCitation":"(Malhotra et al. 2022)","plainCitation":"(Malhotra et al. 2022)","noteIndex":0},"citationItems":[{"id":7724,"uris":["http://zotero.org/users/9930273/items/33W5GJPR"],"itemData":{"id":7724,"type":"article-journal","abstract":"ABSTRACT Capacity-building is acknowledged as an essential requirement for addressing environmental and developmental challenges in developing countries. In particular, the capacity to manage technological change is an important prerequisite for climate change mitigation, adaptation and green growth. Despite the importance of such capacity, there are surprisingly few empirical accounts unpacking its different dimensions and exploring how it might be built in developing countries in the context of climate and sustainable development challenges. In this paper, we contribute to this sparse literature through an in-depth qualitative case study on energy efficiency in India. Specifically, we take a systemic and evolutionary perspective to investigate how the Bureau of Energy Efficiency developed and implemented its programs to promote energy efficiency in household appliances, light-emitting-diode lamps and energy-intensive industries – and how in doing so, both drew upon existing capacity within and outside the country, and also built new capacity, to achieve significant energy savings. Key policy insights Since the capacity to manage technological change is distributed among a range of actors, policymakers require the ability to understand capacity needs from multiple actors’ perspectives. Policymakers need to respond to evolving capacity needs over the course of a program – from strategic program design, trust-building and resource mobilization in early stages, to administration in later stages. ‘System operators/integrators’ can play a crucial role during the early stages of a program by helping develop capacity and sustaining it by creating a demand for such capacity, as well as bringing together actors, enabling coordination, and building coalitions among them. Preliminary analysis suggests that the Bureau of Energy Efficiency programs investigated in this paper resulted in significant energy savings and CO2 emission reductions. GRAPHICAL ABSTRACT","container-title":"Climate Policy","DOI":"10.1080/14693062.2021.1984195","ISSN":"1469-3062, 1752-7457","issue":"5","journalAbbreviation":"Climate Policy","language":"en","page":"652-670","source":"Semantic Scholar","title":"Building institutional capacity for addressing climate and sustainable development goals: achieving energy efficiency in India","title-short":"Building institutional capacity for addressing climate and sustainable development goals","volume":"22","author":[{"family":"Malhotra","given":"Abhishek"},{"family":"Mathur","given":"Ajay"},{"family":"Diddi","given":"Saurabh"},{"family":"Sagar","given":"Ambuj D."}],"issued":{"date-parts":[["2022",5,28]]}}}],"schema":"https://github.com/citation-style-language/schema/raw/master/csl-citation.json"}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sz w:val="24"/>
          <w:szCs w:val="24"/>
        </w:rPr>
        <w:t>(Malhotra et al. 2022)</w:t>
      </w:r>
      <w:r w:rsidR="0000690A" w:rsidRPr="00C81036">
        <w:rPr>
          <w:rFonts w:ascii="Times New Roman" w:hAnsi="Times New Roman" w:cs="Times New Roman"/>
          <w:sz w:val="24"/>
          <w:szCs w:val="24"/>
        </w:rPr>
        <w:fldChar w:fldCharType="end"/>
      </w:r>
      <w:r w:rsidR="002D3086" w:rsidRPr="00C81036">
        <w:rPr>
          <w:rFonts w:ascii="Times New Roman" w:hAnsi="Times New Roman" w:cs="Times New Roman"/>
          <w:sz w:val="24"/>
          <w:szCs w:val="24"/>
        </w:rPr>
        <w:t>. They</w:t>
      </w:r>
      <w:r w:rsidR="005E7060" w:rsidRPr="00C81036">
        <w:rPr>
          <w:rFonts w:ascii="Times New Roman" w:hAnsi="Times New Roman" w:cs="Times New Roman"/>
          <w:sz w:val="24"/>
          <w:szCs w:val="24"/>
        </w:rPr>
        <w:t xml:space="preserve"> introduc</w:t>
      </w:r>
      <w:r w:rsidR="002D3086" w:rsidRPr="00C81036">
        <w:rPr>
          <w:rFonts w:ascii="Times New Roman" w:hAnsi="Times New Roman" w:cs="Times New Roman"/>
          <w:sz w:val="24"/>
          <w:szCs w:val="24"/>
        </w:rPr>
        <w:t>ed</w:t>
      </w:r>
      <w:r w:rsidR="005E7060" w:rsidRPr="00C81036">
        <w:rPr>
          <w:rFonts w:ascii="Times New Roman" w:hAnsi="Times New Roman" w:cs="Times New Roman"/>
          <w:sz w:val="24"/>
          <w:szCs w:val="24"/>
        </w:rPr>
        <w:t xml:space="preserve"> energy certification, labels, and standards </w:t>
      </w:r>
      <w:r w:rsidR="00E32DE2" w:rsidRPr="00C81036">
        <w:rPr>
          <w:rFonts w:ascii="Times New Roman" w:hAnsi="Times New Roman" w:cs="Times New Roman"/>
          <w:sz w:val="24"/>
          <w:szCs w:val="24"/>
        </w:rPr>
        <w:t xml:space="preserve">that resulted in significant greenhouse gas emission reduction. </w:t>
      </w:r>
      <w:r w:rsidR="0007687A" w:rsidRPr="00C81036">
        <w:rPr>
          <w:rFonts w:ascii="Times New Roman" w:hAnsi="Times New Roman" w:cs="Times New Roman"/>
          <w:sz w:val="24"/>
          <w:szCs w:val="24"/>
        </w:rPr>
        <w:t xml:space="preserve">Voluntary programs </w:t>
      </w:r>
      <w:r w:rsidR="00AB5392" w:rsidRPr="00C81036">
        <w:rPr>
          <w:rFonts w:ascii="Times New Roman" w:hAnsi="Times New Roman" w:cs="Times New Roman"/>
          <w:sz w:val="24"/>
          <w:szCs w:val="24"/>
        </w:rPr>
        <w:t xml:space="preserve">like </w:t>
      </w:r>
      <w:r w:rsidR="00E07C1E" w:rsidRPr="00C81036">
        <w:rPr>
          <w:rFonts w:ascii="Times New Roman" w:hAnsi="Times New Roman" w:cs="Times New Roman"/>
          <w:sz w:val="24"/>
          <w:szCs w:val="24"/>
        </w:rPr>
        <w:t>the U.S. Environmental Protection Agency’s (EPA) Strategic Goals Programs</w:t>
      </w:r>
      <w:r w:rsidR="000D7428" w:rsidRPr="00C81036">
        <w:rPr>
          <w:rFonts w:ascii="Times New Roman" w:hAnsi="Times New Roman" w:cs="Times New Roman"/>
          <w:sz w:val="24"/>
          <w:szCs w:val="24"/>
        </w:rPr>
        <w:t xml:space="preserve">, which aim to </w:t>
      </w:r>
      <w:r w:rsidR="001D1913" w:rsidRPr="00C81036">
        <w:rPr>
          <w:rFonts w:ascii="Times New Roman" w:hAnsi="Times New Roman" w:cs="Times New Roman"/>
          <w:sz w:val="24"/>
          <w:szCs w:val="24"/>
        </w:rPr>
        <w:t xml:space="preserve">help included sectors to go above and beyond the established </w:t>
      </w:r>
      <w:r w:rsidR="00CC1FAD" w:rsidRPr="00C81036">
        <w:rPr>
          <w:rFonts w:ascii="Times New Roman" w:hAnsi="Times New Roman" w:cs="Times New Roman"/>
          <w:sz w:val="24"/>
          <w:szCs w:val="24"/>
        </w:rPr>
        <w:t xml:space="preserve">environmental compliance related to water and energy usage, </w:t>
      </w:r>
      <w:r w:rsidR="001F4EFC" w:rsidRPr="00C81036">
        <w:rPr>
          <w:rFonts w:ascii="Times New Roman" w:hAnsi="Times New Roman" w:cs="Times New Roman"/>
          <w:sz w:val="24"/>
          <w:szCs w:val="24"/>
        </w:rPr>
        <w:t>were found to be more be beneficial to emission reduction goal and even more efficient when there was a threat of increased regulation</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{"citationID":"5un2S45E","properties":{"formattedCitation":"(Brouhle, Griffiths, and Wolverton 2009)","plainCitation":"(Brouhle, Griffiths, and Wolverton 2009)","noteIndex":0},"citationItems":[{"id":7726,"uris":["http://zotero.org/users/9930273/items/WHDQZBHE"],"itemData":{"id":7726,"type":"article-journal","abstract":"Semantic Scholar extracted view of \"Evaluating the role of EPA policy levers: An examination of a voluntary program and regulatory threat in the metal-finishing industry\" by Keith Brouhle et al.","container-title":"Journal of Environmental Economics and Management","DOI":"10.1016/j.jeem.2008.07.006","ISSN":"00950696","issue":"2","journalAbbreviation":"Journal of Environmental Economics and Management","language":"en","page":"166-181","source":"Semantic Scholar","title":"Evaluating the role of EPA policy levers: An examination of a voluntary program and regulatory threat in the metal-finishing industry","title-short":"Evaluating the role of EPA policy levers","volume":"57","author":[{"family":"Brouhle","given":"Keith"},{"family":"Griffiths","given":"Charles"},{"family":"Wolverton","given":"Ann"}],"issued":{"date-parts":[["2009",3]]}}}],"schema":"https://github.com/citation-style-language/schema/raw/master/csl-citation.json"}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sz w:val="24"/>
          <w:szCs w:val="24"/>
        </w:rPr>
        <w:t>(Brouhle, Griffiths, and Wolverton 2009)</w:t>
      </w:r>
      <w:r w:rsidR="0000690A" w:rsidRPr="00C81036">
        <w:rPr>
          <w:rFonts w:ascii="Times New Roman" w:hAnsi="Times New Roman" w:cs="Times New Roman"/>
          <w:sz w:val="24"/>
          <w:szCs w:val="24"/>
        </w:rPr>
        <w:fldChar w:fldCharType="end"/>
      </w:r>
      <w:r w:rsidR="00282D26" w:rsidRPr="00C81036">
        <w:rPr>
          <w:rFonts w:ascii="Times New Roman" w:hAnsi="Times New Roman" w:cs="Times New Roman"/>
          <w:sz w:val="24"/>
          <w:szCs w:val="24"/>
        </w:rPr>
        <w:t xml:space="preserve">. </w:t>
      </w:r>
      <w:r w:rsidR="002A3169" w:rsidRPr="00C81036">
        <w:rPr>
          <w:rFonts w:ascii="Times New Roman" w:hAnsi="Times New Roman" w:cs="Times New Roman"/>
          <w:sz w:val="24"/>
          <w:szCs w:val="24"/>
        </w:rPr>
        <w:t>Beyond company and sector initiatives to reduce greenhouse gas emissions</w:t>
      </w:r>
      <w:r w:rsidR="002C1D81" w:rsidRPr="00C81036">
        <w:rPr>
          <w:rFonts w:ascii="Times New Roman" w:hAnsi="Times New Roman" w:cs="Times New Roman"/>
          <w:sz w:val="24"/>
          <w:szCs w:val="24"/>
        </w:rPr>
        <w:t xml:space="preserve">, policymakers have also </w:t>
      </w:r>
      <w:r w:rsidR="00E874F9" w:rsidRPr="00C81036">
        <w:rPr>
          <w:rFonts w:ascii="Times New Roman" w:hAnsi="Times New Roman" w:cs="Times New Roman"/>
          <w:sz w:val="24"/>
          <w:szCs w:val="24"/>
        </w:rPr>
        <w:t>addressed</w:t>
      </w:r>
      <w:r w:rsidR="002C1D81" w:rsidRPr="00C81036">
        <w:rPr>
          <w:rFonts w:ascii="Times New Roman" w:hAnsi="Times New Roman" w:cs="Times New Roman"/>
          <w:sz w:val="24"/>
          <w:szCs w:val="24"/>
        </w:rPr>
        <w:t xml:space="preserve"> individual emissions from </w:t>
      </w:r>
      <w:r w:rsidR="00806FA8" w:rsidRPr="00C81036">
        <w:rPr>
          <w:rFonts w:ascii="Times New Roman" w:hAnsi="Times New Roman" w:cs="Times New Roman"/>
          <w:sz w:val="24"/>
          <w:szCs w:val="24"/>
        </w:rPr>
        <w:t>cars</w:t>
      </w:r>
      <w:r w:rsidR="00C058E3" w:rsidRPr="00C81036">
        <w:rPr>
          <w:rFonts w:ascii="Times New Roman" w:hAnsi="Times New Roman" w:cs="Times New Roman"/>
          <w:sz w:val="24"/>
          <w:szCs w:val="24"/>
        </w:rPr>
        <w:t xml:space="preserve"> through such public goods </w:t>
      </w:r>
      <w:r w:rsidR="00CF592C" w:rsidRPr="00C81036">
        <w:rPr>
          <w:rFonts w:ascii="Times New Roman" w:hAnsi="Times New Roman" w:cs="Times New Roman"/>
          <w:sz w:val="24"/>
          <w:szCs w:val="24"/>
        </w:rPr>
        <w:t>initiatives</w:t>
      </w:r>
      <w:r w:rsidR="00C058E3" w:rsidRPr="00C81036">
        <w:rPr>
          <w:rFonts w:ascii="Times New Roman" w:hAnsi="Times New Roman" w:cs="Times New Roman"/>
          <w:sz w:val="24"/>
          <w:szCs w:val="24"/>
        </w:rPr>
        <w:t xml:space="preserve"> </w:t>
      </w:r>
      <w:r w:rsidR="00CF592C" w:rsidRPr="00C81036">
        <w:rPr>
          <w:rFonts w:ascii="Times New Roman" w:hAnsi="Times New Roman" w:cs="Times New Roman"/>
          <w:sz w:val="24"/>
          <w:szCs w:val="24"/>
        </w:rPr>
        <w:t xml:space="preserve">as increasing public transportation and cycling infrastructure. </w:t>
      </w:r>
      <w:r w:rsidR="000A14BA" w:rsidRPr="00C81036">
        <w:rPr>
          <w:rFonts w:ascii="Times New Roman" w:hAnsi="Times New Roman" w:cs="Times New Roman"/>
          <w:sz w:val="24"/>
          <w:szCs w:val="24"/>
        </w:rPr>
        <w:t xml:space="preserve">Cheng et al (2018) find that in San Francisco an optimal design of the </w:t>
      </w:r>
      <w:r w:rsidR="000021C6" w:rsidRPr="00C81036">
        <w:rPr>
          <w:rFonts w:ascii="Times New Roman" w:hAnsi="Times New Roman" w:cs="Times New Roman"/>
          <w:sz w:val="24"/>
          <w:szCs w:val="24"/>
        </w:rPr>
        <w:t>transit system (MUNI) would results in a decrease of total cost</w:t>
      </w:r>
      <w:r w:rsidR="000E55CA" w:rsidRPr="00C81036">
        <w:rPr>
          <w:rFonts w:ascii="Times New Roman" w:hAnsi="Times New Roman" w:cs="Times New Roman"/>
          <w:sz w:val="24"/>
          <w:szCs w:val="24"/>
        </w:rPr>
        <w:t xml:space="preserve"> for the city and consumers and a reduction in emissions</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{"citationID":"l8IjPmDw","properties":{"formattedCitation":"(Cheng et al. 2018)","plainCitation":"(Cheng et al. 2018)","noteIndex":0},"citationItems":[{"id":7731,"uris":["http://zotero.org/users/9930273/items/HXZNXA6D"],"itemData":{"id":7731,"type":"article-journal","abstract":"Public transit systems with efficient designs and operating plans can reduce both total costs and greenhouse gas (GHG) emissions. Total costs are a sum of user cost and agency cost. In previous work, we explored in various hypothetical city scenarios possible tradeoffs between GHG emissions and total costs for optimally designed transit systems. However, most current transit systems were not designed to minimize total costs. This study aims at finding the potential emission impact when optimizing the total costs of such a system, the MUNI bus network for the city of San Francisco. The continuum approximation (CA) method is used to obtain a stylized representation of the network. Total costs and emissions are derived as functions of system attributes such as headways and spacing. We analyze the optimal total costs and emissions and the corresponding attributes. Our result shows that a significant reduction in GHG emissions is achieved when total costs are reduced simultaneously. The cost-optimal MUNI bus system has a total cost of 0.15 billion $/year and emits 1 680 metric tons of greenhouse gases. These figures amount to about half of the cost and a third of the emissions in the current MUNI bus system. The optimal system has a lower spatial availability but a higher temporal availability of bus service than the current system, which highlights the potential benefits of providing more frequent express bus services.","container-title":"Transport Policy","DOI":"10.1016/j.tranpol.2018.02.009","ISSN":"0967-070X","journalAbbreviation":"Transport Policy","page":"40-48","source":"ScienceDirect","title":"Minimizing the total costs of urban transit systems can reduce greenhouse gas emissions: The case of San Francisco","title-short":"Minimizing the total costs of urban transit systems can reduce greenhouse gas emissions","volume":"66","author":[{"family":"Cheng","given":"Han"},{"family":"Mao","given":"Chao"},{"family":"Madanat","given":"Samer"},{"family":"Horvath","given":"Arpad"}],"issued":{"date-parts":[["2018",8,1]]}}}],"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sz w:val="24"/>
          <w:szCs w:val="24"/>
        </w:rPr>
        <w:t>(Cheng et al. 2018)</w:t>
      </w:r>
      <w:r w:rsidR="0000690A" w:rsidRPr="00C81036">
        <w:rPr>
          <w:rFonts w:ascii="Times New Roman" w:hAnsi="Times New Roman" w:cs="Times New Roman"/>
          <w:sz w:val="24"/>
          <w:szCs w:val="24"/>
        </w:rPr>
        <w:fldChar w:fldCharType="end"/>
      </w:r>
      <w:r w:rsidR="000E55CA" w:rsidRPr="00C81036">
        <w:rPr>
          <w:rFonts w:ascii="Times New Roman" w:hAnsi="Times New Roman" w:cs="Times New Roman"/>
          <w:sz w:val="24"/>
          <w:szCs w:val="24"/>
        </w:rPr>
        <w:t>. Th</w:t>
      </w:r>
      <w:r w:rsidR="00314BFB" w:rsidRPr="00C81036">
        <w:rPr>
          <w:rFonts w:ascii="Times New Roman" w:hAnsi="Times New Roman" w:cs="Times New Roman"/>
          <w:sz w:val="24"/>
          <w:szCs w:val="24"/>
        </w:rPr>
        <w:t xml:space="preserve">is literature highlights the efficiency </w:t>
      </w:r>
      <w:r w:rsidR="00606D0A" w:rsidRPr="00C81036">
        <w:rPr>
          <w:rFonts w:ascii="Times New Roman" w:hAnsi="Times New Roman" w:cs="Times New Roman"/>
          <w:sz w:val="24"/>
          <w:szCs w:val="24"/>
        </w:rPr>
        <w:t>of non-</w:t>
      </w:r>
      <w:r w:rsidR="000276A9" w:rsidRPr="00C81036">
        <w:rPr>
          <w:rFonts w:ascii="Times New Roman" w:hAnsi="Times New Roman" w:cs="Times New Roman"/>
          <w:sz w:val="24"/>
          <w:szCs w:val="24"/>
        </w:rPr>
        <w:t>market-based</w:t>
      </w:r>
      <w:r w:rsidR="00606D0A" w:rsidRPr="00C81036">
        <w:rPr>
          <w:rFonts w:ascii="Times New Roman" w:hAnsi="Times New Roman" w:cs="Times New Roman"/>
          <w:sz w:val="24"/>
          <w:szCs w:val="24"/>
        </w:rPr>
        <w:t xml:space="preserve"> climate mitigation policies and the robust nature of ongoing climate mitigation policies. </w:t>
      </w:r>
    </w:p>
    <w:p w14:paraId="3A2D724B" w14:textId="182A90BD" w:rsidR="003E615E" w:rsidRPr="00C81036" w:rsidRDefault="00AF289F" w:rsidP="002F7D3D">
      <w:pPr>
        <w:rPr>
          <w:rFonts w:ascii="Times New Roman" w:hAnsi="Times New Roman" w:cs="Times New Roman"/>
          <w:sz w:val="24"/>
          <w:szCs w:val="24"/>
        </w:rPr>
      </w:pPr>
      <w:r w:rsidRPr="00C81036">
        <w:rPr>
          <w:rFonts w:ascii="Times New Roman" w:hAnsi="Times New Roman" w:cs="Times New Roman"/>
          <w:sz w:val="24"/>
          <w:szCs w:val="24"/>
        </w:rPr>
        <w:lastRenderedPageBreak/>
        <w:t xml:space="preserve">Now we will explore the </w:t>
      </w:r>
      <w:r w:rsidR="000276A9" w:rsidRPr="00C81036">
        <w:rPr>
          <w:rFonts w:ascii="Times New Roman" w:hAnsi="Times New Roman" w:cs="Times New Roman"/>
          <w:sz w:val="24"/>
          <w:szCs w:val="24"/>
        </w:rPr>
        <w:t>market-based</w:t>
      </w:r>
      <w:r w:rsidRPr="00C81036">
        <w:rPr>
          <w:rFonts w:ascii="Times New Roman" w:hAnsi="Times New Roman" w:cs="Times New Roman"/>
          <w:sz w:val="24"/>
          <w:szCs w:val="24"/>
        </w:rPr>
        <w:t xml:space="preserve"> carbon-pricing </w:t>
      </w:r>
      <w:r w:rsidR="000276A9" w:rsidRPr="00C81036">
        <w:rPr>
          <w:rFonts w:ascii="Times New Roman" w:hAnsi="Times New Roman" w:cs="Times New Roman"/>
          <w:sz w:val="24"/>
          <w:szCs w:val="24"/>
        </w:rPr>
        <w:t xml:space="preserve">literature to better understand the </w:t>
      </w:r>
      <w:r w:rsidR="00683FF2" w:rsidRPr="00C81036">
        <w:rPr>
          <w:rFonts w:ascii="Times New Roman" w:hAnsi="Times New Roman" w:cs="Times New Roman"/>
          <w:sz w:val="24"/>
          <w:szCs w:val="24"/>
        </w:rPr>
        <w:t xml:space="preserve">economic and environmental efficiency and effectiveness </w:t>
      </w:r>
      <w:r w:rsidR="000276A9" w:rsidRPr="00C81036">
        <w:rPr>
          <w:rFonts w:ascii="Times New Roman" w:hAnsi="Times New Roman" w:cs="Times New Roman"/>
          <w:sz w:val="24"/>
          <w:szCs w:val="24"/>
        </w:rPr>
        <w:t xml:space="preserve">of </w:t>
      </w:r>
      <w:r w:rsidR="00683FF2" w:rsidRPr="00C81036">
        <w:rPr>
          <w:rFonts w:ascii="Times New Roman" w:hAnsi="Times New Roman" w:cs="Times New Roman"/>
          <w:sz w:val="24"/>
          <w:szCs w:val="24"/>
        </w:rPr>
        <w:t xml:space="preserve">such </w:t>
      </w:r>
      <w:r w:rsidR="000276A9" w:rsidRPr="00C81036">
        <w:rPr>
          <w:rFonts w:ascii="Times New Roman" w:hAnsi="Times New Roman" w:cs="Times New Roman"/>
          <w:sz w:val="24"/>
          <w:szCs w:val="24"/>
        </w:rPr>
        <w:t>market mechanisms</w:t>
      </w:r>
      <w:r w:rsidR="00683FF2" w:rsidRPr="00C81036">
        <w:rPr>
          <w:rFonts w:ascii="Times New Roman" w:hAnsi="Times New Roman" w:cs="Times New Roman"/>
          <w:sz w:val="24"/>
          <w:szCs w:val="24"/>
        </w:rPr>
        <w:t>.</w:t>
      </w:r>
      <w:r w:rsidR="000C3310" w:rsidRPr="00C81036">
        <w:rPr>
          <w:rFonts w:ascii="Times New Roman" w:hAnsi="Times New Roman" w:cs="Times New Roman"/>
          <w:sz w:val="24"/>
          <w:szCs w:val="24"/>
        </w:rPr>
        <w:t xml:space="preserve"> A carbon tax </w:t>
      </w:r>
      <w:r w:rsidR="00CF1224" w:rsidRPr="00C81036">
        <w:rPr>
          <w:rFonts w:ascii="Times New Roman" w:hAnsi="Times New Roman" w:cs="Times New Roman"/>
          <w:sz w:val="24"/>
          <w:szCs w:val="24"/>
        </w:rPr>
        <w:t>aims to address the leading driver of climate change</w:t>
      </w:r>
      <w:r w:rsidR="008738B2" w:rsidRPr="00C81036">
        <w:rPr>
          <w:rFonts w:ascii="Times New Roman" w:hAnsi="Times New Roman" w:cs="Times New Roman"/>
          <w:sz w:val="24"/>
          <w:szCs w:val="24"/>
        </w:rPr>
        <w:t xml:space="preserve">, </w:t>
      </w:r>
      <w:r w:rsidR="00971A36" w:rsidRPr="00C81036">
        <w:rPr>
          <w:rFonts w:ascii="Times New Roman" w:hAnsi="Times New Roman" w:cs="Times New Roman"/>
          <w:sz w:val="24"/>
          <w:szCs w:val="24"/>
        </w:rPr>
        <w:t>CO</w:t>
      </w:r>
      <w:r w:rsidR="00971A36" w:rsidRPr="00C81036">
        <w:rPr>
          <w:rFonts w:ascii="Times New Roman" w:hAnsi="Times New Roman" w:cs="Times New Roman"/>
          <w:sz w:val="24"/>
          <w:szCs w:val="24"/>
          <w:vertAlign w:val="subscript"/>
        </w:rPr>
        <w:t xml:space="preserve">2 </w:t>
      </w:r>
      <w:r w:rsidR="00971A36" w:rsidRPr="00C81036">
        <w:rPr>
          <w:rFonts w:ascii="Times New Roman" w:hAnsi="Times New Roman" w:cs="Times New Roman"/>
          <w:sz w:val="24"/>
          <w:szCs w:val="24"/>
        </w:rPr>
        <w:t>emissions</w:t>
      </w:r>
      <w:r w:rsidR="008738B2" w:rsidRPr="00C81036">
        <w:rPr>
          <w:rFonts w:ascii="Times New Roman" w:hAnsi="Times New Roman" w:cs="Times New Roman"/>
          <w:sz w:val="24"/>
          <w:szCs w:val="24"/>
        </w:rPr>
        <w:t xml:space="preserve">, and </w:t>
      </w:r>
      <w:r w:rsidR="00971A36" w:rsidRPr="00C81036">
        <w:rPr>
          <w:rFonts w:ascii="Times New Roman" w:hAnsi="Times New Roman" w:cs="Times New Roman"/>
          <w:sz w:val="24"/>
          <w:szCs w:val="24"/>
        </w:rPr>
        <w:t xml:space="preserve">general </w:t>
      </w:r>
      <w:r w:rsidR="00B223ED" w:rsidRPr="00C81036">
        <w:rPr>
          <w:rFonts w:ascii="Times New Roman" w:hAnsi="Times New Roman" w:cs="Times New Roman"/>
          <w:sz w:val="24"/>
          <w:szCs w:val="24"/>
        </w:rPr>
        <w:t>reasons suggest</w:t>
      </w:r>
      <w:r w:rsidR="00971A36" w:rsidRPr="00C81036">
        <w:rPr>
          <w:rFonts w:ascii="Times New Roman" w:hAnsi="Times New Roman" w:cs="Times New Roman"/>
          <w:sz w:val="24"/>
          <w:szCs w:val="24"/>
        </w:rPr>
        <w:t xml:space="preserve"> that the most efficient method to address such an externality would be to tax it </w:t>
      </w:r>
      <w:r w:rsidR="00B72BB2" w:rsidRPr="00C81036">
        <w:rPr>
          <w:rFonts w:ascii="Times New Roman" w:hAnsi="Times New Roman" w:cs="Times New Roman"/>
          <w:sz w:val="24"/>
          <w:szCs w:val="24"/>
        </w:rPr>
        <w:t>wherever</w:t>
      </w:r>
      <w:r w:rsidR="00971A36" w:rsidRPr="00C81036">
        <w:rPr>
          <w:rFonts w:ascii="Times New Roman" w:hAnsi="Times New Roman" w:cs="Times New Roman"/>
          <w:sz w:val="24"/>
          <w:szCs w:val="24"/>
        </w:rPr>
        <w:t xml:space="preserve"> it occurs. </w:t>
      </w:r>
      <w:r w:rsidR="00B72BB2" w:rsidRPr="00C81036">
        <w:rPr>
          <w:rFonts w:ascii="Times New Roman" w:hAnsi="Times New Roman" w:cs="Times New Roman"/>
          <w:sz w:val="24"/>
          <w:szCs w:val="24"/>
        </w:rPr>
        <w:t xml:space="preserve">This has been found to be generally inefficient given a lack of coordination amongst countries </w:t>
      </w:r>
      <w:r w:rsidR="00834009" w:rsidRPr="00C81036">
        <w:rPr>
          <w:rFonts w:ascii="Times New Roman" w:hAnsi="Times New Roman" w:cs="Times New Roman"/>
          <w:sz w:val="24"/>
          <w:szCs w:val="24"/>
        </w:rPr>
        <w:t xml:space="preserve">as it creates a free rider problem in which each country has the incentive to </w:t>
      </w:r>
      <w:r w:rsidR="00FF0761" w:rsidRPr="00C81036">
        <w:rPr>
          <w:rFonts w:ascii="Times New Roman" w:hAnsi="Times New Roman" w:cs="Times New Roman"/>
          <w:sz w:val="24"/>
          <w:szCs w:val="24"/>
        </w:rPr>
        <w:t>opt out of the carbon tax.</w:t>
      </w:r>
      <w:r w:rsidR="00792BEC" w:rsidRPr="00C81036">
        <w:rPr>
          <w:rFonts w:ascii="Times New Roman" w:hAnsi="Times New Roman" w:cs="Times New Roman"/>
          <w:sz w:val="24"/>
          <w:szCs w:val="24"/>
        </w:rPr>
        <w:t xml:space="preserve"> D</w:t>
      </w:r>
      <w:r w:rsidR="00F45360" w:rsidRPr="00C81036">
        <w:rPr>
          <w:rFonts w:ascii="Times New Roman" w:hAnsi="Times New Roman" w:cs="Times New Roman"/>
          <w:sz w:val="24"/>
          <w:szCs w:val="24"/>
        </w:rPr>
        <w:t xml:space="preserve">espite the concerns </w:t>
      </w:r>
      <w:r w:rsidR="00B40EB3" w:rsidRPr="00C81036">
        <w:rPr>
          <w:rFonts w:ascii="Times New Roman" w:hAnsi="Times New Roman" w:cs="Times New Roman"/>
          <w:sz w:val="24"/>
          <w:szCs w:val="24"/>
        </w:rPr>
        <w:t xml:space="preserve">about </w:t>
      </w:r>
      <w:r w:rsidR="00CB1F4A" w:rsidRPr="00C81036">
        <w:rPr>
          <w:rFonts w:ascii="Times New Roman" w:hAnsi="Times New Roman" w:cs="Times New Roman"/>
          <w:sz w:val="24"/>
          <w:szCs w:val="24"/>
        </w:rPr>
        <w:t>its</w:t>
      </w:r>
      <w:r w:rsidR="00B40EB3" w:rsidRPr="00C81036">
        <w:rPr>
          <w:rFonts w:ascii="Times New Roman" w:hAnsi="Times New Roman" w:cs="Times New Roman"/>
          <w:sz w:val="24"/>
          <w:szCs w:val="24"/>
        </w:rPr>
        <w:t xml:space="preserve"> economic efficiency</w:t>
      </w:r>
      <w:r w:rsidR="00792BEC" w:rsidRPr="00C81036">
        <w:rPr>
          <w:rFonts w:ascii="Times New Roman" w:hAnsi="Times New Roman" w:cs="Times New Roman"/>
          <w:sz w:val="24"/>
          <w:szCs w:val="24"/>
        </w:rPr>
        <w:t>, some countries have chosen to still implement their own carbon tax</w:t>
      </w:r>
      <w:r w:rsidR="00B40EB3" w:rsidRPr="00C81036">
        <w:rPr>
          <w:rFonts w:ascii="Times New Roman" w:hAnsi="Times New Roman" w:cs="Times New Roman"/>
          <w:sz w:val="24"/>
          <w:szCs w:val="24"/>
        </w:rPr>
        <w:t>. I</w:t>
      </w:r>
      <w:r w:rsidR="00CB1F4A" w:rsidRPr="00C81036">
        <w:rPr>
          <w:rFonts w:ascii="Times New Roman" w:hAnsi="Times New Roman" w:cs="Times New Roman"/>
          <w:sz w:val="24"/>
          <w:szCs w:val="24"/>
        </w:rPr>
        <w:t xml:space="preserve">n the early 1990s, Sweden </w:t>
      </w:r>
      <w:r w:rsidR="000F0FA1" w:rsidRPr="00C81036">
        <w:rPr>
          <w:rFonts w:ascii="Times New Roman" w:hAnsi="Times New Roman" w:cs="Times New Roman"/>
          <w:sz w:val="24"/>
          <w:szCs w:val="24"/>
        </w:rPr>
        <w:t xml:space="preserve">introduced a carbon tax on transport fuels. </w:t>
      </w:r>
      <w:r w:rsidR="00524A48" w:rsidRPr="00C81036">
        <w:rPr>
          <w:rFonts w:ascii="Times New Roman" w:hAnsi="Times New Roman" w:cs="Times New Roman"/>
          <w:sz w:val="24"/>
          <w:szCs w:val="24"/>
        </w:rPr>
        <w:t>They</w:t>
      </w:r>
      <w:r w:rsidR="000F0FA1" w:rsidRPr="00C81036">
        <w:rPr>
          <w:rFonts w:ascii="Times New Roman" w:hAnsi="Times New Roman" w:cs="Times New Roman"/>
          <w:sz w:val="24"/>
          <w:szCs w:val="24"/>
        </w:rPr>
        <w:t xml:space="preserve"> adjusted the carbon tax rate to increase over time from </w:t>
      </w:r>
      <w:r w:rsidR="006D42D3" w:rsidRPr="00C81036">
        <w:rPr>
          <w:rFonts w:ascii="Times New Roman" w:hAnsi="Times New Roman" w:cs="Times New Roman"/>
          <w:sz w:val="24"/>
          <w:szCs w:val="24"/>
        </w:rPr>
        <w:t>$30 to $132 /ton of CO</w:t>
      </w:r>
      <w:r w:rsidR="006D42D3" w:rsidRPr="00C81036">
        <w:rPr>
          <w:rFonts w:ascii="Times New Roman" w:hAnsi="Times New Roman" w:cs="Times New Roman"/>
          <w:sz w:val="24"/>
          <w:szCs w:val="24"/>
          <w:vertAlign w:val="subscript"/>
        </w:rPr>
        <w:t xml:space="preserve">2 </w:t>
      </w:r>
      <w:r w:rsidR="006D42D3" w:rsidRPr="00C81036">
        <w:rPr>
          <w:rFonts w:ascii="Times New Roman" w:hAnsi="Times New Roman" w:cs="Times New Roman"/>
          <w:sz w:val="24"/>
          <w:szCs w:val="24"/>
        </w:rPr>
        <w:t xml:space="preserve">overtime. </w:t>
      </w:r>
      <w:r w:rsidR="00524A48" w:rsidRPr="00C81036">
        <w:rPr>
          <w:rFonts w:ascii="Times New Roman" w:hAnsi="Times New Roman" w:cs="Times New Roman"/>
          <w:sz w:val="24"/>
          <w:szCs w:val="24"/>
        </w:rPr>
        <w:t>Their</w:t>
      </w:r>
      <w:r w:rsidR="00747001" w:rsidRPr="00C81036">
        <w:rPr>
          <w:rFonts w:ascii="Times New Roman" w:hAnsi="Times New Roman" w:cs="Times New Roman"/>
          <w:sz w:val="24"/>
          <w:szCs w:val="24"/>
        </w:rPr>
        <w:t xml:space="preserve"> aim was to reduce carbon emissions in the transportation sector</w:t>
      </w:r>
      <w:r w:rsidR="00E4159F" w:rsidRPr="00C81036">
        <w:rPr>
          <w:rFonts w:ascii="Times New Roman" w:hAnsi="Times New Roman" w:cs="Times New Roman"/>
          <w:sz w:val="24"/>
          <w:szCs w:val="24"/>
        </w:rPr>
        <w:t xml:space="preserve">, but they did not want to decrease their economic </w:t>
      </w:r>
      <w:r w:rsidR="008F1CF6" w:rsidRPr="00C81036">
        <w:rPr>
          <w:rFonts w:ascii="Times New Roman" w:hAnsi="Times New Roman" w:cs="Times New Roman"/>
          <w:sz w:val="24"/>
          <w:szCs w:val="24"/>
        </w:rPr>
        <w:t>competitiveness,</w:t>
      </w:r>
      <w:r w:rsidR="00E4159F" w:rsidRPr="00C81036">
        <w:rPr>
          <w:rFonts w:ascii="Times New Roman" w:hAnsi="Times New Roman" w:cs="Times New Roman"/>
          <w:sz w:val="24"/>
          <w:szCs w:val="24"/>
        </w:rPr>
        <w:t xml:space="preserve"> so they set lower tax rates for </w:t>
      </w:r>
      <w:r w:rsidR="00843CFA" w:rsidRPr="00C81036">
        <w:rPr>
          <w:rFonts w:ascii="Times New Roman" w:hAnsi="Times New Roman" w:cs="Times New Roman"/>
          <w:sz w:val="24"/>
          <w:szCs w:val="24"/>
        </w:rPr>
        <w:t xml:space="preserve">industry and agriculture. </w:t>
      </w:r>
      <w:r w:rsidR="00345219" w:rsidRPr="00C81036">
        <w:rPr>
          <w:rFonts w:ascii="Times New Roman" w:hAnsi="Times New Roman" w:cs="Times New Roman"/>
          <w:sz w:val="24"/>
          <w:szCs w:val="24"/>
        </w:rPr>
        <w:t xml:space="preserve">They found that carbon emissions </w:t>
      </w:r>
      <w:r w:rsidR="008F1CF6" w:rsidRPr="00C81036">
        <w:rPr>
          <w:rFonts w:ascii="Times New Roman" w:hAnsi="Times New Roman" w:cs="Times New Roman"/>
          <w:sz w:val="24"/>
          <w:szCs w:val="24"/>
        </w:rPr>
        <w:t>decrease by 6% from the carbon tax and interestingly they also found that consumers</w:t>
      </w:r>
      <w:r w:rsidR="003849A0" w:rsidRPr="00C81036">
        <w:rPr>
          <w:rFonts w:ascii="Times New Roman" w:hAnsi="Times New Roman" w:cs="Times New Roman"/>
          <w:sz w:val="24"/>
          <w:szCs w:val="24"/>
        </w:rPr>
        <w:t xml:space="preserve"> responses were </w:t>
      </w:r>
      <w:r w:rsidR="00EF5B72" w:rsidRPr="00C81036">
        <w:rPr>
          <w:rFonts w:ascii="Times New Roman" w:hAnsi="Times New Roman" w:cs="Times New Roman"/>
          <w:sz w:val="24"/>
          <w:szCs w:val="24"/>
        </w:rPr>
        <w:t>stronger</w:t>
      </w:r>
      <w:r w:rsidR="003849A0" w:rsidRPr="00C81036">
        <w:rPr>
          <w:rFonts w:ascii="Times New Roman" w:hAnsi="Times New Roman" w:cs="Times New Roman"/>
          <w:sz w:val="24"/>
          <w:szCs w:val="24"/>
        </w:rPr>
        <w:t xml:space="preserve"> to price changes from a carbon tax than from a general market response</w:t>
      </w:r>
      <w:r w:rsidR="00871862" w:rsidRPr="00C81036">
        <w:rPr>
          <w:rFonts w:ascii="Times New Roman" w:hAnsi="Times New Roman" w:cs="Times New Roman"/>
          <w:sz w:val="24"/>
          <w:szCs w:val="24"/>
        </w:rPr>
        <w:t xml:space="preserve"> in the gasoline market</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{"citationID":"SEpf9Np6","properties":{"formattedCitation":"(Andersson 2019)","plainCitation":"(Andersson 2019)","noteIndex":0},"citationItems":[{"id":7733,"uris":["http://zotero.org/users/9930273/items/TT255JED"],"itemData":{"id":7733,"type":"article-journal","abstract":"This quasi-experimental study is the first to find a significant causal effect of carbon taxes on emissions, empirically analyzing the implementation of a carbon tax and a value-added tax on transport fuel in Sweden. After implementation, carbon dioxide emissions from transport declined almost 11 percent, with the largest share due to the carbon tax alone, relative to a synthetic control unit constructed from a comparable group of OECD countries. Furthermore, the carbon tax elasticity of demand for gasoline is three times larger than the price elasticity. Policy evaluations of carbon taxes, using price elasticities to simulate emission reductions, may thus significantly underestimate their true effect. (JEL H23, L91, Q54, Q58)","container-title":"American Economic Journal: Economic Policy","DOI":"10.1257/pol.20170144","ISSN":"1945-7731, 1945-774X","issue":"4","journalAbbreviation":"American Economic Journal: Economic Policy","language":"en","page":"1-30","source":"DOI.org (Crossref)","title":"Carbon Taxes and CO2 Emissions: Sweden as a Case Study","title-short":"Carbon Taxes and CO2 Emissions","volume":"11","author":[{"family":"Andersson","given":"Julius J."}],"issued":{"date-parts":[["2019",11,1]]}}}],"schema":"https://github.com/citation-style-language/schema/raw/master/csl-citation.json"}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sz w:val="24"/>
          <w:szCs w:val="24"/>
        </w:rPr>
        <w:t>(Andersson 2019)</w:t>
      </w:r>
      <w:r w:rsidR="0000690A" w:rsidRPr="00C81036">
        <w:rPr>
          <w:rFonts w:ascii="Times New Roman" w:hAnsi="Times New Roman" w:cs="Times New Roman"/>
          <w:sz w:val="24"/>
          <w:szCs w:val="24"/>
        </w:rPr>
        <w:fldChar w:fldCharType="end"/>
      </w:r>
      <w:r w:rsidR="00871862" w:rsidRPr="00C81036">
        <w:rPr>
          <w:rFonts w:ascii="Times New Roman" w:hAnsi="Times New Roman" w:cs="Times New Roman"/>
          <w:sz w:val="24"/>
          <w:szCs w:val="24"/>
        </w:rPr>
        <w:t xml:space="preserve">. </w:t>
      </w:r>
      <w:r w:rsidR="00C4250E" w:rsidRPr="00C81036">
        <w:rPr>
          <w:rFonts w:ascii="Times New Roman" w:hAnsi="Times New Roman" w:cs="Times New Roman"/>
          <w:sz w:val="24"/>
          <w:szCs w:val="24"/>
        </w:rPr>
        <w:t xml:space="preserve">However, this raises the question </w:t>
      </w:r>
      <w:r w:rsidR="00EF5B72" w:rsidRPr="00C81036">
        <w:rPr>
          <w:rFonts w:ascii="Times New Roman" w:hAnsi="Times New Roman" w:cs="Times New Roman"/>
          <w:sz w:val="24"/>
          <w:szCs w:val="24"/>
        </w:rPr>
        <w:t xml:space="preserve">of the efficiency of a unilateral policy on a global problem. </w:t>
      </w:r>
      <w:r w:rsidR="00BF78C9" w:rsidRPr="00C81036">
        <w:rPr>
          <w:rFonts w:ascii="Times New Roman" w:hAnsi="Times New Roman" w:cs="Times New Roman"/>
          <w:sz w:val="24"/>
          <w:szCs w:val="24"/>
        </w:rPr>
        <w:t>Hoel (</w:t>
      </w:r>
      <w:r w:rsidR="006D4457" w:rsidRPr="00C81036">
        <w:rPr>
          <w:rFonts w:ascii="Times New Roman" w:hAnsi="Times New Roman" w:cs="Times New Roman"/>
          <w:sz w:val="24"/>
          <w:szCs w:val="24"/>
        </w:rPr>
        <w:t xml:space="preserve">1991) </w:t>
      </w:r>
      <w:r w:rsidR="006E3BB0" w:rsidRPr="00C81036">
        <w:rPr>
          <w:rFonts w:ascii="Times New Roman" w:hAnsi="Times New Roman" w:cs="Times New Roman"/>
          <w:sz w:val="24"/>
          <w:szCs w:val="24"/>
        </w:rPr>
        <w:t xml:space="preserve">takes a game theory approach to the issues and sets the </w:t>
      </w:r>
      <w:r w:rsidR="00531F81" w:rsidRPr="00C81036">
        <w:rPr>
          <w:rFonts w:ascii="Times New Roman" w:hAnsi="Times New Roman" w:cs="Times New Roman"/>
          <w:sz w:val="24"/>
          <w:szCs w:val="24"/>
        </w:rPr>
        <w:t>game with two countries</w:t>
      </w:r>
      <w:r w:rsidR="006F7BAB" w:rsidRPr="00C81036">
        <w:rPr>
          <w:rFonts w:ascii="Times New Roman" w:hAnsi="Times New Roman" w:cs="Times New Roman"/>
          <w:sz w:val="24"/>
          <w:szCs w:val="24"/>
        </w:rPr>
        <w:t xml:space="preserve"> </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{"citationID":"JkcOvHEc","properties":{"formattedCitation":"(Hoel 1991)","plainCitation":"(Hoel 1991)","noteIndex":0},"citationItems":[{"id":7790,"uris":["http://zotero.org/users/9930273/items/FEBCCWUD"],"itemData":{"id":7790,"type":"article-journal","abstract":"In global environmental problems, each country's own contribution to worldwide emissions is small, so there is little a country can do by itself. To solve global environmental problems one needs coordinated actions between countries. Environmental groups often advocate that in spite of the global character of the problem, a country ought to take unilateral actions to reduce its environmentally harmful emissions. The argument for such unilateral actions is that they at least give a contribution in the right direction (however small), and also that by “setting a good example” of this type one might affect the behavior of other countries, and/or improve the chances of reaching international agreements of coordinated reductions of harmful emissions. The paper gives an analysis of the consequences of unilateral reductions of harmful emissions. It is shown that such a policy will generally affect the outcome of international negotiations about reduced emissions. The outcome of such negotiations may very well imply higher total emissions when one country reduces its emissions unilaterally than if both countries act selfishly.","container-title":"Journal of Environmental Economics and Management","DOI":"10.1016/0095-0696(91)90023-C","ISSN":"0095-0696","issue":"1","journalAbbreviation":"Journal of Environmental Economics and Management","page":"55-70","source":"ScienceDirect","title":"Global environmental problems: The effects of unilateral actions taken by one country","title-short":"Global environmental problems","volume":"20","author":[{"family":"Hoel","given":"Michael"}],"issued":{"date-parts":[["1991",1,1]]}}}],"schema":"https://github.com/citation-style-language/schema/raw/master/csl-citation.json"}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sz w:val="24"/>
          <w:szCs w:val="24"/>
        </w:rPr>
        <w:t>(Hoel 1991)</w:t>
      </w:r>
      <w:r w:rsidR="0000690A" w:rsidRPr="00C81036">
        <w:rPr>
          <w:rFonts w:ascii="Times New Roman" w:hAnsi="Times New Roman" w:cs="Times New Roman"/>
          <w:sz w:val="24"/>
          <w:szCs w:val="24"/>
        </w:rPr>
        <w:fldChar w:fldCharType="end"/>
      </w:r>
      <w:r w:rsidR="00B26388" w:rsidRPr="00C81036">
        <w:rPr>
          <w:rFonts w:ascii="Times New Roman" w:hAnsi="Times New Roman" w:cs="Times New Roman"/>
          <w:sz w:val="24"/>
          <w:szCs w:val="24"/>
        </w:rPr>
        <w:t xml:space="preserve">. </w:t>
      </w:r>
      <w:r w:rsidR="00962E52" w:rsidRPr="00C81036">
        <w:rPr>
          <w:rFonts w:ascii="Times New Roman" w:hAnsi="Times New Roman" w:cs="Times New Roman"/>
          <w:sz w:val="24"/>
          <w:szCs w:val="24"/>
        </w:rPr>
        <w:t xml:space="preserve">He finds that unilateral emissions from a single country </w:t>
      </w:r>
      <w:r w:rsidR="00CB4C9F" w:rsidRPr="00C81036">
        <w:rPr>
          <w:rFonts w:ascii="Times New Roman" w:hAnsi="Times New Roman" w:cs="Times New Roman"/>
          <w:sz w:val="24"/>
          <w:szCs w:val="24"/>
        </w:rPr>
        <w:t xml:space="preserve">may in fact increase total emissions </w:t>
      </w:r>
      <w:r w:rsidR="004A4F2D" w:rsidRPr="00C81036">
        <w:rPr>
          <w:rFonts w:ascii="Times New Roman" w:hAnsi="Times New Roman" w:cs="Times New Roman"/>
          <w:sz w:val="24"/>
          <w:szCs w:val="24"/>
        </w:rPr>
        <w:t xml:space="preserve">and decrease welfare </w:t>
      </w:r>
      <w:r w:rsidR="00CB4C9F" w:rsidRPr="00C81036">
        <w:rPr>
          <w:rFonts w:ascii="Times New Roman" w:hAnsi="Times New Roman" w:cs="Times New Roman"/>
          <w:sz w:val="24"/>
          <w:szCs w:val="24"/>
        </w:rPr>
        <w:t xml:space="preserve">when their intent was to reduce emissions. </w:t>
      </w:r>
      <w:r w:rsidR="004B22D5" w:rsidRPr="00C81036">
        <w:rPr>
          <w:rFonts w:ascii="Times New Roman" w:hAnsi="Times New Roman" w:cs="Times New Roman"/>
          <w:sz w:val="24"/>
          <w:szCs w:val="24"/>
        </w:rPr>
        <w:t xml:space="preserve">This is not to say that the actions of one country would not inspire another country to reduce their own emissions, but rather that in a scenario where one country acts altruistically or </w:t>
      </w:r>
      <w:r w:rsidR="006C070F" w:rsidRPr="00C81036">
        <w:rPr>
          <w:rFonts w:ascii="Times New Roman" w:hAnsi="Times New Roman" w:cs="Times New Roman"/>
          <w:sz w:val="24"/>
          <w:szCs w:val="24"/>
        </w:rPr>
        <w:t xml:space="preserve">environmentally and the other selfishly that </w:t>
      </w:r>
      <w:r w:rsidR="00D735B5" w:rsidRPr="00C81036">
        <w:rPr>
          <w:rFonts w:ascii="Times New Roman" w:hAnsi="Times New Roman" w:cs="Times New Roman"/>
          <w:sz w:val="24"/>
          <w:szCs w:val="24"/>
        </w:rPr>
        <w:t xml:space="preserve">the good intentioned policy may have unintended consequences. </w:t>
      </w:r>
    </w:p>
    <w:p w14:paraId="721D43A8" w14:textId="53841AD8" w:rsidR="00B60D3A" w:rsidRPr="00C81036" w:rsidRDefault="001E1B07" w:rsidP="002F7D3D">
      <w:pPr>
        <w:rPr>
          <w:rFonts w:ascii="Times New Roman" w:hAnsi="Times New Roman" w:cs="Times New Roman"/>
          <w:sz w:val="24"/>
          <w:szCs w:val="24"/>
        </w:rPr>
      </w:pPr>
      <w:r w:rsidRPr="00C81036">
        <w:rPr>
          <w:rFonts w:ascii="Times New Roman" w:hAnsi="Times New Roman" w:cs="Times New Roman"/>
          <w:sz w:val="24"/>
          <w:szCs w:val="24"/>
        </w:rPr>
        <w:t xml:space="preserve">There has been extensive literature on the </w:t>
      </w:r>
      <w:r w:rsidR="00834BEE" w:rsidRPr="00C81036">
        <w:rPr>
          <w:rFonts w:ascii="Times New Roman" w:hAnsi="Times New Roman" w:cs="Times New Roman"/>
          <w:sz w:val="24"/>
          <w:szCs w:val="24"/>
        </w:rPr>
        <w:t xml:space="preserve">efficiency of carbon </w:t>
      </w:r>
      <w:r w:rsidR="00436022" w:rsidRPr="00C81036">
        <w:rPr>
          <w:rFonts w:ascii="Times New Roman" w:hAnsi="Times New Roman" w:cs="Times New Roman"/>
          <w:sz w:val="24"/>
          <w:szCs w:val="24"/>
        </w:rPr>
        <w:t>taxes,</w:t>
      </w:r>
      <w:r w:rsidR="00834BEE" w:rsidRPr="00C81036">
        <w:rPr>
          <w:rFonts w:ascii="Times New Roman" w:hAnsi="Times New Roman" w:cs="Times New Roman"/>
          <w:sz w:val="24"/>
          <w:szCs w:val="24"/>
        </w:rPr>
        <w:t xml:space="preserve"> and many come to the same conclusion: they are not efficient </w:t>
      </w:r>
      <w:r w:rsidR="00436022" w:rsidRPr="00C81036">
        <w:rPr>
          <w:rFonts w:ascii="Times New Roman" w:hAnsi="Times New Roman" w:cs="Times New Roman"/>
          <w:sz w:val="24"/>
          <w:szCs w:val="24"/>
        </w:rPr>
        <w:t xml:space="preserve">unless they account for carbon leakage. </w:t>
      </w:r>
      <w:r w:rsidR="004940EC" w:rsidRPr="00C81036">
        <w:rPr>
          <w:rFonts w:ascii="Times New Roman" w:hAnsi="Times New Roman" w:cs="Times New Roman"/>
          <w:sz w:val="24"/>
          <w:szCs w:val="24"/>
        </w:rPr>
        <w:t xml:space="preserve">A border carbon tax seeks to account for this carbon leakage and increase the efficiency of a </w:t>
      </w:r>
      <w:r w:rsidR="00226D06" w:rsidRPr="00C81036">
        <w:rPr>
          <w:rFonts w:ascii="Times New Roman" w:hAnsi="Times New Roman" w:cs="Times New Roman"/>
          <w:sz w:val="24"/>
          <w:szCs w:val="24"/>
        </w:rPr>
        <w:t>country’s</w:t>
      </w:r>
      <w:r w:rsidR="004940EC" w:rsidRPr="00C81036">
        <w:rPr>
          <w:rFonts w:ascii="Times New Roman" w:hAnsi="Times New Roman" w:cs="Times New Roman"/>
          <w:sz w:val="24"/>
          <w:szCs w:val="24"/>
        </w:rPr>
        <w:t xml:space="preserve"> unilateral </w:t>
      </w:r>
      <w:r w:rsidR="00226D06" w:rsidRPr="00C81036">
        <w:rPr>
          <w:rFonts w:ascii="Times New Roman" w:hAnsi="Times New Roman" w:cs="Times New Roman"/>
          <w:sz w:val="24"/>
          <w:szCs w:val="24"/>
        </w:rPr>
        <w:t>carbon tax</w:t>
      </w:r>
      <w:r w:rsidR="00481B87" w:rsidRPr="00C81036">
        <w:rPr>
          <w:rFonts w:ascii="Times New Roman" w:hAnsi="Times New Roman" w:cs="Times New Roman"/>
          <w:sz w:val="24"/>
          <w:szCs w:val="24"/>
        </w:rPr>
        <w:t xml:space="preserve"> and it is found to be the most effective measure to reduce carbon leakage as compared to </w:t>
      </w:r>
      <w:r w:rsidR="004E789E" w:rsidRPr="00C81036">
        <w:rPr>
          <w:rFonts w:ascii="Times New Roman" w:hAnsi="Times New Roman" w:cs="Times New Roman"/>
          <w:sz w:val="24"/>
          <w:szCs w:val="24"/>
        </w:rPr>
        <w:t xml:space="preserve">industry exemptions from carbon regulation and output-based </w:t>
      </w:r>
      <w:r w:rsidR="009E0B1E" w:rsidRPr="00C81036">
        <w:rPr>
          <w:rFonts w:ascii="Times New Roman" w:hAnsi="Times New Roman" w:cs="Times New Roman"/>
          <w:sz w:val="24"/>
          <w:szCs w:val="24"/>
        </w:rPr>
        <w:t>allocation of emission allowances</w:t>
      </w:r>
      <w:r w:rsidR="00ED68AD" w:rsidRPr="00C81036">
        <w:rPr>
          <w:rFonts w:ascii="Times New Roman" w:hAnsi="Times New Roman" w:cs="Times New Roman"/>
          <w:sz w:val="24"/>
          <w:szCs w:val="24"/>
        </w:rPr>
        <w:t xml:space="preserve"> </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{"citationID":"cK8heUJv","properties":{"formattedCitation":"(B\\uc0\\u246{}hringer, Carbone, and Rutherford 2012)","plainCitation":"(Böhringer, Carbone, and Rutherford 2012)","noteIndex":0},"citationItems":[{"id":7706,"uris":["http://zotero.org/users/9930273/items/QKBF8BVQ"],"itemData":{"id":7706,"type":"article-journal","abstract":"Global cost-effectiveness of unilateral emission abatement can be seriously hampered by carbon leakage. We assess three widely discussed proposals for leakage reduction: carbon-motivated border tax adjustments, industry exemptions from carbon regulation, and output-based allocation of emission allowances. We find that none of these measures amounts to a “magic bullet” when both efficiency and equity criteria matter. Compared to unilateral emission pricing alone, border carbon adjustments are most effective in leakage reduction and promotion of global cost-effectiveness but can markedly exacerbate regional inequality; exemptions and output-based allocation tend to avoid distributional pitfalls but are less effective in leakage reduction and global cost savings; exemptions may even decrease global cost-effectiveness of unilateral emission abatement.","collection-title":"The Role of Border Carbon Adjustment in Unilateral Climate Policy: Results from EMF 29","container-title":"Energy Economics","DOI":"10.1016/j.eneco.2012.09.011","ISSN":"0140-9883","journalAbbreviation":"Energy Economics","page":"S208-S217","source":"ScienceDirect","title":"Unilateral climate policy design: Efficiency and equity implications of alternative instruments to reduce carbon leakage","title-short":"Unilateral climate policy design","volume":"34","author":[{"family":"Böhringer","given":"Christoph"},{"family":"Carbone","given":"Jared C."},{"family":"Rutherford","given":"Thomas F."}],"issued":{"date-parts":[["2012",12,1]]}}}],"schema":"https://github.com/citation-style-language/schema/raw/master/csl-citation.json"}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kern w:val="0"/>
          <w:sz w:val="24"/>
          <w:szCs w:val="24"/>
        </w:rPr>
        <w:t>(Böhringer, Carbone, and Rutherford 2012)</w:t>
      </w:r>
      <w:r w:rsidR="0000690A" w:rsidRPr="00C81036">
        <w:rPr>
          <w:rFonts w:ascii="Times New Roman" w:hAnsi="Times New Roman" w:cs="Times New Roman"/>
          <w:sz w:val="24"/>
          <w:szCs w:val="24"/>
        </w:rPr>
        <w:fldChar w:fldCharType="end"/>
      </w:r>
      <w:r w:rsidR="00226D06" w:rsidRPr="00C81036">
        <w:rPr>
          <w:rFonts w:ascii="Times New Roman" w:hAnsi="Times New Roman" w:cs="Times New Roman"/>
          <w:sz w:val="24"/>
          <w:szCs w:val="24"/>
        </w:rPr>
        <w:t xml:space="preserve">. </w:t>
      </w:r>
      <w:r w:rsidR="004378F8" w:rsidRPr="00C81036">
        <w:rPr>
          <w:rFonts w:ascii="Times New Roman" w:hAnsi="Times New Roman" w:cs="Times New Roman"/>
          <w:sz w:val="24"/>
          <w:szCs w:val="24"/>
        </w:rPr>
        <w:t xml:space="preserve">For example, if country A had a carbon tax </w:t>
      </w:r>
      <w:r w:rsidR="00EA15C8" w:rsidRPr="00C81036">
        <w:rPr>
          <w:rFonts w:ascii="Times New Roman" w:hAnsi="Times New Roman" w:cs="Times New Roman"/>
          <w:sz w:val="24"/>
          <w:szCs w:val="24"/>
        </w:rPr>
        <w:t xml:space="preserve">and country B did not this might lead to production shifting to country B and increase emissions. However, if country A were to tax all imported </w:t>
      </w:r>
      <w:r w:rsidR="00BE3CCC" w:rsidRPr="00C81036">
        <w:rPr>
          <w:rFonts w:ascii="Times New Roman" w:hAnsi="Times New Roman" w:cs="Times New Roman"/>
          <w:sz w:val="24"/>
          <w:szCs w:val="24"/>
        </w:rPr>
        <w:t>goods</w:t>
      </w:r>
      <w:r w:rsidR="00EA15C8" w:rsidRPr="00C81036">
        <w:rPr>
          <w:rFonts w:ascii="Times New Roman" w:hAnsi="Times New Roman" w:cs="Times New Roman"/>
          <w:sz w:val="24"/>
          <w:szCs w:val="24"/>
        </w:rPr>
        <w:t xml:space="preserve"> from country B </w:t>
      </w:r>
      <w:r w:rsidR="001A3C33" w:rsidRPr="00C81036">
        <w:rPr>
          <w:rFonts w:ascii="Times New Roman" w:hAnsi="Times New Roman" w:cs="Times New Roman"/>
          <w:sz w:val="24"/>
          <w:szCs w:val="24"/>
        </w:rPr>
        <w:t xml:space="preserve">relative to their carbon price, this in theory should account for the carbon leakage. </w:t>
      </w:r>
      <w:r w:rsidR="00895CA2" w:rsidRPr="00C81036">
        <w:rPr>
          <w:rFonts w:ascii="Times New Roman" w:hAnsi="Times New Roman" w:cs="Times New Roman"/>
          <w:sz w:val="24"/>
          <w:szCs w:val="24"/>
        </w:rPr>
        <w:t>Elliott et al. (</w:t>
      </w:r>
      <w:r w:rsidR="007B7096" w:rsidRPr="00C81036">
        <w:rPr>
          <w:rFonts w:ascii="Times New Roman" w:hAnsi="Times New Roman" w:cs="Times New Roman"/>
          <w:sz w:val="24"/>
          <w:szCs w:val="24"/>
        </w:rPr>
        <w:t xml:space="preserve">2010) </w:t>
      </w:r>
      <w:r w:rsidR="00934B10" w:rsidRPr="00C81036">
        <w:rPr>
          <w:rFonts w:ascii="Times New Roman" w:hAnsi="Times New Roman" w:cs="Times New Roman"/>
          <w:sz w:val="24"/>
          <w:szCs w:val="24"/>
        </w:rPr>
        <w:t>discusses</w:t>
      </w:r>
      <w:r w:rsidR="00422C1A" w:rsidRPr="00C81036">
        <w:rPr>
          <w:rFonts w:ascii="Times New Roman" w:hAnsi="Times New Roman" w:cs="Times New Roman"/>
          <w:sz w:val="24"/>
          <w:szCs w:val="24"/>
        </w:rPr>
        <w:t xml:space="preserve"> the </w:t>
      </w:r>
      <w:r w:rsidR="000D6531" w:rsidRPr="00C81036">
        <w:rPr>
          <w:rFonts w:ascii="Times New Roman" w:hAnsi="Times New Roman" w:cs="Times New Roman"/>
          <w:sz w:val="24"/>
          <w:szCs w:val="24"/>
        </w:rPr>
        <w:t xml:space="preserve">impact of establishing a carbon tax on </w:t>
      </w:r>
      <w:r w:rsidR="000D4015" w:rsidRPr="00C81036">
        <w:rPr>
          <w:rFonts w:ascii="Times New Roman" w:hAnsi="Times New Roman" w:cs="Times New Roman"/>
          <w:sz w:val="24"/>
          <w:szCs w:val="24"/>
        </w:rPr>
        <w:t xml:space="preserve">Annex B countries, as defined by the Kyoto Protocol, and then </w:t>
      </w:r>
      <w:r w:rsidR="00D32008" w:rsidRPr="00C81036">
        <w:rPr>
          <w:rFonts w:ascii="Times New Roman" w:hAnsi="Times New Roman" w:cs="Times New Roman"/>
          <w:sz w:val="24"/>
          <w:szCs w:val="24"/>
        </w:rPr>
        <w:t>the impact of the carbon tax and a carbon border tax on Annex B countries</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{"citationID":"rxlhDNrC","properties":{"formattedCitation":"(Elliott et al. 2010)","plainCitation":"(Elliott et al. 2010)","noteIndex":0},"citationItems":[{"id":7713,"uris":["http://zotero.org/users/9930273/items/IJLMZ5N5"],"itemData":{"id":7713,"type":"article-journal","container-title":"American Economic Review","DOI":"10.1257/aer.100.2.465","ISSN":"0002-8282","issue":"2","language":"en","page":"465-469","source":"www.aeaweb.org","title":"Trade and Carbon Taxes","volume":"100","author":[{"family":"Elliott","given":"Joshua"},{"family":"Foster","given":"Ian"},{"family":"Kortum","given":"Samuel"},{"family":"Munson","given":"Todd"},{"family":"Pérez Cervantes","given":"Fernando"},{"family":"Weisbach","given":"David"}],"issued":{"date-parts":[["2010",5]]}}}],"schema":"https://github.com/citation-style-language/schema/raw/master/csl-citation.json"}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sz w:val="24"/>
          <w:szCs w:val="24"/>
        </w:rPr>
        <w:t>(Elliott et al. 2010)</w:t>
      </w:r>
      <w:r w:rsidR="0000690A" w:rsidRPr="00C81036">
        <w:rPr>
          <w:rFonts w:ascii="Times New Roman" w:hAnsi="Times New Roman" w:cs="Times New Roman"/>
          <w:sz w:val="24"/>
          <w:szCs w:val="24"/>
        </w:rPr>
        <w:fldChar w:fldCharType="end"/>
      </w:r>
      <w:r w:rsidR="00D32008" w:rsidRPr="00C81036">
        <w:rPr>
          <w:rFonts w:ascii="Times New Roman" w:hAnsi="Times New Roman" w:cs="Times New Roman"/>
          <w:sz w:val="24"/>
          <w:szCs w:val="24"/>
        </w:rPr>
        <w:t xml:space="preserve">. They find that </w:t>
      </w:r>
      <w:r w:rsidR="008E70CC" w:rsidRPr="00C81036">
        <w:rPr>
          <w:rFonts w:ascii="Times New Roman" w:hAnsi="Times New Roman" w:cs="Times New Roman"/>
          <w:sz w:val="24"/>
          <w:szCs w:val="24"/>
        </w:rPr>
        <w:t xml:space="preserve">the addition of the carbon border tax removes carbon leakage and reduces emissions overall. </w:t>
      </w:r>
      <w:r w:rsidR="001835AC" w:rsidRPr="00C81036">
        <w:rPr>
          <w:rFonts w:ascii="Times New Roman" w:hAnsi="Times New Roman" w:cs="Times New Roman"/>
          <w:sz w:val="24"/>
          <w:szCs w:val="24"/>
        </w:rPr>
        <w:t>Böhringer et al (201</w:t>
      </w:r>
      <w:r w:rsidR="0075285E" w:rsidRPr="00C81036">
        <w:rPr>
          <w:rFonts w:ascii="Times New Roman" w:hAnsi="Times New Roman" w:cs="Times New Roman"/>
          <w:sz w:val="24"/>
          <w:szCs w:val="24"/>
        </w:rPr>
        <w:t>8</w:t>
      </w:r>
      <w:r w:rsidR="001835AC" w:rsidRPr="00C81036">
        <w:rPr>
          <w:rFonts w:ascii="Times New Roman" w:hAnsi="Times New Roman" w:cs="Times New Roman"/>
          <w:sz w:val="24"/>
          <w:szCs w:val="24"/>
        </w:rPr>
        <w:t>) highlight that the introduction of a carbon border tax in tandem with unilateral carbon tax often sets the border tax too high to be efficient and further does not account for the likely behavioral shifts by industries through shifts in trade</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{"citationID":"DPLVyDcK","properties":{"formattedCitation":"(B\\uc0\\u246{}hringer, Carbone, and Rutherford 2018)","plainCitation":"(Böhringer, Carbone, and Rutherford 2018)","noteIndex":0},"citationItems":[{"id":7704,"uris":["http://zotero.org/users/9930273/items/VWMTQPW2"],"itemData":{"id":7704,"type":"article-journal","abstract":"In this paper, we investigate the economic and environmental impacts of tariffs on carbon embodied in trade. We find that carbon tariffs do reduce foreign emissions, but their ability to improve global cost-effectiveness of unilateral climate policy is quite limited – even if tariff rates are based on more sophisticated second-best considerations. If carbon tariffs are levied on the full carbon content of traded goods, they can even increase rather than decrease the global cost of emission reduction. The main effect of carbon tariffs is to shift the economic burden of developed-world climate policies to the developing world.","container-title":"The Scandinavian Journal of Economics","DOI":"10.1111/sjoe.12211","ISSN":"1467-9442","issue":"1","language":"en","license":"© The editors of The Scandinavian Journal of Economics 2016.","note":"_eprint: https://onlinelibrary.wiley.com/doi/pdf/10.1111/sjoe.12211","page":"183-210","source":"Wiley Online Library","title":"Embodied Carbon Tariffs","volume":"120","author":[{"family":"Böhringer","given":"Christoph"},{"family":"Carbone","given":"Jared C."},{"family":"Rutherford","given":"Thomas F."}],"issued":{"date-parts":[["2018"]]}}}],"schema":"https://github.com/citation-style-language/schema/raw/master/csl-citation.json"}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kern w:val="0"/>
          <w:sz w:val="24"/>
          <w:szCs w:val="24"/>
        </w:rPr>
        <w:t>(Böhringer, Carbone, and Rutherford 2018)</w:t>
      </w:r>
      <w:r w:rsidR="0000690A" w:rsidRPr="00C81036">
        <w:rPr>
          <w:rFonts w:ascii="Times New Roman" w:hAnsi="Times New Roman" w:cs="Times New Roman"/>
          <w:sz w:val="24"/>
          <w:szCs w:val="24"/>
        </w:rPr>
        <w:fldChar w:fldCharType="end"/>
      </w:r>
      <w:r w:rsidR="001835AC" w:rsidRPr="00C81036">
        <w:rPr>
          <w:rFonts w:ascii="Times New Roman" w:hAnsi="Times New Roman" w:cs="Times New Roman"/>
          <w:sz w:val="24"/>
          <w:szCs w:val="24"/>
        </w:rPr>
        <w:t xml:space="preserve">. </w:t>
      </w:r>
      <w:r w:rsidR="00A53F97" w:rsidRPr="00C81036">
        <w:rPr>
          <w:rFonts w:ascii="Times New Roman" w:hAnsi="Times New Roman" w:cs="Times New Roman"/>
          <w:sz w:val="24"/>
          <w:szCs w:val="24"/>
        </w:rPr>
        <w:t xml:space="preserve">Other research has suggested that </w:t>
      </w:r>
      <w:r w:rsidR="00A036A8" w:rsidRPr="00C81036">
        <w:rPr>
          <w:rFonts w:ascii="Times New Roman" w:hAnsi="Times New Roman" w:cs="Times New Roman"/>
          <w:sz w:val="24"/>
          <w:szCs w:val="24"/>
        </w:rPr>
        <w:t xml:space="preserve">relevancy and efficiency of </w:t>
      </w:r>
      <w:r w:rsidR="00A53F97" w:rsidRPr="00C81036">
        <w:rPr>
          <w:rFonts w:ascii="Times New Roman" w:hAnsi="Times New Roman" w:cs="Times New Roman"/>
          <w:sz w:val="24"/>
          <w:szCs w:val="24"/>
        </w:rPr>
        <w:t xml:space="preserve">carbon border taxes </w:t>
      </w:r>
      <w:r w:rsidR="0095624E" w:rsidRPr="00C81036">
        <w:rPr>
          <w:rFonts w:ascii="Times New Roman" w:hAnsi="Times New Roman" w:cs="Times New Roman"/>
          <w:sz w:val="24"/>
          <w:szCs w:val="24"/>
        </w:rPr>
        <w:t xml:space="preserve">is directly impacted by the type of trade flow </w:t>
      </w:r>
      <w:r w:rsidR="003E2869" w:rsidRPr="00C81036">
        <w:rPr>
          <w:rFonts w:ascii="Times New Roman" w:hAnsi="Times New Roman" w:cs="Times New Roman"/>
          <w:sz w:val="24"/>
          <w:szCs w:val="24"/>
        </w:rPr>
        <w:t>and emissions intensive</w:t>
      </w:r>
      <w:r w:rsidR="008612BD" w:rsidRPr="00C81036">
        <w:rPr>
          <w:rFonts w:ascii="Times New Roman" w:hAnsi="Times New Roman" w:cs="Times New Roman"/>
          <w:sz w:val="24"/>
          <w:szCs w:val="24"/>
        </w:rPr>
        <w:t>ness of</w:t>
      </w:r>
      <w:r w:rsidR="003E2869" w:rsidRPr="00C81036">
        <w:rPr>
          <w:rFonts w:ascii="Times New Roman" w:hAnsi="Times New Roman" w:cs="Times New Roman"/>
          <w:sz w:val="24"/>
          <w:szCs w:val="24"/>
        </w:rPr>
        <w:t xml:space="preserve"> trade between the </w:t>
      </w:r>
      <w:r w:rsidR="008612BD" w:rsidRPr="00C81036">
        <w:rPr>
          <w:rFonts w:ascii="Times New Roman" w:hAnsi="Times New Roman" w:cs="Times New Roman"/>
          <w:sz w:val="24"/>
          <w:szCs w:val="24"/>
        </w:rPr>
        <w:t>relative</w:t>
      </w:r>
      <w:r w:rsidR="003E2869" w:rsidRPr="00C81036">
        <w:rPr>
          <w:rFonts w:ascii="Times New Roman" w:hAnsi="Times New Roman" w:cs="Times New Roman"/>
          <w:sz w:val="24"/>
          <w:szCs w:val="24"/>
        </w:rPr>
        <w:t xml:space="preserve"> countries</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{"citationID":"0oxW17Zz","properties":{"formattedCitation":"(B\\uc0\\u246{}hringer, Schneider, and Asane-Otoo 2021)","plainCitation":"(Böhringer, Schneider, and Asane-Otoo 2021)","noteIndex":0},"citationItems":[{"id":7711,"uris":["http://zotero.org/users/9930273/items/GIM9HMVH"],"itemData":{"id":7711,"type":"article-journal","abstract":"Carbon-based import tariffs are proposed as a policy measure to reduce carbon leakage and increase the global cost-effectiveness of unilateral CO2 emission pricing. We investigate the case for carbon tariffs. For our assessment, we combine multi-region input–output and computable general equilibrium analyses based on data from the World Input–Output Database for the period 2000–2014. The multi-region input–output analysis confirms that carbon embodied in trade has increased during this period, but trade flows from Non-OECD to OECD countries became less important in relative terms since the 2007–2008 financial crisis. The computable general equilibrium analysis suggests that carbon tariffs’ efficacy in combating leakage increases in periods when trade in carbon increases. However, its potential to improve the global-cost effectiveness of unilateral emission pricing remains modest. On the other hand, we find that the potential of carbon tariffs to shift the economic burden of CO2 emission reduction from abating developed regions to non-abating developing regions increases sharply between 2000 and 2007, but declines after the financial crisis.","container-title":"Environmental and Resource Economics","DOI":"10.1007/s10640-021-00548-y","ISSN":"1573-1502","issue":"4","journalAbbreviation":"Environ Resource Econ","language":"en","page":"669-708","source":"Springer Link","title":"Trade in Carbon and Carbon Tariffs","volume":"78","author":[{"family":"Böhringer","given":"Christoph"},{"family":"Schneider","given":"Jan"},{"family":"Asane-Otoo","given":"Emmanuel"}],"issued":{"date-parts":[["2021",4,1]]}}}],"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kern w:val="0"/>
          <w:sz w:val="24"/>
          <w:szCs w:val="24"/>
        </w:rPr>
        <w:t>(Böhringer, Schneider, and Asane-Otoo 2021)</w:t>
      </w:r>
      <w:r w:rsidR="0000690A" w:rsidRPr="00C81036">
        <w:rPr>
          <w:rFonts w:ascii="Times New Roman" w:hAnsi="Times New Roman" w:cs="Times New Roman"/>
          <w:sz w:val="24"/>
          <w:szCs w:val="24"/>
        </w:rPr>
        <w:fldChar w:fldCharType="end"/>
      </w:r>
      <w:r w:rsidR="009E6644" w:rsidRPr="00C81036">
        <w:rPr>
          <w:rFonts w:ascii="Times New Roman" w:hAnsi="Times New Roman" w:cs="Times New Roman"/>
          <w:sz w:val="24"/>
          <w:szCs w:val="24"/>
        </w:rPr>
        <w:t xml:space="preserve">. </w:t>
      </w:r>
      <w:r w:rsidR="009E7B6C" w:rsidRPr="00C81036">
        <w:rPr>
          <w:rFonts w:ascii="Times New Roman" w:hAnsi="Times New Roman" w:cs="Times New Roman"/>
          <w:sz w:val="24"/>
          <w:szCs w:val="24"/>
        </w:rPr>
        <w:t xml:space="preserve">After the 2008 financial crisis there was a relatively </w:t>
      </w:r>
      <w:r w:rsidR="009027CD" w:rsidRPr="00C81036">
        <w:rPr>
          <w:rFonts w:ascii="Times New Roman" w:hAnsi="Times New Roman" w:cs="Times New Roman"/>
          <w:sz w:val="24"/>
          <w:szCs w:val="24"/>
        </w:rPr>
        <w:t xml:space="preserve">sharp decrease </w:t>
      </w:r>
      <w:r w:rsidR="009E7B6C" w:rsidRPr="00C81036">
        <w:rPr>
          <w:rFonts w:ascii="Times New Roman" w:hAnsi="Times New Roman" w:cs="Times New Roman"/>
          <w:sz w:val="24"/>
          <w:szCs w:val="24"/>
        </w:rPr>
        <w:t xml:space="preserve">in </w:t>
      </w:r>
      <w:r w:rsidR="00612A2E" w:rsidRPr="00C81036">
        <w:rPr>
          <w:rFonts w:ascii="Times New Roman" w:hAnsi="Times New Roman" w:cs="Times New Roman"/>
          <w:sz w:val="24"/>
          <w:szCs w:val="24"/>
        </w:rPr>
        <w:t>OECD countries’ net and total imports of carbon intensive products</w:t>
      </w:r>
      <w:r w:rsidR="009027CD" w:rsidRPr="00C81036">
        <w:rPr>
          <w:rFonts w:ascii="Times New Roman" w:hAnsi="Times New Roman" w:cs="Times New Roman"/>
          <w:sz w:val="24"/>
          <w:szCs w:val="24"/>
        </w:rPr>
        <w:t xml:space="preserve"> and since then </w:t>
      </w:r>
      <w:r w:rsidR="00691C81" w:rsidRPr="00C81036">
        <w:rPr>
          <w:rFonts w:ascii="Times New Roman" w:hAnsi="Times New Roman" w:cs="Times New Roman"/>
          <w:sz w:val="24"/>
          <w:szCs w:val="24"/>
        </w:rPr>
        <w:t xml:space="preserve">there has </w:t>
      </w:r>
      <w:r w:rsidR="007B50F4" w:rsidRPr="00C81036">
        <w:rPr>
          <w:rFonts w:ascii="Times New Roman" w:hAnsi="Times New Roman" w:cs="Times New Roman"/>
          <w:sz w:val="24"/>
          <w:szCs w:val="24"/>
        </w:rPr>
        <w:t>been</w:t>
      </w:r>
      <w:r w:rsidR="00691C81" w:rsidRPr="00C81036">
        <w:rPr>
          <w:rFonts w:ascii="Times New Roman" w:hAnsi="Times New Roman" w:cs="Times New Roman"/>
          <w:sz w:val="24"/>
          <w:szCs w:val="24"/>
        </w:rPr>
        <w:t xml:space="preserve"> a plateau relative to the increasing trend in the decade before the financial crises. </w:t>
      </w:r>
      <w:r w:rsidR="00A81188" w:rsidRPr="00C81036">
        <w:rPr>
          <w:rFonts w:ascii="Times New Roman" w:hAnsi="Times New Roman" w:cs="Times New Roman"/>
          <w:sz w:val="24"/>
          <w:szCs w:val="24"/>
        </w:rPr>
        <w:t xml:space="preserve">This highlights the </w:t>
      </w:r>
      <w:r w:rsidR="007B50F4" w:rsidRPr="00C81036">
        <w:rPr>
          <w:rFonts w:ascii="Times New Roman" w:hAnsi="Times New Roman" w:cs="Times New Roman"/>
          <w:sz w:val="24"/>
          <w:szCs w:val="24"/>
        </w:rPr>
        <w:t xml:space="preserve">discrepancies of environmental regulations between OECD countries and non-OECD countries </w:t>
      </w:r>
      <w:r w:rsidR="007406BC" w:rsidRPr="00C81036">
        <w:rPr>
          <w:rFonts w:ascii="Times New Roman" w:hAnsi="Times New Roman" w:cs="Times New Roman"/>
          <w:sz w:val="24"/>
          <w:szCs w:val="24"/>
        </w:rPr>
        <w:t xml:space="preserve">and thus </w:t>
      </w:r>
      <w:r w:rsidR="00C71118" w:rsidRPr="00C81036">
        <w:rPr>
          <w:rFonts w:ascii="Times New Roman" w:hAnsi="Times New Roman" w:cs="Times New Roman"/>
          <w:sz w:val="24"/>
          <w:szCs w:val="24"/>
        </w:rPr>
        <w:t xml:space="preserve">the shift of trade from </w:t>
      </w:r>
      <w:r w:rsidR="00C71118" w:rsidRPr="00C81036">
        <w:rPr>
          <w:rFonts w:ascii="Times New Roman" w:hAnsi="Times New Roman" w:cs="Times New Roman"/>
          <w:sz w:val="24"/>
          <w:szCs w:val="24"/>
        </w:rPr>
        <w:lastRenderedPageBreak/>
        <w:t xml:space="preserve">between non-OECD countries to OECD countries to between non-OECD countries limits the effectiveness of a carbon border tax to have significant global impacts. </w:t>
      </w:r>
    </w:p>
    <w:p w14:paraId="58ACDA15" w14:textId="04E62D8D" w:rsidR="008852CB" w:rsidRPr="00C81036" w:rsidRDefault="000F305D" w:rsidP="008852CB">
      <w:pPr>
        <w:rPr>
          <w:rFonts w:ascii="Times New Roman" w:hAnsi="Times New Roman" w:cs="Times New Roman"/>
          <w:sz w:val="24"/>
          <w:szCs w:val="24"/>
        </w:rPr>
      </w:pPr>
      <w:r w:rsidRPr="00C81036">
        <w:rPr>
          <w:rFonts w:ascii="Times New Roman" w:hAnsi="Times New Roman" w:cs="Times New Roman"/>
          <w:sz w:val="24"/>
          <w:szCs w:val="24"/>
        </w:rPr>
        <w:t>Interestingly, evidence suggests that t</w:t>
      </w:r>
      <w:r w:rsidR="00F543D4" w:rsidRPr="00C81036">
        <w:rPr>
          <w:rFonts w:ascii="Times New Roman" w:hAnsi="Times New Roman" w:cs="Times New Roman"/>
          <w:sz w:val="24"/>
          <w:szCs w:val="24"/>
        </w:rPr>
        <w:t xml:space="preserve">he EU’s implementation of the ETS </w:t>
      </w:r>
      <w:r w:rsidR="0045149F" w:rsidRPr="00C81036">
        <w:rPr>
          <w:rFonts w:ascii="Times New Roman" w:hAnsi="Times New Roman" w:cs="Times New Roman"/>
          <w:sz w:val="24"/>
          <w:szCs w:val="24"/>
        </w:rPr>
        <w:t xml:space="preserve">in 2005 </w:t>
      </w:r>
      <w:r w:rsidR="00C64C83" w:rsidRPr="00C81036">
        <w:rPr>
          <w:rFonts w:ascii="Times New Roman" w:hAnsi="Times New Roman" w:cs="Times New Roman"/>
          <w:sz w:val="24"/>
          <w:szCs w:val="24"/>
        </w:rPr>
        <w:t>has</w:t>
      </w:r>
      <w:r w:rsidR="001A5A62" w:rsidRPr="00C81036">
        <w:rPr>
          <w:rFonts w:ascii="Times New Roman" w:hAnsi="Times New Roman" w:cs="Times New Roman"/>
          <w:sz w:val="24"/>
          <w:szCs w:val="24"/>
        </w:rPr>
        <w:t xml:space="preserve"> significantly reduced emissions </w:t>
      </w:r>
      <w:r w:rsidR="0079718F" w:rsidRPr="00C81036">
        <w:rPr>
          <w:rFonts w:ascii="Times New Roman" w:hAnsi="Times New Roman" w:cs="Times New Roman"/>
          <w:sz w:val="24"/>
          <w:szCs w:val="24"/>
        </w:rPr>
        <w:t>and that such a carbon pricing scheme has not resulted in a decrease in the competitiveness of EU firms</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{"citationID":"OyfdLriC","properties":{"formattedCitation":"(Joltreau and Sommerfeld 2018)","plainCitation":"(Joltreau and Sommerfeld 2018)","noteIndex":0},"citationItems":[{"id":7796,"uris":["http://zotero.org/users/9930273/items/JN74LKU2"],"itemData":{"id":7796,"type":"article","abstract":"Environmental policies may have important consequences for firms' competitiveness or profit-ability. However, the empirical literature shows that hardly any statistically significant effects on firms can be detected for the European Union Emissions Trading Scheme (EU ETS). We explain why there are arguably no significant competitiveness effects on firms, at least not during the first two phases of the scheme (2005-2012). We also reason why the third phase (2013-2020) is likely to reveal similar results. We show that the main explanations for this finding are a large over-allocation of emissions allowances leading to a price drop and the ability of firms to pass costs onto consumers in some sectors. Cost pass-through combined with free allocation, in turn, partly generated windfall profits. In addition, the relatively low importance of energy costs indicated by their average share in the budgets of most manufacturing industries may limit the impact of the EU ETS. Finally, small but significant stimulating effects on innovation have been found so far.","DOI":"10.2139/ssrn.3097371","event-place":"Rochester, NY","genre":"SSRN Scholarly Paper","language":"en","number":"3097371","publisher-place":"Rochester, NY","source":"Social Science Research Network","title":"Why Does Emissions Trading Under the EU Ets Not Affect Firms' Competitiveness? Empirical Findings from the Literature","title-short":"Why Does Emissions Trading Under the EU Ets Not Affect Firms' Competitiveness?","URL":"https://papers.ssrn.com/abstract=3097371","author":[{"family":"Joltreau","given":"Eugénie"},{"family":"Sommerfeld","given":"Katrin"}],"accessed":{"date-parts":[["2024",2,28]]},"issued":{"date-parts":[["2018",1,8]]}}}],"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sz w:val="24"/>
          <w:szCs w:val="24"/>
        </w:rPr>
        <w:t>(Joltreau and Sommerfeld 2018)</w:t>
      </w:r>
      <w:r w:rsidR="0000690A" w:rsidRPr="00C81036">
        <w:rPr>
          <w:rFonts w:ascii="Times New Roman" w:hAnsi="Times New Roman" w:cs="Times New Roman"/>
          <w:sz w:val="24"/>
          <w:szCs w:val="24"/>
        </w:rPr>
        <w:fldChar w:fldCharType="end"/>
      </w:r>
      <w:r w:rsidR="0079718F" w:rsidRPr="00C81036">
        <w:rPr>
          <w:rFonts w:ascii="Times New Roman" w:hAnsi="Times New Roman" w:cs="Times New Roman"/>
          <w:sz w:val="24"/>
          <w:szCs w:val="24"/>
        </w:rPr>
        <w:t xml:space="preserve">. </w:t>
      </w:r>
      <w:r w:rsidR="003D3A41" w:rsidRPr="00C81036">
        <w:rPr>
          <w:rFonts w:ascii="Times New Roman" w:hAnsi="Times New Roman" w:cs="Times New Roman"/>
          <w:sz w:val="24"/>
          <w:szCs w:val="24"/>
        </w:rPr>
        <w:t xml:space="preserve">This has been in part due to the ability of </w:t>
      </w:r>
      <w:r w:rsidR="00D87E5D" w:rsidRPr="00C81036">
        <w:rPr>
          <w:rFonts w:ascii="Times New Roman" w:hAnsi="Times New Roman" w:cs="Times New Roman"/>
          <w:sz w:val="24"/>
          <w:szCs w:val="24"/>
        </w:rPr>
        <w:t>the firm</w:t>
      </w:r>
      <w:r w:rsidR="003D3A41" w:rsidRPr="00C81036">
        <w:rPr>
          <w:rFonts w:ascii="Times New Roman" w:hAnsi="Times New Roman" w:cs="Times New Roman"/>
          <w:sz w:val="24"/>
          <w:szCs w:val="24"/>
        </w:rPr>
        <w:t xml:space="preserve"> to pass the increase in production cost due to the carbon tax to consumers</w:t>
      </w:r>
      <w:r w:rsidR="00D87E5D" w:rsidRPr="00C81036">
        <w:rPr>
          <w:rFonts w:ascii="Times New Roman" w:hAnsi="Times New Roman" w:cs="Times New Roman"/>
          <w:sz w:val="24"/>
          <w:szCs w:val="24"/>
        </w:rPr>
        <w:t xml:space="preserve">. However, the current carbon tax in the EU does not include select carbon intensive sectors </w:t>
      </w:r>
      <w:r w:rsidR="00C64C83" w:rsidRPr="00C81036">
        <w:rPr>
          <w:rFonts w:ascii="Times New Roman" w:hAnsi="Times New Roman" w:cs="Times New Roman"/>
          <w:sz w:val="24"/>
          <w:szCs w:val="24"/>
        </w:rPr>
        <w:t xml:space="preserve">that will now be included in the carbon tax with the introduction of CBAM. </w:t>
      </w:r>
      <w:r w:rsidR="008852CB" w:rsidRPr="00C81036">
        <w:rPr>
          <w:rFonts w:ascii="Times New Roman" w:hAnsi="Times New Roman" w:cs="Times New Roman"/>
          <w:sz w:val="24"/>
          <w:szCs w:val="24"/>
        </w:rPr>
        <w:t xml:space="preserve">Governments of many EU trading partners have raised concerns about the possible implications of the CBAM for their economies, and several earlier studies have provided an assessment of CBAM policy in countries around the world and introduced various measures of CBAM exposure. </w:t>
      </w:r>
    </w:p>
    <w:p w14:paraId="7A374432" w14:textId="6A193382" w:rsidR="008852CB" w:rsidRPr="00C81036" w:rsidRDefault="008852CB" w:rsidP="008852CB">
      <w:pPr>
        <w:rPr>
          <w:rFonts w:ascii="Times New Roman" w:hAnsi="Times New Roman" w:cs="Times New Roman"/>
          <w:sz w:val="24"/>
          <w:szCs w:val="24"/>
        </w:rPr>
      </w:pPr>
      <w:r w:rsidRPr="00C81036">
        <w:rPr>
          <w:rFonts w:ascii="Times New Roman" w:hAnsi="Times New Roman" w:cs="Times New Roman"/>
          <w:sz w:val="24"/>
          <w:szCs w:val="24"/>
        </w:rPr>
        <w:t>Zhong and Pei (2022) discuss the welfare impacts and the relative trade competitiveness of EU and non-EU countries</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{"citationID":"ypU47IHC","properties":{"formattedCitation":"(Zhong and Pei 2022)","plainCitation":"(Zhong and Pei 2022)","noteIndex":0},"citationItems":[{"id":7698,"uris":["http://zotero.org/users/9930273/items/P9FNML7G"],"itemData":{"id":7698,"type":"article-journal","abstract":"Curbing climate change is gaining increasing consensus globally. While many countries seek to set carbon prices, significant price dispersion and policy stringency continue to raise concerns about competitiveness. To address this issue, the EU has proposed a carbon border adjustment mechanism (CBAM), which aims to level the playing field by levying a carbon price on EU imports. In this paper, we estimate the competitiveness and welfare impacts of the EU CBAM, based on a refined multi-regional IO approach. We quantify changes in the value of exports to the EU market upon CBAM implementation for both EU members and non-EU economies. It is found that the EU CBAM will lead to a redistribution of competitiveness among countries and regions. Specifically, it is estimated that EU output would increase by 0.38 per cent while output in rest of the world decreases by 0.1 per cent in the short run, when CBAM is set at $US100/tCO2e. The burden is unevenly distributed among regions, with China, Russia and India bearing the most. Moreover, a deeper sub-national-level analysis on China shows that, given its pervasive domestic production network, income losses in landlocked provinces exceed their export losses, contrasting with the pattern for trade-exposed provinces.","container-title":"Energy Policy","DOI":"10.1016/j.enpol.2022.112802","ISSN":"0301-4215","journalAbbreviation":"Energy Policy","page":"112802","source":"ScienceDirect","title":"Beggar thy neighbor? On the competitiveness and welfare impacts of the EU's proposed carbon border adjustment mechanism","title-short":"Beggar thy neighbor?","volume":"162","author":[{"family":"Zhong","given":"Jiarui"},{"family":"Pei","given":"Jiansuo"}],"issued":{"date-parts":[["2022",3,1]]}}}],"schema":"https://github.com/citation-style-language/schema/raw/master/csl-citation.json"}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sz w:val="24"/>
          <w:szCs w:val="24"/>
        </w:rPr>
        <w:t>(Zhong and Pei 2022)</w:t>
      </w:r>
      <w:r w:rsidR="0000690A" w:rsidRPr="00C81036">
        <w:rPr>
          <w:rFonts w:ascii="Times New Roman" w:hAnsi="Times New Roman" w:cs="Times New Roman"/>
          <w:sz w:val="24"/>
          <w:szCs w:val="24"/>
        </w:rPr>
        <w:fldChar w:fldCharType="end"/>
      </w:r>
      <w:r w:rsidRPr="00C81036">
        <w:rPr>
          <w:rFonts w:ascii="Times New Roman" w:hAnsi="Times New Roman" w:cs="Times New Roman"/>
          <w:sz w:val="24"/>
          <w:szCs w:val="24"/>
        </w:rPr>
        <w:t xml:space="preserve">. They find that China sees the biggest export losses, specifically related to chemicals and chemical products, and other high and middle-income countries, including the United States, Russia, and India, are also sensitive to implementing CBAM. They find the EU’s chemical sector would expand specifically in Germany, France, and the Netherlands. Authors find that the CBAM policy could lead to the increasing demand for domestic production by EU countries. However, they estimate a limited impact of this policy in terms of reduction in greenhouse gas (GHG) emissions. </w:t>
      </w:r>
    </w:p>
    <w:p w14:paraId="354039EF" w14:textId="5D74110D" w:rsidR="008852CB" w:rsidRPr="00C81036" w:rsidRDefault="008852CB" w:rsidP="008852CB">
      <w:pPr>
        <w:rPr>
          <w:rFonts w:ascii="Times New Roman" w:hAnsi="Times New Roman" w:cs="Times New Roman"/>
          <w:sz w:val="24"/>
          <w:szCs w:val="24"/>
        </w:rPr>
      </w:pPr>
      <w:r w:rsidRPr="00C81036">
        <w:rPr>
          <w:rFonts w:ascii="Times New Roman" w:hAnsi="Times New Roman" w:cs="Times New Roman"/>
          <w:sz w:val="24"/>
          <w:szCs w:val="24"/>
        </w:rPr>
        <w:t xml:space="preserve">Bellora and </w:t>
      </w:r>
      <w:proofErr w:type="spellStart"/>
      <w:r w:rsidRPr="00C81036">
        <w:rPr>
          <w:rFonts w:ascii="Times New Roman" w:hAnsi="Times New Roman" w:cs="Times New Roman"/>
          <w:sz w:val="24"/>
          <w:szCs w:val="24"/>
        </w:rPr>
        <w:t>Fontagné</w:t>
      </w:r>
      <w:proofErr w:type="spellEnd"/>
      <w:r w:rsidRPr="00C81036">
        <w:rPr>
          <w:rFonts w:ascii="Times New Roman" w:hAnsi="Times New Roman" w:cs="Times New Roman"/>
          <w:sz w:val="24"/>
          <w:szCs w:val="24"/>
        </w:rPr>
        <w:t xml:space="preserve"> (2023), using a dynamic global computable general equilibrium (CGE) model (MIRAGE-VA), find that, although there are substantial environmental benefits and GHG emission reductions due to the CBAM implementation, there is also a significant decrease in demand from EU consumers for carbon-intensive goods overall due to the increase in prices</w:t>
      </w:r>
      <w:r w:rsidR="00C06024">
        <w:rPr>
          <w:rFonts w:ascii="Times New Roman" w:hAnsi="Times New Roman" w:cs="Times New Roman"/>
          <w:sz w:val="24"/>
          <w:szCs w:val="24"/>
        </w:rPr>
        <w:t xml:space="preserve"> </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{"citationID":"J4zhbTtO","properties":{"formattedCitation":"(Bellora and Fontagn\\uc0\\u233{} 2023)","plainCitation":"(Bellora and Fontagné 2023)","noteIndex":0},"citationItems":[{"id":7684,"uris":["http://zotero.org/users/9930273/items/R5FVNFS8"],"itemData":{"id":7684,"type":"article-journal","abstract":"To meet the targets of the EU’s Fit for 55 package, the European Commission proposed in July 2021 to implement a Carbon Border Adjustment Mechanism (CBAM) to replace free allocation of Emission Trading System (ETS) allowances for the most trade-exposed emitting industries. CBAM aims to prevent carbon leakage and restore a level playing field in high-emitting industries. Its design, as voted by the European Council in March 2022, by the Parliament in June, and ultimately amended by a provisional agreement between the Council and the European Parliament in December 2022, raises several issues. This paper aims to quantify the economic and environmental impacts of different choices regarding this design. Simulations are based on a dynamic general equilibrium model representing imperfect competition, input–output relations, greenhouse gas emissions, the endogenous price of emission quotas and the presence of free allocation of allowances. We show that CBAM is effective in reducing carbon leakage. But its design increases the price of carbon in the European Emissions Trading Scheme. Competitiveness losses in export markets are expected for downstream sectors that are not covered by the CBAM, as well as for European exporters of high-emitting industries, even in the presence of rebates.","container-title":"Energy Economics","DOI":"10.1016/j.eneco.2023.106673","ISSN":"0140-9883","journalAbbreviation":"Energy Economics","page":"106673","source":"ScienceDirect","title":"EU in search of a Carbon Border Adjustment Mechanism","volume":"123","author":[{"family":"Bellora","given":"Cecilia"},{"family":"Fontagné","given":"Lionel"}],"issued":{"date-parts":[["2023",7,1]]}}}],"schema":"https://github.com/citation-style-language/schema/raw/master/csl-citation.json"}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kern w:val="0"/>
          <w:sz w:val="24"/>
          <w:szCs w:val="24"/>
        </w:rPr>
        <w:t>(Bellora and Fontagné 2023)</w:t>
      </w:r>
      <w:r w:rsidR="0000690A" w:rsidRPr="00C81036">
        <w:rPr>
          <w:rFonts w:ascii="Times New Roman" w:hAnsi="Times New Roman" w:cs="Times New Roman"/>
          <w:sz w:val="24"/>
          <w:szCs w:val="24"/>
        </w:rPr>
        <w:fldChar w:fldCharType="end"/>
      </w:r>
      <w:r w:rsidRPr="00C81036">
        <w:rPr>
          <w:rFonts w:ascii="Times New Roman" w:hAnsi="Times New Roman" w:cs="Times New Roman"/>
          <w:sz w:val="24"/>
          <w:szCs w:val="24"/>
        </w:rPr>
        <w:t>. Authors find that the chemical sector will decline around 36% in exports worldwide. These results are important because they highlight the ongoing discussion about the relative impact of CBAM on global trade and the environment and the differences in results that can come from different models.</w:t>
      </w:r>
    </w:p>
    <w:p w14:paraId="7BFB64C1" w14:textId="4BE96E27" w:rsidR="008852CB" w:rsidRPr="00C81036" w:rsidRDefault="008852CB" w:rsidP="008852CB">
      <w:pPr>
        <w:rPr>
          <w:rFonts w:ascii="Times New Roman" w:hAnsi="Times New Roman" w:cs="Times New Roman"/>
          <w:sz w:val="24"/>
          <w:szCs w:val="24"/>
        </w:rPr>
      </w:pPr>
      <w:r w:rsidRPr="00C81036">
        <w:rPr>
          <w:rFonts w:ascii="Times New Roman" w:hAnsi="Times New Roman" w:cs="Times New Roman"/>
          <w:sz w:val="24"/>
          <w:szCs w:val="24"/>
        </w:rPr>
        <w:t>Another strain of literature explores the level of countries’ vulnerability to the potential CBAM implementation based on the observed emission intensities and trade patterns. Maliszewska et al. (2023) develop the relative and absolute CBAM Exposure Indexes identifying countries with high exposure to the EU CBAM across specific commodities and aggregately. In the latter case, the authors suggest that Zimbabwe, Ukraine, Georgia, Mozambique, and India are among the most exposed countries</w:t>
      </w:r>
      <w:r w:rsidR="0000690A" w:rsidRPr="00C81036">
        <w:rPr>
          <w:rFonts w:ascii="Times New Roman" w:hAnsi="Times New Roman" w:cs="Times New Roman"/>
          <w:sz w:val="24"/>
          <w:szCs w:val="24"/>
        </w:rPr>
        <w:t xml:space="preserve"> </w:t>
      </w:r>
      <w:r w:rsidR="0000690A" w:rsidRPr="00C81036">
        <w:rPr>
          <w:rFonts w:ascii="Times New Roman" w:hAnsi="Times New Roman" w:cs="Times New Roman"/>
          <w:sz w:val="24"/>
          <w:szCs w:val="24"/>
        </w:rPr>
        <w:fldChar w:fldCharType="begin"/>
      </w:r>
      <w:r w:rsidR="0000690A" w:rsidRPr="00C81036">
        <w:rPr>
          <w:rFonts w:ascii="Times New Roman" w:hAnsi="Times New Roman" w:cs="Times New Roman"/>
          <w:sz w:val="24"/>
          <w:szCs w:val="24"/>
        </w:rPr>
        <w:instrText xml:space="preserve"> ADDIN ZOTERO_ITEM CSL_CITATION {"citationID":"UZpkPBXD","properties":{"formattedCitation":"(\\uc0\\u8220{}How Developing Countries Can Measure Exposure to the EU\\uc0\\u8217{}s Carbon Border Adjustment Mechanism\\uc0\\u8221{} 2023)","plainCitation":"(“How Developing Countries Can Measure Exposure to the EU’s Carbon Border Adjustment Mechanism” 2023)","noteIndex":0},"citationItems":[{"id":7798,"uris":["http://zotero.org/users/9930273/items/9JNTKPAL"],"itemData":{"id":7798,"type":"webpage","abstract":"When it takes full effect in January 2026, the CBAM will cover a limited number of the most carbon-intensive goods – including aluminum, cement, electricity, and iron and steel.","language":"en","title":"How developing countries can measure exposure to the EU’s carbon border adjustment mechanism","URL":"https://blogs.worldbank.org/trade/how-developing-countries-can-measure-exposure-eus-carbon-border-adjustment-mechanism","accessed":{"date-parts":[["2024",2,28]]},"issued":{"date-parts":[["2023",6,13]]}}}],"schema":"https://github.com/citation-style-language/schema/raw/master/csl-citation.json"} </w:instrText>
      </w:r>
      <w:r w:rsidR="0000690A" w:rsidRPr="00C81036">
        <w:rPr>
          <w:rFonts w:ascii="Times New Roman" w:hAnsi="Times New Roman" w:cs="Times New Roman"/>
          <w:sz w:val="24"/>
          <w:szCs w:val="24"/>
        </w:rPr>
        <w:fldChar w:fldCharType="separate"/>
      </w:r>
      <w:r w:rsidR="0000690A" w:rsidRPr="00C81036">
        <w:rPr>
          <w:rFonts w:ascii="Times New Roman" w:hAnsi="Times New Roman" w:cs="Times New Roman"/>
          <w:kern w:val="0"/>
          <w:sz w:val="24"/>
          <w:szCs w:val="24"/>
        </w:rPr>
        <w:t>(</w:t>
      </w:r>
      <w:r w:rsidR="00B84D20" w:rsidRPr="00C81036">
        <w:rPr>
          <w:rFonts w:ascii="Times New Roman" w:hAnsi="Times New Roman" w:cs="Times New Roman"/>
          <w:kern w:val="0"/>
          <w:sz w:val="24"/>
          <w:szCs w:val="24"/>
        </w:rPr>
        <w:t>Maliszewska</w:t>
      </w:r>
      <w:r w:rsidR="0000690A" w:rsidRPr="00C81036">
        <w:rPr>
          <w:rFonts w:ascii="Times New Roman" w:hAnsi="Times New Roman" w:cs="Times New Roman"/>
          <w:kern w:val="0"/>
          <w:sz w:val="24"/>
          <w:szCs w:val="24"/>
        </w:rPr>
        <w:t xml:space="preserve"> 2023)</w:t>
      </w:r>
      <w:r w:rsidR="0000690A" w:rsidRPr="00C81036">
        <w:rPr>
          <w:rFonts w:ascii="Times New Roman" w:hAnsi="Times New Roman" w:cs="Times New Roman"/>
          <w:sz w:val="24"/>
          <w:szCs w:val="24"/>
        </w:rPr>
        <w:fldChar w:fldCharType="end"/>
      </w:r>
      <w:r w:rsidRPr="00C81036">
        <w:rPr>
          <w:rFonts w:ascii="Times New Roman" w:hAnsi="Times New Roman" w:cs="Times New Roman"/>
          <w:sz w:val="24"/>
          <w:szCs w:val="24"/>
        </w:rPr>
        <w:t>.</w:t>
      </w:r>
    </w:p>
    <w:p w14:paraId="765545A2" w14:textId="4947D73B" w:rsidR="008852CB" w:rsidRPr="00C81036" w:rsidRDefault="008852CB" w:rsidP="008852CB">
      <w:pPr>
        <w:rPr>
          <w:rFonts w:ascii="Times New Roman" w:hAnsi="Times New Roman" w:cs="Times New Roman"/>
          <w:sz w:val="24"/>
          <w:szCs w:val="24"/>
        </w:rPr>
      </w:pPr>
      <w:r w:rsidRPr="00C81036">
        <w:rPr>
          <w:rFonts w:ascii="Times New Roman" w:hAnsi="Times New Roman" w:cs="Times New Roman"/>
          <w:sz w:val="24"/>
          <w:szCs w:val="24"/>
        </w:rPr>
        <w:t xml:space="preserve">While providing valuable insights into the topic, most of the earlier studies suffer from one important data limitation – an insufficient level of sectoral detail. Almost all of the published studies (e.g. </w:t>
      </w:r>
      <w:r w:rsidR="00B84D20" w:rsidRPr="00C81036">
        <w:rPr>
          <w:rFonts w:ascii="Times New Roman" w:hAnsi="Times New Roman" w:cs="Times New Roman"/>
          <w:sz w:val="24"/>
          <w:szCs w:val="24"/>
        </w:rPr>
        <w:fldChar w:fldCharType="begin"/>
      </w:r>
      <w:r w:rsidR="00B84D20" w:rsidRPr="00C81036">
        <w:rPr>
          <w:rFonts w:ascii="Times New Roman" w:hAnsi="Times New Roman" w:cs="Times New Roman"/>
          <w:sz w:val="24"/>
          <w:szCs w:val="24"/>
        </w:rPr>
        <w:instrText xml:space="preserve"> ADDIN ZOTERO_ITEM CSL_CITATION {"citationID":"GfWyHg30","properties":{"formattedCitation":"(Chepeliev 2021; Bellora and Fontagn\\uc0\\u233{} 2023; \\uc0\\u8220{}A European Union Carbon Border  Adjustment Mechanism: Implications  for Developing Countries,\\uc0\\u8221{} n.d.)","plainCitation":"(Chepeliev 2021; Bellora and Fontagné 2023; “A European Union Carbon Border  Adjustment Mechanism: Implications  for Developing Countries,” n.d.)","noteIndex":0},"citationItems":[{"id":7686,"uris":["http://zotero.org/users/9930273/items/CWA6YAY7"],"itemData":{"id":7686,"type":"article-journal","abstract":"This paper provides a quantitative assessment of the European Carbon Border Adjustment Mechanism (CBAM) implementation. We find limited impacts of the CBAM for most European Union (EU) trading partners. Ukraine is the most impacted country, with a per capita income change of -0.4% and reductions in domestic iron and steel production reaching 3.9%. Global exports of chemical products are impacted the most, with corresponding reductions exceeding 4% in some countries.","container-title":"Energy RESEARCH LETTERS","DOI":"10.46557/001c.21527","journalAbbreviation":"Energy RESEARCH LETTERS","source":"ResearchGate","title":"Possible Implications of the European Carbon Border Adjustment Mechanism for Ukraine and Other EU Trading Partners","volume":"2","author":[{"family":"Chepeliev","given":"Maksym"}],"issued":{"date-parts":[["2021",4,6]]}}},{"id":7684,"uris":["http://zotero.org/users/9930273/items/R5FVNFS8"],"itemData":{"id":7684,"type":"article-journal","abstract":"To meet the targets of the EU’s Fit for 55 package, the European Commission proposed in July 2021 to implement a Carbon Border Adjustment Mechanism (CBAM) to replace free allocation of Emission Trading System (ETS) allowances for the most trade-exposed emitting industries. CBAM aims to prevent carbon leakage and restore a level playing field in high-emitting industries. Its design, as voted by the European Council in March 2022, by the Parliament in June, and ultimately amended by a provisional agreement between the Council and the European Parliament in December 2022, raises several issues. This paper aims to quantify the economic and environmental impacts of different choices regarding this design. Simulations are based on a dynamic general equilibrium model representing imperfect competition, input–output relations, greenhouse gas emissions, the endogenous price of emission quotas and the presence of free allocation of allowances. We show that CBAM is effective in reducing carbon leakage. But its design increases the price of carbon in the European Emissions Trading Scheme. Competitiveness losses in export markets are expected for downstream sectors that are not covered by the CBAM, as well as for European exporters of high-emitting industries, even in the presence of rebates.","container-title":"Energy Economics","DOI":"10.1016/j.eneco.2023.106673","ISSN":"0140-9883","journalAbbreviation":"Energy Economics","page":"106673","source":"ScienceDirect","title":"EU in search of a Carbon Border Adjustment Mechanism","volume":"123","author":[{"family":"Bellora","given":"Cecilia"},{"family":"Fontagné","given":"Lionel"}],"issued":{"date-parts":[["2023",7,1]]}}},{"id":7801,"uris":["http://zotero.org/users/9930273/items/EE8ICCCI"],"itemData":{"id":7801,"type":"article-journal","language":"en","source":"Zotero","title":"A European Union Carbon Border  Adjustment Mechanism: Implications  for developing countries"}}],"schema":"https://github.com/citation-style-language/schema/raw/master/csl-citation.json"} </w:instrText>
      </w:r>
      <w:r w:rsidR="00B84D20" w:rsidRPr="00C81036">
        <w:rPr>
          <w:rFonts w:ascii="Times New Roman" w:hAnsi="Times New Roman" w:cs="Times New Roman"/>
          <w:sz w:val="24"/>
          <w:szCs w:val="24"/>
        </w:rPr>
        <w:fldChar w:fldCharType="separate"/>
      </w:r>
      <w:r w:rsidR="00B84D20" w:rsidRPr="00C81036">
        <w:rPr>
          <w:rFonts w:ascii="Times New Roman" w:hAnsi="Times New Roman" w:cs="Times New Roman"/>
          <w:kern w:val="0"/>
          <w:sz w:val="24"/>
          <w:szCs w:val="24"/>
        </w:rPr>
        <w:t>(Chepeliev 2021; Bellora and Fontagné 2023;</w:t>
      </w:r>
      <w:r w:rsidR="002F0CDE" w:rsidRPr="00C81036">
        <w:rPr>
          <w:rFonts w:ascii="Times New Roman" w:hAnsi="Times New Roman" w:cs="Times New Roman"/>
          <w:kern w:val="0"/>
          <w:sz w:val="24"/>
          <w:szCs w:val="24"/>
        </w:rPr>
        <w:t xml:space="preserve"> UNCTAD 2021</w:t>
      </w:r>
      <w:r w:rsidR="00B84D20" w:rsidRPr="00C81036">
        <w:rPr>
          <w:rFonts w:ascii="Times New Roman" w:hAnsi="Times New Roman" w:cs="Times New Roman"/>
          <w:kern w:val="0"/>
          <w:sz w:val="24"/>
          <w:szCs w:val="24"/>
        </w:rPr>
        <w:t>)</w:t>
      </w:r>
      <w:r w:rsidR="00B84D20" w:rsidRPr="00C81036">
        <w:rPr>
          <w:rFonts w:ascii="Times New Roman" w:hAnsi="Times New Roman" w:cs="Times New Roman"/>
          <w:sz w:val="24"/>
          <w:szCs w:val="24"/>
        </w:rPr>
        <w:fldChar w:fldCharType="end"/>
      </w:r>
      <w:r w:rsidRPr="00C81036">
        <w:rPr>
          <w:rFonts w:ascii="Times New Roman" w:hAnsi="Times New Roman" w:cs="Times New Roman"/>
          <w:sz w:val="24"/>
          <w:szCs w:val="24"/>
        </w:rPr>
        <w:t xml:space="preserve"> utilize the standard Global Trade Analysis Project (GTAP) Data Base</w:t>
      </w:r>
      <w:r w:rsidR="002F0CDE" w:rsidRPr="00C81036">
        <w:rPr>
          <w:rFonts w:ascii="Times New Roman" w:hAnsi="Times New Roman" w:cs="Times New Roman"/>
          <w:sz w:val="24"/>
          <w:szCs w:val="24"/>
        </w:rPr>
        <w:t xml:space="preserve"> </w:t>
      </w:r>
      <w:r w:rsidR="002F0CDE" w:rsidRPr="00C81036">
        <w:rPr>
          <w:rFonts w:ascii="Times New Roman" w:hAnsi="Times New Roman" w:cs="Times New Roman"/>
          <w:sz w:val="24"/>
          <w:szCs w:val="24"/>
        </w:rPr>
        <w:fldChar w:fldCharType="begin"/>
      </w:r>
      <w:r w:rsidR="002F0CDE" w:rsidRPr="00C81036">
        <w:rPr>
          <w:rFonts w:ascii="Times New Roman" w:hAnsi="Times New Roman" w:cs="Times New Roman"/>
          <w:sz w:val="24"/>
          <w:szCs w:val="24"/>
        </w:rPr>
        <w:instrText xml:space="preserve"> ADDIN ZOTERO_ITEM CSL_CITATION {"citationID":"IHrqK4bl","properties":{"formattedCitation":"(Aguiar et al. 2019)","plainCitation":"(Aguiar et al. 2019)","noteIndex":0},"citationItems":[{"id":761,"uris":["http://zotero.org/groups/10733/items/VDXDBU8A"],"itemData":{"id":761,"type":"article-journal","abstract":"This paper highlights the numerous improvements to the Global Trade, Assistance, and Production (GTAP) Data Base, version 10 (also referred to as GTAP 10). The Data Base describes the world economy for 4 reference years (2004, 2007, 2011, and 2014) and distinguishes 65 sectors, up from 57 in the previous release, in each of the 141 countries/regions. The 121 countries in the Data Base account for 98% of world GDP and 92% of world population. For each country/region, the Data Base reports production, intermediate and final uses, international trade and transport margins, and taxes/subsidies. This Data Base underlies most, if not all, applied global general equilibrium models. We use the time series GTAP 10 Data Base to examine the evolution of carbon dioxide emissions embodied in bilateral merchandise and services trade over the 2004-2014 period.","container-title":"Journal of Global Economic Analysis","DOI":"10.21642/JGEA.040101AF","ISSN":"2377-2999","issue":"1","language":"en","license":"Copyright (c) 2019 Angel Aguiar, Maksym Chepeliev, Erwin Corong, Robert McDougall, Dominique van der Mensbrugghe","page":"1-27","source":"jgea.org","title":"The GTAP Data Base: Version 10","title-short":"The GTAP Data Base","volume":"4","author":[{"family":"Aguiar","given":"Angel"},{"family":"Chepeliev","given":"Maksym"},{"family":"Corong","given":"Erwin L."},{"family":"McDougall","given":"Robert"},{"family":"Mensbrugghe","given":"Dominique","dropping-particle":"van der"}],"issued":{"date-parts":[["2019",6,26]]}}}],"schema":"https://github.com/citation-style-language/schema/raw/master/csl-citation.json"} </w:instrText>
      </w:r>
      <w:r w:rsidR="002F0CDE" w:rsidRPr="00C81036">
        <w:rPr>
          <w:rFonts w:ascii="Times New Roman" w:hAnsi="Times New Roman" w:cs="Times New Roman"/>
          <w:sz w:val="24"/>
          <w:szCs w:val="24"/>
        </w:rPr>
        <w:fldChar w:fldCharType="separate"/>
      </w:r>
      <w:r w:rsidR="002F0CDE" w:rsidRPr="00C81036">
        <w:rPr>
          <w:rFonts w:ascii="Times New Roman" w:hAnsi="Times New Roman" w:cs="Times New Roman"/>
          <w:sz w:val="24"/>
          <w:szCs w:val="24"/>
        </w:rPr>
        <w:t>(Aguiar et al. 2019)</w:t>
      </w:r>
      <w:r w:rsidR="002F0CDE" w:rsidRPr="00C81036">
        <w:rPr>
          <w:rFonts w:ascii="Times New Roman" w:hAnsi="Times New Roman" w:cs="Times New Roman"/>
          <w:sz w:val="24"/>
          <w:szCs w:val="24"/>
        </w:rPr>
        <w:fldChar w:fldCharType="end"/>
      </w:r>
      <w:r w:rsidRPr="00C81036">
        <w:rPr>
          <w:rFonts w:ascii="Times New Roman" w:hAnsi="Times New Roman" w:cs="Times New Roman"/>
          <w:sz w:val="24"/>
          <w:szCs w:val="24"/>
        </w:rPr>
        <w:t xml:space="preserve"> for assessing the CBAM impacts, within which a number of commodities that are covered by the CBAM, such as cement, aluminum and fertilizers, are aggregated within broad sectors (non-metallic minerals, non-ferrous metals and chemicals, respectively). Maliszewska et al. (2023) use a more disaggregated </w:t>
      </w:r>
      <w:r w:rsidRPr="00C81036">
        <w:rPr>
          <w:rFonts w:ascii="Times New Roman" w:hAnsi="Times New Roman" w:cs="Times New Roman"/>
          <w:sz w:val="24"/>
          <w:szCs w:val="24"/>
        </w:rPr>
        <w:lastRenderedPageBreak/>
        <w:t xml:space="preserve">version of the GTAP Data Base, namely GTAP-CE </w:t>
      </w:r>
      <w:r w:rsidR="00E035C1" w:rsidRPr="00C81036">
        <w:rPr>
          <w:rFonts w:ascii="Times New Roman" w:hAnsi="Times New Roman" w:cs="Times New Roman"/>
          <w:sz w:val="24"/>
          <w:szCs w:val="24"/>
        </w:rPr>
        <w:fldChar w:fldCharType="begin"/>
      </w:r>
      <w:r w:rsidR="00E035C1" w:rsidRPr="00C81036">
        <w:rPr>
          <w:rFonts w:ascii="Times New Roman" w:hAnsi="Times New Roman" w:cs="Times New Roman"/>
          <w:sz w:val="24"/>
          <w:szCs w:val="24"/>
        </w:rPr>
        <w:instrText xml:space="preserve"> ADDIN ZOTERO_ITEM CSL_CITATION {"citationID":"g8IH6xyf","properties":{"formattedCitation":"(Chepeliev et al. 2022)","plainCitation":"(Chepeliev et al. 2022)","noteIndex":0},"citationItems":[{"id":7689,"uris":["http://zotero.org/users/9930273/items/IV7KHZWT"],"itemData":{"id":7689,"type":"webpage","abstract":"Rapidly increasing material extraction is putting major pressure on ecosystems. Future increases in incomes and population could result in over 2.5 times growth in global material demand by 2050, putting even more pressure on environment. Thus, an absolute decoupling of material use from GDP and income is of major importance to preserve the safe operating boundaries. It is vital to understand how current policy efforts, including climate mitigation, could impact material use patterns and what complementary circular economy (CE) policies should be implemented to support dematerialization. Here we develop a special version of the Global Trade Analysis Project (GTAP) database (GTAP-CE) with detailed representation of primary, secondary, and recycling activities for metals (steel, aluminum, copper, etc.) and plastics. We also incorporate quantity flows of metal ores and non-metallic minerals. We investigate a set of scenarios focusing on Europe that include mitigation and CE-specific policies using a dynamic general equilibrium model (ENVISAGE). A set of CE-specific policies includes fiscal measures to stimulate recycling and penalize primary production, extraction levies (for non-metallic minerals), and demand-side measures, such as shifts in consumption patterns toward dematerialization, changes in the product design and product lifetime extensions. We also model various border tax adjustments covering embodied raw materials and consider alternative revenue recycling mechanisms. Our results indicate that EU mitigation measures will have a moderate impact on material use. Similarly, materials-focused measures will have only a modest impact on CO2 emissions. Aggregate material use in the EU could decline up to 8-11 percent (relative to baseline in 2030) under alternative CE policies allowing to achieve absolute decoupling. We also find that using CE production taxes’ revenue to reduce labor taxes would lead to increase of growth and welfare.","container-title":"Presented during the 25th Annual Conference on Global Economic Analysis (Virtual Conference)","language":"English","note":"publisher: Presented during the 25th Annual Conference on Global Economic Analysis (Virtual Conference)\ncollection-title: Presented during the 25th Annual Conference on Global Economic Analysis (Virtual Conference)","title":"EU Green Deal and Circular Economy Transition: Impacts and Interactions","title-short":"EU Green Deal and Circular Economy Transition","URL":"http://www.gtap.agecon.purdue.edu/resources/res_display.asp?RecordID=6607","author":[{"family":"Chepeliev","given":"Maksym"},{"family":"Aguiar","given":"Angel"},{"family":"Farole","given":"Thomas"},{"family":"Liverani","given":"Andrea"},{"family":"Mensbrugghe","given":"Dominique","dropping-particle":"van der"}],"issued":{"date-parts":[["2022"]]}}}],"schema":"https://github.com/citation-style-language/schema/raw/master/csl-citation.json"} </w:instrText>
      </w:r>
      <w:r w:rsidR="00E035C1" w:rsidRPr="00C81036">
        <w:rPr>
          <w:rFonts w:ascii="Times New Roman" w:hAnsi="Times New Roman" w:cs="Times New Roman"/>
          <w:sz w:val="24"/>
          <w:szCs w:val="24"/>
        </w:rPr>
        <w:fldChar w:fldCharType="separate"/>
      </w:r>
      <w:r w:rsidR="00E035C1" w:rsidRPr="00C81036">
        <w:rPr>
          <w:rFonts w:ascii="Times New Roman" w:hAnsi="Times New Roman" w:cs="Times New Roman"/>
          <w:sz w:val="24"/>
          <w:szCs w:val="24"/>
        </w:rPr>
        <w:t>(Chepeliev et al. 2022)</w:t>
      </w:r>
      <w:r w:rsidR="00E035C1" w:rsidRPr="00C81036">
        <w:rPr>
          <w:rFonts w:ascii="Times New Roman" w:hAnsi="Times New Roman" w:cs="Times New Roman"/>
          <w:sz w:val="24"/>
          <w:szCs w:val="24"/>
        </w:rPr>
        <w:fldChar w:fldCharType="end"/>
      </w:r>
      <w:r w:rsidRPr="00C81036">
        <w:rPr>
          <w:rFonts w:ascii="Times New Roman" w:hAnsi="Times New Roman" w:cs="Times New Roman"/>
          <w:sz w:val="24"/>
          <w:szCs w:val="24"/>
        </w:rPr>
        <w:t>, however, the latter still aggregates fertilizer sector within a broad group of chemicals.</w:t>
      </w:r>
    </w:p>
    <w:p w14:paraId="405D4C11" w14:textId="48340BDC" w:rsidR="008852CB" w:rsidRDefault="008852CB" w:rsidP="008852CB">
      <w:pPr>
        <w:rPr>
          <w:rFonts w:ascii="Times New Roman" w:hAnsi="Times New Roman" w:cs="Times New Roman"/>
          <w:sz w:val="24"/>
          <w:szCs w:val="24"/>
        </w:rPr>
      </w:pPr>
      <w:r w:rsidRPr="00C81036">
        <w:rPr>
          <w:rFonts w:ascii="Times New Roman" w:hAnsi="Times New Roman" w:cs="Times New Roman"/>
          <w:sz w:val="24"/>
          <w:szCs w:val="24"/>
        </w:rPr>
        <w:t>An explicit representation of fertilizers within the CBAM assessment framework is important for the two key reasons. First, this allows for a more granular representation of the CBAM scenarios capturing trade and emission intensities at the level that corresponds to the actual CBAM commodity coverage avoiding the sectoral aggregation bias. Second, an explicit representation of fertilizer flows within the database provides better opportunities to further extend the modeling framework in terms of capturing the link between fertilizer use in agriculture and crop yields</w:t>
      </w:r>
      <w:r w:rsidR="00E035C1" w:rsidRPr="00C81036">
        <w:rPr>
          <w:rFonts w:ascii="Times New Roman" w:hAnsi="Times New Roman" w:cs="Times New Roman"/>
          <w:sz w:val="24"/>
          <w:szCs w:val="24"/>
        </w:rPr>
        <w:t xml:space="preserve"> </w:t>
      </w:r>
      <w:r w:rsidR="00E035C1" w:rsidRPr="00C81036">
        <w:rPr>
          <w:rFonts w:ascii="Times New Roman" w:hAnsi="Times New Roman" w:cs="Times New Roman"/>
          <w:sz w:val="24"/>
          <w:szCs w:val="24"/>
        </w:rPr>
        <w:fldChar w:fldCharType="begin"/>
      </w:r>
      <w:r w:rsidR="00E035C1" w:rsidRPr="00C81036">
        <w:rPr>
          <w:rFonts w:ascii="Times New Roman" w:hAnsi="Times New Roman" w:cs="Times New Roman"/>
          <w:sz w:val="24"/>
          <w:szCs w:val="24"/>
        </w:rPr>
        <w:instrText xml:space="preserve"> ADDIN ZOTERO_ITEM CSL_CITATION {"citationID":"htYEK6Ci","properties":{"formattedCitation":"(Arndt et al. 2023)","plainCitation":"(Arndt et al. 2023)","noteIndex":0},"citationItems":[{"id":7679,"uris":["http://zotero.org/users/9930273/items/58TRT6TG"],"itemData":{"id":7679,"type":"article-journal","abstract":"The Russia-Ukraine war's impact on food, fuel, and fertilizer prices is a major concern for global poverty and food insecurity. Despite numerous studies and editorials on the risks and challenges of the crisis, there is little quantitative analysis of its consequences for developing countries. We use national economywide models to measure the near-term impacts of the crisis on agrifood systems, poverty, and food insecurity in 19 countries. Despite wide variations across countries, results confirm the adverse impacts of the crisis, with a total 27.2 and 22.3 million more people pushed into poverty and hunger, respectively. Agrifood systems and poverty are more vulnerable to rising fuel and fertilizer prices, whereas hunger and diet quality are more affected by higher food prices.","container-title":"Global Food Security","DOI":"10.1016/j.gfs.2023.100680","ISSN":"2211-9124","journalAbbreviation":"Glob Food Sec","language":"eng","note":"PMID: 36937378\nPMCID: PMC10015268","page":"100680","source":"PubMed","title":"The Ukraine war and rising commodity prices: Implications for developing countries","title-short":"The Ukraine war and rising commodity prices","volume":"36","author":[{"family":"Arndt","given":"Channing"},{"family":"Diao","given":"Xinshen"},{"family":"Dorosh","given":"Paul"},{"family":"Pauw","given":"Karl"},{"family":"Thurlow","given":"James"}],"issued":{"date-parts":[["2023",3]]}}}],"schema":"https://github.com/citation-style-language/schema/raw/master/csl-citation.json"} </w:instrText>
      </w:r>
      <w:r w:rsidR="00E035C1" w:rsidRPr="00C81036">
        <w:rPr>
          <w:rFonts w:ascii="Times New Roman" w:hAnsi="Times New Roman" w:cs="Times New Roman"/>
          <w:sz w:val="24"/>
          <w:szCs w:val="24"/>
        </w:rPr>
        <w:fldChar w:fldCharType="separate"/>
      </w:r>
      <w:r w:rsidR="00E035C1" w:rsidRPr="00C81036">
        <w:rPr>
          <w:rFonts w:ascii="Times New Roman" w:hAnsi="Times New Roman" w:cs="Times New Roman"/>
          <w:sz w:val="24"/>
          <w:szCs w:val="24"/>
        </w:rPr>
        <w:t>(Arndt et al. 2023)</w:t>
      </w:r>
      <w:r w:rsidR="00E035C1" w:rsidRPr="00C81036">
        <w:rPr>
          <w:rFonts w:ascii="Times New Roman" w:hAnsi="Times New Roman" w:cs="Times New Roman"/>
          <w:sz w:val="24"/>
          <w:szCs w:val="24"/>
        </w:rPr>
        <w:fldChar w:fldCharType="end"/>
      </w:r>
      <w:r w:rsidRPr="00C81036">
        <w:rPr>
          <w:rFonts w:ascii="Times New Roman" w:hAnsi="Times New Roman" w:cs="Times New Roman"/>
          <w:sz w:val="24"/>
          <w:szCs w:val="24"/>
        </w:rPr>
        <w:t>. The latter is an important aspect that is missing in most of the global CGE models (e.g.</w:t>
      </w:r>
      <w:r w:rsidR="002564BF" w:rsidRPr="00C81036">
        <w:rPr>
          <w:rFonts w:ascii="Times New Roman" w:hAnsi="Times New Roman" w:cs="Times New Roman"/>
          <w:sz w:val="24"/>
          <w:szCs w:val="24"/>
        </w:rPr>
        <w:t xml:space="preserve"> </w:t>
      </w:r>
      <w:r w:rsidR="002564BF" w:rsidRPr="00C81036">
        <w:rPr>
          <w:rFonts w:ascii="Times New Roman" w:hAnsi="Times New Roman" w:cs="Times New Roman"/>
          <w:sz w:val="24"/>
          <w:szCs w:val="24"/>
        </w:rPr>
        <w:fldChar w:fldCharType="begin"/>
      </w:r>
      <w:r w:rsidR="002564BF" w:rsidRPr="00C81036">
        <w:rPr>
          <w:rFonts w:ascii="Times New Roman" w:hAnsi="Times New Roman" w:cs="Times New Roman"/>
          <w:sz w:val="24"/>
          <w:szCs w:val="24"/>
        </w:rPr>
        <w:instrText xml:space="preserve"> ADDIN ZOTERO_ITEM CSL_CITATION {"citationID":"Z8frNrN6","properties":{"formattedCitation":"(Corong et al. 2017; van der Mensbrugghe 2008)","plainCitation":"(Corong et al. 2017; van der Mensbrugghe 2008)","noteIndex":0},"citationItems":[{"id":760,"uris":["http://zotero.org/groups/10733/items/JC4SYMC3"],"itemData":{"id":760,"type":"article-journal","abstract":"This paper provides complete documentation for version 7 of the standard Global Trade Analysis Project (GTAP) model. This is the first comprehensive documentation of the model since the 1997 GTAP book and this updated version includes some important new features. On a substantive level, commodities and activities are separated, allowing for multi-product sectors, as well as multiple sectors producing the same commodity. Additional flexibility is provided for modeling of production and consumption behavior, and the valuation and naming conventions have been modified. In addition, this paper folds in important advances since the 1997 publication, including the revised treatment of non-homotheticity in final demand, the welfare decomposition and multi-modal international transportation. The paper opens with an overview which puts this widely used model in broader context. The model exposition is comprehensive and includes a bridging table linking the original, classic model with the current version. This is followed by a section discussing the major extensions of the standard model and how they are being used. The paper closes with an overall assessment and a discussion of future research directions.","container-title":"Journal of Global Economic Analysis","DOI":"10.21642/JGEA.020101AF","ISSN":"2377-2999","issue":"1","language":"en","license":"Copyright (c) 2017 Erwin Lucban Corong","page":"1-119","source":"jgea.org","title":"The Standard GTAP Model, Version 7","volume":"2","author":[{"family":"Corong","given":"Erwin L."},{"family":"Hertel","given":"Thomas W."},{"family":"McDougall","given":"Robert"},{"family":"Tsigas","given":"Marinos E."},{"family":"Mensbrugghe","given":"Dominique","dropping-particle":"van der"}],"issued":{"date-parts":[["2017",6,22]]}}},{"id":1001,"uris":["http://zotero.org/groups/10733/items/SVRQMCHA"],"itemData":{"id":1001,"type":"report","event-place":"Washington, D.C.","page":"1-80","publisher":"The World Bank","publisher-place":"Washington, D.C.","title":"Environmental Impact and Sustainability Applied General Equilibrium (ENVISAGE) Model","author":[{"family":"Mensbrugghe","given":"Dominique","non-dropping-particle":"van der"}],"issued":{"date-parts":[["2008",10]]}}}],"schema":"https://github.com/citation-style-language/schema/raw/master/csl-citation.json"} </w:instrText>
      </w:r>
      <w:r w:rsidR="002564BF" w:rsidRPr="00C81036">
        <w:rPr>
          <w:rFonts w:ascii="Times New Roman" w:hAnsi="Times New Roman" w:cs="Times New Roman"/>
          <w:sz w:val="24"/>
          <w:szCs w:val="24"/>
        </w:rPr>
        <w:fldChar w:fldCharType="separate"/>
      </w:r>
      <w:r w:rsidR="002564BF" w:rsidRPr="00C81036">
        <w:rPr>
          <w:rFonts w:ascii="Times New Roman" w:hAnsi="Times New Roman" w:cs="Times New Roman"/>
          <w:sz w:val="24"/>
          <w:szCs w:val="24"/>
        </w:rPr>
        <w:t>Corong et al. 2017; van der Mensbrugghe 2008)</w:t>
      </w:r>
      <w:r w:rsidR="002564BF" w:rsidRPr="00C81036">
        <w:rPr>
          <w:rFonts w:ascii="Times New Roman" w:hAnsi="Times New Roman" w:cs="Times New Roman"/>
          <w:sz w:val="24"/>
          <w:szCs w:val="24"/>
        </w:rPr>
        <w:fldChar w:fldCharType="end"/>
      </w:r>
      <w:r w:rsidRPr="00C81036">
        <w:rPr>
          <w:rFonts w:ascii="Times New Roman" w:hAnsi="Times New Roman" w:cs="Times New Roman"/>
          <w:sz w:val="24"/>
          <w:szCs w:val="24"/>
        </w:rPr>
        <w:t xml:space="preserve">. </w:t>
      </w:r>
    </w:p>
    <w:p w14:paraId="0C79A1E1" w14:textId="72F4E8AA" w:rsidR="00AD7BFF" w:rsidRPr="00AD7BFF" w:rsidRDefault="00720AB3" w:rsidP="00AD7BFF">
      <w:pPr>
        <w:pStyle w:val="ListParagraph"/>
        <w:numPr>
          <w:ilvl w:val="0"/>
          <w:numId w:val="5"/>
        </w:numPr>
        <w:rPr>
          <w:rFonts w:ascii="Times New Roman" w:hAnsi="Times New Roman" w:cs="Times New Roman"/>
          <w:sz w:val="24"/>
          <w:szCs w:val="24"/>
        </w:rPr>
      </w:pPr>
      <w:r w:rsidRPr="00AD7BFF">
        <w:rPr>
          <w:rFonts w:ascii="Times New Roman" w:hAnsi="Times New Roman" w:cs="Times New Roman"/>
          <w:b/>
          <w:bCs/>
          <w:sz w:val="24"/>
          <w:szCs w:val="24"/>
        </w:rPr>
        <w:t>Data</w:t>
      </w:r>
    </w:p>
    <w:p w14:paraId="6B20B926" w14:textId="2C8BDBBD" w:rsidR="003407EF" w:rsidRPr="007E42E5" w:rsidRDefault="00AB5282">
      <w:pPr>
        <w:rPr>
          <w:rFonts w:ascii="Times New Roman" w:hAnsi="Times New Roman" w:cs="Times New Roman"/>
          <w:sz w:val="24"/>
          <w:szCs w:val="24"/>
        </w:rPr>
      </w:pPr>
      <w:r>
        <w:rPr>
          <w:rFonts w:ascii="Times New Roman" w:hAnsi="Times New Roman" w:cs="Times New Roman"/>
          <w:sz w:val="24"/>
          <w:szCs w:val="24"/>
        </w:rPr>
        <w:t xml:space="preserve">A holistic </w:t>
      </w:r>
      <w:r w:rsidR="00C918C2">
        <w:rPr>
          <w:rFonts w:ascii="Times New Roman" w:hAnsi="Times New Roman" w:cs="Times New Roman"/>
          <w:sz w:val="24"/>
          <w:szCs w:val="24"/>
        </w:rPr>
        <w:t>evaluation of</w:t>
      </w:r>
      <w:r w:rsidR="000B5D7B" w:rsidRPr="007E42E5">
        <w:rPr>
          <w:rFonts w:ascii="Times New Roman" w:hAnsi="Times New Roman" w:cs="Times New Roman"/>
          <w:sz w:val="24"/>
          <w:szCs w:val="24"/>
        </w:rPr>
        <w:t xml:space="preserve"> the impact of CBAM </w:t>
      </w:r>
      <w:r w:rsidR="00CD112A" w:rsidRPr="007E42E5">
        <w:rPr>
          <w:rFonts w:ascii="Times New Roman" w:hAnsi="Times New Roman" w:cs="Times New Roman"/>
          <w:sz w:val="24"/>
          <w:szCs w:val="24"/>
        </w:rPr>
        <w:t>within</w:t>
      </w:r>
      <w:r w:rsidR="00847DAE" w:rsidRPr="007E42E5">
        <w:rPr>
          <w:rFonts w:ascii="Times New Roman" w:hAnsi="Times New Roman" w:cs="Times New Roman"/>
          <w:sz w:val="24"/>
          <w:szCs w:val="24"/>
        </w:rPr>
        <w:t xml:space="preserve"> </w:t>
      </w:r>
      <w:r w:rsidR="00CD112A" w:rsidRPr="007E42E5">
        <w:rPr>
          <w:rFonts w:ascii="Times New Roman" w:hAnsi="Times New Roman" w:cs="Times New Roman"/>
          <w:sz w:val="24"/>
          <w:szCs w:val="24"/>
        </w:rPr>
        <w:t>an</w:t>
      </w:r>
      <w:r w:rsidR="00847DAE" w:rsidRPr="007E42E5">
        <w:rPr>
          <w:rFonts w:ascii="Times New Roman" w:hAnsi="Times New Roman" w:cs="Times New Roman"/>
          <w:sz w:val="24"/>
          <w:szCs w:val="24"/>
        </w:rPr>
        <w:t xml:space="preserve"> </w:t>
      </w:r>
      <w:r w:rsidR="00566D10" w:rsidRPr="007E42E5">
        <w:rPr>
          <w:rFonts w:ascii="Times New Roman" w:hAnsi="Times New Roman" w:cs="Times New Roman"/>
          <w:sz w:val="24"/>
          <w:szCs w:val="24"/>
        </w:rPr>
        <w:t>economy-wide framework</w:t>
      </w:r>
      <w:r w:rsidR="00355863">
        <w:rPr>
          <w:rFonts w:ascii="Times New Roman" w:hAnsi="Times New Roman" w:cs="Times New Roman"/>
          <w:sz w:val="24"/>
          <w:szCs w:val="24"/>
        </w:rPr>
        <w:t xml:space="preserve"> demands detailed sectoral data </w:t>
      </w:r>
      <w:r w:rsidR="00566D10" w:rsidRPr="007E42E5">
        <w:rPr>
          <w:rFonts w:ascii="Times New Roman" w:hAnsi="Times New Roman" w:cs="Times New Roman"/>
          <w:sz w:val="24"/>
          <w:szCs w:val="24"/>
        </w:rPr>
        <w:t xml:space="preserve">for all </w:t>
      </w:r>
      <w:r w:rsidR="00302544" w:rsidRPr="007E42E5">
        <w:rPr>
          <w:rFonts w:ascii="Times New Roman" w:hAnsi="Times New Roman" w:cs="Times New Roman"/>
          <w:sz w:val="24"/>
          <w:szCs w:val="24"/>
        </w:rPr>
        <w:t>CBAM specified commodities</w:t>
      </w:r>
      <w:r w:rsidR="00CD112A" w:rsidRPr="007E42E5">
        <w:rPr>
          <w:rFonts w:ascii="Times New Roman" w:hAnsi="Times New Roman" w:cs="Times New Roman"/>
          <w:sz w:val="24"/>
          <w:szCs w:val="24"/>
        </w:rPr>
        <w:t xml:space="preserve"> (i.e. iron and steel, aluminum, cement, fertilizers, and electricity).</w:t>
      </w:r>
      <w:r w:rsidR="00BB3898" w:rsidRPr="007E42E5">
        <w:rPr>
          <w:rFonts w:ascii="Times New Roman" w:hAnsi="Times New Roman" w:cs="Times New Roman"/>
          <w:sz w:val="24"/>
          <w:szCs w:val="24"/>
        </w:rPr>
        <w:t xml:space="preserve"> The standard GTAP database </w:t>
      </w:r>
      <w:r w:rsidR="004C141D" w:rsidRPr="007E42E5">
        <w:rPr>
          <w:rFonts w:ascii="Times New Roman" w:hAnsi="Times New Roman" w:cs="Times New Roman"/>
          <w:sz w:val="24"/>
          <w:szCs w:val="24"/>
        </w:rPr>
        <w:t xml:space="preserve">does not provide </w:t>
      </w:r>
      <w:r w:rsidR="00A73290" w:rsidRPr="007E42E5">
        <w:rPr>
          <w:rFonts w:ascii="Times New Roman" w:hAnsi="Times New Roman" w:cs="Times New Roman"/>
          <w:sz w:val="24"/>
          <w:szCs w:val="24"/>
        </w:rPr>
        <w:t>this level of sectoral detail</w:t>
      </w:r>
      <w:r w:rsidR="001F13E3">
        <w:rPr>
          <w:rFonts w:ascii="Times New Roman" w:hAnsi="Times New Roman" w:cs="Times New Roman"/>
          <w:sz w:val="24"/>
          <w:szCs w:val="24"/>
        </w:rPr>
        <w:t xml:space="preserve">, prompting the compilation of </w:t>
      </w:r>
      <w:r w:rsidR="00C74C4D" w:rsidRPr="007E42E5">
        <w:rPr>
          <w:rFonts w:ascii="Times New Roman" w:hAnsi="Times New Roman" w:cs="Times New Roman"/>
          <w:sz w:val="24"/>
          <w:szCs w:val="24"/>
        </w:rPr>
        <w:t>additional data to create a new GTAP-CBAM database</w:t>
      </w:r>
      <w:r w:rsidR="003D5A35" w:rsidRPr="007E42E5">
        <w:rPr>
          <w:rFonts w:ascii="Times New Roman" w:hAnsi="Times New Roman" w:cs="Times New Roman"/>
          <w:sz w:val="24"/>
          <w:szCs w:val="24"/>
        </w:rPr>
        <w:t xml:space="preserve"> </w:t>
      </w:r>
      <w:r w:rsidR="00096A91">
        <w:rPr>
          <w:rFonts w:ascii="Times New Roman" w:hAnsi="Times New Roman" w:cs="Times New Roman"/>
          <w:sz w:val="24"/>
          <w:szCs w:val="24"/>
        </w:rPr>
        <w:t xml:space="preserve">designed for </w:t>
      </w:r>
      <w:r w:rsidR="003D5A35" w:rsidRPr="007E42E5">
        <w:rPr>
          <w:rFonts w:ascii="Times New Roman" w:hAnsi="Times New Roman" w:cs="Times New Roman"/>
          <w:sz w:val="24"/>
          <w:szCs w:val="24"/>
        </w:rPr>
        <w:t>this research</w:t>
      </w:r>
      <w:r w:rsidR="00C74C4D" w:rsidRPr="007E42E5">
        <w:rPr>
          <w:rFonts w:ascii="Times New Roman" w:hAnsi="Times New Roman" w:cs="Times New Roman"/>
          <w:sz w:val="24"/>
          <w:szCs w:val="24"/>
        </w:rPr>
        <w:t xml:space="preserve">. </w:t>
      </w:r>
      <w:r w:rsidR="00322AF8" w:rsidRPr="007E42E5">
        <w:rPr>
          <w:rFonts w:ascii="Times New Roman" w:hAnsi="Times New Roman" w:cs="Times New Roman"/>
          <w:sz w:val="24"/>
          <w:szCs w:val="24"/>
        </w:rPr>
        <w:t xml:space="preserve">The GTAP-CBAM database introduces additional disaggregation of the fertilizer sector </w:t>
      </w:r>
      <w:r w:rsidR="003873BB" w:rsidRPr="007E42E5">
        <w:rPr>
          <w:rFonts w:ascii="Times New Roman" w:hAnsi="Times New Roman" w:cs="Times New Roman"/>
          <w:sz w:val="24"/>
          <w:szCs w:val="24"/>
        </w:rPr>
        <w:t xml:space="preserve">(i.e. nitrogen, phosphate, and potassium). </w:t>
      </w:r>
      <w:r w:rsidR="0054426B" w:rsidRPr="007E42E5">
        <w:rPr>
          <w:rFonts w:ascii="Times New Roman" w:hAnsi="Times New Roman" w:cs="Times New Roman"/>
          <w:sz w:val="24"/>
          <w:szCs w:val="24"/>
        </w:rPr>
        <w:t xml:space="preserve">The starting point for </w:t>
      </w:r>
      <w:r w:rsidR="00264515" w:rsidRPr="007E42E5">
        <w:rPr>
          <w:rFonts w:ascii="Times New Roman" w:hAnsi="Times New Roman" w:cs="Times New Roman"/>
          <w:sz w:val="24"/>
          <w:szCs w:val="24"/>
        </w:rPr>
        <w:t xml:space="preserve">GTAP-CBAM database is the GTAP-CE </w:t>
      </w:r>
      <w:r w:rsidR="006613F3" w:rsidRPr="007E42E5">
        <w:rPr>
          <w:rFonts w:ascii="Times New Roman" w:hAnsi="Times New Roman" w:cs="Times New Roman"/>
          <w:sz w:val="24"/>
          <w:szCs w:val="24"/>
        </w:rPr>
        <w:t>(</w:t>
      </w:r>
      <w:proofErr w:type="spellStart"/>
      <w:r w:rsidR="006613F3" w:rsidRPr="007E42E5">
        <w:rPr>
          <w:rFonts w:ascii="Times New Roman" w:hAnsi="Times New Roman" w:cs="Times New Roman"/>
          <w:sz w:val="24"/>
          <w:szCs w:val="24"/>
        </w:rPr>
        <w:t>Chep</w:t>
      </w:r>
      <w:r w:rsidR="00C6789D" w:rsidRPr="007E42E5">
        <w:rPr>
          <w:rFonts w:ascii="Times New Roman" w:hAnsi="Times New Roman" w:cs="Times New Roman"/>
          <w:sz w:val="24"/>
          <w:szCs w:val="24"/>
        </w:rPr>
        <w:t>eliev</w:t>
      </w:r>
      <w:proofErr w:type="spellEnd"/>
      <w:r w:rsidR="00C6789D" w:rsidRPr="007E42E5">
        <w:rPr>
          <w:rFonts w:ascii="Times New Roman" w:hAnsi="Times New Roman" w:cs="Times New Roman"/>
          <w:sz w:val="24"/>
          <w:szCs w:val="24"/>
        </w:rPr>
        <w:t xml:space="preserve"> et al 2022) </w:t>
      </w:r>
      <w:r w:rsidR="009332C2" w:rsidRPr="007E42E5">
        <w:rPr>
          <w:rFonts w:ascii="Times New Roman" w:hAnsi="Times New Roman" w:cs="Times New Roman"/>
          <w:sz w:val="24"/>
          <w:szCs w:val="24"/>
        </w:rPr>
        <w:t xml:space="preserve">which had </w:t>
      </w:r>
      <w:r w:rsidR="00C82A40" w:rsidRPr="007E42E5">
        <w:rPr>
          <w:rFonts w:ascii="Times New Roman" w:hAnsi="Times New Roman" w:cs="Times New Roman"/>
          <w:sz w:val="24"/>
          <w:szCs w:val="24"/>
        </w:rPr>
        <w:t xml:space="preserve">95 </w:t>
      </w:r>
      <w:r w:rsidR="009332C2" w:rsidRPr="007E42E5">
        <w:rPr>
          <w:rFonts w:ascii="Times New Roman" w:hAnsi="Times New Roman" w:cs="Times New Roman"/>
          <w:sz w:val="24"/>
          <w:szCs w:val="24"/>
        </w:rPr>
        <w:t xml:space="preserve">distinct </w:t>
      </w:r>
      <w:r w:rsidR="00124F7C" w:rsidRPr="007E42E5">
        <w:rPr>
          <w:rFonts w:ascii="Times New Roman" w:hAnsi="Times New Roman" w:cs="Times New Roman"/>
          <w:sz w:val="24"/>
          <w:szCs w:val="24"/>
        </w:rPr>
        <w:t>sectors and 160</w:t>
      </w:r>
      <w:r w:rsidR="007B3A32" w:rsidRPr="007E42E5">
        <w:rPr>
          <w:rFonts w:ascii="Times New Roman" w:hAnsi="Times New Roman" w:cs="Times New Roman"/>
          <w:sz w:val="24"/>
          <w:szCs w:val="24"/>
        </w:rPr>
        <w:t xml:space="preserve"> </w:t>
      </w:r>
      <w:r w:rsidR="007E0FD4" w:rsidRPr="007E42E5">
        <w:rPr>
          <w:rFonts w:ascii="Times New Roman" w:hAnsi="Times New Roman" w:cs="Times New Roman"/>
          <w:sz w:val="24"/>
          <w:szCs w:val="24"/>
        </w:rPr>
        <w:t xml:space="preserve">regions and a 2017 reference year. The chemical sector </w:t>
      </w:r>
      <w:r w:rsidR="00484859" w:rsidRPr="007E42E5">
        <w:rPr>
          <w:rFonts w:ascii="Times New Roman" w:hAnsi="Times New Roman" w:cs="Times New Roman"/>
          <w:sz w:val="24"/>
          <w:szCs w:val="24"/>
        </w:rPr>
        <w:t xml:space="preserve">within this database was then broken into </w:t>
      </w:r>
      <w:r w:rsidR="0032413B" w:rsidRPr="007E42E5">
        <w:rPr>
          <w:rFonts w:ascii="Times New Roman" w:hAnsi="Times New Roman" w:cs="Times New Roman"/>
          <w:sz w:val="24"/>
          <w:szCs w:val="24"/>
        </w:rPr>
        <w:t>chemicals and the three unique fertilizer sectors</w:t>
      </w:r>
      <w:r w:rsidR="003407EF" w:rsidRPr="007E42E5">
        <w:rPr>
          <w:rFonts w:ascii="Times New Roman" w:hAnsi="Times New Roman" w:cs="Times New Roman"/>
          <w:sz w:val="24"/>
          <w:szCs w:val="24"/>
        </w:rPr>
        <w:t xml:space="preserve"> for all regions. </w:t>
      </w:r>
    </w:p>
    <w:p w14:paraId="149CAE57" w14:textId="763390B0" w:rsidR="005363A8" w:rsidRPr="007E42E5" w:rsidRDefault="007A4C33" w:rsidP="005D6EEC">
      <w:pPr>
        <w:rPr>
          <w:rFonts w:ascii="Times New Roman" w:hAnsi="Times New Roman" w:cs="Times New Roman"/>
          <w:sz w:val="24"/>
          <w:szCs w:val="24"/>
        </w:rPr>
      </w:pPr>
      <w:r w:rsidRPr="007E42E5">
        <w:rPr>
          <w:rFonts w:ascii="Times New Roman" w:hAnsi="Times New Roman" w:cs="Times New Roman"/>
          <w:sz w:val="24"/>
          <w:szCs w:val="24"/>
        </w:rPr>
        <w:t xml:space="preserve">In order to break out the fertilizer sectors in such a way that can be </w:t>
      </w:r>
      <w:r w:rsidR="00EB3226" w:rsidRPr="007E42E5">
        <w:rPr>
          <w:rFonts w:ascii="Times New Roman" w:hAnsi="Times New Roman" w:cs="Times New Roman"/>
          <w:sz w:val="24"/>
          <w:szCs w:val="24"/>
        </w:rPr>
        <w:t>utilized</w:t>
      </w:r>
      <w:r w:rsidRPr="007E42E5">
        <w:rPr>
          <w:rFonts w:ascii="Times New Roman" w:hAnsi="Times New Roman" w:cs="Times New Roman"/>
          <w:sz w:val="24"/>
          <w:szCs w:val="24"/>
        </w:rPr>
        <w:t xml:space="preserve"> with the GTAP-CE database the same </w:t>
      </w:r>
      <w:r w:rsidR="00F959D4" w:rsidRPr="007E42E5">
        <w:rPr>
          <w:rFonts w:ascii="Times New Roman" w:hAnsi="Times New Roman" w:cs="Times New Roman"/>
          <w:sz w:val="24"/>
          <w:szCs w:val="24"/>
        </w:rPr>
        <w:t xml:space="preserve">database development method was used as with the generation of the GTAP-CE database. </w:t>
      </w:r>
      <w:r w:rsidR="008C0495" w:rsidRPr="007E42E5">
        <w:rPr>
          <w:rFonts w:ascii="Times New Roman" w:hAnsi="Times New Roman" w:cs="Times New Roman"/>
          <w:sz w:val="24"/>
          <w:szCs w:val="24"/>
        </w:rPr>
        <w:t xml:space="preserve">The output or production quantities were collected from the United Nation Food and Agriculture Organization (FAO) database for nitrogen, </w:t>
      </w:r>
      <w:r w:rsidR="00716F1F" w:rsidRPr="007E42E5">
        <w:rPr>
          <w:rFonts w:ascii="Times New Roman" w:hAnsi="Times New Roman" w:cs="Times New Roman"/>
          <w:sz w:val="24"/>
          <w:szCs w:val="24"/>
        </w:rPr>
        <w:t xml:space="preserve">phosphate, and potassium. For the corresponding trade data </w:t>
      </w:r>
      <w:r w:rsidR="00F37B1F" w:rsidRPr="007E42E5">
        <w:rPr>
          <w:rFonts w:ascii="Times New Roman" w:hAnsi="Times New Roman" w:cs="Times New Roman"/>
          <w:sz w:val="24"/>
          <w:szCs w:val="24"/>
        </w:rPr>
        <w:t>both trade values and tonnage were collected from CEPII BAC</w:t>
      </w:r>
      <w:r w:rsidR="00154457">
        <w:rPr>
          <w:rFonts w:ascii="Times New Roman" w:hAnsi="Times New Roman" w:cs="Times New Roman"/>
          <w:sz w:val="24"/>
          <w:szCs w:val="24"/>
        </w:rPr>
        <w:t>I</w:t>
      </w:r>
      <w:r w:rsidR="00F37B1F" w:rsidRPr="007E42E5">
        <w:rPr>
          <w:rFonts w:ascii="Times New Roman" w:hAnsi="Times New Roman" w:cs="Times New Roman"/>
          <w:sz w:val="24"/>
          <w:szCs w:val="24"/>
        </w:rPr>
        <w:t xml:space="preserve"> database. This data was also used to </w:t>
      </w:r>
      <w:r w:rsidR="00A61870" w:rsidRPr="007E42E5">
        <w:rPr>
          <w:rFonts w:ascii="Times New Roman" w:hAnsi="Times New Roman" w:cs="Times New Roman"/>
          <w:sz w:val="24"/>
          <w:szCs w:val="24"/>
        </w:rPr>
        <w:t xml:space="preserve">establish a price of the </w:t>
      </w:r>
      <w:r w:rsidR="00AA148A" w:rsidRPr="007E42E5">
        <w:rPr>
          <w:rFonts w:ascii="Times New Roman" w:hAnsi="Times New Roman" w:cs="Times New Roman"/>
          <w:sz w:val="24"/>
          <w:szCs w:val="24"/>
        </w:rPr>
        <w:t>three-fertilizer</w:t>
      </w:r>
      <w:r w:rsidR="00A61870" w:rsidRPr="007E42E5">
        <w:rPr>
          <w:rFonts w:ascii="Times New Roman" w:hAnsi="Times New Roman" w:cs="Times New Roman"/>
          <w:sz w:val="24"/>
          <w:szCs w:val="24"/>
        </w:rPr>
        <w:t xml:space="preserve"> using a reference commodity </w:t>
      </w:r>
      <w:r w:rsidR="004E03EB" w:rsidRPr="007E42E5">
        <w:rPr>
          <w:rFonts w:ascii="Times New Roman" w:hAnsi="Times New Roman" w:cs="Times New Roman"/>
          <w:sz w:val="24"/>
          <w:szCs w:val="24"/>
        </w:rPr>
        <w:t xml:space="preserve">(HS310210 (Urea) for </w:t>
      </w:r>
      <w:r w:rsidR="005D6EEC" w:rsidRPr="007E42E5">
        <w:rPr>
          <w:rFonts w:ascii="Times New Roman" w:hAnsi="Times New Roman" w:cs="Times New Roman"/>
          <w:sz w:val="24"/>
          <w:szCs w:val="24"/>
        </w:rPr>
        <w:t xml:space="preserve">price of nitrogen, HS310530 (DAP) for price of phosphate, and HS310420 (MOP) for price of </w:t>
      </w:r>
      <w:r w:rsidR="00AA148A" w:rsidRPr="007E42E5">
        <w:rPr>
          <w:rFonts w:ascii="Times New Roman" w:hAnsi="Times New Roman" w:cs="Times New Roman"/>
          <w:sz w:val="24"/>
          <w:szCs w:val="24"/>
        </w:rPr>
        <w:t xml:space="preserve">potassium). </w:t>
      </w:r>
      <w:r w:rsidR="00AA7416" w:rsidRPr="007E42E5">
        <w:rPr>
          <w:rFonts w:ascii="Times New Roman" w:hAnsi="Times New Roman" w:cs="Times New Roman"/>
          <w:sz w:val="24"/>
          <w:szCs w:val="24"/>
        </w:rPr>
        <w:t xml:space="preserve">The supply structure or fertilizer use was </w:t>
      </w:r>
      <w:r w:rsidR="008A331C" w:rsidRPr="007E42E5">
        <w:rPr>
          <w:rFonts w:ascii="Times New Roman" w:hAnsi="Times New Roman" w:cs="Times New Roman"/>
          <w:sz w:val="24"/>
          <w:szCs w:val="24"/>
        </w:rPr>
        <w:t xml:space="preserve">gathered from the Internation Fertilizer Association that releases </w:t>
      </w:r>
      <w:r w:rsidR="00341A9F" w:rsidRPr="007E42E5">
        <w:rPr>
          <w:rFonts w:ascii="Times New Roman" w:hAnsi="Times New Roman" w:cs="Times New Roman"/>
          <w:sz w:val="24"/>
          <w:szCs w:val="24"/>
        </w:rPr>
        <w:t xml:space="preserve">estimates for fertilizer usage by crop type and country. For both production and supply data countries that </w:t>
      </w:r>
      <w:r w:rsidR="00EC202D" w:rsidRPr="007E42E5">
        <w:rPr>
          <w:rFonts w:ascii="Times New Roman" w:hAnsi="Times New Roman" w:cs="Times New Roman"/>
          <w:sz w:val="24"/>
          <w:szCs w:val="24"/>
        </w:rPr>
        <w:t xml:space="preserve">were not included in the database were estimated </w:t>
      </w:r>
      <w:r w:rsidR="004B6516" w:rsidRPr="007E42E5">
        <w:rPr>
          <w:rFonts w:ascii="Times New Roman" w:hAnsi="Times New Roman" w:cs="Times New Roman"/>
          <w:sz w:val="24"/>
          <w:szCs w:val="24"/>
        </w:rPr>
        <w:t xml:space="preserve">by taking the mean of adjacent or economically similar countries </w:t>
      </w:r>
      <w:r w:rsidR="00ED57F8" w:rsidRPr="007E42E5">
        <w:rPr>
          <w:rFonts w:ascii="Times New Roman" w:hAnsi="Times New Roman" w:cs="Times New Roman"/>
          <w:sz w:val="24"/>
          <w:szCs w:val="24"/>
        </w:rPr>
        <w:t xml:space="preserve">(for supply) and by estimate the per capita production of adjacent or economically similar countries </w:t>
      </w:r>
      <w:r w:rsidR="00EB3226" w:rsidRPr="007E42E5">
        <w:rPr>
          <w:rFonts w:ascii="Times New Roman" w:hAnsi="Times New Roman" w:cs="Times New Roman"/>
          <w:sz w:val="24"/>
          <w:szCs w:val="24"/>
        </w:rPr>
        <w:t>and scaling to the country of interest (for production).</w:t>
      </w:r>
      <w:r w:rsidR="00D55DB4" w:rsidRPr="007E42E5">
        <w:rPr>
          <w:rFonts w:ascii="Times New Roman" w:hAnsi="Times New Roman" w:cs="Times New Roman"/>
          <w:sz w:val="24"/>
          <w:szCs w:val="24"/>
        </w:rPr>
        <w:t xml:space="preserve"> Cost </w:t>
      </w:r>
      <w:r w:rsidR="00460D0C" w:rsidRPr="007E42E5">
        <w:rPr>
          <w:rFonts w:ascii="Times New Roman" w:hAnsi="Times New Roman" w:cs="Times New Roman"/>
          <w:sz w:val="24"/>
          <w:szCs w:val="24"/>
        </w:rPr>
        <w:t>structures</w:t>
      </w:r>
      <w:r w:rsidR="00D55DB4" w:rsidRPr="007E42E5">
        <w:rPr>
          <w:rFonts w:ascii="Times New Roman" w:hAnsi="Times New Roman" w:cs="Times New Roman"/>
          <w:sz w:val="24"/>
          <w:szCs w:val="24"/>
        </w:rPr>
        <w:t xml:space="preserve"> were calculated based on </w:t>
      </w:r>
      <w:r w:rsidR="00460D0C" w:rsidRPr="007E42E5">
        <w:rPr>
          <w:rFonts w:ascii="Times New Roman" w:hAnsi="Times New Roman" w:cs="Times New Roman"/>
          <w:sz w:val="24"/>
          <w:szCs w:val="24"/>
        </w:rPr>
        <w:t xml:space="preserve">unstructured information on production costs related to nitrogen and phosphate from IFA and for potassium through reference. </w:t>
      </w:r>
      <w:r w:rsidR="00551434" w:rsidRPr="007E42E5">
        <w:rPr>
          <w:rFonts w:ascii="Times New Roman" w:hAnsi="Times New Roman" w:cs="Times New Roman"/>
          <w:sz w:val="24"/>
          <w:szCs w:val="24"/>
        </w:rPr>
        <w:t xml:space="preserve">The database disaggregation </w:t>
      </w:r>
      <w:r w:rsidR="005315B3" w:rsidRPr="007E42E5">
        <w:rPr>
          <w:rFonts w:ascii="Times New Roman" w:hAnsi="Times New Roman" w:cs="Times New Roman"/>
          <w:sz w:val="24"/>
          <w:szCs w:val="24"/>
        </w:rPr>
        <w:t xml:space="preserve">procedure is done using a MSPLITCOM utility which </w:t>
      </w:r>
      <w:r w:rsidR="00CC2786" w:rsidRPr="007E42E5">
        <w:rPr>
          <w:rFonts w:ascii="Times New Roman" w:hAnsi="Times New Roman" w:cs="Times New Roman"/>
          <w:sz w:val="24"/>
          <w:szCs w:val="24"/>
        </w:rPr>
        <w:t xml:space="preserve">utilizes all the collected data and then </w:t>
      </w:r>
      <w:r w:rsidR="005315B3" w:rsidRPr="007E42E5">
        <w:rPr>
          <w:rFonts w:ascii="Times New Roman" w:hAnsi="Times New Roman" w:cs="Times New Roman"/>
          <w:sz w:val="24"/>
          <w:szCs w:val="24"/>
        </w:rPr>
        <w:t xml:space="preserve">determines a balance </w:t>
      </w:r>
      <w:r w:rsidR="00E70E40" w:rsidRPr="007E42E5">
        <w:rPr>
          <w:rFonts w:ascii="Times New Roman" w:hAnsi="Times New Roman" w:cs="Times New Roman"/>
          <w:sz w:val="24"/>
          <w:szCs w:val="24"/>
        </w:rPr>
        <w:t xml:space="preserve">within the GTAP database to maintain the </w:t>
      </w:r>
      <w:r w:rsidR="00C209F6" w:rsidRPr="007E42E5">
        <w:rPr>
          <w:rFonts w:ascii="Times New Roman" w:hAnsi="Times New Roman" w:cs="Times New Roman"/>
          <w:sz w:val="24"/>
          <w:szCs w:val="24"/>
        </w:rPr>
        <w:t xml:space="preserve">original flow characteristics of the GTAP-CE database. </w:t>
      </w:r>
      <w:r w:rsidR="00AE579B" w:rsidRPr="007E42E5">
        <w:rPr>
          <w:rFonts w:ascii="Times New Roman" w:hAnsi="Times New Roman" w:cs="Times New Roman"/>
          <w:sz w:val="24"/>
          <w:szCs w:val="24"/>
        </w:rPr>
        <w:t xml:space="preserve">A pivotal goal of the CBAM policies is to reduce carbon leakage and decrease GHG emissions so </w:t>
      </w:r>
      <w:r w:rsidR="0091216E" w:rsidRPr="007E42E5">
        <w:rPr>
          <w:rFonts w:ascii="Times New Roman" w:hAnsi="Times New Roman" w:cs="Times New Roman"/>
          <w:sz w:val="24"/>
          <w:szCs w:val="24"/>
        </w:rPr>
        <w:t xml:space="preserve">energy and emission flows were incorporated into the disaggregated database. </w:t>
      </w:r>
    </w:p>
    <w:p w14:paraId="09533C91" w14:textId="1B5DDA33" w:rsidR="00F40E83" w:rsidRPr="00AD7BFF" w:rsidRDefault="005363A8" w:rsidP="00AD7BFF">
      <w:pPr>
        <w:pStyle w:val="ListParagraph"/>
        <w:numPr>
          <w:ilvl w:val="0"/>
          <w:numId w:val="5"/>
        </w:numPr>
        <w:rPr>
          <w:rFonts w:ascii="Times New Roman" w:hAnsi="Times New Roman" w:cs="Times New Roman"/>
          <w:b/>
          <w:bCs/>
          <w:sz w:val="24"/>
          <w:szCs w:val="24"/>
        </w:rPr>
      </w:pPr>
      <w:r w:rsidRPr="00AD7BFF">
        <w:rPr>
          <w:rFonts w:ascii="Times New Roman" w:hAnsi="Times New Roman" w:cs="Times New Roman"/>
          <w:b/>
          <w:bCs/>
          <w:sz w:val="24"/>
          <w:szCs w:val="24"/>
        </w:rPr>
        <w:t>Methodological Framework</w:t>
      </w:r>
    </w:p>
    <w:p w14:paraId="253854D4" w14:textId="5119D846" w:rsidR="00BD10CD" w:rsidRDefault="00BD10CD" w:rsidP="005D6EEC">
      <w:pPr>
        <w:rPr>
          <w:rFonts w:ascii="Times New Roman" w:hAnsi="Times New Roman" w:cs="Times New Roman"/>
          <w:sz w:val="24"/>
          <w:szCs w:val="24"/>
        </w:rPr>
      </w:pPr>
      <w:r>
        <w:rPr>
          <w:rFonts w:ascii="Times New Roman" w:hAnsi="Times New Roman" w:cs="Times New Roman"/>
          <w:sz w:val="24"/>
          <w:szCs w:val="24"/>
        </w:rPr>
        <w:lastRenderedPageBreak/>
        <w:t xml:space="preserve">ENVISAGE </w:t>
      </w:r>
      <w:r w:rsidR="00F40E83">
        <w:rPr>
          <w:rFonts w:ascii="Times New Roman" w:hAnsi="Times New Roman" w:cs="Times New Roman"/>
          <w:sz w:val="24"/>
          <w:szCs w:val="24"/>
        </w:rPr>
        <w:t>Model -</w:t>
      </w:r>
      <w:r w:rsidR="000C04BC">
        <w:rPr>
          <w:rFonts w:ascii="Times New Roman" w:hAnsi="Times New Roman" w:cs="Times New Roman"/>
          <w:sz w:val="24"/>
          <w:szCs w:val="24"/>
        </w:rPr>
        <w:t xml:space="preserve"> </w:t>
      </w:r>
      <w:r w:rsidR="000C04BC" w:rsidRPr="002E3202">
        <w:rPr>
          <w:rFonts w:ascii="Times New Roman" w:hAnsi="Times New Roman" w:cs="Times New Roman"/>
          <w:sz w:val="24"/>
          <w:szCs w:val="24"/>
        </w:rPr>
        <w:t>Traditional empirical methods are unable to adequately answer the questions asked in this research paper.</w:t>
      </w:r>
      <w:r w:rsidR="000C04BC">
        <w:rPr>
          <w:rFonts w:ascii="Times New Roman" w:hAnsi="Times New Roman" w:cs="Times New Roman"/>
          <w:sz w:val="24"/>
          <w:szCs w:val="24"/>
        </w:rPr>
        <w:t xml:space="preserve"> The primary interest in the scenarios we are discussing is the interest in the interaction effects of the different policy decisions by the EU and RoW and how these policies influence changes in output, trade, and emissions. Quantifying the effects of these interactions is limited when using traditional econometric methods </w:t>
      </w:r>
      <w:r w:rsidR="000C04BC" w:rsidRPr="005812DD">
        <w:rPr>
          <w:rFonts w:ascii="Times New Roman" w:hAnsi="Times New Roman" w:cs="Times New Roman"/>
          <w:sz w:val="24"/>
          <w:szCs w:val="24"/>
        </w:rPr>
        <w:t>highlighting the relevance of opting for a computable general equilibrium (CGE) approach.</w:t>
      </w:r>
      <w:r w:rsidR="000C04BC">
        <w:rPr>
          <w:rFonts w:ascii="Times New Roman" w:hAnsi="Times New Roman" w:cs="Times New Roman"/>
          <w:sz w:val="24"/>
          <w:szCs w:val="24"/>
        </w:rPr>
        <w:t xml:space="preserve"> The results presented in this paper utilize the </w:t>
      </w:r>
      <w:r w:rsidR="000C04BC" w:rsidRPr="005812DD">
        <w:rPr>
          <w:rFonts w:ascii="Times New Roman" w:hAnsi="Times New Roman" w:cs="Times New Roman"/>
          <w:sz w:val="24"/>
          <w:szCs w:val="24"/>
        </w:rPr>
        <w:t>Environmental Impact and Sustainability Applied General Equilibrium</w:t>
      </w:r>
      <w:r w:rsidR="000C04BC">
        <w:rPr>
          <w:rFonts w:ascii="Times New Roman" w:hAnsi="Times New Roman" w:cs="Times New Roman"/>
          <w:sz w:val="24"/>
          <w:szCs w:val="24"/>
        </w:rPr>
        <w:t xml:space="preserve"> (</w:t>
      </w:r>
      <w:r w:rsidR="000C04BC" w:rsidRPr="005812DD">
        <w:rPr>
          <w:rFonts w:ascii="Times New Roman" w:hAnsi="Times New Roman" w:cs="Times New Roman"/>
          <w:sz w:val="24"/>
          <w:szCs w:val="24"/>
        </w:rPr>
        <w:t>ENVISAGE</w:t>
      </w:r>
      <w:r w:rsidR="000C04BC">
        <w:rPr>
          <w:rFonts w:ascii="Times New Roman" w:hAnsi="Times New Roman" w:cs="Times New Roman"/>
          <w:sz w:val="24"/>
          <w:szCs w:val="24"/>
        </w:rPr>
        <w:t>)</w:t>
      </w:r>
      <w:r w:rsidR="000C04BC" w:rsidRPr="005812DD">
        <w:rPr>
          <w:rFonts w:ascii="Times New Roman" w:hAnsi="Times New Roman" w:cs="Times New Roman"/>
          <w:sz w:val="24"/>
          <w:szCs w:val="24"/>
        </w:rPr>
        <w:t xml:space="preserve"> Model</w:t>
      </w:r>
      <w:r w:rsidR="000C04BC">
        <w:rPr>
          <w:rFonts w:ascii="Times New Roman" w:hAnsi="Times New Roman" w:cs="Times New Roman"/>
          <w:sz w:val="24"/>
          <w:szCs w:val="24"/>
        </w:rPr>
        <w:t xml:space="preserve">. This model allows for assessment of growth and structural impacts for developing countries related to climate change policies. The ENVISAGE model is a recursive dynamic global CGE model that follows traditional CGE economic theories and principles in its formulation. Production is driven by the purchase of inputs that results in goods in services by countries or regions. Demand of these goods is calculated based on the household factor income and prices are set through the equilibrium of supply and demand. The model solving process is completed through a sequence of comparative static equilibria. At each time period the production factors are set to be exogenously given and then the time periods are linked to one another lending to accumulation expression. </w:t>
      </w:r>
    </w:p>
    <w:p w14:paraId="27D563F1" w14:textId="7E525B3B" w:rsidR="00CC3417" w:rsidRPr="00CC3417" w:rsidRDefault="00C06024" w:rsidP="00CC3417">
      <w:pPr>
        <w:rPr>
          <w:rFonts w:ascii="Times New Roman" w:hAnsi="Times New Roman" w:cs="Times New Roman"/>
          <w:sz w:val="24"/>
          <w:szCs w:val="24"/>
        </w:rPr>
      </w:pPr>
      <w:r>
        <w:rPr>
          <w:rFonts w:ascii="Times New Roman" w:hAnsi="Times New Roman" w:cs="Times New Roman"/>
          <w:sz w:val="24"/>
          <w:szCs w:val="24"/>
        </w:rPr>
        <w:t>Experimental Design</w:t>
      </w:r>
      <w:r w:rsidR="00F40E83">
        <w:rPr>
          <w:rFonts w:ascii="Times New Roman" w:hAnsi="Times New Roman" w:cs="Times New Roman"/>
          <w:sz w:val="24"/>
          <w:szCs w:val="24"/>
        </w:rPr>
        <w:t xml:space="preserve"> -</w:t>
      </w:r>
      <w:r w:rsidR="00160C53" w:rsidRPr="00FF26CE">
        <w:rPr>
          <w:rFonts w:ascii="Times New Roman" w:hAnsi="Times New Roman" w:cs="Times New Roman"/>
          <w:sz w:val="24"/>
          <w:szCs w:val="24"/>
        </w:rPr>
        <w:t>To</w:t>
      </w:r>
      <w:r w:rsidR="002E4DFF" w:rsidRPr="00FF26CE">
        <w:rPr>
          <w:rFonts w:ascii="Times New Roman" w:hAnsi="Times New Roman" w:cs="Times New Roman"/>
          <w:sz w:val="24"/>
          <w:szCs w:val="24"/>
        </w:rPr>
        <w:t xml:space="preserve"> </w:t>
      </w:r>
      <w:r w:rsidR="00FC1CD3" w:rsidRPr="00FF26CE">
        <w:rPr>
          <w:rFonts w:ascii="Times New Roman" w:hAnsi="Times New Roman" w:cs="Times New Roman"/>
          <w:sz w:val="24"/>
          <w:szCs w:val="24"/>
        </w:rPr>
        <w:t>assess</w:t>
      </w:r>
      <w:r w:rsidR="002E4DFF" w:rsidRPr="00FF26CE">
        <w:rPr>
          <w:rFonts w:ascii="Times New Roman" w:hAnsi="Times New Roman" w:cs="Times New Roman"/>
          <w:sz w:val="24"/>
          <w:szCs w:val="24"/>
        </w:rPr>
        <w:t xml:space="preserve"> the p</w:t>
      </w:r>
      <w:r w:rsidR="0007720B" w:rsidRPr="00FF26CE">
        <w:rPr>
          <w:rFonts w:ascii="Times New Roman" w:hAnsi="Times New Roman" w:cs="Times New Roman"/>
          <w:sz w:val="24"/>
          <w:szCs w:val="24"/>
        </w:rPr>
        <w:t>otential</w:t>
      </w:r>
      <w:r w:rsidR="002E4DFF" w:rsidRPr="00FF26CE">
        <w:rPr>
          <w:rFonts w:ascii="Times New Roman" w:hAnsi="Times New Roman" w:cs="Times New Roman"/>
          <w:sz w:val="24"/>
          <w:szCs w:val="24"/>
        </w:rPr>
        <w:t xml:space="preserve"> impacts of CBAM on the global economy</w:t>
      </w:r>
      <w:r w:rsidR="00E502C6" w:rsidRPr="00FF26CE">
        <w:rPr>
          <w:rFonts w:ascii="Times New Roman" w:hAnsi="Times New Roman" w:cs="Times New Roman"/>
          <w:sz w:val="24"/>
          <w:szCs w:val="24"/>
        </w:rPr>
        <w:t xml:space="preserve">, we </w:t>
      </w:r>
      <w:r w:rsidR="0007720B" w:rsidRPr="00FF26CE">
        <w:rPr>
          <w:rFonts w:ascii="Times New Roman" w:hAnsi="Times New Roman" w:cs="Times New Roman"/>
          <w:sz w:val="24"/>
          <w:szCs w:val="24"/>
        </w:rPr>
        <w:t>formulated a series of scenarios</w:t>
      </w:r>
      <w:r w:rsidR="00E502C6" w:rsidRPr="00FF26CE">
        <w:rPr>
          <w:rFonts w:ascii="Times New Roman" w:hAnsi="Times New Roman" w:cs="Times New Roman"/>
          <w:sz w:val="24"/>
          <w:szCs w:val="24"/>
        </w:rPr>
        <w:t xml:space="preserve"> (see Table 1). </w:t>
      </w:r>
      <w:r w:rsidR="002444E3">
        <w:rPr>
          <w:rFonts w:ascii="Times New Roman" w:hAnsi="Times New Roman" w:cs="Times New Roman"/>
          <w:sz w:val="24"/>
          <w:szCs w:val="24"/>
        </w:rPr>
        <w:t>The need for CBAM s</w:t>
      </w:r>
      <w:r w:rsidR="007A4A00">
        <w:rPr>
          <w:rFonts w:ascii="Times New Roman" w:hAnsi="Times New Roman" w:cs="Times New Roman"/>
          <w:sz w:val="24"/>
          <w:szCs w:val="24"/>
        </w:rPr>
        <w:t xml:space="preserve">tems from an effort to reduce carbon leakage as the EU ETS </w:t>
      </w:r>
      <w:r w:rsidR="00664E1B">
        <w:rPr>
          <w:rFonts w:ascii="Times New Roman" w:hAnsi="Times New Roman" w:cs="Times New Roman"/>
          <w:sz w:val="24"/>
          <w:szCs w:val="24"/>
        </w:rPr>
        <w:t xml:space="preserve">include previously unrepresented sectors </w:t>
      </w:r>
      <w:r w:rsidR="00E60AF8">
        <w:rPr>
          <w:rFonts w:ascii="Times New Roman" w:hAnsi="Times New Roman" w:cs="Times New Roman"/>
          <w:sz w:val="24"/>
          <w:szCs w:val="24"/>
        </w:rPr>
        <w:t>in</w:t>
      </w:r>
      <w:r w:rsidR="00664E1B">
        <w:rPr>
          <w:rFonts w:ascii="Times New Roman" w:hAnsi="Times New Roman" w:cs="Times New Roman"/>
          <w:sz w:val="24"/>
          <w:szCs w:val="24"/>
        </w:rPr>
        <w:t xml:space="preserve"> the carbon trading market including </w:t>
      </w:r>
      <w:r w:rsidR="00664E1B" w:rsidRPr="00C81036">
        <w:rPr>
          <w:rFonts w:ascii="Times New Roman" w:hAnsi="Times New Roman" w:cs="Times New Roman"/>
          <w:sz w:val="24"/>
          <w:szCs w:val="24"/>
        </w:rPr>
        <w:t>iron and steel, aluminum, cement, fertilizers, and electricity</w:t>
      </w:r>
      <w:r w:rsidR="00664E1B">
        <w:rPr>
          <w:rFonts w:ascii="Times New Roman" w:hAnsi="Times New Roman" w:cs="Times New Roman"/>
          <w:sz w:val="24"/>
          <w:szCs w:val="24"/>
        </w:rPr>
        <w:t xml:space="preserve">. </w:t>
      </w:r>
      <w:r w:rsidR="00E60AF8">
        <w:rPr>
          <w:rFonts w:ascii="Times New Roman" w:hAnsi="Times New Roman" w:cs="Times New Roman"/>
          <w:sz w:val="24"/>
          <w:szCs w:val="24"/>
        </w:rPr>
        <w:t>Therefore,</w:t>
      </w:r>
      <w:r w:rsidR="005262E5">
        <w:rPr>
          <w:rFonts w:ascii="Times New Roman" w:hAnsi="Times New Roman" w:cs="Times New Roman"/>
          <w:sz w:val="24"/>
          <w:szCs w:val="24"/>
        </w:rPr>
        <w:t xml:space="preserve"> we start with a baseline scenario where these commodities are integrated into the ETS </w:t>
      </w:r>
      <w:r w:rsidR="00E60AF8">
        <w:rPr>
          <w:rFonts w:ascii="Times New Roman" w:hAnsi="Times New Roman" w:cs="Times New Roman"/>
          <w:sz w:val="24"/>
          <w:szCs w:val="24"/>
        </w:rPr>
        <w:t>market, but there is no CBAM</w:t>
      </w:r>
      <w:r w:rsidR="006C63C7">
        <w:rPr>
          <w:rFonts w:ascii="Times New Roman" w:hAnsi="Times New Roman" w:cs="Times New Roman"/>
          <w:sz w:val="24"/>
          <w:szCs w:val="24"/>
        </w:rPr>
        <w:t xml:space="preserve"> (Scenario 1)</w:t>
      </w:r>
      <w:r w:rsidR="00E60AF8">
        <w:rPr>
          <w:rFonts w:ascii="Times New Roman" w:hAnsi="Times New Roman" w:cs="Times New Roman"/>
          <w:sz w:val="24"/>
          <w:szCs w:val="24"/>
        </w:rPr>
        <w:t xml:space="preserve">. </w:t>
      </w:r>
      <w:r w:rsidR="00EB232E">
        <w:rPr>
          <w:rFonts w:ascii="Times New Roman" w:hAnsi="Times New Roman" w:cs="Times New Roman"/>
          <w:sz w:val="24"/>
          <w:szCs w:val="24"/>
        </w:rPr>
        <w:t xml:space="preserve">This will allow us to quantify the </w:t>
      </w:r>
      <w:r w:rsidR="00513D44">
        <w:rPr>
          <w:rFonts w:ascii="Times New Roman" w:hAnsi="Times New Roman" w:cs="Times New Roman"/>
          <w:sz w:val="24"/>
          <w:szCs w:val="24"/>
        </w:rPr>
        <w:t xml:space="preserve">carbon leakage and better assess how effective CBAM would be for </w:t>
      </w:r>
      <w:r w:rsidR="00D76DCF">
        <w:rPr>
          <w:rFonts w:ascii="Times New Roman" w:hAnsi="Times New Roman" w:cs="Times New Roman"/>
          <w:sz w:val="24"/>
          <w:szCs w:val="24"/>
        </w:rPr>
        <w:t>maintaining the competitiveness of the EU</w:t>
      </w:r>
      <w:r w:rsidR="00513D44">
        <w:rPr>
          <w:rFonts w:ascii="Times New Roman" w:hAnsi="Times New Roman" w:cs="Times New Roman"/>
          <w:sz w:val="24"/>
          <w:szCs w:val="24"/>
        </w:rPr>
        <w:t xml:space="preserve"> fertilizer industry</w:t>
      </w:r>
      <w:r w:rsidR="00D76DCF">
        <w:rPr>
          <w:rFonts w:ascii="Times New Roman" w:hAnsi="Times New Roman" w:cs="Times New Roman"/>
          <w:sz w:val="24"/>
          <w:szCs w:val="24"/>
        </w:rPr>
        <w:t xml:space="preserve">. </w:t>
      </w:r>
    </w:p>
    <w:p w14:paraId="60C5E4B4" w14:textId="77777777" w:rsidR="00023B12" w:rsidRDefault="00CC3417" w:rsidP="005D6EEC">
      <w:pPr>
        <w:rPr>
          <w:rFonts w:ascii="Times New Roman" w:hAnsi="Times New Roman" w:cs="Times New Roman"/>
          <w:sz w:val="24"/>
          <w:szCs w:val="24"/>
        </w:rPr>
      </w:pPr>
      <w:r w:rsidRPr="00CC3417">
        <w:rPr>
          <w:rFonts w:ascii="Times New Roman" w:hAnsi="Times New Roman" w:cs="Times New Roman"/>
          <w:sz w:val="24"/>
          <w:szCs w:val="24"/>
        </w:rPr>
        <w:t>In subsequent scenarios, we will introduce CBAM implementation, with one version reflecting the current proposed structure and another reflecting adjustment for compliance with WTO regulations, enabling a comparative analysis of their respective impacts on carbon leakage and the competitiveness of the EU fertilizer industry.</w:t>
      </w:r>
      <w:r w:rsidR="00E00D17">
        <w:rPr>
          <w:rFonts w:ascii="Times New Roman" w:hAnsi="Times New Roman" w:cs="Times New Roman"/>
          <w:sz w:val="24"/>
          <w:szCs w:val="24"/>
        </w:rPr>
        <w:t xml:space="preserve"> </w:t>
      </w:r>
      <w:r w:rsidR="00C813E6" w:rsidRPr="00FF26CE">
        <w:rPr>
          <w:rFonts w:ascii="Times New Roman" w:hAnsi="Times New Roman" w:cs="Times New Roman"/>
          <w:sz w:val="24"/>
          <w:szCs w:val="24"/>
        </w:rPr>
        <w:t>As of Spring 2024</w:t>
      </w:r>
      <w:r w:rsidR="00E00D17">
        <w:rPr>
          <w:rFonts w:ascii="Times New Roman" w:hAnsi="Times New Roman" w:cs="Times New Roman"/>
          <w:sz w:val="24"/>
          <w:szCs w:val="24"/>
        </w:rPr>
        <w:t>,</w:t>
      </w:r>
      <w:r w:rsidR="00C813E6" w:rsidRPr="00FF26CE">
        <w:rPr>
          <w:rFonts w:ascii="Times New Roman" w:hAnsi="Times New Roman" w:cs="Times New Roman"/>
          <w:sz w:val="24"/>
          <w:szCs w:val="24"/>
        </w:rPr>
        <w:t xml:space="preserve"> the WTO has yet to rule if the CBAM policies are or are not complaint</w:t>
      </w:r>
      <w:r w:rsidR="00262030" w:rsidRPr="00FF26CE">
        <w:rPr>
          <w:rFonts w:ascii="Times New Roman" w:hAnsi="Times New Roman" w:cs="Times New Roman"/>
          <w:sz w:val="24"/>
          <w:szCs w:val="24"/>
        </w:rPr>
        <w:t xml:space="preserve">. Scenarios that are “WTO Compliant” refers to </w:t>
      </w:r>
      <w:r w:rsidR="00672D5A" w:rsidRPr="00FF26CE">
        <w:rPr>
          <w:rFonts w:ascii="Times New Roman" w:hAnsi="Times New Roman" w:cs="Times New Roman"/>
          <w:sz w:val="24"/>
          <w:szCs w:val="24"/>
        </w:rPr>
        <w:t xml:space="preserve">placing a boarder tax on all commodities, not just the ones specified by CBAM. This assumption is based on previous literature about </w:t>
      </w:r>
      <w:r w:rsidR="000C1BC5" w:rsidRPr="00FF26CE">
        <w:rPr>
          <w:rFonts w:ascii="Times New Roman" w:hAnsi="Times New Roman" w:cs="Times New Roman"/>
          <w:sz w:val="24"/>
          <w:szCs w:val="24"/>
        </w:rPr>
        <w:t xml:space="preserve">the legality of CBAM from the WTOs perspective. </w:t>
      </w:r>
    </w:p>
    <w:p w14:paraId="71FF6561" w14:textId="2BFAFAB6" w:rsidR="0007720B" w:rsidRDefault="000C1BC5" w:rsidP="005D6EEC">
      <w:pPr>
        <w:rPr>
          <w:rFonts w:ascii="Times New Roman" w:hAnsi="Times New Roman" w:cs="Times New Roman"/>
          <w:sz w:val="24"/>
          <w:szCs w:val="24"/>
        </w:rPr>
      </w:pPr>
      <w:r w:rsidRPr="00FF26CE">
        <w:rPr>
          <w:rFonts w:ascii="Times New Roman" w:hAnsi="Times New Roman" w:cs="Times New Roman"/>
          <w:sz w:val="24"/>
          <w:szCs w:val="24"/>
        </w:rPr>
        <w:t>From the Rest of the World (RoW) perspective there are three responses</w:t>
      </w:r>
      <w:r w:rsidR="00683E47">
        <w:rPr>
          <w:rFonts w:ascii="Times New Roman" w:hAnsi="Times New Roman" w:cs="Times New Roman"/>
          <w:sz w:val="24"/>
          <w:szCs w:val="24"/>
        </w:rPr>
        <w:t xml:space="preserve">. </w:t>
      </w:r>
      <w:r w:rsidR="00D576F6" w:rsidRPr="00FF26CE">
        <w:rPr>
          <w:rFonts w:ascii="Times New Roman" w:hAnsi="Times New Roman" w:cs="Times New Roman"/>
          <w:sz w:val="24"/>
          <w:szCs w:val="24"/>
        </w:rPr>
        <w:t xml:space="preserve">First, is simply no response. This would mean that the non-EU countries accept the boarder tax and do not adjust their trade </w:t>
      </w:r>
      <w:r w:rsidR="00333FCF" w:rsidRPr="00FF26CE">
        <w:rPr>
          <w:rFonts w:ascii="Times New Roman" w:hAnsi="Times New Roman" w:cs="Times New Roman"/>
          <w:sz w:val="24"/>
          <w:szCs w:val="24"/>
        </w:rPr>
        <w:t>or production policies</w:t>
      </w:r>
      <w:r w:rsidR="00DD1009">
        <w:rPr>
          <w:rFonts w:ascii="Times New Roman" w:hAnsi="Times New Roman" w:cs="Times New Roman"/>
          <w:sz w:val="24"/>
          <w:szCs w:val="24"/>
        </w:rPr>
        <w:t xml:space="preserve"> (Scenarios</w:t>
      </w:r>
      <w:r w:rsidR="00A33319">
        <w:rPr>
          <w:rFonts w:ascii="Times New Roman" w:hAnsi="Times New Roman" w:cs="Times New Roman"/>
          <w:sz w:val="24"/>
          <w:szCs w:val="24"/>
        </w:rPr>
        <w:t xml:space="preserve"> 1,</w:t>
      </w:r>
      <w:r w:rsidR="00DD1009">
        <w:rPr>
          <w:rFonts w:ascii="Times New Roman" w:hAnsi="Times New Roman" w:cs="Times New Roman"/>
          <w:sz w:val="24"/>
          <w:szCs w:val="24"/>
        </w:rPr>
        <w:t xml:space="preserve"> 2</w:t>
      </w:r>
      <w:r w:rsidR="00A33319">
        <w:rPr>
          <w:rFonts w:ascii="Times New Roman" w:hAnsi="Times New Roman" w:cs="Times New Roman"/>
          <w:sz w:val="24"/>
          <w:szCs w:val="24"/>
        </w:rPr>
        <w:t>,</w:t>
      </w:r>
      <w:r w:rsidR="00DD1009">
        <w:rPr>
          <w:rFonts w:ascii="Times New Roman" w:hAnsi="Times New Roman" w:cs="Times New Roman"/>
          <w:sz w:val="24"/>
          <w:szCs w:val="24"/>
        </w:rPr>
        <w:t xml:space="preserve"> and 3)</w:t>
      </w:r>
      <w:r w:rsidR="00333FCF" w:rsidRPr="00FF26CE">
        <w:rPr>
          <w:rFonts w:ascii="Times New Roman" w:hAnsi="Times New Roman" w:cs="Times New Roman"/>
          <w:sz w:val="24"/>
          <w:szCs w:val="24"/>
        </w:rPr>
        <w:t>.</w:t>
      </w:r>
      <w:r w:rsidR="00297C1E" w:rsidRPr="00FF26CE">
        <w:rPr>
          <w:rFonts w:ascii="Times New Roman" w:hAnsi="Times New Roman" w:cs="Times New Roman"/>
          <w:sz w:val="24"/>
          <w:szCs w:val="24"/>
        </w:rPr>
        <w:t xml:space="preserve"> </w:t>
      </w:r>
      <w:r w:rsidR="00041C67">
        <w:rPr>
          <w:rFonts w:ascii="Times New Roman" w:hAnsi="Times New Roman" w:cs="Times New Roman"/>
          <w:sz w:val="24"/>
          <w:szCs w:val="24"/>
        </w:rPr>
        <w:t>Second</w:t>
      </w:r>
      <w:r w:rsidR="00041C67" w:rsidRPr="00FF26CE">
        <w:rPr>
          <w:rFonts w:ascii="Times New Roman" w:hAnsi="Times New Roman" w:cs="Times New Roman"/>
          <w:sz w:val="24"/>
          <w:szCs w:val="24"/>
        </w:rPr>
        <w:t xml:space="preserve">, </w:t>
      </w:r>
      <w:r w:rsidR="00041C67">
        <w:rPr>
          <w:rFonts w:ascii="Times New Roman" w:hAnsi="Times New Roman" w:cs="Times New Roman"/>
          <w:sz w:val="24"/>
          <w:szCs w:val="24"/>
        </w:rPr>
        <w:t xml:space="preserve">the RoW countries could adjust their production methods to </w:t>
      </w:r>
      <w:proofErr w:type="gramStart"/>
      <w:r w:rsidR="00041C67">
        <w:rPr>
          <w:rFonts w:ascii="Times New Roman" w:hAnsi="Times New Roman" w:cs="Times New Roman"/>
          <w:sz w:val="24"/>
          <w:szCs w:val="24"/>
        </w:rPr>
        <w:t>be in compliance with</w:t>
      </w:r>
      <w:proofErr w:type="gramEnd"/>
      <w:r w:rsidR="00041C67">
        <w:rPr>
          <w:rFonts w:ascii="Times New Roman" w:hAnsi="Times New Roman" w:cs="Times New Roman"/>
          <w:sz w:val="24"/>
          <w:szCs w:val="24"/>
        </w:rPr>
        <w:t xml:space="preserve"> EU standards and adopt stringent climate policies. </w:t>
      </w:r>
      <w:r w:rsidR="00041C67" w:rsidRPr="00BD60A7">
        <w:rPr>
          <w:rFonts w:ascii="Times New Roman" w:hAnsi="Times New Roman" w:cs="Times New Roman"/>
          <w:sz w:val="24"/>
          <w:szCs w:val="24"/>
        </w:rPr>
        <w:t>These policies would reduce their GHG emissions for the carbon-intensive products specified in CBAM and, therefore, remove the tax from those exporting products and likely reduce GHG emissions worldwide.</w:t>
      </w:r>
      <w:r w:rsidR="00041C67">
        <w:rPr>
          <w:rFonts w:ascii="Times New Roman" w:hAnsi="Times New Roman" w:cs="Times New Roman"/>
          <w:sz w:val="24"/>
          <w:szCs w:val="24"/>
        </w:rPr>
        <w:t xml:space="preserve"> </w:t>
      </w:r>
      <w:r w:rsidR="00A33319">
        <w:rPr>
          <w:rFonts w:ascii="Times New Roman" w:hAnsi="Times New Roman" w:cs="Times New Roman"/>
          <w:sz w:val="24"/>
          <w:szCs w:val="24"/>
        </w:rPr>
        <w:t xml:space="preserve">We simulate an adjustment in </w:t>
      </w:r>
      <w:r w:rsidR="001310D8">
        <w:rPr>
          <w:rFonts w:ascii="Times New Roman" w:hAnsi="Times New Roman" w:cs="Times New Roman"/>
          <w:sz w:val="24"/>
          <w:szCs w:val="24"/>
        </w:rPr>
        <w:t xml:space="preserve">production practice to reflect compliance with EU standards for </w:t>
      </w:r>
      <w:r w:rsidR="00B253CE">
        <w:rPr>
          <w:rFonts w:ascii="Times New Roman" w:hAnsi="Times New Roman" w:cs="Times New Roman"/>
          <w:sz w:val="24"/>
          <w:szCs w:val="24"/>
        </w:rPr>
        <w:t>the global north and half of the global south. Finally</w:t>
      </w:r>
      <w:r w:rsidR="00297C1E" w:rsidRPr="00FF26CE">
        <w:rPr>
          <w:rFonts w:ascii="Times New Roman" w:hAnsi="Times New Roman" w:cs="Times New Roman"/>
          <w:sz w:val="24"/>
          <w:szCs w:val="24"/>
        </w:rPr>
        <w:t xml:space="preserve">, the RoW counties could respond through a protectionist trade policy. </w:t>
      </w:r>
      <w:r w:rsidR="003D2B63" w:rsidRPr="00FF26CE">
        <w:rPr>
          <w:rFonts w:ascii="Times New Roman" w:hAnsi="Times New Roman" w:cs="Times New Roman"/>
          <w:sz w:val="24"/>
          <w:szCs w:val="24"/>
        </w:rPr>
        <w:t xml:space="preserve">This would be a measurable trade response from non-EU countries that would come through the form of a tax on EU-exported </w:t>
      </w:r>
      <w:r w:rsidR="003D2B63" w:rsidRPr="00FF26CE">
        <w:rPr>
          <w:rFonts w:ascii="Times New Roman" w:hAnsi="Times New Roman" w:cs="Times New Roman"/>
          <w:sz w:val="24"/>
          <w:szCs w:val="24"/>
        </w:rPr>
        <w:lastRenderedPageBreak/>
        <w:t xml:space="preserve">goods. </w:t>
      </w:r>
      <w:r w:rsidR="004C1649">
        <w:rPr>
          <w:rFonts w:ascii="Times New Roman" w:hAnsi="Times New Roman" w:cs="Times New Roman"/>
          <w:sz w:val="24"/>
          <w:szCs w:val="24"/>
        </w:rPr>
        <w:t xml:space="preserve">Scenarios 6 and 7 characterize a protectionist policy shift by implementing a </w:t>
      </w:r>
      <w:r w:rsidR="00041C67" w:rsidRPr="006F49E1">
        <w:rPr>
          <w:rFonts w:ascii="Times New Roman" w:hAnsi="Times New Roman" w:cs="Times New Roman"/>
          <w:sz w:val="24"/>
          <w:szCs w:val="24"/>
        </w:rPr>
        <w:t>Through a thorough analysis of options for both the EU and the Rest of the World (RoW), we have pinpointed s</w:t>
      </w:r>
      <w:r w:rsidR="00B253CE">
        <w:rPr>
          <w:rFonts w:ascii="Times New Roman" w:hAnsi="Times New Roman" w:cs="Times New Roman"/>
          <w:sz w:val="24"/>
          <w:szCs w:val="24"/>
        </w:rPr>
        <w:t xml:space="preserve">even </w:t>
      </w:r>
      <w:r w:rsidR="00041C67" w:rsidRPr="006F49E1">
        <w:rPr>
          <w:rFonts w:ascii="Times New Roman" w:hAnsi="Times New Roman" w:cs="Times New Roman"/>
          <w:sz w:val="24"/>
          <w:szCs w:val="24"/>
        </w:rPr>
        <w:t>scenarios that will be the subject of our results presentation.</w:t>
      </w:r>
    </w:p>
    <w:tbl>
      <w:tblPr>
        <w:tblStyle w:val="TableGrid"/>
        <w:tblW w:w="0" w:type="auto"/>
        <w:jc w:val="center"/>
        <w:tblLook w:val="04A0" w:firstRow="1" w:lastRow="0" w:firstColumn="1" w:lastColumn="0" w:noHBand="0" w:noVBand="1"/>
      </w:tblPr>
      <w:tblGrid>
        <w:gridCol w:w="2672"/>
        <w:gridCol w:w="2672"/>
        <w:gridCol w:w="2677"/>
      </w:tblGrid>
      <w:tr w:rsidR="008A3B4C" w14:paraId="1CDD48F6" w14:textId="77777777" w:rsidTr="00732AC5">
        <w:trPr>
          <w:trHeight w:val="248"/>
          <w:jc w:val="center"/>
        </w:trPr>
        <w:tc>
          <w:tcPr>
            <w:tcW w:w="8021" w:type="dxa"/>
            <w:gridSpan w:val="3"/>
            <w:tcBorders>
              <w:top w:val="nil"/>
              <w:left w:val="nil"/>
              <w:right w:val="nil"/>
            </w:tcBorders>
          </w:tcPr>
          <w:p w14:paraId="62C0E34F" w14:textId="51E69D67" w:rsidR="008A3B4C" w:rsidRDefault="008A3B4C" w:rsidP="005D6EEC">
            <w:pPr>
              <w:rPr>
                <w:rFonts w:ascii="Times New Roman" w:hAnsi="Times New Roman" w:cs="Times New Roman"/>
                <w:sz w:val="24"/>
                <w:szCs w:val="24"/>
              </w:rPr>
            </w:pPr>
            <w:r>
              <w:rPr>
                <w:rFonts w:ascii="Times New Roman" w:hAnsi="Times New Roman" w:cs="Times New Roman"/>
                <w:sz w:val="24"/>
                <w:szCs w:val="24"/>
              </w:rPr>
              <w:t>Table 1</w:t>
            </w:r>
            <w:r w:rsidR="00921989">
              <w:rPr>
                <w:rFonts w:ascii="Times New Roman" w:hAnsi="Times New Roman" w:cs="Times New Roman"/>
                <w:sz w:val="24"/>
                <w:szCs w:val="24"/>
              </w:rPr>
              <w:t xml:space="preserve">: Scenarios on CBAM Implementation and </w:t>
            </w:r>
            <w:r w:rsidR="00FC70DC">
              <w:rPr>
                <w:rFonts w:ascii="Times New Roman" w:hAnsi="Times New Roman" w:cs="Times New Roman"/>
                <w:sz w:val="24"/>
                <w:szCs w:val="24"/>
              </w:rPr>
              <w:t>Trade Action</w:t>
            </w:r>
          </w:p>
        </w:tc>
      </w:tr>
      <w:tr w:rsidR="00FF60DC" w14:paraId="6A7832E1" w14:textId="77777777" w:rsidTr="004D3D4D">
        <w:trPr>
          <w:trHeight w:val="248"/>
          <w:jc w:val="center"/>
        </w:trPr>
        <w:tc>
          <w:tcPr>
            <w:tcW w:w="2672" w:type="dxa"/>
            <w:vAlign w:val="center"/>
          </w:tcPr>
          <w:p w14:paraId="77E0FDFF" w14:textId="5CA299DE"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Scenario Name</w:t>
            </w:r>
          </w:p>
        </w:tc>
        <w:tc>
          <w:tcPr>
            <w:tcW w:w="2672" w:type="dxa"/>
            <w:vAlign w:val="center"/>
          </w:tcPr>
          <w:p w14:paraId="0D7D0492" w14:textId="12D1F761"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EU Action</w:t>
            </w:r>
          </w:p>
        </w:tc>
        <w:tc>
          <w:tcPr>
            <w:tcW w:w="2677" w:type="dxa"/>
            <w:vAlign w:val="center"/>
          </w:tcPr>
          <w:p w14:paraId="1024FBEE" w14:textId="227F8531"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RoW Response</w:t>
            </w:r>
          </w:p>
        </w:tc>
      </w:tr>
      <w:tr w:rsidR="004D3D4D" w14:paraId="67D822C6" w14:textId="77777777" w:rsidTr="004D3D4D">
        <w:trPr>
          <w:trHeight w:val="484"/>
          <w:jc w:val="center"/>
        </w:trPr>
        <w:tc>
          <w:tcPr>
            <w:tcW w:w="2672" w:type="dxa"/>
            <w:vAlign w:val="center"/>
          </w:tcPr>
          <w:p w14:paraId="4620C0F2" w14:textId="77777777"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Scenario 1</w:t>
            </w:r>
          </w:p>
          <w:p w14:paraId="66F7DC46" w14:textId="4983ACF9"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(Baseline)</w:t>
            </w:r>
          </w:p>
        </w:tc>
        <w:tc>
          <w:tcPr>
            <w:tcW w:w="2672" w:type="dxa"/>
            <w:vAlign w:val="center"/>
          </w:tcPr>
          <w:p w14:paraId="4DCA53E7" w14:textId="2F15806A"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ETS</w:t>
            </w:r>
          </w:p>
        </w:tc>
        <w:tc>
          <w:tcPr>
            <w:tcW w:w="2677" w:type="dxa"/>
            <w:vAlign w:val="center"/>
          </w:tcPr>
          <w:p w14:paraId="6601A307" w14:textId="0E5B64F3"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No Response</w:t>
            </w:r>
          </w:p>
        </w:tc>
      </w:tr>
      <w:tr w:rsidR="00FF60DC" w14:paraId="25693BAB" w14:textId="77777777" w:rsidTr="004D3D4D">
        <w:trPr>
          <w:trHeight w:val="484"/>
          <w:jc w:val="center"/>
        </w:trPr>
        <w:tc>
          <w:tcPr>
            <w:tcW w:w="2672" w:type="dxa"/>
            <w:vAlign w:val="center"/>
          </w:tcPr>
          <w:p w14:paraId="7097C66C" w14:textId="53C98518"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 xml:space="preserve">Scenario </w:t>
            </w:r>
            <w:r w:rsidR="00866192">
              <w:rPr>
                <w:rFonts w:ascii="Times New Roman" w:hAnsi="Times New Roman" w:cs="Times New Roman"/>
                <w:sz w:val="24"/>
                <w:szCs w:val="24"/>
              </w:rPr>
              <w:t>2</w:t>
            </w:r>
          </w:p>
          <w:p w14:paraId="27DC5FA8" w14:textId="334DDE86"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w:t>
            </w:r>
            <w:r w:rsidR="004D3D4D">
              <w:rPr>
                <w:rFonts w:ascii="Times New Roman" w:hAnsi="Times New Roman" w:cs="Times New Roman"/>
                <w:sz w:val="24"/>
                <w:szCs w:val="24"/>
              </w:rPr>
              <w:t>Basic-</w:t>
            </w:r>
            <w:r w:rsidR="00672B91">
              <w:rPr>
                <w:rFonts w:ascii="Times New Roman" w:hAnsi="Times New Roman" w:cs="Times New Roman"/>
                <w:sz w:val="24"/>
                <w:szCs w:val="24"/>
              </w:rPr>
              <w:t>CBAM</w:t>
            </w:r>
            <w:r>
              <w:rPr>
                <w:rFonts w:ascii="Times New Roman" w:hAnsi="Times New Roman" w:cs="Times New Roman"/>
                <w:sz w:val="24"/>
                <w:szCs w:val="24"/>
              </w:rPr>
              <w:t>)</w:t>
            </w:r>
          </w:p>
        </w:tc>
        <w:tc>
          <w:tcPr>
            <w:tcW w:w="2672" w:type="dxa"/>
            <w:vAlign w:val="center"/>
          </w:tcPr>
          <w:p w14:paraId="4C4E7A96" w14:textId="112560A1"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CBAM</w:t>
            </w:r>
          </w:p>
        </w:tc>
        <w:tc>
          <w:tcPr>
            <w:tcW w:w="2677" w:type="dxa"/>
            <w:vAlign w:val="center"/>
          </w:tcPr>
          <w:p w14:paraId="79C19C10" w14:textId="628515F6"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No Response</w:t>
            </w:r>
          </w:p>
        </w:tc>
      </w:tr>
      <w:tr w:rsidR="00FF60DC" w14:paraId="7DA9C5D1" w14:textId="77777777" w:rsidTr="004D3D4D">
        <w:trPr>
          <w:trHeight w:val="497"/>
          <w:jc w:val="center"/>
        </w:trPr>
        <w:tc>
          <w:tcPr>
            <w:tcW w:w="2672" w:type="dxa"/>
            <w:vAlign w:val="center"/>
          </w:tcPr>
          <w:p w14:paraId="1B01D0C6" w14:textId="3F5317A6"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 xml:space="preserve">Scenario </w:t>
            </w:r>
            <w:r w:rsidR="00866192">
              <w:rPr>
                <w:rFonts w:ascii="Times New Roman" w:hAnsi="Times New Roman" w:cs="Times New Roman"/>
                <w:sz w:val="24"/>
                <w:szCs w:val="24"/>
              </w:rPr>
              <w:t>3</w:t>
            </w:r>
          </w:p>
          <w:p w14:paraId="5122D75A" w14:textId="04739CCD"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(WTO</w:t>
            </w:r>
            <w:r w:rsidR="004D3D4D">
              <w:rPr>
                <w:rFonts w:ascii="Times New Roman" w:hAnsi="Times New Roman" w:cs="Times New Roman"/>
                <w:sz w:val="24"/>
                <w:szCs w:val="24"/>
              </w:rPr>
              <w:t>-CBAM</w:t>
            </w:r>
            <w:r>
              <w:rPr>
                <w:rFonts w:ascii="Times New Roman" w:hAnsi="Times New Roman" w:cs="Times New Roman"/>
                <w:sz w:val="24"/>
                <w:szCs w:val="24"/>
              </w:rPr>
              <w:t>)</w:t>
            </w:r>
          </w:p>
        </w:tc>
        <w:tc>
          <w:tcPr>
            <w:tcW w:w="2672" w:type="dxa"/>
            <w:vAlign w:val="center"/>
          </w:tcPr>
          <w:p w14:paraId="237F4061" w14:textId="61F8B0F7"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CBAM</w:t>
            </w:r>
          </w:p>
          <w:p w14:paraId="40AC756E" w14:textId="6945529D"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(WTO Compliant)</w:t>
            </w:r>
          </w:p>
        </w:tc>
        <w:tc>
          <w:tcPr>
            <w:tcW w:w="2677" w:type="dxa"/>
            <w:vAlign w:val="center"/>
          </w:tcPr>
          <w:p w14:paraId="3321DFB8" w14:textId="15C2D45B"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No Response</w:t>
            </w:r>
          </w:p>
        </w:tc>
      </w:tr>
      <w:tr w:rsidR="00FF60DC" w14:paraId="411CCD34" w14:textId="77777777" w:rsidTr="004D3D4D">
        <w:trPr>
          <w:trHeight w:val="497"/>
          <w:jc w:val="center"/>
        </w:trPr>
        <w:tc>
          <w:tcPr>
            <w:tcW w:w="2672" w:type="dxa"/>
            <w:vAlign w:val="center"/>
          </w:tcPr>
          <w:p w14:paraId="2C1B946B" w14:textId="473CA4E9"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 xml:space="preserve">Scenario </w:t>
            </w:r>
            <w:r w:rsidR="00866192">
              <w:rPr>
                <w:rFonts w:ascii="Times New Roman" w:hAnsi="Times New Roman" w:cs="Times New Roman"/>
                <w:sz w:val="24"/>
                <w:szCs w:val="24"/>
              </w:rPr>
              <w:t>4</w:t>
            </w:r>
          </w:p>
          <w:p w14:paraId="46C7FC4A" w14:textId="013EAE05" w:rsidR="00406F82" w:rsidRDefault="00406F82" w:rsidP="00336FE4">
            <w:pPr>
              <w:jc w:val="center"/>
              <w:rPr>
                <w:rFonts w:ascii="Times New Roman" w:hAnsi="Times New Roman" w:cs="Times New Roman"/>
                <w:sz w:val="24"/>
                <w:szCs w:val="24"/>
              </w:rPr>
            </w:pPr>
            <w:r>
              <w:rPr>
                <w:rFonts w:ascii="Times New Roman" w:hAnsi="Times New Roman" w:cs="Times New Roman"/>
                <w:sz w:val="24"/>
                <w:szCs w:val="24"/>
              </w:rPr>
              <w:t>(Environmentalist)</w:t>
            </w:r>
          </w:p>
        </w:tc>
        <w:tc>
          <w:tcPr>
            <w:tcW w:w="2672" w:type="dxa"/>
            <w:vAlign w:val="center"/>
          </w:tcPr>
          <w:p w14:paraId="01266A72" w14:textId="7C51DD2D" w:rsidR="00FF60DC" w:rsidRDefault="008A3B4C" w:rsidP="00336FE4">
            <w:pPr>
              <w:jc w:val="center"/>
              <w:rPr>
                <w:rFonts w:ascii="Times New Roman" w:hAnsi="Times New Roman" w:cs="Times New Roman"/>
                <w:sz w:val="24"/>
                <w:szCs w:val="24"/>
              </w:rPr>
            </w:pPr>
            <w:r>
              <w:rPr>
                <w:rFonts w:ascii="Times New Roman" w:hAnsi="Times New Roman" w:cs="Times New Roman"/>
                <w:sz w:val="24"/>
                <w:szCs w:val="24"/>
              </w:rPr>
              <w:t>CBAM</w:t>
            </w:r>
          </w:p>
        </w:tc>
        <w:tc>
          <w:tcPr>
            <w:tcW w:w="2677" w:type="dxa"/>
            <w:vAlign w:val="center"/>
          </w:tcPr>
          <w:p w14:paraId="39CE366F" w14:textId="042DF30A" w:rsidR="00FF60DC" w:rsidRDefault="00406F82" w:rsidP="00336FE4">
            <w:pPr>
              <w:jc w:val="center"/>
              <w:rPr>
                <w:rFonts w:ascii="Times New Roman" w:hAnsi="Times New Roman" w:cs="Times New Roman"/>
                <w:sz w:val="24"/>
                <w:szCs w:val="24"/>
              </w:rPr>
            </w:pPr>
            <w:r>
              <w:rPr>
                <w:rFonts w:ascii="Times New Roman" w:hAnsi="Times New Roman" w:cs="Times New Roman"/>
                <w:sz w:val="24"/>
                <w:szCs w:val="24"/>
              </w:rPr>
              <w:t>Environmentalist</w:t>
            </w:r>
          </w:p>
        </w:tc>
      </w:tr>
      <w:tr w:rsidR="00FF60DC" w14:paraId="6EAC22EC" w14:textId="77777777" w:rsidTr="004D3D4D">
        <w:trPr>
          <w:trHeight w:val="733"/>
          <w:jc w:val="center"/>
        </w:trPr>
        <w:tc>
          <w:tcPr>
            <w:tcW w:w="2672" w:type="dxa"/>
            <w:vAlign w:val="center"/>
          </w:tcPr>
          <w:p w14:paraId="5183E2F0" w14:textId="2384503C" w:rsidR="00FF60DC" w:rsidRDefault="00FF60DC" w:rsidP="00336FE4">
            <w:pPr>
              <w:jc w:val="center"/>
              <w:rPr>
                <w:rFonts w:ascii="Times New Roman" w:hAnsi="Times New Roman" w:cs="Times New Roman"/>
                <w:sz w:val="24"/>
                <w:szCs w:val="24"/>
              </w:rPr>
            </w:pPr>
            <w:r>
              <w:rPr>
                <w:rFonts w:ascii="Times New Roman" w:hAnsi="Times New Roman" w:cs="Times New Roman"/>
                <w:sz w:val="24"/>
                <w:szCs w:val="24"/>
              </w:rPr>
              <w:t xml:space="preserve">Scenario </w:t>
            </w:r>
            <w:r w:rsidR="00866192">
              <w:rPr>
                <w:rFonts w:ascii="Times New Roman" w:hAnsi="Times New Roman" w:cs="Times New Roman"/>
                <w:sz w:val="24"/>
                <w:szCs w:val="24"/>
              </w:rPr>
              <w:t>5</w:t>
            </w:r>
          </w:p>
          <w:p w14:paraId="44F1F886" w14:textId="5A5F1369" w:rsidR="00406F82" w:rsidRDefault="00406F82" w:rsidP="00336FE4">
            <w:pPr>
              <w:jc w:val="center"/>
              <w:rPr>
                <w:rFonts w:ascii="Times New Roman" w:hAnsi="Times New Roman" w:cs="Times New Roman"/>
                <w:sz w:val="24"/>
                <w:szCs w:val="24"/>
              </w:rPr>
            </w:pPr>
            <w:r>
              <w:rPr>
                <w:rFonts w:ascii="Times New Roman" w:hAnsi="Times New Roman" w:cs="Times New Roman"/>
                <w:sz w:val="24"/>
                <w:szCs w:val="24"/>
              </w:rPr>
              <w:t>(</w:t>
            </w:r>
            <w:r w:rsidR="004D3D4D">
              <w:rPr>
                <w:rFonts w:ascii="Times New Roman" w:hAnsi="Times New Roman" w:cs="Times New Roman"/>
                <w:sz w:val="24"/>
                <w:szCs w:val="24"/>
              </w:rPr>
              <w:t>WTO-</w:t>
            </w:r>
            <w:r>
              <w:rPr>
                <w:rFonts w:ascii="Times New Roman" w:hAnsi="Times New Roman" w:cs="Times New Roman"/>
                <w:sz w:val="24"/>
                <w:szCs w:val="24"/>
              </w:rPr>
              <w:t>Environmentalist)</w:t>
            </w:r>
          </w:p>
        </w:tc>
        <w:tc>
          <w:tcPr>
            <w:tcW w:w="2672" w:type="dxa"/>
            <w:vAlign w:val="center"/>
          </w:tcPr>
          <w:p w14:paraId="6AE68F53" w14:textId="3C3FA92E" w:rsidR="008A3B4C" w:rsidRDefault="008A3B4C" w:rsidP="00336FE4">
            <w:pPr>
              <w:jc w:val="center"/>
              <w:rPr>
                <w:rFonts w:ascii="Times New Roman" w:hAnsi="Times New Roman" w:cs="Times New Roman"/>
                <w:sz w:val="24"/>
                <w:szCs w:val="24"/>
              </w:rPr>
            </w:pPr>
            <w:r>
              <w:rPr>
                <w:rFonts w:ascii="Times New Roman" w:hAnsi="Times New Roman" w:cs="Times New Roman"/>
                <w:sz w:val="24"/>
                <w:szCs w:val="24"/>
              </w:rPr>
              <w:t>CBAM</w:t>
            </w:r>
          </w:p>
          <w:p w14:paraId="11D7F450" w14:textId="2A1550ED" w:rsidR="00FF60DC" w:rsidRDefault="008A3B4C" w:rsidP="00336FE4">
            <w:pPr>
              <w:jc w:val="center"/>
              <w:rPr>
                <w:rFonts w:ascii="Times New Roman" w:hAnsi="Times New Roman" w:cs="Times New Roman"/>
                <w:sz w:val="24"/>
                <w:szCs w:val="24"/>
              </w:rPr>
            </w:pPr>
            <w:r>
              <w:rPr>
                <w:rFonts w:ascii="Times New Roman" w:hAnsi="Times New Roman" w:cs="Times New Roman"/>
                <w:sz w:val="24"/>
                <w:szCs w:val="24"/>
              </w:rPr>
              <w:t>(WTO Compliant)</w:t>
            </w:r>
          </w:p>
        </w:tc>
        <w:tc>
          <w:tcPr>
            <w:tcW w:w="2677" w:type="dxa"/>
            <w:vAlign w:val="center"/>
          </w:tcPr>
          <w:p w14:paraId="24C46D6B" w14:textId="033EFD13" w:rsidR="00FF60DC" w:rsidRDefault="00406F82" w:rsidP="00336FE4">
            <w:pPr>
              <w:jc w:val="center"/>
              <w:rPr>
                <w:rFonts w:ascii="Times New Roman" w:hAnsi="Times New Roman" w:cs="Times New Roman"/>
                <w:sz w:val="24"/>
                <w:szCs w:val="24"/>
              </w:rPr>
            </w:pPr>
            <w:r>
              <w:rPr>
                <w:rFonts w:ascii="Times New Roman" w:hAnsi="Times New Roman" w:cs="Times New Roman"/>
                <w:sz w:val="24"/>
                <w:szCs w:val="24"/>
              </w:rPr>
              <w:t>Environmentalist</w:t>
            </w:r>
          </w:p>
        </w:tc>
      </w:tr>
      <w:tr w:rsidR="004D3D4D" w14:paraId="0F1281F5" w14:textId="77777777" w:rsidTr="004D3D4D">
        <w:trPr>
          <w:trHeight w:val="733"/>
          <w:jc w:val="center"/>
        </w:trPr>
        <w:tc>
          <w:tcPr>
            <w:tcW w:w="2672" w:type="dxa"/>
            <w:vAlign w:val="center"/>
          </w:tcPr>
          <w:p w14:paraId="4D865749" w14:textId="71B7AC78"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 xml:space="preserve">Scenario </w:t>
            </w:r>
            <w:r w:rsidR="00866192">
              <w:rPr>
                <w:rFonts w:ascii="Times New Roman" w:hAnsi="Times New Roman" w:cs="Times New Roman"/>
                <w:sz w:val="24"/>
                <w:szCs w:val="24"/>
              </w:rPr>
              <w:t>6</w:t>
            </w:r>
          </w:p>
          <w:p w14:paraId="10A5C9E0" w14:textId="35CF788B"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(Protectionist)</w:t>
            </w:r>
          </w:p>
        </w:tc>
        <w:tc>
          <w:tcPr>
            <w:tcW w:w="2672" w:type="dxa"/>
            <w:vAlign w:val="center"/>
          </w:tcPr>
          <w:p w14:paraId="433E5DC8" w14:textId="73502AFC"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CBAM</w:t>
            </w:r>
          </w:p>
        </w:tc>
        <w:tc>
          <w:tcPr>
            <w:tcW w:w="2677" w:type="dxa"/>
            <w:vAlign w:val="center"/>
          </w:tcPr>
          <w:p w14:paraId="4AA09F77" w14:textId="658DF21E"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Protectionist</w:t>
            </w:r>
          </w:p>
        </w:tc>
      </w:tr>
      <w:tr w:rsidR="004D3D4D" w14:paraId="5BA24AA7" w14:textId="77777777" w:rsidTr="004D3D4D">
        <w:trPr>
          <w:trHeight w:val="733"/>
          <w:jc w:val="center"/>
        </w:trPr>
        <w:tc>
          <w:tcPr>
            <w:tcW w:w="2672" w:type="dxa"/>
            <w:vAlign w:val="center"/>
          </w:tcPr>
          <w:p w14:paraId="118E4A62" w14:textId="46A9D5CE"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 xml:space="preserve">Scenario </w:t>
            </w:r>
            <w:r w:rsidR="00866192">
              <w:rPr>
                <w:rFonts w:ascii="Times New Roman" w:hAnsi="Times New Roman" w:cs="Times New Roman"/>
                <w:sz w:val="24"/>
                <w:szCs w:val="24"/>
              </w:rPr>
              <w:t>7</w:t>
            </w:r>
          </w:p>
          <w:p w14:paraId="52BB079F" w14:textId="1AC85125"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(WTO-Protectionist)</w:t>
            </w:r>
          </w:p>
        </w:tc>
        <w:tc>
          <w:tcPr>
            <w:tcW w:w="2672" w:type="dxa"/>
            <w:vAlign w:val="center"/>
          </w:tcPr>
          <w:p w14:paraId="11DDAD1F" w14:textId="77777777"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CBAM</w:t>
            </w:r>
          </w:p>
          <w:p w14:paraId="6C202FD5" w14:textId="004725FA"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(WTO Compliant)</w:t>
            </w:r>
          </w:p>
        </w:tc>
        <w:tc>
          <w:tcPr>
            <w:tcW w:w="2677" w:type="dxa"/>
            <w:vAlign w:val="center"/>
          </w:tcPr>
          <w:p w14:paraId="29D7ECC0" w14:textId="4488A5A3" w:rsidR="004D3D4D" w:rsidRDefault="004D3D4D" w:rsidP="00336FE4">
            <w:pPr>
              <w:jc w:val="center"/>
              <w:rPr>
                <w:rFonts w:ascii="Times New Roman" w:hAnsi="Times New Roman" w:cs="Times New Roman"/>
                <w:sz w:val="24"/>
                <w:szCs w:val="24"/>
              </w:rPr>
            </w:pPr>
            <w:r>
              <w:rPr>
                <w:rFonts w:ascii="Times New Roman" w:hAnsi="Times New Roman" w:cs="Times New Roman"/>
                <w:sz w:val="24"/>
                <w:szCs w:val="24"/>
              </w:rPr>
              <w:t>Protectionist</w:t>
            </w:r>
          </w:p>
        </w:tc>
      </w:tr>
    </w:tbl>
    <w:p w14:paraId="716F96B1" w14:textId="77777777" w:rsidR="0007720B" w:rsidRDefault="0007720B" w:rsidP="005D6EEC">
      <w:pPr>
        <w:rPr>
          <w:rFonts w:ascii="Times New Roman" w:hAnsi="Times New Roman" w:cs="Times New Roman"/>
          <w:sz w:val="24"/>
          <w:szCs w:val="24"/>
        </w:rPr>
      </w:pPr>
    </w:p>
    <w:p w14:paraId="718D23B2" w14:textId="77777777" w:rsidR="00FC0D7C" w:rsidRDefault="00FC0D7C" w:rsidP="005D6EEC"/>
    <w:p w14:paraId="42206376" w14:textId="77777777" w:rsidR="00D853B4" w:rsidRDefault="00D853B4">
      <w:pPr>
        <w:rPr>
          <w:rFonts w:ascii="Times New Roman" w:hAnsi="Times New Roman" w:cs="Times New Roman"/>
        </w:rPr>
      </w:pPr>
      <w:r>
        <w:rPr>
          <w:rFonts w:ascii="Times New Roman" w:hAnsi="Times New Roman" w:cs="Times New Roman"/>
        </w:rPr>
        <w:br w:type="page"/>
      </w:r>
    </w:p>
    <w:p w14:paraId="4C9F4B17" w14:textId="3E619F13"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lastRenderedPageBreak/>
        <w:t>References:</w:t>
      </w:r>
    </w:p>
    <w:p w14:paraId="69DCB139" w14:textId="44E62827" w:rsidR="00C81036" w:rsidRPr="00C81036" w:rsidRDefault="00C81036" w:rsidP="00C81036">
      <w:pPr>
        <w:pStyle w:val="Bibliography"/>
        <w:rPr>
          <w:rFonts w:ascii="Times New Roman" w:hAnsi="Times New Roman" w:cs="Times New Roman"/>
        </w:rPr>
      </w:pPr>
      <w:r>
        <w:fldChar w:fldCharType="begin"/>
      </w:r>
      <w:r>
        <w:instrText xml:space="preserve"> ADDIN ZOTERO_BIBL {"uncited":[],"omitted":[],"custom":[]} CSL_BIBLIOGRAPHY </w:instrText>
      </w:r>
      <w:r>
        <w:fldChar w:fldCharType="separate"/>
      </w:r>
      <w:r w:rsidRPr="00C81036">
        <w:rPr>
          <w:rFonts w:ascii="Times New Roman" w:hAnsi="Times New Roman" w:cs="Times New Roman"/>
        </w:rPr>
        <w:t>“A European Union Carbon Border  Adjustment Mechanism: Implications  for Developing Countries.” n.d.</w:t>
      </w:r>
    </w:p>
    <w:p w14:paraId="5287D031"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“A More Sustainable Way to Generate Phosphorus.” 2023. MIT News | Massachusetts Institute of Technology. February 21, 2023. https://news.mit.edu/2023/more-sustainable-way-generate-phosphorus-0221.</w:t>
      </w:r>
    </w:p>
    <w:p w14:paraId="3F4AC4A3"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Aguiar, Angel, Maksym Chepeliev, Erwin L. Corong, Robert McDougall, and Dominique van der Mensbrugghe. 2019. “The GTAP Data Base: Version 10.” </w:t>
      </w:r>
      <w:r w:rsidRPr="00C81036">
        <w:rPr>
          <w:rFonts w:ascii="Times New Roman" w:hAnsi="Times New Roman" w:cs="Times New Roman"/>
          <w:i/>
          <w:iCs/>
        </w:rPr>
        <w:t>Journal of Global Economic Analysis</w:t>
      </w:r>
      <w:r w:rsidRPr="00C81036">
        <w:rPr>
          <w:rFonts w:ascii="Times New Roman" w:hAnsi="Times New Roman" w:cs="Times New Roman"/>
        </w:rPr>
        <w:t xml:space="preserve"> 4 (1): 1–27. https://doi.org/10.21642/JGEA.040101AF.</w:t>
      </w:r>
    </w:p>
    <w:p w14:paraId="32667D14"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Andersson, Julius J. 2019. “Carbon Taxes and CO2 Emissions: Sweden as a Case Study.” </w:t>
      </w:r>
      <w:r w:rsidRPr="00C81036">
        <w:rPr>
          <w:rFonts w:ascii="Times New Roman" w:hAnsi="Times New Roman" w:cs="Times New Roman"/>
          <w:i/>
          <w:iCs/>
        </w:rPr>
        <w:t>American Economic Journal: Economic Policy</w:t>
      </w:r>
      <w:r w:rsidRPr="00C81036">
        <w:rPr>
          <w:rFonts w:ascii="Times New Roman" w:hAnsi="Times New Roman" w:cs="Times New Roman"/>
        </w:rPr>
        <w:t xml:space="preserve"> 11 (4): 1–30. https://doi.org/10.1257/pol.20170144.</w:t>
      </w:r>
    </w:p>
    <w:p w14:paraId="20D93645"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Arndt, Channing, Xinshen Diao, Paul Dorosh, Karl Pauw, and James Thurlow. 2023. “The Ukraine War and Rising Commodity Prices: Implications for Developing Countries.” </w:t>
      </w:r>
      <w:r w:rsidRPr="00C81036">
        <w:rPr>
          <w:rFonts w:ascii="Times New Roman" w:hAnsi="Times New Roman" w:cs="Times New Roman"/>
          <w:i/>
          <w:iCs/>
        </w:rPr>
        <w:t>Global Food Security</w:t>
      </w:r>
      <w:r w:rsidRPr="00C81036">
        <w:rPr>
          <w:rFonts w:ascii="Times New Roman" w:hAnsi="Times New Roman" w:cs="Times New Roman"/>
        </w:rPr>
        <w:t xml:space="preserve"> 36 (March): 100680. https://doi.org/10.1016/j.gfs.2023.100680.</w:t>
      </w:r>
    </w:p>
    <w:p w14:paraId="4803ABEA"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Bellora, Cecilia, and Lionel Fontagné. 2023. “EU in Search of a Carbon Border Adjustment Mechanism.” </w:t>
      </w:r>
      <w:r w:rsidRPr="00C81036">
        <w:rPr>
          <w:rFonts w:ascii="Times New Roman" w:hAnsi="Times New Roman" w:cs="Times New Roman"/>
          <w:i/>
          <w:iCs/>
        </w:rPr>
        <w:t>Energy Economics</w:t>
      </w:r>
      <w:r w:rsidRPr="00C81036">
        <w:rPr>
          <w:rFonts w:ascii="Times New Roman" w:hAnsi="Times New Roman" w:cs="Times New Roman"/>
        </w:rPr>
        <w:t xml:space="preserve"> 123 (July): 106673. https://doi.org/10.1016/j.eneco.2023.106673.</w:t>
      </w:r>
    </w:p>
    <w:p w14:paraId="4FE70859"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Böhringer, Christoph, Jared C. Carbone, and Thomas F. Rutherford. 2012. “Unilateral Climate Policy Design: Efficiency and Equity Implications of Alternative Instruments to Reduce Carbon Leakage.” </w:t>
      </w:r>
      <w:r w:rsidRPr="00C81036">
        <w:rPr>
          <w:rFonts w:ascii="Times New Roman" w:hAnsi="Times New Roman" w:cs="Times New Roman"/>
          <w:i/>
          <w:iCs/>
        </w:rPr>
        <w:t>Energy Economics</w:t>
      </w:r>
      <w:r w:rsidRPr="00C81036">
        <w:rPr>
          <w:rFonts w:ascii="Times New Roman" w:hAnsi="Times New Roman" w:cs="Times New Roman"/>
        </w:rPr>
        <w:t>, The Role of Border Carbon Adjustment in Unilateral Climate Policy: Results from EMF 29, 34 (December): S208–17. https://doi.org/10.1016/j.eneco.2012.09.011.</w:t>
      </w:r>
    </w:p>
    <w:p w14:paraId="6D381E17"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 2018. “Embodied Carbon Tariffs.” </w:t>
      </w:r>
      <w:r w:rsidRPr="00C81036">
        <w:rPr>
          <w:rFonts w:ascii="Times New Roman" w:hAnsi="Times New Roman" w:cs="Times New Roman"/>
          <w:i/>
          <w:iCs/>
        </w:rPr>
        <w:t>The Scandinavian Journal of Economics</w:t>
      </w:r>
      <w:r w:rsidRPr="00C81036">
        <w:rPr>
          <w:rFonts w:ascii="Times New Roman" w:hAnsi="Times New Roman" w:cs="Times New Roman"/>
        </w:rPr>
        <w:t xml:space="preserve"> 120 (1): 183–210. https://doi.org/10.1111/sjoe.12211.</w:t>
      </w:r>
    </w:p>
    <w:p w14:paraId="1CE73771"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Böhringer, Christoph, Jan Schneider, and Emmanuel Asane-Otoo. 2021. “Trade in Carbon and Carbon Tariffs.” </w:t>
      </w:r>
      <w:r w:rsidRPr="00C81036">
        <w:rPr>
          <w:rFonts w:ascii="Times New Roman" w:hAnsi="Times New Roman" w:cs="Times New Roman"/>
          <w:i/>
          <w:iCs/>
        </w:rPr>
        <w:t>Environmental and Resource Economics</w:t>
      </w:r>
      <w:r w:rsidRPr="00C81036">
        <w:rPr>
          <w:rFonts w:ascii="Times New Roman" w:hAnsi="Times New Roman" w:cs="Times New Roman"/>
        </w:rPr>
        <w:t xml:space="preserve"> 78 (4): 669–708. https://doi.org/10.1007/s10640-021-00548-y.</w:t>
      </w:r>
    </w:p>
    <w:p w14:paraId="6D46B0DB"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Brouhle, Keith, Charles Griffiths, and Ann Wolverton. 2009. “Evaluating the Role of EPA Policy Levers: An Examination of a Voluntary Program and Regulatory Threat in the Metal-Finishing Industry.” </w:t>
      </w:r>
      <w:r w:rsidRPr="00C81036">
        <w:rPr>
          <w:rFonts w:ascii="Times New Roman" w:hAnsi="Times New Roman" w:cs="Times New Roman"/>
          <w:i/>
          <w:iCs/>
        </w:rPr>
        <w:t>Journal of Environmental Economics and Management</w:t>
      </w:r>
      <w:r w:rsidRPr="00C81036">
        <w:rPr>
          <w:rFonts w:ascii="Times New Roman" w:hAnsi="Times New Roman" w:cs="Times New Roman"/>
        </w:rPr>
        <w:t xml:space="preserve"> 57 (2): 166–81. https://doi.org/10.1016/j.jeem.2008.07.006.</w:t>
      </w:r>
    </w:p>
    <w:p w14:paraId="4BFBB459"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“Carbon Border Adjustment Mechanism - European Commission.” n.d. Accessed February 28, 2024. https://taxation-customs.ec.europa.eu/carbon-border-adjustment-mechanism_en.</w:t>
      </w:r>
    </w:p>
    <w:p w14:paraId="12429EAA"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Cheng, Han, Chao Mao, Samer Madanat, and Arpad Horvath. 2018. “Minimizing the Total Costs of Urban Transit Systems Can Reduce Greenhouse Gas Emissions: The Case of San Francisco.” </w:t>
      </w:r>
      <w:r w:rsidRPr="00C81036">
        <w:rPr>
          <w:rFonts w:ascii="Times New Roman" w:hAnsi="Times New Roman" w:cs="Times New Roman"/>
          <w:i/>
          <w:iCs/>
        </w:rPr>
        <w:t>Transport Policy</w:t>
      </w:r>
      <w:r w:rsidRPr="00C81036">
        <w:rPr>
          <w:rFonts w:ascii="Times New Roman" w:hAnsi="Times New Roman" w:cs="Times New Roman"/>
        </w:rPr>
        <w:t xml:space="preserve"> 66 (August): 40–48. https://doi.org/10.1016/j.tranpol.2018.02.009.</w:t>
      </w:r>
    </w:p>
    <w:p w14:paraId="20CD9B8E"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Chepeliev, Maksym. 2021. “Possible Implications of the European Carbon Border Adjustment Mechanism for Ukraine and Other EU Trading Partners.” </w:t>
      </w:r>
      <w:r w:rsidRPr="00C81036">
        <w:rPr>
          <w:rFonts w:ascii="Times New Roman" w:hAnsi="Times New Roman" w:cs="Times New Roman"/>
          <w:i/>
          <w:iCs/>
        </w:rPr>
        <w:t>Energy RESEARCH LETTERS</w:t>
      </w:r>
      <w:r w:rsidRPr="00C81036">
        <w:rPr>
          <w:rFonts w:ascii="Times New Roman" w:hAnsi="Times New Roman" w:cs="Times New Roman"/>
        </w:rPr>
        <w:t xml:space="preserve"> 2 (April). https://doi.org/10.46557/001c.21527.</w:t>
      </w:r>
    </w:p>
    <w:p w14:paraId="0AD5481E"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Chepeliev, Maksym, Angel Aguiar, Thomas Farole, Andrea Liverani, and Dominique van der Mensbrugghe. 2022. “EU Green Deal and Circular Economy Transition: Impacts and Interactions.” Presented during the 25th Annual Conference on Global Economic Analysis (Virtual Conference). Presented during the 25th Annual Conference on Global Economic Analysis (Virtual Conference). Presented during the 25th Annual Conference on Global Economic Analysis (Virtual Conference). 2022. http://www.gtap.agecon.purdue.edu/resources/res_display.asp?RecordID=6607.</w:t>
      </w:r>
    </w:p>
    <w:p w14:paraId="333C5CD9"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Corong, Erwin L., Thomas W. Hertel, Robert McDougall, Marinos E. Tsigas, and Dominique van der Mensbrugghe. 2017. “The Standard GTAP Model, Version 7.” </w:t>
      </w:r>
      <w:r w:rsidRPr="00C81036">
        <w:rPr>
          <w:rFonts w:ascii="Times New Roman" w:hAnsi="Times New Roman" w:cs="Times New Roman"/>
          <w:i/>
          <w:iCs/>
        </w:rPr>
        <w:t>Journal of Global Economic Analysis</w:t>
      </w:r>
      <w:r w:rsidRPr="00C81036">
        <w:rPr>
          <w:rFonts w:ascii="Times New Roman" w:hAnsi="Times New Roman" w:cs="Times New Roman"/>
        </w:rPr>
        <w:t xml:space="preserve"> 2 (1): 1–119. https://doi.org/10.21642/JGEA.020101AF.</w:t>
      </w:r>
    </w:p>
    <w:p w14:paraId="2DC2C248"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Elliott, Joshua, Ian Foster, Samuel Kortum, Todd Munson, Fernando Pérez Cervantes, and David Weisbach. 2010. “Trade and Carbon Taxes.” </w:t>
      </w:r>
      <w:r w:rsidRPr="00C81036">
        <w:rPr>
          <w:rFonts w:ascii="Times New Roman" w:hAnsi="Times New Roman" w:cs="Times New Roman"/>
          <w:i/>
          <w:iCs/>
        </w:rPr>
        <w:t>American Economic Review</w:t>
      </w:r>
      <w:r w:rsidRPr="00C81036">
        <w:rPr>
          <w:rFonts w:ascii="Times New Roman" w:hAnsi="Times New Roman" w:cs="Times New Roman"/>
        </w:rPr>
        <w:t xml:space="preserve"> 100 (2): 465–69. https://doi.org/10.1257/aer.100.2.465.</w:t>
      </w:r>
    </w:p>
    <w:p w14:paraId="23A408A5"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lastRenderedPageBreak/>
        <w:t>“EU Carbon Permits - Price - Chart - Historical Data - News.” n.d. Accessed February 28, 2024. https://tradingeconomics.com/commodity/carbon.</w:t>
      </w:r>
    </w:p>
    <w:p w14:paraId="66EC562A"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“EU Emissions Trading System (EU ETS) - European Commission.” n.d. Accessed February 28, 2024. https://climate.ec.europa.eu/eu-action/eu-emissions-trading-system-eu-ets_en.</w:t>
      </w:r>
    </w:p>
    <w:p w14:paraId="13B27A41"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“Fertilizer and Climate Change | MIT Climate Portal.” n.d. Accessed February 10, 2024. https://climate.mit.edu/explainers/fertilizer-and-climate-change.</w:t>
      </w:r>
    </w:p>
    <w:p w14:paraId="4108BFCB"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Fischer, Carolyn, and Richard G. Newell. 2008. “Environmental and Technology Policies for Climate Mitigation.” </w:t>
      </w:r>
      <w:r w:rsidRPr="00C81036">
        <w:rPr>
          <w:rFonts w:ascii="Times New Roman" w:hAnsi="Times New Roman" w:cs="Times New Roman"/>
          <w:i/>
          <w:iCs/>
        </w:rPr>
        <w:t>Journal of Environmental Economics and Management</w:t>
      </w:r>
      <w:r w:rsidRPr="00C81036">
        <w:rPr>
          <w:rFonts w:ascii="Times New Roman" w:hAnsi="Times New Roman" w:cs="Times New Roman"/>
        </w:rPr>
        <w:t xml:space="preserve"> 55 (2): 142–62. https://doi.org/10.1016/j.jeem.2007.11.001.</w:t>
      </w:r>
    </w:p>
    <w:p w14:paraId="07B2A0B9"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“Green Ammonia Synthesis.” 2023. </w:t>
      </w:r>
      <w:r w:rsidRPr="00C81036">
        <w:rPr>
          <w:rFonts w:ascii="Times New Roman" w:hAnsi="Times New Roman" w:cs="Times New Roman"/>
          <w:i/>
          <w:iCs/>
        </w:rPr>
        <w:t>Nature Synthesis</w:t>
      </w:r>
      <w:r w:rsidRPr="00C81036">
        <w:rPr>
          <w:rFonts w:ascii="Times New Roman" w:hAnsi="Times New Roman" w:cs="Times New Roman"/>
        </w:rPr>
        <w:t xml:space="preserve"> 2 (7): 581–82. https://doi.org/10.1038/s44160-023-00362-y.</w:t>
      </w:r>
    </w:p>
    <w:p w14:paraId="6ACC81BE"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Green, Richard, and Iain Staffell. 2021. “The Contribution of Taxes, Subsidies, and Regulations to British Electricity Decarbonization.” </w:t>
      </w:r>
      <w:r w:rsidRPr="00C81036">
        <w:rPr>
          <w:rFonts w:ascii="Times New Roman" w:hAnsi="Times New Roman" w:cs="Times New Roman"/>
          <w:i/>
          <w:iCs/>
        </w:rPr>
        <w:t>Joule</w:t>
      </w:r>
      <w:r w:rsidRPr="00C81036">
        <w:rPr>
          <w:rFonts w:ascii="Times New Roman" w:hAnsi="Times New Roman" w:cs="Times New Roman"/>
        </w:rPr>
        <w:t xml:space="preserve"> 5 (10): 2625–45. https://doi.org/10.1016/j.joule.2021.09.011.</w:t>
      </w:r>
    </w:p>
    <w:p w14:paraId="429A3A21"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Hoel, Michael. 1991. “Global Environmental Problems: The Effects of Unilateral Actions Taken by One Country.” </w:t>
      </w:r>
      <w:r w:rsidRPr="00C81036">
        <w:rPr>
          <w:rFonts w:ascii="Times New Roman" w:hAnsi="Times New Roman" w:cs="Times New Roman"/>
          <w:i/>
          <w:iCs/>
        </w:rPr>
        <w:t>Journal of Environmental Economics and Management</w:t>
      </w:r>
      <w:r w:rsidRPr="00C81036">
        <w:rPr>
          <w:rFonts w:ascii="Times New Roman" w:hAnsi="Times New Roman" w:cs="Times New Roman"/>
        </w:rPr>
        <w:t xml:space="preserve"> 20 (1): 55–70. https://doi.org/10.1016/0095-0696(91)90023-C.</w:t>
      </w:r>
    </w:p>
    <w:p w14:paraId="31B4D13E"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“How Developing Countries Can Measure Exposure to the EU’s Carbon Border Adjustment Mechanism.” 2023. June 13, 2023. https://blogs.worldbank.org/trade/how-developing-countries-can-measure-exposure-eus-carbon-border-adjustment-mechanism.</w:t>
      </w:r>
    </w:p>
    <w:p w14:paraId="00CBF56B"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Joltreau, Eugénie, and Katrin Sommerfeld. 2018. “Why Does Emissions Trading Under the EU Ets Not Affect Firms’ Competitiveness? Empirical Findings from the Literature.” SSRN Scholarly Paper. Rochester, NY. https://doi.org/10.2139/ssrn.3097371.</w:t>
      </w:r>
    </w:p>
    <w:p w14:paraId="2B92BEB2"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Malhotra, Abhishek, Ajay Mathur, Saurabh Diddi, and Ambuj D. Sagar. 2022. “Building Institutional Capacity for Addressing Climate and Sustainable Development Goals: Achieving Energy Efficiency in India.” </w:t>
      </w:r>
      <w:r w:rsidRPr="00C81036">
        <w:rPr>
          <w:rFonts w:ascii="Times New Roman" w:hAnsi="Times New Roman" w:cs="Times New Roman"/>
          <w:i/>
          <w:iCs/>
        </w:rPr>
        <w:t>Climate Policy</w:t>
      </w:r>
      <w:r w:rsidRPr="00C81036">
        <w:rPr>
          <w:rFonts w:ascii="Times New Roman" w:hAnsi="Times New Roman" w:cs="Times New Roman"/>
        </w:rPr>
        <w:t xml:space="preserve"> 22 (5): 652–70. https://doi.org/10.1080/14693062.2021.1984195.</w:t>
      </w:r>
    </w:p>
    <w:p w14:paraId="37AA8EAE"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Martin. n.d. “Climate Action.” </w:t>
      </w:r>
      <w:r w:rsidRPr="00C81036">
        <w:rPr>
          <w:rFonts w:ascii="Times New Roman" w:hAnsi="Times New Roman" w:cs="Times New Roman"/>
          <w:i/>
          <w:iCs/>
        </w:rPr>
        <w:t>United Nations Sustainable Development</w:t>
      </w:r>
      <w:r w:rsidRPr="00C81036">
        <w:rPr>
          <w:rFonts w:ascii="Times New Roman" w:hAnsi="Times New Roman" w:cs="Times New Roman"/>
        </w:rPr>
        <w:t xml:space="preserve"> (blog). Accessed February 28, 2024. https://www.un.org/sustainabledevelopment/climate-action/.</w:t>
      </w:r>
    </w:p>
    <w:p w14:paraId="25306A4A"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Meckling, Jonas, and Bentley B. Allan. 2020. “The Evolution of Ideas in Global Climate Policy.” </w:t>
      </w:r>
      <w:r w:rsidRPr="00C81036">
        <w:rPr>
          <w:rFonts w:ascii="Times New Roman" w:hAnsi="Times New Roman" w:cs="Times New Roman"/>
          <w:i/>
          <w:iCs/>
        </w:rPr>
        <w:t>Nature Climate Change</w:t>
      </w:r>
      <w:r w:rsidRPr="00C81036">
        <w:rPr>
          <w:rFonts w:ascii="Times New Roman" w:hAnsi="Times New Roman" w:cs="Times New Roman"/>
        </w:rPr>
        <w:t xml:space="preserve"> 10 (5): 434–38. https://doi.org/10.1038/s41558-020-0739-7.</w:t>
      </w:r>
    </w:p>
    <w:p w14:paraId="4D6A562C"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Mensbrugghe, Dominique van der. 2008. “Environmental Impact and Sustainability Applied General Equilibrium (ENVISAGE) Model.” Washington, D.C.: The World Bank.</w:t>
      </w:r>
    </w:p>
    <w:p w14:paraId="0378C628"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“Potential Conflicts between the European CBAM and the WTO Rules | Global Law Firm | Norton Rose Fulbright.” n.d. Accessed February 10, 2024. https://www.nortonrosefulbright.com/en/knowledge/publications/9c5d9ec6/potential-conflicts-between-the-european-cbam-and-the-wto-rules.</w:t>
      </w:r>
    </w:p>
    <w:p w14:paraId="4B569CC9"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Prakash, Satya, and Jay Prakash Verma. 2016. “Global Perspective of Potash for Fertilizer Production.” In </w:t>
      </w:r>
      <w:r w:rsidRPr="00C81036">
        <w:rPr>
          <w:rFonts w:ascii="Times New Roman" w:hAnsi="Times New Roman" w:cs="Times New Roman"/>
          <w:i/>
          <w:iCs/>
        </w:rPr>
        <w:t>Potassium Solubilizing Microorganisms for Sustainable Agriculture</w:t>
      </w:r>
      <w:r w:rsidRPr="00C81036">
        <w:rPr>
          <w:rFonts w:ascii="Times New Roman" w:hAnsi="Times New Roman" w:cs="Times New Roman"/>
        </w:rPr>
        <w:t>, edited by Vijay Singh Meena, Bihari Ram Maurya, Jay Prakash Verma, and Ram Swaroop Meena, 327–31. New Delhi: Springer India. https://doi.org/10.1007/978-81-322-2776-2_23.</w:t>
      </w:r>
    </w:p>
    <w:p w14:paraId="54C9A3F5"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Purdy, Alison. 2005. “The Kyoto Protocol.” </w:t>
      </w:r>
      <w:r w:rsidRPr="00C81036">
        <w:rPr>
          <w:rFonts w:ascii="Times New Roman" w:hAnsi="Times New Roman" w:cs="Times New Roman"/>
          <w:i/>
          <w:iCs/>
        </w:rPr>
        <w:t>The Guardian</w:t>
      </w:r>
      <w:r w:rsidRPr="00C81036">
        <w:rPr>
          <w:rFonts w:ascii="Times New Roman" w:hAnsi="Times New Roman" w:cs="Times New Roman"/>
        </w:rPr>
        <w:t>, February 16, 2005, sec. Environment. https://www.theguardian.com/environment/2005/feb/16/sciencenews.environment.</w:t>
      </w:r>
    </w:p>
    <w:p w14:paraId="56A3DF25"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“What Is the United Nations Framework Convention on Climate Change? | UNFCCC.” n.d. Accessed February 28, 2024. https://unfccc.int/process-and-meetings/what-is-the-united-nations-framework-convention-on-climate-change.</w:t>
      </w:r>
    </w:p>
    <w:p w14:paraId="67B472EB" w14:textId="77777777" w:rsidR="00C81036" w:rsidRPr="00C81036" w:rsidRDefault="00C81036" w:rsidP="00C81036">
      <w:pPr>
        <w:pStyle w:val="Bibliography"/>
        <w:rPr>
          <w:rFonts w:ascii="Times New Roman" w:hAnsi="Times New Roman" w:cs="Times New Roman"/>
        </w:rPr>
      </w:pPr>
      <w:r w:rsidRPr="00C81036">
        <w:rPr>
          <w:rFonts w:ascii="Times New Roman" w:hAnsi="Times New Roman" w:cs="Times New Roman"/>
        </w:rPr>
        <w:t xml:space="preserve">Zhong, Jiarui, and Jiansuo Pei. 2022. “Beggar Thy Neighbor? On the Competitiveness and Welfare Impacts of the EU’s Proposed Carbon Border Adjustment Mechanism.” </w:t>
      </w:r>
      <w:r w:rsidRPr="00C81036">
        <w:rPr>
          <w:rFonts w:ascii="Times New Roman" w:hAnsi="Times New Roman" w:cs="Times New Roman"/>
          <w:i/>
          <w:iCs/>
        </w:rPr>
        <w:t>Energy Policy</w:t>
      </w:r>
      <w:r w:rsidRPr="00C81036">
        <w:rPr>
          <w:rFonts w:ascii="Times New Roman" w:hAnsi="Times New Roman" w:cs="Times New Roman"/>
        </w:rPr>
        <w:t xml:space="preserve"> 162 (March): 112802. https://doi.org/10.1016/j.enpol.2022.112802.</w:t>
      </w:r>
    </w:p>
    <w:p w14:paraId="77C5DE38" w14:textId="75D801CC" w:rsidR="00033231" w:rsidRDefault="00C81036">
      <w:pPr>
        <w:rPr>
          <w:rFonts w:ascii="Times New Roman" w:hAnsi="Times New Roman" w:cs="Times New Roman"/>
        </w:rPr>
      </w:pPr>
      <w:r>
        <w:rPr>
          <w:rFonts w:ascii="Times New Roman" w:hAnsi="Times New Roman" w:cs="Times New Roman"/>
        </w:rPr>
        <w:fldChar w:fldCharType="end"/>
      </w:r>
    </w:p>
    <w:sectPr w:rsidR="000332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7900C" w14:textId="77777777" w:rsidR="00490E0C" w:rsidRDefault="00490E0C" w:rsidP="003C3524">
      <w:pPr>
        <w:spacing w:after="0" w:line="240" w:lineRule="auto"/>
      </w:pPr>
      <w:r>
        <w:separator/>
      </w:r>
    </w:p>
  </w:endnote>
  <w:endnote w:type="continuationSeparator" w:id="0">
    <w:p w14:paraId="553A4304" w14:textId="77777777" w:rsidR="00490E0C" w:rsidRDefault="00490E0C" w:rsidP="003C3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E0578" w14:textId="77777777" w:rsidR="00490E0C" w:rsidRDefault="00490E0C" w:rsidP="003C3524">
      <w:pPr>
        <w:spacing w:after="0" w:line="240" w:lineRule="auto"/>
      </w:pPr>
      <w:r>
        <w:separator/>
      </w:r>
    </w:p>
  </w:footnote>
  <w:footnote w:type="continuationSeparator" w:id="0">
    <w:p w14:paraId="5901AD31" w14:textId="77777777" w:rsidR="00490E0C" w:rsidRDefault="00490E0C" w:rsidP="003C3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FC4960"/>
    <w:multiLevelType w:val="hybridMultilevel"/>
    <w:tmpl w:val="092404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A66749"/>
    <w:multiLevelType w:val="hybridMultilevel"/>
    <w:tmpl w:val="4AD8AC2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B2029E8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F270EA"/>
    <w:multiLevelType w:val="hybridMultilevel"/>
    <w:tmpl w:val="FCF4BF94"/>
    <w:lvl w:ilvl="0" w:tplc="DFE25C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6621FE"/>
    <w:multiLevelType w:val="hybridMultilevel"/>
    <w:tmpl w:val="9C445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135D56"/>
    <w:multiLevelType w:val="hybridMultilevel"/>
    <w:tmpl w:val="81A4ECD2"/>
    <w:lvl w:ilvl="0" w:tplc="DFE25C22">
      <w:start w:val="1"/>
      <w:numFmt w:val="upperRoman"/>
      <w:lvlText w:val="%1."/>
      <w:lvlJc w:val="left"/>
      <w:pPr>
        <w:ind w:left="1080" w:hanging="720"/>
      </w:pPr>
      <w:rPr>
        <w:rFonts w:hint="default"/>
      </w:rPr>
    </w:lvl>
    <w:lvl w:ilvl="1" w:tplc="FB9C2840">
      <w:start w:val="1"/>
      <w:numFmt w:val="upperLetter"/>
      <w:lvlText w:val="%2."/>
      <w:lvlJc w:val="left"/>
      <w:pPr>
        <w:ind w:left="1440" w:hanging="360"/>
      </w:pPr>
      <w:rPr>
        <w:rFonts w:hint="default"/>
      </w:rPr>
    </w:lvl>
    <w:lvl w:ilvl="2" w:tplc="BC1E6D6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7570527">
    <w:abstractNumId w:val="1"/>
  </w:num>
  <w:num w:numId="2" w16cid:durableId="405340168">
    <w:abstractNumId w:val="4"/>
  </w:num>
  <w:num w:numId="3" w16cid:durableId="128672658">
    <w:abstractNumId w:val="2"/>
  </w:num>
  <w:num w:numId="4" w16cid:durableId="1741168676">
    <w:abstractNumId w:val="3"/>
  </w:num>
  <w:num w:numId="5" w16cid:durableId="118320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619"/>
    <w:rsid w:val="00001AAB"/>
    <w:rsid w:val="00001D34"/>
    <w:rsid w:val="000021C6"/>
    <w:rsid w:val="0000264B"/>
    <w:rsid w:val="000047C0"/>
    <w:rsid w:val="0000690A"/>
    <w:rsid w:val="000102BB"/>
    <w:rsid w:val="00023B12"/>
    <w:rsid w:val="000276A9"/>
    <w:rsid w:val="00031410"/>
    <w:rsid w:val="00033231"/>
    <w:rsid w:val="00041C67"/>
    <w:rsid w:val="000432B8"/>
    <w:rsid w:val="000561DD"/>
    <w:rsid w:val="00063E3C"/>
    <w:rsid w:val="00063ED2"/>
    <w:rsid w:val="00066DE0"/>
    <w:rsid w:val="00072059"/>
    <w:rsid w:val="0007687A"/>
    <w:rsid w:val="0007720B"/>
    <w:rsid w:val="00083416"/>
    <w:rsid w:val="000862A9"/>
    <w:rsid w:val="000930A8"/>
    <w:rsid w:val="00096A91"/>
    <w:rsid w:val="000A14BA"/>
    <w:rsid w:val="000A1554"/>
    <w:rsid w:val="000A5AF1"/>
    <w:rsid w:val="000B59B5"/>
    <w:rsid w:val="000B5D7B"/>
    <w:rsid w:val="000C04BC"/>
    <w:rsid w:val="000C1BC5"/>
    <w:rsid w:val="000C3310"/>
    <w:rsid w:val="000C558F"/>
    <w:rsid w:val="000D0B90"/>
    <w:rsid w:val="000D208A"/>
    <w:rsid w:val="000D4015"/>
    <w:rsid w:val="000D4F34"/>
    <w:rsid w:val="000D6531"/>
    <w:rsid w:val="000D6632"/>
    <w:rsid w:val="000D7428"/>
    <w:rsid w:val="000E0B20"/>
    <w:rsid w:val="000E55CA"/>
    <w:rsid w:val="000E6265"/>
    <w:rsid w:val="000E71DC"/>
    <w:rsid w:val="000F0FA1"/>
    <w:rsid w:val="000F305D"/>
    <w:rsid w:val="000F57AD"/>
    <w:rsid w:val="000F632E"/>
    <w:rsid w:val="000F6528"/>
    <w:rsid w:val="00101D7E"/>
    <w:rsid w:val="0010459A"/>
    <w:rsid w:val="0010768D"/>
    <w:rsid w:val="0011569B"/>
    <w:rsid w:val="00124F7C"/>
    <w:rsid w:val="001310D8"/>
    <w:rsid w:val="001402CC"/>
    <w:rsid w:val="0014487A"/>
    <w:rsid w:val="001507FA"/>
    <w:rsid w:val="00154457"/>
    <w:rsid w:val="001547DB"/>
    <w:rsid w:val="00160C53"/>
    <w:rsid w:val="0017292B"/>
    <w:rsid w:val="00174027"/>
    <w:rsid w:val="00180367"/>
    <w:rsid w:val="00182EF2"/>
    <w:rsid w:val="001835AC"/>
    <w:rsid w:val="001864B8"/>
    <w:rsid w:val="00193DA2"/>
    <w:rsid w:val="001943ED"/>
    <w:rsid w:val="00195E39"/>
    <w:rsid w:val="001A0D18"/>
    <w:rsid w:val="001A3C33"/>
    <w:rsid w:val="001A5A62"/>
    <w:rsid w:val="001B4EA7"/>
    <w:rsid w:val="001C568F"/>
    <w:rsid w:val="001D127A"/>
    <w:rsid w:val="001D1913"/>
    <w:rsid w:val="001E1B07"/>
    <w:rsid w:val="001E2AF3"/>
    <w:rsid w:val="001F13E3"/>
    <w:rsid w:val="001F4EFC"/>
    <w:rsid w:val="001F6AEB"/>
    <w:rsid w:val="00200EB7"/>
    <w:rsid w:val="0022387D"/>
    <w:rsid w:val="00226D06"/>
    <w:rsid w:val="00226D11"/>
    <w:rsid w:val="00230B67"/>
    <w:rsid w:val="00235AE1"/>
    <w:rsid w:val="00243340"/>
    <w:rsid w:val="002444E3"/>
    <w:rsid w:val="00251274"/>
    <w:rsid w:val="00251575"/>
    <w:rsid w:val="002564BF"/>
    <w:rsid w:val="002577E7"/>
    <w:rsid w:val="00262030"/>
    <w:rsid w:val="0026323D"/>
    <w:rsid w:val="00264515"/>
    <w:rsid w:val="002646EB"/>
    <w:rsid w:val="00270D4B"/>
    <w:rsid w:val="00277E28"/>
    <w:rsid w:val="00282D26"/>
    <w:rsid w:val="0029111A"/>
    <w:rsid w:val="00297C1E"/>
    <w:rsid w:val="002A3169"/>
    <w:rsid w:val="002A5971"/>
    <w:rsid w:val="002A5BF2"/>
    <w:rsid w:val="002B0F02"/>
    <w:rsid w:val="002B1D5B"/>
    <w:rsid w:val="002C1D81"/>
    <w:rsid w:val="002C4A24"/>
    <w:rsid w:val="002D3086"/>
    <w:rsid w:val="002E3202"/>
    <w:rsid w:val="002E4DFF"/>
    <w:rsid w:val="002F0CDE"/>
    <w:rsid w:val="002F7D3D"/>
    <w:rsid w:val="00302008"/>
    <w:rsid w:val="00302544"/>
    <w:rsid w:val="00303A61"/>
    <w:rsid w:val="003143FA"/>
    <w:rsid w:val="00314BFB"/>
    <w:rsid w:val="00316977"/>
    <w:rsid w:val="00322AF8"/>
    <w:rsid w:val="0032413B"/>
    <w:rsid w:val="00324B3C"/>
    <w:rsid w:val="00324E0B"/>
    <w:rsid w:val="0033096D"/>
    <w:rsid w:val="00333FCF"/>
    <w:rsid w:val="0033687B"/>
    <w:rsid w:val="00336FE4"/>
    <w:rsid w:val="003375E4"/>
    <w:rsid w:val="003407EF"/>
    <w:rsid w:val="00341A9F"/>
    <w:rsid w:val="00345219"/>
    <w:rsid w:val="00350122"/>
    <w:rsid w:val="00355863"/>
    <w:rsid w:val="0035697E"/>
    <w:rsid w:val="00357F6A"/>
    <w:rsid w:val="003736EC"/>
    <w:rsid w:val="003849A0"/>
    <w:rsid w:val="003872BE"/>
    <w:rsid w:val="003873BB"/>
    <w:rsid w:val="00391FC3"/>
    <w:rsid w:val="003938AC"/>
    <w:rsid w:val="003A10A4"/>
    <w:rsid w:val="003A1F31"/>
    <w:rsid w:val="003B7152"/>
    <w:rsid w:val="003C3524"/>
    <w:rsid w:val="003D2B63"/>
    <w:rsid w:val="003D3A41"/>
    <w:rsid w:val="003D4C76"/>
    <w:rsid w:val="003D5A35"/>
    <w:rsid w:val="003E2869"/>
    <w:rsid w:val="003E5E71"/>
    <w:rsid w:val="003E615E"/>
    <w:rsid w:val="003F0D09"/>
    <w:rsid w:val="003F3079"/>
    <w:rsid w:val="004000CD"/>
    <w:rsid w:val="004064E8"/>
    <w:rsid w:val="00406F82"/>
    <w:rsid w:val="00407954"/>
    <w:rsid w:val="0041033E"/>
    <w:rsid w:val="00417EF2"/>
    <w:rsid w:val="004225C7"/>
    <w:rsid w:val="00422C1A"/>
    <w:rsid w:val="00424DB7"/>
    <w:rsid w:val="00427026"/>
    <w:rsid w:val="00430CEF"/>
    <w:rsid w:val="00431E81"/>
    <w:rsid w:val="00436022"/>
    <w:rsid w:val="004378F8"/>
    <w:rsid w:val="00441A45"/>
    <w:rsid w:val="0045149F"/>
    <w:rsid w:val="00455EAA"/>
    <w:rsid w:val="00456955"/>
    <w:rsid w:val="004600CC"/>
    <w:rsid w:val="00460525"/>
    <w:rsid w:val="00460D0C"/>
    <w:rsid w:val="00460EB7"/>
    <w:rsid w:val="004677A1"/>
    <w:rsid w:val="004763B9"/>
    <w:rsid w:val="00481B87"/>
    <w:rsid w:val="00481C85"/>
    <w:rsid w:val="00484859"/>
    <w:rsid w:val="00490E0C"/>
    <w:rsid w:val="00492135"/>
    <w:rsid w:val="004940EC"/>
    <w:rsid w:val="004958C5"/>
    <w:rsid w:val="004A32A8"/>
    <w:rsid w:val="004A4F2D"/>
    <w:rsid w:val="004A58C2"/>
    <w:rsid w:val="004B22D5"/>
    <w:rsid w:val="004B6516"/>
    <w:rsid w:val="004C141D"/>
    <w:rsid w:val="004C1649"/>
    <w:rsid w:val="004C3440"/>
    <w:rsid w:val="004C4551"/>
    <w:rsid w:val="004D2C5E"/>
    <w:rsid w:val="004D3D4D"/>
    <w:rsid w:val="004E03EB"/>
    <w:rsid w:val="004E07EF"/>
    <w:rsid w:val="004E1F90"/>
    <w:rsid w:val="004E789E"/>
    <w:rsid w:val="004F286C"/>
    <w:rsid w:val="004F6F6D"/>
    <w:rsid w:val="004F7F51"/>
    <w:rsid w:val="005037F5"/>
    <w:rsid w:val="00503E8D"/>
    <w:rsid w:val="005060AB"/>
    <w:rsid w:val="00510368"/>
    <w:rsid w:val="00513D44"/>
    <w:rsid w:val="005227AE"/>
    <w:rsid w:val="00524A48"/>
    <w:rsid w:val="005262E5"/>
    <w:rsid w:val="00526A13"/>
    <w:rsid w:val="005315B3"/>
    <w:rsid w:val="00531F81"/>
    <w:rsid w:val="005363A8"/>
    <w:rsid w:val="0054426B"/>
    <w:rsid w:val="00546B3B"/>
    <w:rsid w:val="005510EB"/>
    <w:rsid w:val="00551434"/>
    <w:rsid w:val="00554420"/>
    <w:rsid w:val="0056080D"/>
    <w:rsid w:val="00566D10"/>
    <w:rsid w:val="00566FAF"/>
    <w:rsid w:val="00567BEA"/>
    <w:rsid w:val="005722FB"/>
    <w:rsid w:val="005812DD"/>
    <w:rsid w:val="005A1721"/>
    <w:rsid w:val="005A5819"/>
    <w:rsid w:val="005B2572"/>
    <w:rsid w:val="005B5A59"/>
    <w:rsid w:val="005C2FFD"/>
    <w:rsid w:val="005C713E"/>
    <w:rsid w:val="005C7462"/>
    <w:rsid w:val="005D15AF"/>
    <w:rsid w:val="005D2219"/>
    <w:rsid w:val="005D4FD5"/>
    <w:rsid w:val="005D6EEC"/>
    <w:rsid w:val="005E3F3C"/>
    <w:rsid w:val="005E52C2"/>
    <w:rsid w:val="005E7060"/>
    <w:rsid w:val="005F731D"/>
    <w:rsid w:val="00606D0A"/>
    <w:rsid w:val="00611905"/>
    <w:rsid w:val="00611B90"/>
    <w:rsid w:val="00612A2E"/>
    <w:rsid w:val="006250A6"/>
    <w:rsid w:val="00630F32"/>
    <w:rsid w:val="0063189F"/>
    <w:rsid w:val="00632371"/>
    <w:rsid w:val="00634394"/>
    <w:rsid w:val="00650826"/>
    <w:rsid w:val="0065570A"/>
    <w:rsid w:val="0065588F"/>
    <w:rsid w:val="006613F3"/>
    <w:rsid w:val="00664E1B"/>
    <w:rsid w:val="006674D9"/>
    <w:rsid w:val="00667F69"/>
    <w:rsid w:val="00670B8F"/>
    <w:rsid w:val="00672B91"/>
    <w:rsid w:val="00672D5A"/>
    <w:rsid w:val="006756FE"/>
    <w:rsid w:val="00683E47"/>
    <w:rsid w:val="00683FF2"/>
    <w:rsid w:val="00691C81"/>
    <w:rsid w:val="006A1B2F"/>
    <w:rsid w:val="006A5240"/>
    <w:rsid w:val="006B3B79"/>
    <w:rsid w:val="006C070F"/>
    <w:rsid w:val="006C2EB9"/>
    <w:rsid w:val="006C41FA"/>
    <w:rsid w:val="006C63C7"/>
    <w:rsid w:val="006D42D3"/>
    <w:rsid w:val="006D4457"/>
    <w:rsid w:val="006D6081"/>
    <w:rsid w:val="006E0765"/>
    <w:rsid w:val="006E3BB0"/>
    <w:rsid w:val="006F49E1"/>
    <w:rsid w:val="006F55D6"/>
    <w:rsid w:val="006F7BAB"/>
    <w:rsid w:val="0070361D"/>
    <w:rsid w:val="007105DD"/>
    <w:rsid w:val="00711B02"/>
    <w:rsid w:val="00716F1F"/>
    <w:rsid w:val="00720AB3"/>
    <w:rsid w:val="00726BAF"/>
    <w:rsid w:val="0073104F"/>
    <w:rsid w:val="00732AC5"/>
    <w:rsid w:val="00733D71"/>
    <w:rsid w:val="00736278"/>
    <w:rsid w:val="00737BD0"/>
    <w:rsid w:val="007406BC"/>
    <w:rsid w:val="00743902"/>
    <w:rsid w:val="00747001"/>
    <w:rsid w:val="00747756"/>
    <w:rsid w:val="00750821"/>
    <w:rsid w:val="00751737"/>
    <w:rsid w:val="0075285E"/>
    <w:rsid w:val="00752EC6"/>
    <w:rsid w:val="00753ED1"/>
    <w:rsid w:val="00763325"/>
    <w:rsid w:val="00767FE8"/>
    <w:rsid w:val="00775720"/>
    <w:rsid w:val="007875D9"/>
    <w:rsid w:val="00790543"/>
    <w:rsid w:val="00792BEC"/>
    <w:rsid w:val="00796C87"/>
    <w:rsid w:val="0079718F"/>
    <w:rsid w:val="007A4A00"/>
    <w:rsid w:val="007A4C33"/>
    <w:rsid w:val="007A79DB"/>
    <w:rsid w:val="007B035B"/>
    <w:rsid w:val="007B0465"/>
    <w:rsid w:val="007B258D"/>
    <w:rsid w:val="007B3A32"/>
    <w:rsid w:val="007B50F4"/>
    <w:rsid w:val="007B7096"/>
    <w:rsid w:val="007C0D7C"/>
    <w:rsid w:val="007C5601"/>
    <w:rsid w:val="007E0FD4"/>
    <w:rsid w:val="007E2A9F"/>
    <w:rsid w:val="007E354C"/>
    <w:rsid w:val="007E42E5"/>
    <w:rsid w:val="00803064"/>
    <w:rsid w:val="00806FA8"/>
    <w:rsid w:val="00817DA9"/>
    <w:rsid w:val="00834009"/>
    <w:rsid w:val="00834BEE"/>
    <w:rsid w:val="00843CFA"/>
    <w:rsid w:val="00847DAE"/>
    <w:rsid w:val="008612BD"/>
    <w:rsid w:val="00866192"/>
    <w:rsid w:val="008670C0"/>
    <w:rsid w:val="00871862"/>
    <w:rsid w:val="008738B2"/>
    <w:rsid w:val="00881DA0"/>
    <w:rsid w:val="00882833"/>
    <w:rsid w:val="00882F1D"/>
    <w:rsid w:val="008852CB"/>
    <w:rsid w:val="0089036A"/>
    <w:rsid w:val="008928B3"/>
    <w:rsid w:val="00895CA2"/>
    <w:rsid w:val="008A05FF"/>
    <w:rsid w:val="008A331C"/>
    <w:rsid w:val="008A3B4C"/>
    <w:rsid w:val="008B0530"/>
    <w:rsid w:val="008B5C12"/>
    <w:rsid w:val="008B79C9"/>
    <w:rsid w:val="008C0495"/>
    <w:rsid w:val="008D3700"/>
    <w:rsid w:val="008D4C4D"/>
    <w:rsid w:val="008E169E"/>
    <w:rsid w:val="008E337B"/>
    <w:rsid w:val="008E70CC"/>
    <w:rsid w:val="008F1CF6"/>
    <w:rsid w:val="008F636B"/>
    <w:rsid w:val="00902730"/>
    <w:rsid w:val="009027CD"/>
    <w:rsid w:val="0091216E"/>
    <w:rsid w:val="0092030D"/>
    <w:rsid w:val="00921989"/>
    <w:rsid w:val="00926743"/>
    <w:rsid w:val="009332C2"/>
    <w:rsid w:val="00934B10"/>
    <w:rsid w:val="0094168F"/>
    <w:rsid w:val="009441C9"/>
    <w:rsid w:val="00950333"/>
    <w:rsid w:val="0095624E"/>
    <w:rsid w:val="0096025D"/>
    <w:rsid w:val="00962E52"/>
    <w:rsid w:val="00971A36"/>
    <w:rsid w:val="00975C8E"/>
    <w:rsid w:val="00977D84"/>
    <w:rsid w:val="009860EB"/>
    <w:rsid w:val="009865CE"/>
    <w:rsid w:val="009955BF"/>
    <w:rsid w:val="00997720"/>
    <w:rsid w:val="00997F4B"/>
    <w:rsid w:val="009A1BD7"/>
    <w:rsid w:val="009A5619"/>
    <w:rsid w:val="009A7613"/>
    <w:rsid w:val="009B29FD"/>
    <w:rsid w:val="009B3BEC"/>
    <w:rsid w:val="009B495C"/>
    <w:rsid w:val="009B788E"/>
    <w:rsid w:val="009C0D39"/>
    <w:rsid w:val="009C4FC7"/>
    <w:rsid w:val="009D31C5"/>
    <w:rsid w:val="009E0B1E"/>
    <w:rsid w:val="009E323A"/>
    <w:rsid w:val="009E585E"/>
    <w:rsid w:val="009E6644"/>
    <w:rsid w:val="009E7B6C"/>
    <w:rsid w:val="00A036A8"/>
    <w:rsid w:val="00A21184"/>
    <w:rsid w:val="00A22398"/>
    <w:rsid w:val="00A25A1F"/>
    <w:rsid w:val="00A33319"/>
    <w:rsid w:val="00A3582C"/>
    <w:rsid w:val="00A366CB"/>
    <w:rsid w:val="00A37D1C"/>
    <w:rsid w:val="00A53F97"/>
    <w:rsid w:val="00A5441B"/>
    <w:rsid w:val="00A54A12"/>
    <w:rsid w:val="00A54F4D"/>
    <w:rsid w:val="00A61870"/>
    <w:rsid w:val="00A6396B"/>
    <w:rsid w:val="00A7062D"/>
    <w:rsid w:val="00A73290"/>
    <w:rsid w:val="00A77B87"/>
    <w:rsid w:val="00A81188"/>
    <w:rsid w:val="00A82032"/>
    <w:rsid w:val="00A84A05"/>
    <w:rsid w:val="00A84AC7"/>
    <w:rsid w:val="00A955B1"/>
    <w:rsid w:val="00AA148A"/>
    <w:rsid w:val="00AA7416"/>
    <w:rsid w:val="00AB5282"/>
    <w:rsid w:val="00AB5392"/>
    <w:rsid w:val="00AC26BB"/>
    <w:rsid w:val="00AC299D"/>
    <w:rsid w:val="00AD59D5"/>
    <w:rsid w:val="00AD7BFF"/>
    <w:rsid w:val="00AE579B"/>
    <w:rsid w:val="00AF289F"/>
    <w:rsid w:val="00AF6957"/>
    <w:rsid w:val="00B01F82"/>
    <w:rsid w:val="00B12130"/>
    <w:rsid w:val="00B21578"/>
    <w:rsid w:val="00B223ED"/>
    <w:rsid w:val="00B228AD"/>
    <w:rsid w:val="00B253CE"/>
    <w:rsid w:val="00B26388"/>
    <w:rsid w:val="00B269AB"/>
    <w:rsid w:val="00B277F1"/>
    <w:rsid w:val="00B27ACF"/>
    <w:rsid w:val="00B36A44"/>
    <w:rsid w:val="00B40EB3"/>
    <w:rsid w:val="00B46FEC"/>
    <w:rsid w:val="00B51619"/>
    <w:rsid w:val="00B540A2"/>
    <w:rsid w:val="00B60D3A"/>
    <w:rsid w:val="00B7018E"/>
    <w:rsid w:val="00B72BB2"/>
    <w:rsid w:val="00B772FC"/>
    <w:rsid w:val="00B84D20"/>
    <w:rsid w:val="00B92468"/>
    <w:rsid w:val="00B97CC4"/>
    <w:rsid w:val="00BA0922"/>
    <w:rsid w:val="00BA58AB"/>
    <w:rsid w:val="00BB3898"/>
    <w:rsid w:val="00BB5A3B"/>
    <w:rsid w:val="00BC0009"/>
    <w:rsid w:val="00BC1AC4"/>
    <w:rsid w:val="00BC3961"/>
    <w:rsid w:val="00BC64E3"/>
    <w:rsid w:val="00BD10CD"/>
    <w:rsid w:val="00BD260D"/>
    <w:rsid w:val="00BD413A"/>
    <w:rsid w:val="00BD60A7"/>
    <w:rsid w:val="00BE3BD9"/>
    <w:rsid w:val="00BE3CCC"/>
    <w:rsid w:val="00BE52B5"/>
    <w:rsid w:val="00BF0384"/>
    <w:rsid w:val="00BF0A8C"/>
    <w:rsid w:val="00BF1FB5"/>
    <w:rsid w:val="00BF78C9"/>
    <w:rsid w:val="00BF7F83"/>
    <w:rsid w:val="00C058E3"/>
    <w:rsid w:val="00C06024"/>
    <w:rsid w:val="00C17BEE"/>
    <w:rsid w:val="00C209F6"/>
    <w:rsid w:val="00C25EF3"/>
    <w:rsid w:val="00C4250E"/>
    <w:rsid w:val="00C43E29"/>
    <w:rsid w:val="00C5299B"/>
    <w:rsid w:val="00C56405"/>
    <w:rsid w:val="00C57E64"/>
    <w:rsid w:val="00C634BE"/>
    <w:rsid w:val="00C646B2"/>
    <w:rsid w:val="00C64C83"/>
    <w:rsid w:val="00C6789D"/>
    <w:rsid w:val="00C70932"/>
    <w:rsid w:val="00C71118"/>
    <w:rsid w:val="00C74C4D"/>
    <w:rsid w:val="00C801DD"/>
    <w:rsid w:val="00C81036"/>
    <w:rsid w:val="00C810D3"/>
    <w:rsid w:val="00C813E6"/>
    <w:rsid w:val="00C82A40"/>
    <w:rsid w:val="00C918C2"/>
    <w:rsid w:val="00C96D86"/>
    <w:rsid w:val="00CA6C46"/>
    <w:rsid w:val="00CA7700"/>
    <w:rsid w:val="00CB1F4A"/>
    <w:rsid w:val="00CB4C9F"/>
    <w:rsid w:val="00CB61AE"/>
    <w:rsid w:val="00CC1FAD"/>
    <w:rsid w:val="00CC24C6"/>
    <w:rsid w:val="00CC2786"/>
    <w:rsid w:val="00CC3417"/>
    <w:rsid w:val="00CC463A"/>
    <w:rsid w:val="00CD112A"/>
    <w:rsid w:val="00CD5A9D"/>
    <w:rsid w:val="00CD65DD"/>
    <w:rsid w:val="00CD7E58"/>
    <w:rsid w:val="00CF077C"/>
    <w:rsid w:val="00CF09CD"/>
    <w:rsid w:val="00CF1224"/>
    <w:rsid w:val="00CF592C"/>
    <w:rsid w:val="00CF7533"/>
    <w:rsid w:val="00CF79D6"/>
    <w:rsid w:val="00D04400"/>
    <w:rsid w:val="00D04DF7"/>
    <w:rsid w:val="00D072F6"/>
    <w:rsid w:val="00D13F61"/>
    <w:rsid w:val="00D16F90"/>
    <w:rsid w:val="00D17E3D"/>
    <w:rsid w:val="00D2459D"/>
    <w:rsid w:val="00D3043F"/>
    <w:rsid w:val="00D32008"/>
    <w:rsid w:val="00D32ABA"/>
    <w:rsid w:val="00D34559"/>
    <w:rsid w:val="00D55DB4"/>
    <w:rsid w:val="00D576F6"/>
    <w:rsid w:val="00D60E60"/>
    <w:rsid w:val="00D6428F"/>
    <w:rsid w:val="00D7045E"/>
    <w:rsid w:val="00D735B5"/>
    <w:rsid w:val="00D748FE"/>
    <w:rsid w:val="00D76DCF"/>
    <w:rsid w:val="00D80E11"/>
    <w:rsid w:val="00D83938"/>
    <w:rsid w:val="00D853B4"/>
    <w:rsid w:val="00D87E5D"/>
    <w:rsid w:val="00D90A9A"/>
    <w:rsid w:val="00D922B1"/>
    <w:rsid w:val="00D96CED"/>
    <w:rsid w:val="00D96E58"/>
    <w:rsid w:val="00DA0235"/>
    <w:rsid w:val="00DA0CE5"/>
    <w:rsid w:val="00DA10D0"/>
    <w:rsid w:val="00DB699C"/>
    <w:rsid w:val="00DD1009"/>
    <w:rsid w:val="00DD20DC"/>
    <w:rsid w:val="00DE321C"/>
    <w:rsid w:val="00DE7634"/>
    <w:rsid w:val="00DE7CB4"/>
    <w:rsid w:val="00DF3D02"/>
    <w:rsid w:val="00E00D17"/>
    <w:rsid w:val="00E035C1"/>
    <w:rsid w:val="00E07C1E"/>
    <w:rsid w:val="00E12B56"/>
    <w:rsid w:val="00E1645F"/>
    <w:rsid w:val="00E27F03"/>
    <w:rsid w:val="00E32D43"/>
    <w:rsid w:val="00E32DE2"/>
    <w:rsid w:val="00E34A19"/>
    <w:rsid w:val="00E37D57"/>
    <w:rsid w:val="00E37E18"/>
    <w:rsid w:val="00E41256"/>
    <w:rsid w:val="00E413FE"/>
    <w:rsid w:val="00E4159F"/>
    <w:rsid w:val="00E41F32"/>
    <w:rsid w:val="00E502C6"/>
    <w:rsid w:val="00E535BF"/>
    <w:rsid w:val="00E60AF8"/>
    <w:rsid w:val="00E63DEE"/>
    <w:rsid w:val="00E70E40"/>
    <w:rsid w:val="00E800DB"/>
    <w:rsid w:val="00E84EE1"/>
    <w:rsid w:val="00E874F9"/>
    <w:rsid w:val="00E922A4"/>
    <w:rsid w:val="00E93682"/>
    <w:rsid w:val="00E94A52"/>
    <w:rsid w:val="00EA15C8"/>
    <w:rsid w:val="00EB076F"/>
    <w:rsid w:val="00EB232E"/>
    <w:rsid w:val="00EB3226"/>
    <w:rsid w:val="00EB7869"/>
    <w:rsid w:val="00EC202D"/>
    <w:rsid w:val="00EC6F0C"/>
    <w:rsid w:val="00ED274E"/>
    <w:rsid w:val="00ED57F8"/>
    <w:rsid w:val="00ED68AD"/>
    <w:rsid w:val="00EE0EBD"/>
    <w:rsid w:val="00EE4411"/>
    <w:rsid w:val="00EE7B52"/>
    <w:rsid w:val="00EF5B72"/>
    <w:rsid w:val="00EF7A35"/>
    <w:rsid w:val="00F01078"/>
    <w:rsid w:val="00F02F74"/>
    <w:rsid w:val="00F14EDA"/>
    <w:rsid w:val="00F174C5"/>
    <w:rsid w:val="00F22BD6"/>
    <w:rsid w:val="00F25CD4"/>
    <w:rsid w:val="00F30ED5"/>
    <w:rsid w:val="00F37B1F"/>
    <w:rsid w:val="00F40E83"/>
    <w:rsid w:val="00F4104D"/>
    <w:rsid w:val="00F45360"/>
    <w:rsid w:val="00F52E23"/>
    <w:rsid w:val="00F543D4"/>
    <w:rsid w:val="00F568DA"/>
    <w:rsid w:val="00F57215"/>
    <w:rsid w:val="00F61B18"/>
    <w:rsid w:val="00F7096A"/>
    <w:rsid w:val="00F7255D"/>
    <w:rsid w:val="00F73978"/>
    <w:rsid w:val="00F852E7"/>
    <w:rsid w:val="00F85C15"/>
    <w:rsid w:val="00F905BF"/>
    <w:rsid w:val="00F959D4"/>
    <w:rsid w:val="00F95DD8"/>
    <w:rsid w:val="00FA4BB1"/>
    <w:rsid w:val="00FB1731"/>
    <w:rsid w:val="00FB440F"/>
    <w:rsid w:val="00FC0D7C"/>
    <w:rsid w:val="00FC1CD3"/>
    <w:rsid w:val="00FC229B"/>
    <w:rsid w:val="00FC3000"/>
    <w:rsid w:val="00FC4AA1"/>
    <w:rsid w:val="00FC70DC"/>
    <w:rsid w:val="00FC760B"/>
    <w:rsid w:val="00FD721A"/>
    <w:rsid w:val="00FF0761"/>
    <w:rsid w:val="00FF26CE"/>
    <w:rsid w:val="00FF332E"/>
    <w:rsid w:val="00FF6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C6A28"/>
  <w15:chartTrackingRefBased/>
  <w15:docId w15:val="{1CC12354-294D-44E5-97CB-D80CE1B4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16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6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6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6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6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6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6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6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6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6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6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6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6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6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619"/>
    <w:rPr>
      <w:rFonts w:eastAsiaTheme="majorEastAsia" w:cstheme="majorBidi"/>
      <w:color w:val="272727" w:themeColor="text1" w:themeTint="D8"/>
    </w:rPr>
  </w:style>
  <w:style w:type="paragraph" w:styleId="Title">
    <w:name w:val="Title"/>
    <w:basedOn w:val="Normal"/>
    <w:next w:val="Normal"/>
    <w:link w:val="TitleChar"/>
    <w:uiPriority w:val="10"/>
    <w:qFormat/>
    <w:rsid w:val="00B516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6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619"/>
    <w:pPr>
      <w:spacing w:before="160"/>
      <w:jc w:val="center"/>
    </w:pPr>
    <w:rPr>
      <w:i/>
      <w:iCs/>
      <w:color w:val="404040" w:themeColor="text1" w:themeTint="BF"/>
    </w:rPr>
  </w:style>
  <w:style w:type="character" w:customStyle="1" w:styleId="QuoteChar">
    <w:name w:val="Quote Char"/>
    <w:basedOn w:val="DefaultParagraphFont"/>
    <w:link w:val="Quote"/>
    <w:uiPriority w:val="29"/>
    <w:rsid w:val="00B51619"/>
    <w:rPr>
      <w:i/>
      <w:iCs/>
      <w:color w:val="404040" w:themeColor="text1" w:themeTint="BF"/>
    </w:rPr>
  </w:style>
  <w:style w:type="paragraph" w:styleId="ListParagraph">
    <w:name w:val="List Paragraph"/>
    <w:basedOn w:val="Normal"/>
    <w:uiPriority w:val="34"/>
    <w:qFormat/>
    <w:rsid w:val="00B51619"/>
    <w:pPr>
      <w:ind w:left="720"/>
      <w:contextualSpacing/>
    </w:pPr>
  </w:style>
  <w:style w:type="character" w:styleId="IntenseEmphasis">
    <w:name w:val="Intense Emphasis"/>
    <w:basedOn w:val="DefaultParagraphFont"/>
    <w:uiPriority w:val="21"/>
    <w:qFormat/>
    <w:rsid w:val="00B51619"/>
    <w:rPr>
      <w:i/>
      <w:iCs/>
      <w:color w:val="0F4761" w:themeColor="accent1" w:themeShade="BF"/>
    </w:rPr>
  </w:style>
  <w:style w:type="paragraph" w:styleId="IntenseQuote">
    <w:name w:val="Intense Quote"/>
    <w:basedOn w:val="Normal"/>
    <w:next w:val="Normal"/>
    <w:link w:val="IntenseQuoteChar"/>
    <w:uiPriority w:val="30"/>
    <w:qFormat/>
    <w:rsid w:val="00B516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619"/>
    <w:rPr>
      <w:i/>
      <w:iCs/>
      <w:color w:val="0F4761" w:themeColor="accent1" w:themeShade="BF"/>
    </w:rPr>
  </w:style>
  <w:style w:type="character" w:styleId="IntenseReference">
    <w:name w:val="Intense Reference"/>
    <w:basedOn w:val="DefaultParagraphFont"/>
    <w:uiPriority w:val="32"/>
    <w:qFormat/>
    <w:rsid w:val="00B51619"/>
    <w:rPr>
      <w:b/>
      <w:bCs/>
      <w:smallCaps/>
      <w:color w:val="0F4761" w:themeColor="accent1" w:themeShade="BF"/>
      <w:spacing w:val="5"/>
    </w:rPr>
  </w:style>
  <w:style w:type="paragraph" w:styleId="Header">
    <w:name w:val="header"/>
    <w:basedOn w:val="Normal"/>
    <w:link w:val="HeaderChar"/>
    <w:uiPriority w:val="99"/>
    <w:unhideWhenUsed/>
    <w:rsid w:val="003C35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524"/>
  </w:style>
  <w:style w:type="paragraph" w:styleId="Footer">
    <w:name w:val="footer"/>
    <w:basedOn w:val="Normal"/>
    <w:link w:val="FooterChar"/>
    <w:uiPriority w:val="99"/>
    <w:unhideWhenUsed/>
    <w:rsid w:val="003C35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524"/>
  </w:style>
  <w:style w:type="paragraph" w:styleId="FootnoteText">
    <w:name w:val="footnote text"/>
    <w:basedOn w:val="Normal"/>
    <w:link w:val="FootnoteTextChar"/>
    <w:uiPriority w:val="99"/>
    <w:semiHidden/>
    <w:unhideWhenUsed/>
    <w:rsid w:val="00DA0C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0CE5"/>
    <w:rPr>
      <w:sz w:val="20"/>
      <w:szCs w:val="20"/>
    </w:rPr>
  </w:style>
  <w:style w:type="character" w:styleId="FootnoteReference">
    <w:name w:val="footnote reference"/>
    <w:basedOn w:val="DefaultParagraphFont"/>
    <w:uiPriority w:val="99"/>
    <w:semiHidden/>
    <w:unhideWhenUsed/>
    <w:rsid w:val="00DA0CE5"/>
    <w:rPr>
      <w:vertAlign w:val="superscript"/>
    </w:rPr>
  </w:style>
  <w:style w:type="paragraph" w:styleId="Bibliography">
    <w:name w:val="Bibliography"/>
    <w:basedOn w:val="Normal"/>
    <w:next w:val="Normal"/>
    <w:uiPriority w:val="37"/>
    <w:unhideWhenUsed/>
    <w:rsid w:val="00C81036"/>
    <w:pPr>
      <w:spacing w:after="0" w:line="240" w:lineRule="auto"/>
      <w:ind w:left="720" w:hanging="720"/>
    </w:pPr>
  </w:style>
  <w:style w:type="table" w:styleId="TableGrid">
    <w:name w:val="Table Grid"/>
    <w:basedOn w:val="TableNormal"/>
    <w:uiPriority w:val="39"/>
    <w:rsid w:val="00FF3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324">
      <w:bodyDiv w:val="1"/>
      <w:marLeft w:val="0"/>
      <w:marRight w:val="0"/>
      <w:marTop w:val="0"/>
      <w:marBottom w:val="0"/>
      <w:divBdr>
        <w:top w:val="none" w:sz="0" w:space="0" w:color="auto"/>
        <w:left w:val="none" w:sz="0" w:space="0" w:color="auto"/>
        <w:bottom w:val="none" w:sz="0" w:space="0" w:color="auto"/>
        <w:right w:val="none" w:sz="0" w:space="0" w:color="auto"/>
      </w:divBdr>
    </w:div>
    <w:div w:id="464275834">
      <w:bodyDiv w:val="1"/>
      <w:marLeft w:val="0"/>
      <w:marRight w:val="0"/>
      <w:marTop w:val="0"/>
      <w:marBottom w:val="0"/>
      <w:divBdr>
        <w:top w:val="none" w:sz="0" w:space="0" w:color="auto"/>
        <w:left w:val="none" w:sz="0" w:space="0" w:color="auto"/>
        <w:bottom w:val="none" w:sz="0" w:space="0" w:color="auto"/>
        <w:right w:val="none" w:sz="0" w:space="0" w:color="auto"/>
      </w:divBdr>
    </w:div>
    <w:div w:id="862519411">
      <w:bodyDiv w:val="1"/>
      <w:marLeft w:val="0"/>
      <w:marRight w:val="0"/>
      <w:marTop w:val="0"/>
      <w:marBottom w:val="0"/>
      <w:divBdr>
        <w:top w:val="none" w:sz="0" w:space="0" w:color="auto"/>
        <w:left w:val="none" w:sz="0" w:space="0" w:color="auto"/>
        <w:bottom w:val="none" w:sz="0" w:space="0" w:color="auto"/>
        <w:right w:val="none" w:sz="0" w:space="0" w:color="auto"/>
      </w:divBdr>
    </w:div>
    <w:div w:id="983659472">
      <w:bodyDiv w:val="1"/>
      <w:marLeft w:val="0"/>
      <w:marRight w:val="0"/>
      <w:marTop w:val="0"/>
      <w:marBottom w:val="0"/>
      <w:divBdr>
        <w:top w:val="none" w:sz="0" w:space="0" w:color="auto"/>
        <w:left w:val="none" w:sz="0" w:space="0" w:color="auto"/>
        <w:bottom w:val="none" w:sz="0" w:space="0" w:color="auto"/>
        <w:right w:val="none" w:sz="0" w:space="0" w:color="auto"/>
      </w:divBdr>
    </w:div>
    <w:div w:id="2049186009">
      <w:bodyDiv w:val="1"/>
      <w:marLeft w:val="0"/>
      <w:marRight w:val="0"/>
      <w:marTop w:val="0"/>
      <w:marBottom w:val="0"/>
      <w:divBdr>
        <w:top w:val="none" w:sz="0" w:space="0" w:color="auto"/>
        <w:left w:val="none" w:sz="0" w:space="0" w:color="auto"/>
        <w:bottom w:val="none" w:sz="0" w:space="0" w:color="auto"/>
        <w:right w:val="none" w:sz="0" w:space="0" w:color="auto"/>
      </w:divBdr>
    </w:div>
    <w:div w:id="212595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14244</Words>
  <Characters>81197</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Fraysse</dc:creator>
  <cp:keywords/>
  <dc:description/>
  <cp:lastModifiedBy>Elizabeth Fraysse</cp:lastModifiedBy>
  <cp:revision>2</cp:revision>
  <dcterms:created xsi:type="dcterms:W3CDTF">2024-04-10T12:33:00Z</dcterms:created>
  <dcterms:modified xsi:type="dcterms:W3CDTF">2024-04-10T12:33:00Z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id="dpJjAd4A"/&gt;&lt;style id="http://www.zotero.org/styles/chicago-author-date" locale="en-US"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y fmtid="{D5CDD505-2E9C-101B-9397-08002B2CF9AE}" pid="4" name="GrammarlyDocumentId">
    <vt:lpwstr>3f5c04b3915e529c07f299dc7b64bab1dc25be71d3eb752b22f24043e0321e7e</vt:lpwstr>
  </property>
</Properties>
</file>