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88F" w:rsidRPr="00033CDF" w:rsidRDefault="0072488F" w:rsidP="0072488F">
      <w:pPr>
        <w:spacing w:before="0"/>
        <w:ind w:left="567" w:hanging="567"/>
        <w:jc w:val="center"/>
        <w:rPr>
          <w:rFonts w:ascii="Times New Roman" w:hAnsi="Times New Roman"/>
          <w:b/>
          <w:sz w:val="24"/>
          <w:szCs w:val="24"/>
        </w:rPr>
      </w:pPr>
      <w:bookmarkStart w:id="0" w:name="_GoBack"/>
      <w:bookmarkEnd w:id="0"/>
      <w:r>
        <w:rPr>
          <w:rFonts w:ascii="Times New Roman" w:hAnsi="Times New Roman"/>
          <w:b/>
          <w:sz w:val="24"/>
          <w:szCs w:val="24"/>
        </w:rPr>
        <w:t>Creating a GTAP baseline for 2014 to 2050 with special reference to Canada</w:t>
      </w:r>
    </w:p>
    <w:p w:rsidR="0072488F" w:rsidRDefault="0072488F" w:rsidP="0072488F">
      <w:pPr>
        <w:spacing w:before="0"/>
        <w:ind w:left="567" w:hanging="567"/>
        <w:jc w:val="center"/>
        <w:rPr>
          <w:rFonts w:ascii="Times New Roman" w:hAnsi="Times New Roman"/>
          <w:b/>
          <w:sz w:val="24"/>
          <w:szCs w:val="24"/>
        </w:rPr>
      </w:pPr>
    </w:p>
    <w:p w:rsidR="0072488F" w:rsidRDefault="0072488F" w:rsidP="0072488F">
      <w:pPr>
        <w:spacing w:before="0"/>
        <w:ind w:left="567" w:hanging="567"/>
        <w:jc w:val="center"/>
        <w:rPr>
          <w:rFonts w:ascii="Times New Roman" w:hAnsi="Times New Roman"/>
          <w:b/>
          <w:sz w:val="24"/>
          <w:szCs w:val="24"/>
        </w:rPr>
      </w:pPr>
    </w:p>
    <w:p w:rsidR="0072488F" w:rsidRDefault="0072488F" w:rsidP="0072488F">
      <w:pPr>
        <w:spacing w:before="0"/>
        <w:ind w:left="567" w:hanging="567"/>
        <w:jc w:val="center"/>
        <w:rPr>
          <w:rFonts w:ascii="Times New Roman" w:hAnsi="Times New Roman"/>
          <w:b/>
          <w:sz w:val="24"/>
          <w:szCs w:val="24"/>
        </w:rPr>
      </w:pPr>
    </w:p>
    <w:p w:rsidR="0072488F" w:rsidRDefault="0072488F" w:rsidP="0072488F">
      <w:pPr>
        <w:spacing w:before="0"/>
        <w:ind w:left="567" w:hanging="567"/>
        <w:jc w:val="center"/>
        <w:rPr>
          <w:rFonts w:ascii="Times New Roman" w:hAnsi="Times New Roman"/>
          <w:b/>
          <w:sz w:val="24"/>
          <w:szCs w:val="24"/>
        </w:rPr>
      </w:pPr>
    </w:p>
    <w:p w:rsidR="0072488F" w:rsidRDefault="0072488F" w:rsidP="0072488F">
      <w:pPr>
        <w:spacing w:before="0"/>
        <w:ind w:left="567" w:hanging="567"/>
        <w:jc w:val="center"/>
        <w:rPr>
          <w:rFonts w:ascii="Times New Roman" w:hAnsi="Times New Roman"/>
          <w:b/>
          <w:sz w:val="24"/>
          <w:szCs w:val="24"/>
        </w:rPr>
      </w:pPr>
      <w:r>
        <w:rPr>
          <w:rFonts w:ascii="Times New Roman" w:hAnsi="Times New Roman"/>
          <w:b/>
          <w:sz w:val="24"/>
          <w:szCs w:val="24"/>
        </w:rPr>
        <w:t xml:space="preserve">by  </w:t>
      </w:r>
    </w:p>
    <w:p w:rsidR="0072488F" w:rsidRDefault="0072488F" w:rsidP="0072488F">
      <w:pPr>
        <w:spacing w:before="0"/>
        <w:jc w:val="center"/>
        <w:rPr>
          <w:rFonts w:ascii="Times New Roman" w:hAnsi="Times New Roman"/>
          <w:b/>
          <w:sz w:val="24"/>
          <w:szCs w:val="24"/>
        </w:rPr>
      </w:pPr>
      <w:r>
        <w:rPr>
          <w:rFonts w:ascii="Times New Roman" w:hAnsi="Times New Roman"/>
          <w:b/>
          <w:sz w:val="24"/>
          <w:szCs w:val="24"/>
        </w:rPr>
        <w:t>Peter B. Dixon and Maureen T. Rimmer</w:t>
      </w:r>
    </w:p>
    <w:p w:rsidR="0072488F" w:rsidRDefault="0072488F" w:rsidP="0072488F">
      <w:pPr>
        <w:spacing w:before="0"/>
        <w:jc w:val="center"/>
        <w:rPr>
          <w:rFonts w:ascii="Times New Roman" w:hAnsi="Times New Roman"/>
          <w:b/>
          <w:sz w:val="24"/>
          <w:szCs w:val="24"/>
        </w:rPr>
      </w:pPr>
      <w:r>
        <w:rPr>
          <w:rFonts w:ascii="Times New Roman" w:hAnsi="Times New Roman"/>
          <w:b/>
          <w:sz w:val="24"/>
          <w:szCs w:val="24"/>
        </w:rPr>
        <w:t>Centre of Policy Studies, Victoria University, Melbourne</w:t>
      </w:r>
    </w:p>
    <w:p w:rsidR="0072488F" w:rsidRDefault="0072488F" w:rsidP="00967B58">
      <w:pPr>
        <w:spacing w:before="0"/>
        <w:ind w:left="567" w:hanging="567"/>
        <w:jc w:val="center"/>
        <w:rPr>
          <w:rFonts w:ascii="Times New Roman" w:hAnsi="Times New Roman"/>
          <w:b/>
          <w:sz w:val="24"/>
          <w:szCs w:val="24"/>
        </w:rPr>
      </w:pPr>
    </w:p>
    <w:p w:rsidR="0072488F" w:rsidRDefault="0072488F" w:rsidP="00967B58">
      <w:pPr>
        <w:spacing w:before="0"/>
        <w:ind w:left="567" w:hanging="567"/>
        <w:jc w:val="center"/>
        <w:rPr>
          <w:rFonts w:ascii="Times New Roman" w:hAnsi="Times New Roman"/>
          <w:b/>
          <w:sz w:val="24"/>
          <w:szCs w:val="24"/>
        </w:rPr>
      </w:pPr>
    </w:p>
    <w:p w:rsidR="0072488F" w:rsidRDefault="0072488F" w:rsidP="00967B58">
      <w:pPr>
        <w:spacing w:before="0"/>
        <w:ind w:left="567" w:hanging="567"/>
        <w:jc w:val="center"/>
        <w:rPr>
          <w:rFonts w:ascii="Times New Roman" w:hAnsi="Times New Roman"/>
          <w:b/>
          <w:sz w:val="24"/>
          <w:szCs w:val="24"/>
        </w:rPr>
      </w:pPr>
    </w:p>
    <w:p w:rsidR="0072488F" w:rsidRDefault="0072488F" w:rsidP="0072488F">
      <w:pPr>
        <w:spacing w:before="0"/>
        <w:ind w:left="567" w:hanging="567"/>
        <w:rPr>
          <w:rFonts w:ascii="Times New Roman" w:hAnsi="Times New Roman"/>
          <w:b/>
          <w:sz w:val="24"/>
          <w:szCs w:val="24"/>
        </w:rPr>
      </w:pPr>
    </w:p>
    <w:p w:rsidR="0072488F" w:rsidRPr="0072488F" w:rsidRDefault="0072488F" w:rsidP="0072488F">
      <w:pPr>
        <w:ind w:left="0"/>
        <w:rPr>
          <w:rFonts w:ascii="Times New Roman" w:eastAsiaTheme="minorHAnsi" w:hAnsi="Times New Roman"/>
          <w:sz w:val="24"/>
          <w:szCs w:val="24"/>
        </w:rPr>
      </w:pPr>
      <w:r>
        <w:rPr>
          <w:rFonts w:ascii="Times New Roman" w:hAnsi="Times New Roman"/>
          <w:b/>
          <w:sz w:val="24"/>
          <w:szCs w:val="24"/>
        </w:rPr>
        <w:t xml:space="preserve">Abstract: </w:t>
      </w:r>
      <w:r w:rsidRPr="0072488F">
        <w:rPr>
          <w:rFonts w:ascii="Times New Roman" w:eastAsiaTheme="minorHAnsi" w:hAnsi="Times New Roman"/>
          <w:sz w:val="24"/>
          <w:szCs w:val="24"/>
        </w:rPr>
        <w:t xml:space="preserve">By 2020, the GTAP team had created 4 comparable GTAP databases, referring to the years 2004, 2007, 2011 and 2014.  They had also produced a preliminary 2017 database.  The aim of the project reported in this paper was to use this time series of databases to derive and apply methods for: </w:t>
      </w:r>
    </w:p>
    <w:p w:rsidR="0072488F" w:rsidRPr="0072488F" w:rsidRDefault="0072488F" w:rsidP="0072488F">
      <w:pPr>
        <w:numPr>
          <w:ilvl w:val="0"/>
          <w:numId w:val="19"/>
        </w:numPr>
        <w:tabs>
          <w:tab w:val="left" w:pos="851"/>
        </w:tabs>
        <w:spacing w:before="60"/>
        <w:rPr>
          <w:rFonts w:ascii="Times New Roman" w:eastAsiaTheme="minorHAnsi" w:hAnsi="Times New Roman"/>
          <w:sz w:val="24"/>
          <w:szCs w:val="24"/>
          <w:lang w:val="en-US"/>
        </w:rPr>
      </w:pPr>
      <w:r w:rsidRPr="0072488F">
        <w:rPr>
          <w:rFonts w:ascii="Times New Roman" w:eastAsiaTheme="minorHAnsi" w:hAnsi="Times New Roman"/>
          <w:b/>
          <w:color w:val="FF0000"/>
          <w:sz w:val="24"/>
          <w:szCs w:val="24"/>
          <w:lang w:val="en-US"/>
        </w:rPr>
        <w:t>estimating trends</w:t>
      </w:r>
      <w:r w:rsidRPr="0072488F">
        <w:rPr>
          <w:rFonts w:ascii="Times New Roman" w:eastAsiaTheme="minorHAnsi" w:hAnsi="Times New Roman"/>
          <w:color w:val="FF0000"/>
          <w:sz w:val="24"/>
          <w:szCs w:val="24"/>
          <w:lang w:val="en-US"/>
        </w:rPr>
        <w:t xml:space="preserve"> </w:t>
      </w:r>
      <w:r w:rsidRPr="0072488F">
        <w:rPr>
          <w:rFonts w:ascii="Times New Roman" w:eastAsiaTheme="minorHAnsi" w:hAnsi="Times New Roman"/>
          <w:sz w:val="24"/>
          <w:szCs w:val="24"/>
          <w:lang w:val="en-US"/>
        </w:rPr>
        <w:t>at a disaggregated level in industry technologies and consumer preferences;</w:t>
      </w:r>
    </w:p>
    <w:p w:rsidR="0072488F" w:rsidRPr="0072488F" w:rsidRDefault="0072488F" w:rsidP="0072488F">
      <w:pPr>
        <w:numPr>
          <w:ilvl w:val="0"/>
          <w:numId w:val="19"/>
        </w:numPr>
        <w:tabs>
          <w:tab w:val="left" w:pos="851"/>
        </w:tabs>
        <w:spacing w:before="60"/>
        <w:rPr>
          <w:rFonts w:ascii="Times New Roman" w:eastAsiaTheme="minorHAnsi" w:hAnsi="Times New Roman"/>
          <w:sz w:val="24"/>
          <w:szCs w:val="24"/>
          <w:lang w:val="en-US"/>
        </w:rPr>
      </w:pPr>
      <w:r w:rsidRPr="0072488F">
        <w:rPr>
          <w:rFonts w:ascii="Times New Roman" w:eastAsiaTheme="minorHAnsi" w:hAnsi="Times New Roman"/>
          <w:b/>
          <w:color w:val="FF0000"/>
          <w:sz w:val="24"/>
          <w:szCs w:val="24"/>
          <w:lang w:val="en-US"/>
        </w:rPr>
        <w:t>creating baseline forecasts</w:t>
      </w:r>
      <w:r w:rsidRPr="0072488F">
        <w:rPr>
          <w:rFonts w:ascii="Times New Roman" w:eastAsiaTheme="minorHAnsi" w:hAnsi="Times New Roman"/>
          <w:color w:val="FF0000"/>
          <w:sz w:val="24"/>
          <w:szCs w:val="24"/>
          <w:lang w:val="en-US"/>
        </w:rPr>
        <w:t xml:space="preserve"> </w:t>
      </w:r>
      <w:r w:rsidRPr="0072488F">
        <w:rPr>
          <w:rFonts w:ascii="Times New Roman" w:eastAsiaTheme="minorHAnsi" w:hAnsi="Times New Roman"/>
          <w:sz w:val="24"/>
          <w:szCs w:val="24"/>
          <w:lang w:val="en-US"/>
        </w:rPr>
        <w:t xml:space="preserve">incorporating a wide range of macro, demographic and energy forecasts from specialist organizations together with disaggregated technology and preference trends; </w:t>
      </w:r>
      <w:r>
        <w:rPr>
          <w:rFonts w:ascii="Times New Roman" w:eastAsiaTheme="minorHAnsi" w:hAnsi="Times New Roman"/>
          <w:sz w:val="24"/>
          <w:szCs w:val="24"/>
          <w:lang w:val="en-US"/>
        </w:rPr>
        <w:t xml:space="preserve">and </w:t>
      </w:r>
    </w:p>
    <w:p w:rsidR="0072488F" w:rsidRPr="0072488F" w:rsidRDefault="0072488F" w:rsidP="0072488F">
      <w:pPr>
        <w:numPr>
          <w:ilvl w:val="0"/>
          <w:numId w:val="19"/>
        </w:numPr>
        <w:tabs>
          <w:tab w:val="left" w:pos="851"/>
        </w:tabs>
        <w:spacing w:before="60"/>
        <w:rPr>
          <w:rFonts w:ascii="Times New Roman" w:eastAsiaTheme="minorHAnsi" w:hAnsi="Times New Roman"/>
          <w:sz w:val="24"/>
          <w:szCs w:val="24"/>
          <w:lang w:val="en-US"/>
        </w:rPr>
      </w:pPr>
      <w:r w:rsidRPr="0072488F">
        <w:rPr>
          <w:rFonts w:ascii="Times New Roman" w:eastAsiaTheme="minorHAnsi" w:hAnsi="Times New Roman"/>
          <w:b/>
          <w:color w:val="FF0000"/>
          <w:sz w:val="24"/>
          <w:szCs w:val="24"/>
          <w:lang w:val="en-US"/>
        </w:rPr>
        <w:t>updating and checking GTAP databases, and establishing validation methods</w:t>
      </w:r>
      <w:r w:rsidRPr="0072488F">
        <w:rPr>
          <w:rFonts w:ascii="Times New Roman" w:eastAsiaTheme="minorHAnsi" w:hAnsi="Times New Roman"/>
          <w:color w:val="FF0000"/>
          <w:sz w:val="24"/>
          <w:szCs w:val="24"/>
          <w:lang w:val="en-US"/>
        </w:rPr>
        <w:t xml:space="preserve"> </w:t>
      </w:r>
      <w:r w:rsidRPr="0072488F">
        <w:rPr>
          <w:rFonts w:ascii="Times New Roman" w:eastAsiaTheme="minorHAnsi" w:hAnsi="Times New Roman"/>
          <w:sz w:val="24"/>
          <w:szCs w:val="24"/>
          <w:lang w:val="en-US"/>
        </w:rPr>
        <w:t xml:space="preserve">for assessing the performance of baseline forecasts. </w:t>
      </w:r>
    </w:p>
    <w:p w:rsidR="0072488F" w:rsidRPr="0072488F" w:rsidRDefault="0072488F" w:rsidP="0072488F">
      <w:pPr>
        <w:tabs>
          <w:tab w:val="left" w:pos="851"/>
        </w:tabs>
        <w:ind w:left="0"/>
        <w:rPr>
          <w:rFonts w:ascii="Times New Roman" w:eastAsiaTheme="minorHAnsi" w:hAnsi="Times New Roman"/>
          <w:sz w:val="24"/>
          <w:szCs w:val="24"/>
          <w:lang w:val="en-US"/>
        </w:rPr>
      </w:pPr>
      <w:r w:rsidRPr="0072488F">
        <w:rPr>
          <w:rFonts w:ascii="Times New Roman" w:eastAsiaTheme="minorHAnsi" w:hAnsi="Times New Roman"/>
          <w:sz w:val="24"/>
          <w:szCs w:val="24"/>
          <w:lang w:val="en-US"/>
        </w:rPr>
        <w:t xml:space="preserve">Towards these objectives, </w:t>
      </w:r>
      <w:r>
        <w:rPr>
          <w:rFonts w:ascii="Times New Roman" w:eastAsiaTheme="minorHAnsi" w:hAnsi="Times New Roman"/>
          <w:sz w:val="24"/>
          <w:szCs w:val="24"/>
          <w:lang w:val="en-US"/>
        </w:rPr>
        <w:t>we</w:t>
      </w:r>
      <w:r w:rsidRPr="0072488F">
        <w:rPr>
          <w:rFonts w:ascii="Times New Roman" w:eastAsiaTheme="minorHAnsi" w:hAnsi="Times New Roman"/>
          <w:sz w:val="24"/>
          <w:szCs w:val="24"/>
          <w:lang w:val="en-US"/>
        </w:rPr>
        <w:t xml:space="preserve"> produced several interim reports and 3 final reports.  This paper explains our methods and reviews the project findings.  </w:t>
      </w:r>
    </w:p>
    <w:p w:rsidR="0072488F" w:rsidRDefault="0072488F" w:rsidP="0072488F">
      <w:pPr>
        <w:spacing w:before="0"/>
        <w:ind w:left="567" w:hanging="567"/>
        <w:rPr>
          <w:rFonts w:ascii="Times New Roman" w:hAnsi="Times New Roman"/>
          <w:b/>
          <w:sz w:val="24"/>
          <w:szCs w:val="24"/>
        </w:rPr>
      </w:pPr>
    </w:p>
    <w:p w:rsidR="0072488F" w:rsidRDefault="0072488F" w:rsidP="0072488F">
      <w:pPr>
        <w:spacing w:before="0"/>
        <w:ind w:left="567" w:hanging="567"/>
        <w:rPr>
          <w:rFonts w:ascii="Times New Roman" w:hAnsi="Times New Roman"/>
          <w:b/>
          <w:sz w:val="24"/>
          <w:szCs w:val="24"/>
        </w:rPr>
      </w:pPr>
    </w:p>
    <w:p w:rsidR="0072488F" w:rsidRDefault="0072488F" w:rsidP="0072488F">
      <w:pPr>
        <w:spacing w:before="0"/>
        <w:ind w:left="567" w:hanging="567"/>
        <w:rPr>
          <w:rFonts w:ascii="Times New Roman" w:hAnsi="Times New Roman"/>
          <w:b/>
          <w:sz w:val="24"/>
          <w:szCs w:val="24"/>
        </w:rPr>
      </w:pPr>
    </w:p>
    <w:p w:rsidR="0072488F" w:rsidRDefault="0072488F" w:rsidP="0072488F">
      <w:pPr>
        <w:spacing w:before="0"/>
        <w:ind w:left="567" w:hanging="567"/>
        <w:rPr>
          <w:rFonts w:ascii="Times New Roman" w:hAnsi="Times New Roman"/>
          <w:b/>
          <w:sz w:val="24"/>
          <w:szCs w:val="24"/>
        </w:rPr>
      </w:pPr>
      <w:r>
        <w:rPr>
          <w:rFonts w:ascii="Times New Roman" w:hAnsi="Times New Roman"/>
          <w:b/>
          <w:sz w:val="24"/>
          <w:szCs w:val="24"/>
        </w:rPr>
        <w:t xml:space="preserve">JEL codes: </w:t>
      </w:r>
      <w:r w:rsidRPr="0072488F">
        <w:rPr>
          <w:rFonts w:ascii="Times New Roman" w:hAnsi="Times New Roman"/>
          <w:sz w:val="24"/>
          <w:szCs w:val="24"/>
        </w:rPr>
        <w:t>C68, E17, D57 and D58</w:t>
      </w:r>
    </w:p>
    <w:p w:rsidR="0072488F" w:rsidRDefault="0072488F" w:rsidP="0072488F">
      <w:pPr>
        <w:spacing w:before="0"/>
        <w:ind w:left="567" w:hanging="567"/>
        <w:rPr>
          <w:rFonts w:ascii="Times New Roman" w:hAnsi="Times New Roman"/>
          <w:b/>
          <w:sz w:val="24"/>
          <w:szCs w:val="24"/>
        </w:rPr>
      </w:pPr>
    </w:p>
    <w:p w:rsidR="0072488F" w:rsidRPr="0072488F" w:rsidRDefault="0072488F" w:rsidP="0072488F">
      <w:pPr>
        <w:spacing w:before="0"/>
        <w:ind w:left="567" w:hanging="567"/>
        <w:rPr>
          <w:rFonts w:ascii="Times New Roman" w:hAnsi="Times New Roman"/>
          <w:sz w:val="24"/>
          <w:szCs w:val="24"/>
        </w:rPr>
      </w:pPr>
      <w:r>
        <w:rPr>
          <w:rFonts w:ascii="Times New Roman" w:hAnsi="Times New Roman"/>
          <w:b/>
          <w:sz w:val="24"/>
          <w:szCs w:val="24"/>
        </w:rPr>
        <w:t>Key words:</w:t>
      </w:r>
      <w:r>
        <w:rPr>
          <w:rFonts w:ascii="Times New Roman" w:hAnsi="Times New Roman"/>
          <w:sz w:val="24"/>
          <w:szCs w:val="24"/>
        </w:rPr>
        <w:t xml:space="preserve">  GTAP data; Estimating technology trends; Baseline forecasting; Updating and validation</w:t>
      </w:r>
    </w:p>
    <w:p w:rsidR="0072488F" w:rsidRDefault="0072488F" w:rsidP="0072488F">
      <w:pPr>
        <w:spacing w:before="0"/>
        <w:ind w:left="567" w:hanging="567"/>
        <w:rPr>
          <w:rFonts w:ascii="Times New Roman" w:hAnsi="Times New Roman"/>
          <w:b/>
          <w:sz w:val="24"/>
          <w:szCs w:val="24"/>
        </w:rPr>
      </w:pPr>
    </w:p>
    <w:p w:rsidR="0072488F" w:rsidRPr="0072488F" w:rsidRDefault="0072488F" w:rsidP="00026883">
      <w:pPr>
        <w:spacing w:before="0"/>
        <w:ind w:left="0"/>
        <w:rPr>
          <w:rFonts w:ascii="Times New Roman" w:hAnsi="Times New Roman"/>
          <w:sz w:val="24"/>
          <w:szCs w:val="24"/>
        </w:rPr>
      </w:pPr>
      <w:r>
        <w:rPr>
          <w:rFonts w:ascii="Times New Roman" w:hAnsi="Times New Roman"/>
          <w:b/>
          <w:sz w:val="24"/>
          <w:szCs w:val="24"/>
        </w:rPr>
        <w:t>Acknowledgements:</w:t>
      </w:r>
      <w:r>
        <w:rPr>
          <w:rFonts w:ascii="Times New Roman" w:hAnsi="Times New Roman"/>
          <w:sz w:val="24"/>
          <w:szCs w:val="24"/>
        </w:rPr>
        <w:t xml:space="preserve">  We thank the U.S. International Trade Commission, the World Trade Organization and Glob</w:t>
      </w:r>
      <w:r w:rsidR="00026883">
        <w:rPr>
          <w:rFonts w:ascii="Times New Roman" w:hAnsi="Times New Roman"/>
          <w:sz w:val="24"/>
          <w:szCs w:val="24"/>
        </w:rPr>
        <w:t xml:space="preserve">al Affairs Canada for financial support that made it possible for us to undertake this project.  Bill Powers, Eddy Bekkers and Shenjie Chen provided helpful advice and encouragement throughout the project, and Tom Hertel helped get us started.  We thank them all.  However, neither they nor their organizations is responsible for any part of this paper.  </w:t>
      </w:r>
    </w:p>
    <w:p w:rsidR="0072488F" w:rsidRDefault="0072488F">
      <w:pPr>
        <w:spacing w:before="0" w:line="240" w:lineRule="auto"/>
        <w:ind w:left="0"/>
        <w:rPr>
          <w:rFonts w:ascii="Times New Roman" w:hAnsi="Times New Roman"/>
          <w:b/>
          <w:sz w:val="24"/>
          <w:szCs w:val="24"/>
        </w:rPr>
      </w:pPr>
      <w:r>
        <w:rPr>
          <w:rFonts w:ascii="Times New Roman" w:hAnsi="Times New Roman"/>
          <w:b/>
          <w:sz w:val="24"/>
          <w:szCs w:val="24"/>
        </w:rPr>
        <w:br w:type="page"/>
      </w:r>
    </w:p>
    <w:p w:rsidR="00622CCE" w:rsidRDefault="00622CCE" w:rsidP="00967B58">
      <w:pPr>
        <w:tabs>
          <w:tab w:val="left" w:pos="1418"/>
          <w:tab w:val="left" w:pos="2268"/>
          <w:tab w:val="right" w:pos="8789"/>
        </w:tabs>
        <w:spacing w:before="0"/>
        <w:ind w:left="0"/>
        <w:jc w:val="center"/>
        <w:rPr>
          <w:rFonts w:ascii="Times New Roman" w:hAnsi="Times New Roman"/>
          <w:b/>
          <w:sz w:val="24"/>
          <w:szCs w:val="24"/>
          <w:lang w:val="en-US"/>
        </w:rPr>
      </w:pPr>
    </w:p>
    <w:p w:rsidR="00102707" w:rsidRDefault="00622CCE" w:rsidP="00967B58">
      <w:pPr>
        <w:tabs>
          <w:tab w:val="left" w:pos="1418"/>
          <w:tab w:val="left" w:pos="2268"/>
          <w:tab w:val="right" w:pos="8789"/>
        </w:tabs>
        <w:spacing w:before="0"/>
        <w:ind w:left="0"/>
        <w:jc w:val="center"/>
        <w:rPr>
          <w:rFonts w:ascii="Times New Roman" w:hAnsi="Times New Roman"/>
          <w:b/>
          <w:sz w:val="24"/>
          <w:szCs w:val="24"/>
          <w:lang w:val="en-US"/>
        </w:rPr>
      </w:pPr>
      <w:r>
        <w:rPr>
          <w:rFonts w:ascii="Times New Roman" w:hAnsi="Times New Roman"/>
          <w:b/>
          <w:sz w:val="24"/>
          <w:szCs w:val="24"/>
          <w:lang w:val="en-US"/>
        </w:rPr>
        <w:t>T</w:t>
      </w:r>
      <w:r w:rsidR="00102707">
        <w:rPr>
          <w:rFonts w:ascii="Times New Roman" w:hAnsi="Times New Roman"/>
          <w:b/>
          <w:sz w:val="24"/>
          <w:szCs w:val="24"/>
          <w:lang w:val="en-US"/>
        </w:rPr>
        <w:t>able of contents</w:t>
      </w:r>
    </w:p>
    <w:p w:rsidR="00102707" w:rsidRDefault="00102707" w:rsidP="00102707">
      <w:pPr>
        <w:tabs>
          <w:tab w:val="left" w:pos="1418"/>
          <w:tab w:val="left" w:pos="2268"/>
          <w:tab w:val="right" w:pos="8789"/>
        </w:tabs>
        <w:ind w:left="0"/>
        <w:rPr>
          <w:rFonts w:ascii="Times New Roman" w:hAnsi="Times New Roman"/>
          <w:b/>
          <w:sz w:val="24"/>
          <w:szCs w:val="24"/>
          <w:lang w:val="en-US"/>
        </w:rPr>
      </w:pPr>
    </w:p>
    <w:p w:rsidR="00102707" w:rsidRDefault="00102707" w:rsidP="00102707">
      <w:pPr>
        <w:tabs>
          <w:tab w:val="left" w:pos="1418"/>
          <w:tab w:val="left" w:pos="2268"/>
          <w:tab w:val="right" w:pos="8789"/>
        </w:tabs>
        <w:ind w:left="0"/>
        <w:rPr>
          <w:rFonts w:ascii="Times New Roman" w:hAnsi="Times New Roman"/>
          <w:b/>
          <w:sz w:val="24"/>
          <w:szCs w:val="24"/>
          <w:lang w:val="en-US"/>
        </w:rPr>
      </w:pPr>
      <w:r w:rsidRPr="00385393">
        <w:rPr>
          <w:rFonts w:ascii="Times New Roman" w:hAnsi="Times New Roman"/>
          <w:b/>
          <w:sz w:val="24"/>
          <w:szCs w:val="24"/>
          <w:lang w:val="en-US"/>
        </w:rPr>
        <w:t>Summary</w:t>
      </w:r>
      <w:r w:rsidRPr="00385393">
        <w:rPr>
          <w:rFonts w:ascii="Times New Roman" w:hAnsi="Times New Roman"/>
          <w:b/>
          <w:sz w:val="24"/>
          <w:szCs w:val="24"/>
          <w:lang w:val="en-US"/>
        </w:rPr>
        <w:tab/>
      </w:r>
      <w:r w:rsidRPr="00385393">
        <w:rPr>
          <w:rFonts w:ascii="Times New Roman" w:hAnsi="Times New Roman"/>
          <w:b/>
          <w:sz w:val="24"/>
          <w:szCs w:val="24"/>
          <w:lang w:val="en-US"/>
        </w:rPr>
        <w:tab/>
      </w:r>
      <w:r w:rsidRPr="00385393">
        <w:rPr>
          <w:rFonts w:ascii="Times New Roman" w:hAnsi="Times New Roman"/>
          <w:b/>
          <w:sz w:val="24"/>
          <w:szCs w:val="24"/>
          <w:lang w:val="en-US"/>
        </w:rPr>
        <w:tab/>
      </w:r>
      <w:r w:rsidR="002D14A6">
        <w:rPr>
          <w:rFonts w:ascii="Times New Roman" w:hAnsi="Times New Roman"/>
          <w:b/>
          <w:sz w:val="24"/>
          <w:szCs w:val="24"/>
          <w:lang w:val="en-US"/>
        </w:rPr>
        <w:t>3</w:t>
      </w: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r w:rsidRPr="00622CCE">
        <w:rPr>
          <w:rFonts w:ascii="Times New Roman" w:hAnsi="Times New Roman"/>
          <w:b/>
          <w:lang w:val="en-US"/>
        </w:rPr>
        <w:t>1.  Introduction</w:t>
      </w:r>
      <w:r w:rsidRPr="00622CCE">
        <w:rPr>
          <w:rFonts w:ascii="Times New Roman" w:hAnsi="Times New Roman"/>
          <w:b/>
          <w:lang w:val="en-US"/>
        </w:rPr>
        <w:tab/>
      </w:r>
      <w:r w:rsidRPr="00622CCE">
        <w:rPr>
          <w:rFonts w:ascii="Times New Roman" w:hAnsi="Times New Roman"/>
          <w:b/>
          <w:lang w:val="en-US"/>
        </w:rPr>
        <w:tab/>
      </w:r>
      <w:r w:rsidR="002D14A6">
        <w:rPr>
          <w:rFonts w:ascii="Times New Roman" w:hAnsi="Times New Roman"/>
          <w:b/>
          <w:lang w:val="en-US"/>
        </w:rPr>
        <w:t>5</w:t>
      </w: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r w:rsidRPr="00622CCE">
        <w:rPr>
          <w:rFonts w:ascii="Times New Roman" w:hAnsi="Times New Roman"/>
          <w:b/>
          <w:lang w:val="en-US"/>
        </w:rPr>
        <w:t>2.  Simulations connecting disjoint years</w:t>
      </w:r>
      <w:r w:rsidRPr="00622CCE">
        <w:rPr>
          <w:rFonts w:ascii="Times New Roman" w:hAnsi="Times New Roman"/>
          <w:b/>
          <w:lang w:val="en-US"/>
        </w:rPr>
        <w:tab/>
      </w:r>
      <w:r w:rsidR="002D14A6">
        <w:rPr>
          <w:rFonts w:ascii="Times New Roman" w:hAnsi="Times New Roman"/>
          <w:b/>
          <w:lang w:val="en-US"/>
        </w:rPr>
        <w:t>6</w:t>
      </w:r>
    </w:p>
    <w:p w:rsidR="00102707" w:rsidRPr="00622CCE" w:rsidRDefault="00102707" w:rsidP="00622CCE">
      <w:pPr>
        <w:tabs>
          <w:tab w:val="left" w:pos="851"/>
          <w:tab w:val="left" w:pos="2268"/>
          <w:tab w:val="right" w:pos="8789"/>
        </w:tabs>
        <w:spacing w:before="0"/>
        <w:ind w:left="0"/>
        <w:rPr>
          <w:rFonts w:ascii="Times New Roman" w:hAnsi="Times New Roman"/>
        </w:rPr>
      </w:pP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r w:rsidRPr="00622CCE">
        <w:rPr>
          <w:rFonts w:ascii="Times New Roman" w:hAnsi="Times New Roman"/>
          <w:b/>
        </w:rPr>
        <w:t xml:space="preserve">3.  </w:t>
      </w:r>
      <w:r w:rsidRPr="00622CCE">
        <w:rPr>
          <w:rFonts w:ascii="Times New Roman" w:hAnsi="Times New Roman"/>
          <w:b/>
          <w:lang w:val="en-US"/>
        </w:rPr>
        <w:t>The standard long-run closure</w:t>
      </w:r>
      <w:r w:rsidRPr="00622CCE">
        <w:rPr>
          <w:rFonts w:ascii="Times New Roman" w:hAnsi="Times New Roman"/>
          <w:b/>
          <w:lang w:val="en-US"/>
        </w:rPr>
        <w:tab/>
      </w:r>
      <w:r w:rsidR="002D14A6">
        <w:rPr>
          <w:rFonts w:ascii="Times New Roman" w:hAnsi="Times New Roman"/>
          <w:b/>
          <w:lang w:val="en-US"/>
        </w:rPr>
        <w:t>8</w:t>
      </w: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p>
    <w:p w:rsidR="00102707" w:rsidRPr="00622CCE" w:rsidRDefault="00102707" w:rsidP="00622CCE">
      <w:pPr>
        <w:tabs>
          <w:tab w:val="left" w:pos="284"/>
          <w:tab w:val="left" w:pos="1418"/>
          <w:tab w:val="left" w:pos="2268"/>
          <w:tab w:val="right" w:pos="8789"/>
        </w:tabs>
        <w:spacing w:before="0"/>
        <w:ind w:left="0"/>
        <w:rPr>
          <w:rFonts w:ascii="Times New Roman" w:hAnsi="Times New Roman"/>
          <w:b/>
          <w:lang w:val="en-US"/>
        </w:rPr>
      </w:pPr>
      <w:r w:rsidRPr="00622CCE">
        <w:rPr>
          <w:rFonts w:ascii="Times New Roman" w:hAnsi="Times New Roman"/>
          <w:b/>
        </w:rPr>
        <w:t xml:space="preserve">4.  </w:t>
      </w:r>
      <w:r w:rsidRPr="00622CCE">
        <w:rPr>
          <w:rFonts w:ascii="Times New Roman" w:hAnsi="Times New Roman"/>
          <w:b/>
          <w:lang w:val="en-US"/>
        </w:rPr>
        <w:t>The 2014-19 historical simulation: updating the GTAP database</w:t>
      </w:r>
      <w:r w:rsidRPr="00622CCE">
        <w:rPr>
          <w:rFonts w:ascii="Times New Roman" w:hAnsi="Times New Roman"/>
          <w:b/>
          <w:lang w:val="en-US"/>
        </w:rPr>
        <w:tab/>
      </w:r>
      <w:r w:rsidR="002D14A6">
        <w:rPr>
          <w:rFonts w:ascii="Times New Roman" w:hAnsi="Times New Roman"/>
          <w:b/>
          <w:lang w:val="en-US"/>
        </w:rPr>
        <w:t>9</w:t>
      </w:r>
    </w:p>
    <w:p w:rsidR="00102707" w:rsidRPr="00622CCE" w:rsidRDefault="00102707"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Pr="00622CCE">
        <w:rPr>
          <w:rFonts w:ascii="Times New Roman" w:hAnsi="Times New Roman"/>
          <w:b/>
          <w:i/>
          <w:lang w:val="en-US"/>
        </w:rPr>
        <w:t xml:space="preserve">4.1.  </w:t>
      </w:r>
      <w:r w:rsidRPr="00622CCE">
        <w:rPr>
          <w:rFonts w:ascii="Times New Roman" w:hAnsi="Times New Roman"/>
          <w:b/>
          <w:i/>
        </w:rPr>
        <w:t>Bringing in data for 2014-2019: explanation of the 1</w:t>
      </w:r>
      <w:r w:rsidR="00E57197">
        <w:rPr>
          <w:rFonts w:ascii="Times New Roman" w:hAnsi="Times New Roman"/>
          <w:b/>
          <w:i/>
        </w:rPr>
        <w:t>9</w:t>
      </w:r>
      <w:r w:rsidRPr="00622CCE">
        <w:rPr>
          <w:rFonts w:ascii="Times New Roman" w:hAnsi="Times New Roman"/>
          <w:b/>
          <w:i/>
        </w:rPr>
        <w:t xml:space="preserve"> steps (panels) </w:t>
      </w:r>
      <w:r w:rsidR="00277C7A" w:rsidRPr="00622CCE">
        <w:rPr>
          <w:rFonts w:ascii="Times New Roman" w:hAnsi="Times New Roman"/>
          <w:b/>
          <w:i/>
        </w:rPr>
        <w:t>i</w:t>
      </w:r>
      <w:r w:rsidRPr="00622CCE">
        <w:rPr>
          <w:rFonts w:ascii="Times New Roman" w:hAnsi="Times New Roman"/>
          <w:b/>
          <w:i/>
        </w:rPr>
        <w:t>n Table 4.1</w:t>
      </w:r>
      <w:r w:rsidRPr="00622CCE">
        <w:rPr>
          <w:rFonts w:ascii="Times New Roman" w:hAnsi="Times New Roman"/>
          <w:b/>
          <w:i/>
        </w:rPr>
        <w:tab/>
      </w:r>
      <w:r w:rsidR="002D14A6">
        <w:rPr>
          <w:rFonts w:ascii="Times New Roman" w:hAnsi="Times New Roman"/>
          <w:b/>
        </w:rPr>
        <w:t>9</w:t>
      </w:r>
    </w:p>
    <w:p w:rsidR="00277C7A" w:rsidRPr="00622CCE" w:rsidRDefault="00277C7A"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Pr="00622CCE">
        <w:rPr>
          <w:rFonts w:ascii="Times New Roman" w:hAnsi="Times New Roman"/>
          <w:b/>
          <w:i/>
          <w:lang w:val="en-US"/>
        </w:rPr>
        <w:t xml:space="preserve">4.2.  </w:t>
      </w:r>
      <w:r w:rsidRPr="00622CCE">
        <w:rPr>
          <w:rFonts w:ascii="Times New Roman" w:hAnsi="Times New Roman"/>
          <w:b/>
          <w:i/>
        </w:rPr>
        <w:t xml:space="preserve">Results from the </w:t>
      </w:r>
      <w:r w:rsidR="00792147" w:rsidRPr="00622CCE">
        <w:rPr>
          <w:rFonts w:ascii="Times New Roman" w:hAnsi="Times New Roman"/>
          <w:b/>
          <w:i/>
        </w:rPr>
        <w:t>2014-2019</w:t>
      </w:r>
      <w:r w:rsidR="00792147">
        <w:rPr>
          <w:rFonts w:ascii="Times New Roman" w:hAnsi="Times New Roman"/>
          <w:b/>
          <w:i/>
        </w:rPr>
        <w:t xml:space="preserve"> </w:t>
      </w:r>
      <w:r w:rsidRPr="00622CCE">
        <w:rPr>
          <w:rFonts w:ascii="Times New Roman" w:hAnsi="Times New Roman"/>
          <w:b/>
          <w:i/>
        </w:rPr>
        <w:t>historical simulation</w:t>
      </w:r>
      <w:r w:rsidRPr="00622CCE">
        <w:rPr>
          <w:rFonts w:ascii="Times New Roman" w:hAnsi="Times New Roman"/>
          <w:b/>
          <w:i/>
        </w:rPr>
        <w:tab/>
      </w:r>
      <w:r w:rsidRPr="00622CCE">
        <w:rPr>
          <w:rFonts w:ascii="Times New Roman" w:hAnsi="Times New Roman"/>
          <w:b/>
        </w:rPr>
        <w:t>2</w:t>
      </w:r>
      <w:r w:rsidR="002D14A6">
        <w:rPr>
          <w:rFonts w:ascii="Times New Roman" w:hAnsi="Times New Roman"/>
          <w:b/>
        </w:rPr>
        <w:t>3</w:t>
      </w: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p>
    <w:p w:rsidR="00102707" w:rsidRPr="00622CCE" w:rsidRDefault="00277C7A" w:rsidP="00622CCE">
      <w:pPr>
        <w:tabs>
          <w:tab w:val="left" w:pos="284"/>
          <w:tab w:val="left" w:pos="1418"/>
          <w:tab w:val="left" w:pos="2268"/>
          <w:tab w:val="right" w:pos="8789"/>
        </w:tabs>
        <w:spacing w:before="0"/>
        <w:ind w:left="0"/>
        <w:rPr>
          <w:rFonts w:ascii="Times New Roman" w:hAnsi="Times New Roman"/>
          <w:b/>
          <w:lang w:val="en-US"/>
        </w:rPr>
      </w:pPr>
      <w:r w:rsidRPr="00622CCE">
        <w:rPr>
          <w:rFonts w:ascii="Times New Roman" w:hAnsi="Times New Roman"/>
          <w:b/>
        </w:rPr>
        <w:t>5</w:t>
      </w:r>
      <w:r w:rsidR="00102707" w:rsidRPr="00622CCE">
        <w:rPr>
          <w:rFonts w:ascii="Times New Roman" w:hAnsi="Times New Roman"/>
          <w:b/>
        </w:rPr>
        <w:t xml:space="preserve">.  </w:t>
      </w:r>
      <w:r w:rsidRPr="00622CCE">
        <w:rPr>
          <w:rFonts w:ascii="Times New Roman" w:hAnsi="Times New Roman"/>
          <w:b/>
          <w:lang w:val="en-US"/>
        </w:rPr>
        <w:t>Setting up the baseline simulations for 2019-30, 2030-40 and 2040-50</w:t>
      </w:r>
      <w:r w:rsidR="00102707" w:rsidRPr="00622CCE">
        <w:rPr>
          <w:rFonts w:ascii="Times New Roman" w:hAnsi="Times New Roman"/>
          <w:b/>
          <w:lang w:val="en-US"/>
        </w:rPr>
        <w:tab/>
      </w:r>
      <w:r w:rsidR="002D14A6">
        <w:rPr>
          <w:rFonts w:ascii="Times New Roman" w:hAnsi="Times New Roman"/>
          <w:b/>
          <w:lang w:val="en-US"/>
        </w:rPr>
        <w:t>30</w:t>
      </w:r>
    </w:p>
    <w:p w:rsidR="00277C7A" w:rsidRPr="00622CCE" w:rsidRDefault="00277C7A"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Pr="00622CCE">
        <w:rPr>
          <w:rFonts w:ascii="Times New Roman" w:hAnsi="Times New Roman"/>
          <w:b/>
          <w:i/>
          <w:lang w:val="en-US"/>
        </w:rPr>
        <w:t xml:space="preserve">5.1.  </w:t>
      </w:r>
      <w:r w:rsidRPr="00622CCE">
        <w:rPr>
          <w:rFonts w:ascii="Times New Roman" w:hAnsi="Times New Roman"/>
          <w:b/>
          <w:i/>
        </w:rPr>
        <w:t>The 2019-30 simulation: explanation of the 7 steps (panels)</w:t>
      </w:r>
      <w:r w:rsidR="00792147">
        <w:rPr>
          <w:rFonts w:ascii="Times New Roman" w:hAnsi="Times New Roman"/>
          <w:b/>
          <w:i/>
        </w:rPr>
        <w:t xml:space="preserve"> </w:t>
      </w:r>
      <w:r w:rsidRPr="00622CCE">
        <w:rPr>
          <w:rFonts w:ascii="Times New Roman" w:hAnsi="Times New Roman"/>
          <w:b/>
          <w:i/>
        </w:rPr>
        <w:t>in Table 5.1</w:t>
      </w:r>
      <w:r w:rsidRPr="00622CCE">
        <w:rPr>
          <w:rFonts w:ascii="Times New Roman" w:hAnsi="Times New Roman"/>
          <w:b/>
          <w:i/>
        </w:rPr>
        <w:tab/>
      </w:r>
      <w:r w:rsidR="002D14A6">
        <w:rPr>
          <w:rFonts w:ascii="Times New Roman" w:hAnsi="Times New Roman"/>
          <w:b/>
        </w:rPr>
        <w:t>30</w:t>
      </w:r>
    </w:p>
    <w:p w:rsidR="00277C7A" w:rsidRPr="00622CCE" w:rsidRDefault="00277C7A"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Pr="00622CCE">
        <w:rPr>
          <w:rFonts w:ascii="Times New Roman" w:hAnsi="Times New Roman"/>
          <w:b/>
          <w:i/>
          <w:lang w:val="en-US"/>
        </w:rPr>
        <w:t xml:space="preserve">5.2.  </w:t>
      </w:r>
      <w:r w:rsidRPr="00622CCE">
        <w:rPr>
          <w:rFonts w:ascii="Times New Roman" w:hAnsi="Times New Roman"/>
          <w:b/>
          <w:i/>
        </w:rPr>
        <w:t>The 2030-40 and 2040-50 simulations</w:t>
      </w:r>
      <w:r w:rsidRPr="00622CCE">
        <w:rPr>
          <w:rFonts w:ascii="Times New Roman" w:hAnsi="Times New Roman"/>
          <w:b/>
          <w:i/>
        </w:rPr>
        <w:tab/>
      </w:r>
      <w:r w:rsidRPr="00622CCE">
        <w:rPr>
          <w:rFonts w:ascii="Times New Roman" w:hAnsi="Times New Roman"/>
          <w:b/>
        </w:rPr>
        <w:t>3</w:t>
      </w:r>
      <w:r w:rsidR="002D14A6">
        <w:rPr>
          <w:rFonts w:ascii="Times New Roman" w:hAnsi="Times New Roman"/>
          <w:b/>
        </w:rPr>
        <w:t>5</w:t>
      </w:r>
    </w:p>
    <w:p w:rsidR="00102707" w:rsidRPr="00622CCE" w:rsidRDefault="00102707" w:rsidP="00622CCE">
      <w:pPr>
        <w:tabs>
          <w:tab w:val="left" w:pos="1418"/>
          <w:tab w:val="left" w:pos="2268"/>
          <w:tab w:val="right" w:pos="8789"/>
        </w:tabs>
        <w:spacing w:before="0"/>
        <w:ind w:left="0"/>
        <w:rPr>
          <w:rFonts w:ascii="Times New Roman" w:hAnsi="Times New Roman"/>
          <w:b/>
          <w:lang w:val="en-US"/>
        </w:rPr>
      </w:pPr>
    </w:p>
    <w:p w:rsidR="00102707" w:rsidRPr="00622CCE" w:rsidRDefault="00277C7A" w:rsidP="00622CCE">
      <w:pPr>
        <w:tabs>
          <w:tab w:val="left" w:pos="284"/>
          <w:tab w:val="left" w:pos="1418"/>
          <w:tab w:val="left" w:pos="2268"/>
          <w:tab w:val="right" w:pos="8789"/>
        </w:tabs>
        <w:spacing w:before="0"/>
        <w:ind w:left="0"/>
        <w:rPr>
          <w:rFonts w:ascii="Times New Roman" w:hAnsi="Times New Roman"/>
          <w:b/>
          <w:lang w:val="en-US"/>
        </w:rPr>
      </w:pPr>
      <w:r w:rsidRPr="00622CCE">
        <w:rPr>
          <w:rFonts w:ascii="Times New Roman" w:hAnsi="Times New Roman"/>
          <w:b/>
        </w:rPr>
        <w:t>6</w:t>
      </w:r>
      <w:r w:rsidR="00102707" w:rsidRPr="00622CCE">
        <w:rPr>
          <w:rFonts w:ascii="Times New Roman" w:hAnsi="Times New Roman"/>
          <w:b/>
        </w:rPr>
        <w:t xml:space="preserve">.  </w:t>
      </w:r>
      <w:r w:rsidRPr="00622CCE">
        <w:rPr>
          <w:rFonts w:ascii="Times New Roman" w:hAnsi="Times New Roman"/>
          <w:b/>
          <w:lang w:val="en-US"/>
        </w:rPr>
        <w:t>Results: baseline projections for 2019-30, 2030-40 and 2040-50</w:t>
      </w:r>
      <w:r w:rsidR="00102707" w:rsidRPr="00622CCE">
        <w:rPr>
          <w:rFonts w:ascii="Times New Roman" w:hAnsi="Times New Roman"/>
          <w:b/>
          <w:lang w:val="en-US"/>
        </w:rPr>
        <w:tab/>
      </w:r>
      <w:r w:rsidRPr="00622CCE">
        <w:rPr>
          <w:rFonts w:ascii="Times New Roman" w:hAnsi="Times New Roman"/>
          <w:b/>
          <w:lang w:val="en-US"/>
        </w:rPr>
        <w:t>3</w:t>
      </w:r>
      <w:r w:rsidR="002D14A6">
        <w:rPr>
          <w:rFonts w:ascii="Times New Roman" w:hAnsi="Times New Roman"/>
          <w:b/>
          <w:lang w:val="en-US"/>
        </w:rPr>
        <w:t>6</w:t>
      </w:r>
    </w:p>
    <w:p w:rsidR="00277C7A" w:rsidRPr="00622CCE" w:rsidRDefault="00277C7A"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Pr="00622CCE">
        <w:rPr>
          <w:rFonts w:ascii="Times New Roman" w:hAnsi="Times New Roman"/>
          <w:b/>
          <w:i/>
          <w:lang w:val="en-US"/>
        </w:rPr>
        <w:t xml:space="preserve">6.1.  </w:t>
      </w:r>
      <w:r w:rsidRPr="00622CCE">
        <w:rPr>
          <w:rFonts w:ascii="Times New Roman" w:hAnsi="Times New Roman"/>
          <w:b/>
          <w:i/>
        </w:rPr>
        <w:t>Real GDP, factor inputs and prices, and technology (Table 6.1)</w:t>
      </w:r>
      <w:r w:rsidRPr="00622CCE">
        <w:rPr>
          <w:rFonts w:ascii="Times New Roman" w:hAnsi="Times New Roman"/>
          <w:b/>
          <w:i/>
        </w:rPr>
        <w:tab/>
      </w:r>
      <w:r w:rsidRPr="00622CCE">
        <w:rPr>
          <w:rFonts w:ascii="Times New Roman" w:hAnsi="Times New Roman"/>
          <w:b/>
        </w:rPr>
        <w:t>3</w:t>
      </w:r>
      <w:r w:rsidR="002D14A6">
        <w:rPr>
          <w:rFonts w:ascii="Times New Roman" w:hAnsi="Times New Roman"/>
          <w:b/>
        </w:rPr>
        <w:t>6</w:t>
      </w:r>
    </w:p>
    <w:p w:rsidR="00277C7A" w:rsidRPr="00622CCE" w:rsidRDefault="00277C7A"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Pr="00622CCE">
        <w:rPr>
          <w:rFonts w:ascii="Times New Roman" w:hAnsi="Times New Roman"/>
          <w:b/>
          <w:i/>
          <w:lang w:val="en-US"/>
        </w:rPr>
        <w:t xml:space="preserve">6.2.  </w:t>
      </w:r>
      <w:r w:rsidRPr="00622CCE">
        <w:rPr>
          <w:rFonts w:ascii="Times New Roman" w:hAnsi="Times New Roman"/>
          <w:b/>
          <w:i/>
        </w:rPr>
        <w:t>Real GDP and expenditure components (Table 6.2) and</w:t>
      </w:r>
      <w:r w:rsidRPr="00622CCE">
        <w:rPr>
          <w:rFonts w:ascii="Times New Roman" w:hAnsi="Times New Roman"/>
          <w:b/>
          <w:i/>
        </w:rPr>
        <w:tab/>
      </w:r>
    </w:p>
    <w:p w:rsidR="00277C7A" w:rsidRPr="00622CCE" w:rsidRDefault="00277C7A"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i/>
        </w:rPr>
        <w:tab/>
        <w:t xml:space="preserve">       the terms of trade (Table 6.3)</w:t>
      </w:r>
      <w:r w:rsidRPr="00622CCE">
        <w:rPr>
          <w:rFonts w:ascii="Times New Roman" w:hAnsi="Times New Roman"/>
          <w:b/>
        </w:rPr>
        <w:tab/>
        <w:t>3</w:t>
      </w:r>
      <w:r w:rsidR="002D14A6">
        <w:rPr>
          <w:rFonts w:ascii="Times New Roman" w:hAnsi="Times New Roman"/>
          <w:b/>
        </w:rPr>
        <w:t>8</w:t>
      </w:r>
    </w:p>
    <w:p w:rsidR="00B213EA" w:rsidRPr="00622CCE" w:rsidRDefault="00B213EA" w:rsidP="00622CCE">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Pr="00622CCE">
        <w:rPr>
          <w:rFonts w:ascii="Times New Roman" w:hAnsi="Times New Roman"/>
          <w:b/>
          <w:i/>
          <w:lang w:val="en-US"/>
        </w:rPr>
        <w:t xml:space="preserve">6.3.  </w:t>
      </w:r>
      <w:r w:rsidRPr="00622CCE">
        <w:rPr>
          <w:rFonts w:ascii="Times New Roman" w:hAnsi="Times New Roman"/>
          <w:b/>
          <w:i/>
        </w:rPr>
        <w:t>Fossil fuel variables (Tables 6.</w:t>
      </w:r>
      <w:r w:rsidR="004B4721">
        <w:rPr>
          <w:rFonts w:ascii="Times New Roman" w:hAnsi="Times New Roman"/>
          <w:b/>
          <w:i/>
        </w:rPr>
        <w:t>5</w:t>
      </w:r>
      <w:r w:rsidRPr="00622CCE">
        <w:rPr>
          <w:rFonts w:ascii="Times New Roman" w:hAnsi="Times New Roman"/>
          <w:b/>
          <w:i/>
        </w:rPr>
        <w:t xml:space="preserve"> and 6.</w:t>
      </w:r>
      <w:r w:rsidR="004B4721">
        <w:rPr>
          <w:rFonts w:ascii="Times New Roman" w:hAnsi="Times New Roman"/>
          <w:b/>
          <w:i/>
        </w:rPr>
        <w:t>6</w:t>
      </w:r>
      <w:r w:rsidRPr="00622CCE">
        <w:rPr>
          <w:rFonts w:ascii="Times New Roman" w:hAnsi="Times New Roman"/>
          <w:b/>
          <w:i/>
        </w:rPr>
        <w:t>)</w:t>
      </w:r>
      <w:r w:rsidRPr="00622CCE">
        <w:rPr>
          <w:rFonts w:ascii="Times New Roman" w:hAnsi="Times New Roman"/>
          <w:b/>
          <w:i/>
        </w:rPr>
        <w:tab/>
      </w:r>
      <w:r w:rsidRPr="00622CCE">
        <w:rPr>
          <w:rFonts w:ascii="Times New Roman" w:hAnsi="Times New Roman"/>
          <w:b/>
        </w:rPr>
        <w:t>4</w:t>
      </w:r>
      <w:r w:rsidR="002D14A6">
        <w:rPr>
          <w:rFonts w:ascii="Times New Roman" w:hAnsi="Times New Roman"/>
          <w:b/>
        </w:rPr>
        <w:t>3</w:t>
      </w:r>
    </w:p>
    <w:p w:rsidR="00B213EA" w:rsidRPr="00622CCE" w:rsidRDefault="00B213EA" w:rsidP="00622CCE">
      <w:pPr>
        <w:tabs>
          <w:tab w:val="left" w:pos="284"/>
          <w:tab w:val="left" w:pos="1418"/>
          <w:tab w:val="left" w:pos="2268"/>
          <w:tab w:val="right" w:pos="8789"/>
        </w:tabs>
        <w:spacing w:before="0"/>
        <w:ind w:left="0"/>
        <w:rPr>
          <w:rFonts w:ascii="Times New Roman" w:hAnsi="Times New Roman"/>
          <w:b/>
        </w:rPr>
      </w:pPr>
    </w:p>
    <w:p w:rsidR="00543510" w:rsidRPr="00622CCE" w:rsidRDefault="00543510" w:rsidP="00543510">
      <w:pPr>
        <w:tabs>
          <w:tab w:val="left" w:pos="284"/>
          <w:tab w:val="left" w:pos="1418"/>
          <w:tab w:val="left" w:pos="2268"/>
          <w:tab w:val="right" w:pos="8789"/>
        </w:tabs>
        <w:spacing w:before="0"/>
        <w:ind w:left="0"/>
        <w:rPr>
          <w:rFonts w:ascii="Times New Roman" w:hAnsi="Times New Roman"/>
          <w:b/>
          <w:lang w:val="en-US"/>
        </w:rPr>
      </w:pPr>
      <w:r>
        <w:rPr>
          <w:rFonts w:ascii="Times New Roman" w:hAnsi="Times New Roman"/>
          <w:b/>
        </w:rPr>
        <w:t>7</w:t>
      </w:r>
      <w:r w:rsidRPr="00622CCE">
        <w:rPr>
          <w:rFonts w:ascii="Times New Roman" w:hAnsi="Times New Roman"/>
          <w:b/>
        </w:rPr>
        <w:t xml:space="preserve">.  </w:t>
      </w:r>
      <w:r w:rsidR="004507E0">
        <w:rPr>
          <w:rFonts w:ascii="Times New Roman" w:hAnsi="Times New Roman"/>
          <w:b/>
          <w:lang w:val="en-US"/>
        </w:rPr>
        <w:t>Output by industry: illustrative results for Canada</w:t>
      </w:r>
      <w:r w:rsidRPr="00622CCE">
        <w:rPr>
          <w:rFonts w:ascii="Times New Roman" w:hAnsi="Times New Roman"/>
          <w:b/>
          <w:lang w:val="en-US"/>
        </w:rPr>
        <w:tab/>
      </w:r>
      <w:r w:rsidR="004B4721">
        <w:rPr>
          <w:rFonts w:ascii="Times New Roman" w:hAnsi="Times New Roman"/>
          <w:b/>
          <w:lang w:val="en-US"/>
        </w:rPr>
        <w:t>4</w:t>
      </w:r>
      <w:r w:rsidR="002D14A6">
        <w:rPr>
          <w:rFonts w:ascii="Times New Roman" w:hAnsi="Times New Roman"/>
          <w:b/>
          <w:lang w:val="en-US"/>
        </w:rPr>
        <w:t>3</w:t>
      </w:r>
    </w:p>
    <w:p w:rsidR="00543510" w:rsidRPr="00622CCE" w:rsidRDefault="00543510" w:rsidP="00543510">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004507E0">
        <w:rPr>
          <w:rFonts w:ascii="Times New Roman" w:hAnsi="Times New Roman"/>
          <w:b/>
          <w:i/>
          <w:lang w:val="en-US"/>
        </w:rPr>
        <w:t>7</w:t>
      </w:r>
      <w:r w:rsidRPr="00622CCE">
        <w:rPr>
          <w:rFonts w:ascii="Times New Roman" w:hAnsi="Times New Roman"/>
          <w:b/>
          <w:i/>
          <w:lang w:val="en-US"/>
        </w:rPr>
        <w:t xml:space="preserve">.1.  </w:t>
      </w:r>
      <w:r w:rsidR="004507E0">
        <w:rPr>
          <w:rFonts w:ascii="Times New Roman" w:hAnsi="Times New Roman"/>
          <w:b/>
          <w:i/>
        </w:rPr>
        <w:t>A decomposition framework for interpreting industry resu</w:t>
      </w:r>
      <w:r w:rsidR="00967B58">
        <w:rPr>
          <w:rFonts w:ascii="Times New Roman" w:hAnsi="Times New Roman"/>
          <w:b/>
          <w:i/>
        </w:rPr>
        <w:t>l</w:t>
      </w:r>
      <w:r w:rsidR="004507E0">
        <w:rPr>
          <w:rFonts w:ascii="Times New Roman" w:hAnsi="Times New Roman"/>
          <w:b/>
          <w:i/>
        </w:rPr>
        <w:t>ts</w:t>
      </w:r>
      <w:r w:rsidRPr="00622CCE">
        <w:rPr>
          <w:rFonts w:ascii="Times New Roman" w:hAnsi="Times New Roman"/>
          <w:b/>
          <w:i/>
        </w:rPr>
        <w:tab/>
      </w:r>
      <w:r w:rsidR="004B4721">
        <w:rPr>
          <w:rFonts w:ascii="Times New Roman" w:hAnsi="Times New Roman"/>
          <w:b/>
        </w:rPr>
        <w:t>4</w:t>
      </w:r>
      <w:r w:rsidR="002D14A6">
        <w:rPr>
          <w:rFonts w:ascii="Times New Roman" w:hAnsi="Times New Roman"/>
          <w:b/>
        </w:rPr>
        <w:t>7</w:t>
      </w:r>
    </w:p>
    <w:p w:rsidR="00543510" w:rsidRPr="00622CCE" w:rsidRDefault="00543510" w:rsidP="00543510">
      <w:pPr>
        <w:tabs>
          <w:tab w:val="left" w:pos="426"/>
          <w:tab w:val="left" w:pos="2268"/>
          <w:tab w:val="right" w:pos="8789"/>
        </w:tabs>
        <w:spacing w:before="0"/>
        <w:ind w:left="0"/>
        <w:rPr>
          <w:rFonts w:ascii="Times New Roman" w:hAnsi="Times New Roman"/>
          <w:b/>
        </w:rPr>
      </w:pPr>
      <w:r w:rsidRPr="00622CCE">
        <w:rPr>
          <w:rFonts w:ascii="Times New Roman" w:hAnsi="Times New Roman"/>
          <w:b/>
          <w:lang w:val="en-US"/>
        </w:rPr>
        <w:tab/>
      </w:r>
      <w:r w:rsidR="004507E0">
        <w:rPr>
          <w:rFonts w:ascii="Times New Roman" w:hAnsi="Times New Roman"/>
          <w:b/>
          <w:i/>
          <w:lang w:val="en-US"/>
        </w:rPr>
        <w:t>7</w:t>
      </w:r>
      <w:r w:rsidRPr="00622CCE">
        <w:rPr>
          <w:rFonts w:ascii="Times New Roman" w:hAnsi="Times New Roman"/>
          <w:b/>
          <w:i/>
          <w:lang w:val="en-US"/>
        </w:rPr>
        <w:t xml:space="preserve">.2.  </w:t>
      </w:r>
      <w:r w:rsidR="004507E0">
        <w:rPr>
          <w:rFonts w:ascii="Times New Roman" w:hAnsi="Times New Roman"/>
          <w:b/>
          <w:i/>
        </w:rPr>
        <w:t>Simulated growth rates in Canadian industries</w:t>
      </w:r>
      <w:r w:rsidRPr="00622CCE">
        <w:rPr>
          <w:rFonts w:ascii="Times New Roman" w:hAnsi="Times New Roman"/>
          <w:b/>
        </w:rPr>
        <w:tab/>
      </w:r>
      <w:r w:rsidR="004B4721">
        <w:rPr>
          <w:rFonts w:ascii="Times New Roman" w:hAnsi="Times New Roman"/>
          <w:b/>
        </w:rPr>
        <w:t>47</w:t>
      </w:r>
    </w:p>
    <w:p w:rsidR="00543510" w:rsidRDefault="00543510" w:rsidP="00622CCE">
      <w:pPr>
        <w:tabs>
          <w:tab w:val="left" w:pos="284"/>
          <w:tab w:val="left" w:pos="1418"/>
          <w:tab w:val="left" w:pos="2268"/>
          <w:tab w:val="right" w:pos="8789"/>
        </w:tabs>
        <w:spacing w:before="0"/>
        <w:ind w:left="0"/>
        <w:rPr>
          <w:rFonts w:ascii="Times New Roman" w:hAnsi="Times New Roman"/>
          <w:b/>
        </w:rPr>
      </w:pPr>
    </w:p>
    <w:p w:rsidR="00277C7A" w:rsidRPr="00622CCE" w:rsidRDefault="00543510" w:rsidP="00622CCE">
      <w:pPr>
        <w:tabs>
          <w:tab w:val="left" w:pos="284"/>
          <w:tab w:val="left" w:pos="1418"/>
          <w:tab w:val="left" w:pos="2268"/>
          <w:tab w:val="right" w:pos="8789"/>
        </w:tabs>
        <w:spacing w:before="0"/>
        <w:ind w:left="0"/>
        <w:rPr>
          <w:rFonts w:ascii="Times New Roman" w:hAnsi="Times New Roman"/>
          <w:b/>
          <w:lang w:val="en-US"/>
        </w:rPr>
      </w:pPr>
      <w:r>
        <w:rPr>
          <w:rFonts w:ascii="Times New Roman" w:hAnsi="Times New Roman"/>
          <w:b/>
        </w:rPr>
        <w:t>8</w:t>
      </w:r>
      <w:r w:rsidR="00277C7A" w:rsidRPr="00622CCE">
        <w:rPr>
          <w:rFonts w:ascii="Times New Roman" w:hAnsi="Times New Roman"/>
          <w:b/>
        </w:rPr>
        <w:t xml:space="preserve">.  </w:t>
      </w:r>
      <w:r w:rsidR="00277C7A" w:rsidRPr="00622CCE">
        <w:rPr>
          <w:rFonts w:ascii="Times New Roman" w:hAnsi="Times New Roman"/>
          <w:b/>
          <w:lang w:val="en-US"/>
        </w:rPr>
        <w:t>Concluding remarks</w:t>
      </w:r>
      <w:r w:rsidR="00277C7A" w:rsidRPr="00622CCE">
        <w:rPr>
          <w:rFonts w:ascii="Times New Roman" w:hAnsi="Times New Roman"/>
          <w:b/>
          <w:lang w:val="en-US"/>
        </w:rPr>
        <w:tab/>
      </w:r>
      <w:r w:rsidR="00622CCE">
        <w:rPr>
          <w:rFonts w:ascii="Times New Roman" w:hAnsi="Times New Roman"/>
          <w:b/>
          <w:lang w:val="en-US"/>
        </w:rPr>
        <w:tab/>
      </w:r>
      <w:r w:rsidR="004B4721">
        <w:rPr>
          <w:rFonts w:ascii="Times New Roman" w:hAnsi="Times New Roman"/>
          <w:b/>
          <w:lang w:val="en-US"/>
        </w:rPr>
        <w:t>5</w:t>
      </w:r>
      <w:r w:rsidR="002D14A6">
        <w:rPr>
          <w:rFonts w:ascii="Times New Roman" w:hAnsi="Times New Roman"/>
          <w:b/>
          <w:lang w:val="en-US"/>
        </w:rPr>
        <w:t>8</w:t>
      </w:r>
    </w:p>
    <w:p w:rsidR="00277C7A" w:rsidRPr="00622CCE" w:rsidRDefault="00277C7A" w:rsidP="00622CCE">
      <w:pPr>
        <w:tabs>
          <w:tab w:val="left" w:pos="284"/>
          <w:tab w:val="left" w:pos="1418"/>
          <w:tab w:val="left" w:pos="2268"/>
          <w:tab w:val="right" w:pos="8789"/>
        </w:tabs>
        <w:spacing w:before="0"/>
        <w:ind w:left="0"/>
        <w:rPr>
          <w:rFonts w:ascii="Times New Roman" w:hAnsi="Times New Roman"/>
          <w:b/>
          <w:lang w:val="en-US"/>
        </w:rPr>
      </w:pPr>
    </w:p>
    <w:p w:rsidR="00102707" w:rsidRPr="00622CCE" w:rsidRDefault="00102707" w:rsidP="00622CCE">
      <w:pPr>
        <w:tabs>
          <w:tab w:val="left" w:pos="284"/>
          <w:tab w:val="left" w:pos="1418"/>
          <w:tab w:val="left" w:pos="2268"/>
          <w:tab w:val="right" w:pos="8789"/>
        </w:tabs>
        <w:spacing w:before="0"/>
        <w:ind w:left="0"/>
        <w:rPr>
          <w:rFonts w:ascii="Times New Roman" w:hAnsi="Times New Roman"/>
          <w:b/>
        </w:rPr>
      </w:pPr>
      <w:r w:rsidRPr="00622CCE">
        <w:rPr>
          <w:rFonts w:ascii="Times New Roman" w:hAnsi="Times New Roman"/>
          <w:b/>
          <w:lang w:val="en-US"/>
        </w:rPr>
        <w:t xml:space="preserve">References  </w:t>
      </w:r>
      <w:r w:rsidRPr="00622CCE">
        <w:rPr>
          <w:rFonts w:ascii="Times New Roman" w:hAnsi="Times New Roman"/>
          <w:b/>
          <w:lang w:val="en-US"/>
        </w:rPr>
        <w:tab/>
      </w:r>
      <w:r w:rsidRPr="00622CCE">
        <w:rPr>
          <w:rFonts w:ascii="Times New Roman" w:hAnsi="Times New Roman"/>
          <w:b/>
          <w:lang w:val="en-US"/>
        </w:rPr>
        <w:tab/>
      </w:r>
      <w:r w:rsidRPr="00622CCE">
        <w:rPr>
          <w:rFonts w:ascii="Times New Roman" w:hAnsi="Times New Roman"/>
          <w:b/>
        </w:rPr>
        <w:tab/>
      </w:r>
      <w:r w:rsidR="004B4721">
        <w:rPr>
          <w:rFonts w:ascii="Times New Roman" w:hAnsi="Times New Roman"/>
          <w:b/>
        </w:rPr>
        <w:t>6</w:t>
      </w:r>
      <w:r w:rsidR="002D14A6">
        <w:rPr>
          <w:rFonts w:ascii="Times New Roman" w:hAnsi="Times New Roman"/>
          <w:b/>
        </w:rPr>
        <w:t>3</w:t>
      </w:r>
    </w:p>
    <w:p w:rsidR="00102707" w:rsidRPr="00622CCE" w:rsidRDefault="00102707" w:rsidP="00622CCE">
      <w:pPr>
        <w:tabs>
          <w:tab w:val="left" w:pos="284"/>
          <w:tab w:val="left" w:pos="1418"/>
          <w:tab w:val="left" w:pos="2268"/>
          <w:tab w:val="right" w:pos="8789"/>
        </w:tabs>
        <w:spacing w:before="0"/>
        <w:ind w:left="0"/>
        <w:rPr>
          <w:rFonts w:ascii="Times New Roman" w:hAnsi="Times New Roman"/>
          <w:b/>
          <w:lang w:val="en-US"/>
        </w:rPr>
      </w:pPr>
    </w:p>
    <w:p w:rsidR="00102707" w:rsidRPr="00622CCE" w:rsidRDefault="00102707" w:rsidP="00622CCE">
      <w:pPr>
        <w:tabs>
          <w:tab w:val="left" w:pos="284"/>
          <w:tab w:val="left" w:pos="1418"/>
          <w:tab w:val="left" w:pos="2268"/>
          <w:tab w:val="right" w:pos="8789"/>
        </w:tabs>
        <w:spacing w:before="0"/>
        <w:ind w:left="0"/>
        <w:rPr>
          <w:rFonts w:ascii="Times New Roman" w:hAnsi="Times New Roman"/>
          <w:b/>
        </w:rPr>
      </w:pPr>
      <w:r w:rsidRPr="00622CCE">
        <w:rPr>
          <w:rFonts w:ascii="Times New Roman" w:hAnsi="Times New Roman"/>
          <w:b/>
          <w:lang w:val="en-US"/>
        </w:rPr>
        <w:t>Appendix</w:t>
      </w:r>
      <w:r w:rsidR="00B213EA" w:rsidRPr="00622CCE">
        <w:rPr>
          <w:rFonts w:ascii="Times New Roman" w:hAnsi="Times New Roman"/>
          <w:b/>
          <w:lang w:val="en-US"/>
        </w:rPr>
        <w:t xml:space="preserve"> 1</w:t>
      </w:r>
      <w:r w:rsidRPr="00622CCE">
        <w:rPr>
          <w:rFonts w:ascii="Times New Roman" w:hAnsi="Times New Roman"/>
          <w:b/>
          <w:lang w:val="en-US"/>
        </w:rPr>
        <w:t xml:space="preserve">.  </w:t>
      </w:r>
      <w:r w:rsidR="00B213EA" w:rsidRPr="00622CCE">
        <w:rPr>
          <w:rFonts w:ascii="Times New Roman" w:hAnsi="Times New Roman"/>
          <w:b/>
          <w:lang w:val="en-US"/>
        </w:rPr>
        <w:t>Notes on data</w:t>
      </w:r>
      <w:r w:rsidRPr="00622CCE">
        <w:rPr>
          <w:rFonts w:ascii="Times New Roman" w:hAnsi="Times New Roman"/>
          <w:b/>
        </w:rPr>
        <w:tab/>
      </w:r>
      <w:r w:rsidR="004B4721">
        <w:rPr>
          <w:rFonts w:ascii="Times New Roman" w:hAnsi="Times New Roman"/>
          <w:b/>
        </w:rPr>
        <w:t>6</w:t>
      </w:r>
      <w:r w:rsidR="002D14A6">
        <w:rPr>
          <w:rFonts w:ascii="Times New Roman" w:hAnsi="Times New Roman"/>
          <w:b/>
        </w:rPr>
        <w:t>3</w:t>
      </w:r>
    </w:p>
    <w:p w:rsidR="00B213EA" w:rsidRPr="00622CCE" w:rsidRDefault="00B213EA" w:rsidP="00622CCE">
      <w:pPr>
        <w:tabs>
          <w:tab w:val="left" w:pos="284"/>
          <w:tab w:val="left" w:pos="1418"/>
          <w:tab w:val="left" w:pos="2268"/>
          <w:tab w:val="right" w:pos="8789"/>
        </w:tabs>
        <w:spacing w:before="0"/>
        <w:ind w:left="0"/>
        <w:rPr>
          <w:rFonts w:ascii="Times New Roman" w:hAnsi="Times New Roman"/>
          <w:b/>
          <w:lang w:val="en-US"/>
        </w:rPr>
      </w:pPr>
    </w:p>
    <w:p w:rsidR="004B4721" w:rsidRDefault="00B213EA" w:rsidP="00622CCE">
      <w:pPr>
        <w:tabs>
          <w:tab w:val="left" w:pos="284"/>
          <w:tab w:val="left" w:pos="1418"/>
          <w:tab w:val="left" w:pos="2268"/>
          <w:tab w:val="right" w:pos="8789"/>
        </w:tabs>
        <w:spacing w:before="0" w:line="240" w:lineRule="auto"/>
        <w:ind w:left="0"/>
        <w:rPr>
          <w:rFonts w:ascii="Times New Roman" w:hAnsi="Times New Roman"/>
          <w:b/>
        </w:rPr>
      </w:pPr>
      <w:r w:rsidRPr="00622CCE">
        <w:rPr>
          <w:rFonts w:ascii="Times New Roman" w:hAnsi="Times New Roman"/>
          <w:b/>
          <w:lang w:val="en-US"/>
        </w:rPr>
        <w:t>Appendix 2.  Start-of-year stock variables in disjoint years: the initial-solution</w:t>
      </w:r>
      <w:r w:rsidR="00B97C84">
        <w:rPr>
          <w:rFonts w:ascii="Times New Roman" w:hAnsi="Times New Roman"/>
          <w:b/>
          <w:lang w:val="en-US"/>
        </w:rPr>
        <w:t xml:space="preserve"> </w:t>
      </w:r>
      <w:r w:rsidR="00B97C84" w:rsidRPr="00622CCE">
        <w:rPr>
          <w:rFonts w:ascii="Times New Roman" w:hAnsi="Times New Roman"/>
          <w:b/>
        </w:rPr>
        <w:t>problem</w:t>
      </w:r>
    </w:p>
    <w:p w:rsidR="00B213EA" w:rsidRPr="00385393" w:rsidRDefault="004B4721" w:rsidP="00622CCE">
      <w:pPr>
        <w:tabs>
          <w:tab w:val="left" w:pos="284"/>
          <w:tab w:val="left" w:pos="1418"/>
          <w:tab w:val="left" w:pos="2268"/>
          <w:tab w:val="right" w:pos="8789"/>
        </w:tabs>
        <w:spacing w:before="0" w:line="240" w:lineRule="auto"/>
        <w:ind w:left="0"/>
        <w:rPr>
          <w:rFonts w:ascii="Times New Roman" w:hAnsi="Times New Roman"/>
          <w:b/>
          <w:sz w:val="24"/>
          <w:szCs w:val="24"/>
        </w:rPr>
      </w:pPr>
      <w:r>
        <w:rPr>
          <w:rFonts w:ascii="Times New Roman" w:hAnsi="Times New Roman"/>
          <w:b/>
        </w:rPr>
        <w:t xml:space="preserve">                       and the homotopy method</w:t>
      </w:r>
      <w:r w:rsidR="00622CCE">
        <w:rPr>
          <w:rFonts w:ascii="Times New Roman" w:hAnsi="Times New Roman"/>
          <w:b/>
          <w:sz w:val="24"/>
          <w:szCs w:val="24"/>
        </w:rPr>
        <w:tab/>
      </w:r>
      <w:r>
        <w:rPr>
          <w:rFonts w:ascii="Times New Roman" w:hAnsi="Times New Roman"/>
          <w:b/>
          <w:sz w:val="24"/>
          <w:szCs w:val="24"/>
        </w:rPr>
        <w:t>7</w:t>
      </w:r>
      <w:r w:rsidR="002D14A6">
        <w:rPr>
          <w:rFonts w:ascii="Times New Roman" w:hAnsi="Times New Roman"/>
          <w:b/>
          <w:sz w:val="24"/>
          <w:szCs w:val="24"/>
        </w:rPr>
        <w:t>7</w:t>
      </w:r>
    </w:p>
    <w:p w:rsidR="00B213EA" w:rsidRDefault="00B213EA" w:rsidP="00622CCE">
      <w:pPr>
        <w:tabs>
          <w:tab w:val="left" w:pos="284"/>
          <w:tab w:val="left" w:pos="1418"/>
          <w:tab w:val="left" w:pos="2268"/>
          <w:tab w:val="right" w:pos="8789"/>
        </w:tabs>
        <w:spacing w:before="0"/>
        <w:ind w:left="0"/>
        <w:rPr>
          <w:rFonts w:ascii="Times New Roman" w:hAnsi="Times New Roman"/>
          <w:b/>
          <w:sz w:val="24"/>
          <w:szCs w:val="24"/>
          <w:lang w:val="en-US"/>
        </w:rPr>
      </w:pPr>
    </w:p>
    <w:p w:rsidR="00B213EA" w:rsidRDefault="00B213EA" w:rsidP="00622CCE">
      <w:pPr>
        <w:tabs>
          <w:tab w:val="left" w:pos="284"/>
          <w:tab w:val="left" w:pos="1418"/>
          <w:tab w:val="left" w:pos="2268"/>
          <w:tab w:val="right" w:pos="8789"/>
        </w:tabs>
        <w:spacing w:before="0"/>
        <w:ind w:left="0"/>
        <w:rPr>
          <w:rFonts w:ascii="Times New Roman" w:hAnsi="Times New Roman"/>
          <w:b/>
          <w:sz w:val="24"/>
          <w:szCs w:val="24"/>
        </w:rPr>
      </w:pPr>
      <w:r w:rsidRPr="00385393">
        <w:rPr>
          <w:rFonts w:ascii="Times New Roman" w:hAnsi="Times New Roman"/>
          <w:b/>
          <w:sz w:val="24"/>
          <w:szCs w:val="24"/>
          <w:lang w:val="en-US"/>
        </w:rPr>
        <w:t>Appendix</w:t>
      </w:r>
      <w:r>
        <w:rPr>
          <w:rFonts w:ascii="Times New Roman" w:hAnsi="Times New Roman"/>
          <w:b/>
          <w:sz w:val="24"/>
          <w:szCs w:val="24"/>
          <w:lang w:val="en-US"/>
        </w:rPr>
        <w:t xml:space="preserve"> 3</w:t>
      </w:r>
      <w:r w:rsidRPr="00385393">
        <w:rPr>
          <w:rFonts w:ascii="Times New Roman" w:hAnsi="Times New Roman"/>
          <w:b/>
          <w:sz w:val="24"/>
          <w:szCs w:val="24"/>
          <w:lang w:val="en-US"/>
        </w:rPr>
        <w:t xml:space="preserve">.  </w:t>
      </w:r>
      <w:r>
        <w:rPr>
          <w:rFonts w:ascii="Times New Roman" w:hAnsi="Times New Roman"/>
          <w:b/>
          <w:sz w:val="24"/>
          <w:szCs w:val="24"/>
          <w:lang w:val="en-US"/>
        </w:rPr>
        <w:t>Giving regional investors forward-looking expectations</w:t>
      </w:r>
      <w:r w:rsidRPr="00385393">
        <w:rPr>
          <w:rFonts w:ascii="Times New Roman" w:hAnsi="Times New Roman"/>
          <w:b/>
          <w:sz w:val="24"/>
          <w:szCs w:val="24"/>
        </w:rPr>
        <w:tab/>
      </w:r>
      <w:r w:rsidR="004B4721">
        <w:rPr>
          <w:rFonts w:ascii="Times New Roman" w:hAnsi="Times New Roman"/>
          <w:b/>
          <w:sz w:val="24"/>
          <w:szCs w:val="24"/>
        </w:rPr>
        <w:t>7</w:t>
      </w:r>
      <w:r w:rsidR="002D14A6">
        <w:rPr>
          <w:rFonts w:ascii="Times New Roman" w:hAnsi="Times New Roman"/>
          <w:b/>
          <w:sz w:val="24"/>
          <w:szCs w:val="24"/>
        </w:rPr>
        <w:t>9</w:t>
      </w:r>
    </w:p>
    <w:p w:rsidR="00967B58" w:rsidRDefault="00967B58" w:rsidP="00967B58">
      <w:pPr>
        <w:tabs>
          <w:tab w:val="left" w:pos="284"/>
          <w:tab w:val="left" w:pos="1418"/>
          <w:tab w:val="left" w:pos="2268"/>
          <w:tab w:val="right" w:pos="8789"/>
        </w:tabs>
        <w:spacing w:before="0"/>
        <w:ind w:left="0"/>
        <w:rPr>
          <w:rFonts w:ascii="Times New Roman" w:hAnsi="Times New Roman"/>
          <w:b/>
          <w:sz w:val="24"/>
          <w:szCs w:val="24"/>
          <w:lang w:val="en-US"/>
        </w:rPr>
      </w:pPr>
    </w:p>
    <w:p w:rsidR="00B97C84" w:rsidRDefault="00B97C84" w:rsidP="00B97C84">
      <w:pPr>
        <w:tabs>
          <w:tab w:val="left" w:pos="284"/>
          <w:tab w:val="left" w:pos="1418"/>
          <w:tab w:val="left" w:pos="2268"/>
          <w:tab w:val="right" w:pos="8789"/>
        </w:tabs>
        <w:spacing w:before="0"/>
        <w:ind w:left="0"/>
        <w:rPr>
          <w:rFonts w:ascii="Times New Roman" w:hAnsi="Times New Roman"/>
          <w:b/>
          <w:sz w:val="24"/>
          <w:szCs w:val="24"/>
        </w:rPr>
      </w:pPr>
      <w:r w:rsidRPr="00385393">
        <w:rPr>
          <w:rFonts w:ascii="Times New Roman" w:hAnsi="Times New Roman"/>
          <w:b/>
          <w:sz w:val="24"/>
          <w:szCs w:val="24"/>
          <w:lang w:val="en-US"/>
        </w:rPr>
        <w:t>Appendix</w:t>
      </w:r>
      <w:r>
        <w:rPr>
          <w:rFonts w:ascii="Times New Roman" w:hAnsi="Times New Roman"/>
          <w:b/>
          <w:sz w:val="24"/>
          <w:szCs w:val="24"/>
          <w:lang w:val="en-US"/>
        </w:rPr>
        <w:t xml:space="preserve"> 4</w:t>
      </w:r>
      <w:r w:rsidRPr="00385393">
        <w:rPr>
          <w:rFonts w:ascii="Times New Roman" w:hAnsi="Times New Roman"/>
          <w:b/>
          <w:sz w:val="24"/>
          <w:szCs w:val="24"/>
          <w:lang w:val="en-US"/>
        </w:rPr>
        <w:t xml:space="preserve">.  </w:t>
      </w:r>
      <w:r>
        <w:rPr>
          <w:rFonts w:ascii="Times New Roman" w:hAnsi="Times New Roman"/>
          <w:b/>
          <w:sz w:val="24"/>
          <w:szCs w:val="24"/>
          <w:lang w:val="en-US"/>
        </w:rPr>
        <w:t>GTAP industries</w:t>
      </w:r>
      <w:r w:rsidRPr="00385393">
        <w:rPr>
          <w:rFonts w:ascii="Times New Roman" w:hAnsi="Times New Roman"/>
          <w:b/>
          <w:sz w:val="24"/>
          <w:szCs w:val="24"/>
        </w:rPr>
        <w:tab/>
      </w:r>
      <w:r w:rsidR="004B4721">
        <w:rPr>
          <w:rFonts w:ascii="Times New Roman" w:hAnsi="Times New Roman"/>
          <w:b/>
          <w:sz w:val="24"/>
          <w:szCs w:val="24"/>
        </w:rPr>
        <w:t>8</w:t>
      </w:r>
      <w:r w:rsidR="002D14A6">
        <w:rPr>
          <w:rFonts w:ascii="Times New Roman" w:hAnsi="Times New Roman"/>
          <w:b/>
          <w:sz w:val="24"/>
          <w:szCs w:val="24"/>
        </w:rPr>
        <w:t>5</w:t>
      </w:r>
    </w:p>
    <w:p w:rsidR="00B97C84" w:rsidRDefault="00B97C84" w:rsidP="00967B58">
      <w:pPr>
        <w:tabs>
          <w:tab w:val="left" w:pos="284"/>
          <w:tab w:val="left" w:pos="1418"/>
          <w:tab w:val="left" w:pos="2268"/>
          <w:tab w:val="right" w:pos="8789"/>
        </w:tabs>
        <w:spacing w:before="0"/>
        <w:ind w:left="0"/>
        <w:rPr>
          <w:rFonts w:ascii="Times New Roman" w:hAnsi="Times New Roman"/>
          <w:b/>
          <w:sz w:val="24"/>
          <w:szCs w:val="24"/>
        </w:rPr>
      </w:pPr>
    </w:p>
    <w:p w:rsidR="00102707" w:rsidRDefault="00B97C84" w:rsidP="00B97C84">
      <w:pPr>
        <w:tabs>
          <w:tab w:val="left" w:pos="284"/>
          <w:tab w:val="left" w:pos="1418"/>
          <w:tab w:val="left" w:pos="2268"/>
          <w:tab w:val="right" w:pos="8789"/>
        </w:tabs>
        <w:spacing w:before="0"/>
        <w:ind w:left="0"/>
        <w:rPr>
          <w:rFonts w:ascii="Times New Roman" w:hAnsi="Times New Roman"/>
          <w:b/>
          <w:sz w:val="24"/>
          <w:szCs w:val="24"/>
        </w:rPr>
      </w:pPr>
      <w:r w:rsidRPr="00385393">
        <w:rPr>
          <w:rFonts w:ascii="Times New Roman" w:hAnsi="Times New Roman"/>
          <w:b/>
          <w:sz w:val="24"/>
          <w:szCs w:val="24"/>
          <w:lang w:val="en-US"/>
        </w:rPr>
        <w:t>Appendix</w:t>
      </w:r>
      <w:r>
        <w:rPr>
          <w:rFonts w:ascii="Times New Roman" w:hAnsi="Times New Roman"/>
          <w:b/>
          <w:sz w:val="24"/>
          <w:szCs w:val="24"/>
          <w:lang w:val="en-US"/>
        </w:rPr>
        <w:t xml:space="preserve"> </w:t>
      </w:r>
      <w:r w:rsidR="004B4721">
        <w:rPr>
          <w:rFonts w:ascii="Times New Roman" w:hAnsi="Times New Roman"/>
          <w:b/>
          <w:sz w:val="24"/>
          <w:szCs w:val="24"/>
          <w:lang w:val="en-US"/>
        </w:rPr>
        <w:t>5</w:t>
      </w:r>
      <w:r w:rsidRPr="00385393">
        <w:rPr>
          <w:rFonts w:ascii="Times New Roman" w:hAnsi="Times New Roman"/>
          <w:b/>
          <w:sz w:val="24"/>
          <w:szCs w:val="24"/>
          <w:lang w:val="en-US"/>
        </w:rPr>
        <w:t xml:space="preserve">.  </w:t>
      </w:r>
      <w:r>
        <w:rPr>
          <w:rFonts w:ascii="Times New Roman" w:hAnsi="Times New Roman"/>
          <w:b/>
          <w:sz w:val="24"/>
          <w:szCs w:val="24"/>
          <w:lang w:val="en-US"/>
        </w:rPr>
        <w:t>Project storage</w:t>
      </w:r>
      <w:r w:rsidRPr="00385393">
        <w:rPr>
          <w:rFonts w:ascii="Times New Roman" w:hAnsi="Times New Roman"/>
          <w:b/>
          <w:sz w:val="24"/>
          <w:szCs w:val="24"/>
        </w:rPr>
        <w:tab/>
      </w:r>
      <w:r w:rsidR="004B4721">
        <w:rPr>
          <w:rFonts w:ascii="Times New Roman" w:hAnsi="Times New Roman"/>
          <w:b/>
          <w:sz w:val="24"/>
          <w:szCs w:val="24"/>
        </w:rPr>
        <w:t>8</w:t>
      </w:r>
      <w:r w:rsidR="002D14A6">
        <w:rPr>
          <w:rFonts w:ascii="Times New Roman" w:hAnsi="Times New Roman"/>
          <w:b/>
          <w:sz w:val="24"/>
          <w:szCs w:val="24"/>
        </w:rPr>
        <w:t>7</w:t>
      </w:r>
      <w:r w:rsidR="00102707">
        <w:rPr>
          <w:rFonts w:ascii="Times New Roman" w:hAnsi="Times New Roman"/>
          <w:b/>
          <w:sz w:val="24"/>
          <w:szCs w:val="24"/>
        </w:rPr>
        <w:br w:type="page"/>
      </w:r>
    </w:p>
    <w:p w:rsidR="006F32E6" w:rsidRDefault="006F32E6" w:rsidP="00C57238">
      <w:pPr>
        <w:ind w:left="993"/>
        <w:jc w:val="center"/>
        <w:rPr>
          <w:rFonts w:ascii="Times New Roman" w:hAnsi="Times New Roman"/>
          <w:b/>
          <w:sz w:val="24"/>
          <w:szCs w:val="24"/>
        </w:rPr>
      </w:pPr>
    </w:p>
    <w:p w:rsidR="006F32E6" w:rsidRDefault="005662C4" w:rsidP="006F32E6">
      <w:pPr>
        <w:ind w:left="0"/>
        <w:rPr>
          <w:rFonts w:ascii="Times New Roman" w:hAnsi="Times New Roman"/>
          <w:b/>
          <w:sz w:val="24"/>
          <w:szCs w:val="24"/>
        </w:rPr>
      </w:pPr>
      <w:r w:rsidRPr="00E14E11">
        <w:rPr>
          <w:rFonts w:ascii="Times New Roman" w:hAnsi="Times New Roman"/>
          <w:b/>
          <w:sz w:val="24"/>
          <w:szCs w:val="24"/>
        </w:rPr>
        <w:t>Summary</w:t>
      </w:r>
    </w:p>
    <w:p w:rsidR="00D41C8F" w:rsidRDefault="005662C4" w:rsidP="00D44A5D">
      <w:pPr>
        <w:pStyle w:val="ListParagraph"/>
        <w:numPr>
          <w:ilvl w:val="0"/>
          <w:numId w:val="10"/>
        </w:numPr>
        <w:ind w:left="567" w:hanging="567"/>
        <w:contextualSpacing w:val="0"/>
        <w:rPr>
          <w:rFonts w:ascii="Times New Roman" w:hAnsi="Times New Roman"/>
          <w:sz w:val="24"/>
          <w:szCs w:val="24"/>
        </w:rPr>
      </w:pPr>
      <w:r w:rsidRPr="00D41C8F">
        <w:rPr>
          <w:rFonts w:ascii="Times New Roman" w:hAnsi="Times New Roman"/>
          <w:sz w:val="24"/>
          <w:szCs w:val="24"/>
        </w:rPr>
        <w:t xml:space="preserve">This paper describes the construction of a </w:t>
      </w:r>
      <w:r w:rsidRPr="00D41C8F">
        <w:rPr>
          <w:rFonts w:ascii="Times New Roman" w:hAnsi="Times New Roman"/>
          <w:i/>
          <w:sz w:val="24"/>
          <w:szCs w:val="24"/>
        </w:rPr>
        <w:t>baseline</w:t>
      </w:r>
      <w:r w:rsidRPr="00D41C8F">
        <w:rPr>
          <w:rFonts w:ascii="Times New Roman" w:hAnsi="Times New Roman"/>
          <w:sz w:val="24"/>
          <w:szCs w:val="24"/>
        </w:rPr>
        <w:t xml:space="preserve"> for a 57-commodity, 13-region version of the GTAP model covering the period 2014 to 2050.  It completes the third part of a project undertaken with </w:t>
      </w:r>
      <w:r w:rsidR="00792147">
        <w:rPr>
          <w:rFonts w:ascii="Times New Roman" w:hAnsi="Times New Roman"/>
          <w:sz w:val="24"/>
          <w:szCs w:val="24"/>
        </w:rPr>
        <w:t xml:space="preserve">financial </w:t>
      </w:r>
      <w:r w:rsidRPr="00D41C8F">
        <w:rPr>
          <w:rFonts w:ascii="Times New Roman" w:hAnsi="Times New Roman"/>
          <w:sz w:val="24"/>
          <w:szCs w:val="24"/>
        </w:rPr>
        <w:t xml:space="preserve">support from the USITC, the WTO and Global Affairs Canada. </w:t>
      </w:r>
      <w:r w:rsidR="00D41C8F" w:rsidRPr="00D41C8F">
        <w:rPr>
          <w:rFonts w:ascii="Times New Roman" w:hAnsi="Times New Roman"/>
          <w:sz w:val="24"/>
          <w:szCs w:val="24"/>
        </w:rPr>
        <w:t xml:space="preserve"> In the first part, we </w:t>
      </w:r>
      <w:r w:rsidRPr="00D41C8F">
        <w:rPr>
          <w:rFonts w:ascii="Times New Roman" w:hAnsi="Times New Roman"/>
          <w:sz w:val="24"/>
          <w:szCs w:val="24"/>
        </w:rPr>
        <w:t>deduce</w:t>
      </w:r>
      <w:r w:rsidR="00D41C8F" w:rsidRPr="00D41C8F">
        <w:rPr>
          <w:rFonts w:ascii="Times New Roman" w:hAnsi="Times New Roman"/>
          <w:sz w:val="24"/>
          <w:szCs w:val="24"/>
        </w:rPr>
        <w:t>d</w:t>
      </w:r>
      <w:r w:rsidRPr="00D41C8F">
        <w:rPr>
          <w:rFonts w:ascii="Times New Roman" w:hAnsi="Times New Roman"/>
          <w:sz w:val="24"/>
          <w:szCs w:val="24"/>
        </w:rPr>
        <w:t xml:space="preserve"> changes in industry technologies and </w:t>
      </w:r>
      <w:r w:rsidR="00D41C8F" w:rsidRPr="00D41C8F">
        <w:rPr>
          <w:rFonts w:ascii="Times New Roman" w:hAnsi="Times New Roman"/>
          <w:sz w:val="24"/>
          <w:szCs w:val="24"/>
        </w:rPr>
        <w:t xml:space="preserve">consumer </w:t>
      </w:r>
      <w:r w:rsidRPr="00D41C8F">
        <w:rPr>
          <w:rFonts w:ascii="Times New Roman" w:hAnsi="Times New Roman"/>
          <w:sz w:val="24"/>
          <w:szCs w:val="24"/>
        </w:rPr>
        <w:t xml:space="preserve">preferences by </w:t>
      </w:r>
      <w:r w:rsidR="00D41C8F" w:rsidRPr="00D41C8F">
        <w:rPr>
          <w:rFonts w:ascii="Times New Roman" w:hAnsi="Times New Roman"/>
          <w:sz w:val="24"/>
          <w:szCs w:val="24"/>
        </w:rPr>
        <w:t xml:space="preserve">conducting an </w:t>
      </w:r>
      <w:r w:rsidR="00D41C8F" w:rsidRPr="00D41C8F">
        <w:rPr>
          <w:rFonts w:ascii="Times New Roman" w:hAnsi="Times New Roman"/>
          <w:i/>
          <w:sz w:val="24"/>
          <w:szCs w:val="24"/>
        </w:rPr>
        <w:t>historical</w:t>
      </w:r>
      <w:r w:rsidR="00D41C8F" w:rsidRPr="00D41C8F">
        <w:rPr>
          <w:rFonts w:ascii="Times New Roman" w:hAnsi="Times New Roman"/>
          <w:sz w:val="24"/>
          <w:szCs w:val="24"/>
        </w:rPr>
        <w:t xml:space="preserve"> simulation from 2004 to 2014</w:t>
      </w:r>
      <w:r w:rsidRPr="00D41C8F">
        <w:rPr>
          <w:rFonts w:ascii="Times New Roman" w:hAnsi="Times New Roman"/>
          <w:sz w:val="24"/>
          <w:szCs w:val="24"/>
        </w:rPr>
        <w:t xml:space="preserve">.  </w:t>
      </w:r>
      <w:r w:rsidR="00D41C8F" w:rsidRPr="00D41C8F">
        <w:rPr>
          <w:rFonts w:ascii="Times New Roman" w:hAnsi="Times New Roman"/>
          <w:sz w:val="24"/>
          <w:szCs w:val="24"/>
        </w:rPr>
        <w:t xml:space="preserve">In the </w:t>
      </w:r>
      <w:r w:rsidRPr="00D41C8F">
        <w:rPr>
          <w:rFonts w:ascii="Times New Roman" w:hAnsi="Times New Roman"/>
          <w:sz w:val="24"/>
          <w:szCs w:val="24"/>
        </w:rPr>
        <w:t xml:space="preserve">second </w:t>
      </w:r>
      <w:r w:rsidR="00D41C8F" w:rsidRPr="00D41C8F">
        <w:rPr>
          <w:rFonts w:ascii="Times New Roman" w:hAnsi="Times New Roman"/>
          <w:sz w:val="24"/>
          <w:szCs w:val="24"/>
        </w:rPr>
        <w:t xml:space="preserve">part, we undertook a </w:t>
      </w:r>
      <w:r w:rsidR="00D41C8F" w:rsidRPr="00D41C8F">
        <w:rPr>
          <w:rFonts w:ascii="Times New Roman" w:hAnsi="Times New Roman"/>
          <w:i/>
          <w:sz w:val="24"/>
          <w:szCs w:val="24"/>
        </w:rPr>
        <w:t>validation</w:t>
      </w:r>
      <w:r w:rsidR="00D41C8F" w:rsidRPr="00D41C8F">
        <w:rPr>
          <w:rFonts w:ascii="Times New Roman" w:hAnsi="Times New Roman"/>
          <w:sz w:val="24"/>
          <w:szCs w:val="24"/>
        </w:rPr>
        <w:t xml:space="preserve"> exercise for 2014 to 2017.  </w:t>
      </w:r>
    </w:p>
    <w:p w:rsidR="00D41C8F" w:rsidRDefault="002E2D1B" w:rsidP="00D44A5D">
      <w:pPr>
        <w:pStyle w:val="ListParagraph"/>
        <w:numPr>
          <w:ilvl w:val="0"/>
          <w:numId w:val="10"/>
        </w:numPr>
        <w:ind w:left="567" w:hanging="567"/>
        <w:contextualSpacing w:val="0"/>
        <w:rPr>
          <w:rFonts w:ascii="Times New Roman" w:hAnsi="Times New Roman"/>
          <w:sz w:val="24"/>
          <w:szCs w:val="24"/>
        </w:rPr>
      </w:pPr>
      <w:r>
        <w:rPr>
          <w:rFonts w:ascii="Times New Roman" w:hAnsi="Times New Roman"/>
          <w:sz w:val="24"/>
          <w:szCs w:val="24"/>
        </w:rPr>
        <w:t>The</w:t>
      </w:r>
      <w:r w:rsidR="00D41C8F">
        <w:rPr>
          <w:rFonts w:ascii="Times New Roman" w:hAnsi="Times New Roman"/>
          <w:sz w:val="24"/>
          <w:szCs w:val="24"/>
        </w:rPr>
        <w:t xml:space="preserve"> baseline </w:t>
      </w:r>
      <w:r>
        <w:rPr>
          <w:rFonts w:ascii="Times New Roman" w:hAnsi="Times New Roman"/>
          <w:sz w:val="24"/>
          <w:szCs w:val="24"/>
        </w:rPr>
        <w:t xml:space="preserve">consists of four linked </w:t>
      </w:r>
      <w:r w:rsidR="00D41C8F">
        <w:rPr>
          <w:rFonts w:ascii="Times New Roman" w:hAnsi="Times New Roman"/>
          <w:sz w:val="24"/>
          <w:szCs w:val="24"/>
        </w:rPr>
        <w:t>simulations</w:t>
      </w:r>
      <w:r>
        <w:rPr>
          <w:rFonts w:ascii="Times New Roman" w:hAnsi="Times New Roman"/>
          <w:sz w:val="24"/>
          <w:szCs w:val="24"/>
        </w:rPr>
        <w:t xml:space="preserve"> starting from the GTAP database for 2014. </w:t>
      </w:r>
      <w:r w:rsidR="001847B3">
        <w:rPr>
          <w:rFonts w:ascii="Times New Roman" w:hAnsi="Times New Roman"/>
          <w:sz w:val="24"/>
          <w:szCs w:val="24"/>
        </w:rPr>
        <w:t xml:space="preserve"> </w:t>
      </w:r>
      <w:r>
        <w:rPr>
          <w:rFonts w:ascii="Times New Roman" w:hAnsi="Times New Roman"/>
          <w:sz w:val="24"/>
          <w:szCs w:val="24"/>
        </w:rPr>
        <w:t xml:space="preserve">The first simulation moves from 2014 to 2019 </w:t>
      </w:r>
      <w:r w:rsidR="00D41C8F" w:rsidRPr="00D41C8F">
        <w:rPr>
          <w:rFonts w:ascii="Times New Roman" w:hAnsi="Times New Roman"/>
          <w:sz w:val="24"/>
          <w:szCs w:val="24"/>
        </w:rPr>
        <w:t xml:space="preserve">in a single 5-year jump.  The second starts from the 2019 database formed in the first simulation and moves out 11 years to 2030, again in a single jump.  The third and fourth simulations each jump out 10 years starting from the database created </w:t>
      </w:r>
      <w:r>
        <w:rPr>
          <w:rFonts w:ascii="Times New Roman" w:hAnsi="Times New Roman"/>
          <w:sz w:val="24"/>
          <w:szCs w:val="24"/>
        </w:rPr>
        <w:t>in</w:t>
      </w:r>
      <w:r w:rsidR="00D41C8F" w:rsidRPr="00D41C8F">
        <w:rPr>
          <w:rFonts w:ascii="Times New Roman" w:hAnsi="Times New Roman"/>
          <w:sz w:val="24"/>
          <w:szCs w:val="24"/>
        </w:rPr>
        <w:t xml:space="preserve"> the previous simulation.</w:t>
      </w:r>
      <w:r>
        <w:rPr>
          <w:rFonts w:ascii="Times New Roman" w:hAnsi="Times New Roman"/>
          <w:sz w:val="24"/>
          <w:szCs w:val="24"/>
        </w:rPr>
        <w:t xml:space="preserve">  The shocks in the first simulation were derived from data on </w:t>
      </w:r>
      <w:r w:rsidRPr="00D41C8F">
        <w:rPr>
          <w:rFonts w:ascii="Times New Roman" w:hAnsi="Times New Roman"/>
          <w:sz w:val="24"/>
          <w:szCs w:val="24"/>
        </w:rPr>
        <w:t>actual movements in a considerable number of variables</w:t>
      </w:r>
      <w:r>
        <w:rPr>
          <w:rFonts w:ascii="Times New Roman" w:hAnsi="Times New Roman"/>
          <w:sz w:val="24"/>
          <w:szCs w:val="24"/>
        </w:rPr>
        <w:t xml:space="preserve">.  </w:t>
      </w:r>
      <w:r w:rsidRPr="00D41C8F">
        <w:rPr>
          <w:rFonts w:ascii="Times New Roman" w:hAnsi="Times New Roman"/>
          <w:sz w:val="24"/>
          <w:szCs w:val="24"/>
        </w:rPr>
        <w:t xml:space="preserve">In the other simulations, we built in forecasts from </w:t>
      </w:r>
      <w:r w:rsidR="001847B3">
        <w:rPr>
          <w:rFonts w:ascii="Times New Roman" w:hAnsi="Times New Roman"/>
          <w:sz w:val="24"/>
          <w:szCs w:val="24"/>
        </w:rPr>
        <w:t xml:space="preserve">the </w:t>
      </w:r>
      <w:r w:rsidRPr="00D41C8F">
        <w:rPr>
          <w:rFonts w:ascii="Times New Roman" w:hAnsi="Times New Roman"/>
          <w:sz w:val="24"/>
          <w:szCs w:val="24"/>
        </w:rPr>
        <w:t>IMF, the ILO</w:t>
      </w:r>
      <w:r w:rsidR="00FF2B26">
        <w:rPr>
          <w:rFonts w:ascii="Times New Roman" w:hAnsi="Times New Roman"/>
          <w:sz w:val="24"/>
          <w:szCs w:val="24"/>
        </w:rPr>
        <w:t>, IEA</w:t>
      </w:r>
      <w:r>
        <w:rPr>
          <w:rFonts w:ascii="Times New Roman" w:hAnsi="Times New Roman"/>
          <w:sz w:val="24"/>
          <w:szCs w:val="24"/>
        </w:rPr>
        <w:t xml:space="preserve"> and </w:t>
      </w:r>
      <w:r w:rsidRPr="00D41C8F">
        <w:rPr>
          <w:rFonts w:ascii="Times New Roman" w:hAnsi="Times New Roman"/>
          <w:sz w:val="24"/>
          <w:szCs w:val="24"/>
        </w:rPr>
        <w:t xml:space="preserve">IIASA.  </w:t>
      </w:r>
    </w:p>
    <w:p w:rsidR="007C444D" w:rsidRDefault="00D44A5D" w:rsidP="00D44A5D">
      <w:pPr>
        <w:pStyle w:val="ListParagraph"/>
        <w:numPr>
          <w:ilvl w:val="0"/>
          <w:numId w:val="10"/>
        </w:numPr>
        <w:ind w:left="567" w:hanging="567"/>
        <w:contextualSpacing w:val="0"/>
        <w:rPr>
          <w:rFonts w:ascii="Times New Roman" w:hAnsi="Times New Roman"/>
          <w:sz w:val="24"/>
          <w:szCs w:val="24"/>
        </w:rPr>
      </w:pPr>
      <w:r>
        <w:rPr>
          <w:rFonts w:ascii="Times New Roman" w:hAnsi="Times New Roman"/>
          <w:sz w:val="24"/>
          <w:szCs w:val="24"/>
        </w:rPr>
        <w:t xml:space="preserve">Conducting the simulations required </w:t>
      </w:r>
      <w:r w:rsidR="00C56CAD">
        <w:rPr>
          <w:rFonts w:ascii="Times New Roman" w:hAnsi="Times New Roman"/>
          <w:sz w:val="24"/>
          <w:szCs w:val="24"/>
        </w:rPr>
        <w:t>three</w:t>
      </w:r>
      <w:r>
        <w:rPr>
          <w:rFonts w:ascii="Times New Roman" w:hAnsi="Times New Roman"/>
          <w:sz w:val="24"/>
          <w:szCs w:val="24"/>
        </w:rPr>
        <w:t xml:space="preserve"> methodological innovations</w:t>
      </w:r>
      <w:r w:rsidR="00C56CAD">
        <w:rPr>
          <w:rFonts w:ascii="Times New Roman" w:hAnsi="Times New Roman"/>
          <w:sz w:val="24"/>
          <w:szCs w:val="24"/>
        </w:rPr>
        <w:t xml:space="preserve">: </w:t>
      </w:r>
    </w:p>
    <w:p w:rsidR="007C444D" w:rsidRDefault="00D44A5D" w:rsidP="007C444D">
      <w:pPr>
        <w:pStyle w:val="ListParagraph"/>
        <w:numPr>
          <w:ilvl w:val="0"/>
          <w:numId w:val="14"/>
        </w:numPr>
        <w:spacing w:before="0"/>
        <w:ind w:left="1276" w:hanging="567"/>
        <w:contextualSpacing w:val="0"/>
        <w:rPr>
          <w:rFonts w:ascii="Times New Roman" w:hAnsi="Times New Roman"/>
          <w:sz w:val="24"/>
          <w:szCs w:val="24"/>
        </w:rPr>
      </w:pPr>
      <w:r w:rsidRPr="007C444D">
        <w:rPr>
          <w:rFonts w:ascii="Times New Roman" w:hAnsi="Times New Roman"/>
          <w:sz w:val="24"/>
          <w:szCs w:val="24"/>
        </w:rPr>
        <w:t xml:space="preserve">the </w:t>
      </w:r>
      <w:r w:rsidR="00576002" w:rsidRPr="007C444D">
        <w:rPr>
          <w:rFonts w:ascii="Times New Roman" w:hAnsi="Times New Roman"/>
          <w:sz w:val="24"/>
          <w:szCs w:val="24"/>
        </w:rPr>
        <w:t>use</w:t>
      </w:r>
      <w:r w:rsidRPr="007C444D">
        <w:rPr>
          <w:rFonts w:ascii="Times New Roman" w:hAnsi="Times New Roman"/>
          <w:sz w:val="24"/>
          <w:szCs w:val="24"/>
        </w:rPr>
        <w:t xml:space="preserve"> of a smooth-growth assumption for saving in each region to handle the accumulation of capital, wealth and net foreign assets in simulations which jump across years without expl</w:t>
      </w:r>
      <w:r w:rsidR="00C56CAD" w:rsidRPr="007C444D">
        <w:rPr>
          <w:rFonts w:ascii="Times New Roman" w:hAnsi="Times New Roman"/>
          <w:sz w:val="24"/>
          <w:szCs w:val="24"/>
        </w:rPr>
        <w:t xml:space="preserve">icit modelling of intervening years; </w:t>
      </w:r>
      <w:r w:rsidR="007C444D" w:rsidRPr="007C444D">
        <w:rPr>
          <w:rFonts w:ascii="Times New Roman" w:hAnsi="Times New Roman"/>
          <w:sz w:val="24"/>
          <w:szCs w:val="24"/>
        </w:rPr>
        <w:t xml:space="preserve"> </w:t>
      </w:r>
    </w:p>
    <w:p w:rsidR="007C444D" w:rsidRDefault="00C56CAD" w:rsidP="007C444D">
      <w:pPr>
        <w:pStyle w:val="ListParagraph"/>
        <w:numPr>
          <w:ilvl w:val="0"/>
          <w:numId w:val="14"/>
        </w:numPr>
        <w:spacing w:before="0"/>
        <w:ind w:left="1276" w:hanging="567"/>
        <w:contextualSpacing w:val="0"/>
        <w:rPr>
          <w:rFonts w:ascii="Times New Roman" w:hAnsi="Times New Roman"/>
          <w:sz w:val="24"/>
          <w:szCs w:val="24"/>
        </w:rPr>
      </w:pPr>
      <w:r w:rsidRPr="007C444D">
        <w:rPr>
          <w:rFonts w:ascii="Times New Roman" w:hAnsi="Times New Roman"/>
          <w:sz w:val="24"/>
          <w:szCs w:val="24"/>
        </w:rPr>
        <w:t xml:space="preserve">the </w:t>
      </w:r>
      <w:r w:rsidR="00576002" w:rsidRPr="007C444D">
        <w:rPr>
          <w:rFonts w:ascii="Times New Roman" w:hAnsi="Times New Roman"/>
          <w:sz w:val="24"/>
          <w:szCs w:val="24"/>
        </w:rPr>
        <w:t>introduction</w:t>
      </w:r>
      <w:r w:rsidRPr="007C444D">
        <w:rPr>
          <w:rFonts w:ascii="Times New Roman" w:hAnsi="Times New Roman"/>
          <w:sz w:val="24"/>
          <w:szCs w:val="24"/>
        </w:rPr>
        <w:t xml:space="preserve"> of forward-looking expectations so that capital creation in a region in year t is informed by demographic and other foreseeable developments in the upcoming period; and </w:t>
      </w:r>
    </w:p>
    <w:p w:rsidR="00576002" w:rsidRPr="007C444D" w:rsidRDefault="00576002" w:rsidP="007C444D">
      <w:pPr>
        <w:pStyle w:val="ListParagraph"/>
        <w:numPr>
          <w:ilvl w:val="0"/>
          <w:numId w:val="14"/>
        </w:numPr>
        <w:spacing w:before="0"/>
        <w:ind w:left="1276" w:hanging="567"/>
        <w:contextualSpacing w:val="0"/>
        <w:rPr>
          <w:rFonts w:ascii="Times New Roman" w:hAnsi="Times New Roman"/>
          <w:sz w:val="24"/>
          <w:szCs w:val="24"/>
        </w:rPr>
      </w:pPr>
      <w:r w:rsidRPr="007C444D">
        <w:rPr>
          <w:rFonts w:ascii="Times New Roman" w:hAnsi="Times New Roman"/>
          <w:sz w:val="24"/>
          <w:szCs w:val="24"/>
        </w:rPr>
        <w:t>the specification of closures that enable incorporation of observed and forecasted movements in a wide range of naturally endogenous variables</w:t>
      </w:r>
      <w:r w:rsidR="00C56CAD" w:rsidRPr="007C444D">
        <w:rPr>
          <w:rFonts w:ascii="Times New Roman" w:hAnsi="Times New Roman"/>
          <w:sz w:val="24"/>
          <w:szCs w:val="24"/>
        </w:rPr>
        <w:t xml:space="preserve">.  </w:t>
      </w:r>
    </w:p>
    <w:p w:rsidR="00C57238" w:rsidRDefault="00FA2976" w:rsidP="005745F4">
      <w:pPr>
        <w:pStyle w:val="ListParagraph"/>
        <w:numPr>
          <w:ilvl w:val="0"/>
          <w:numId w:val="10"/>
        </w:numPr>
        <w:ind w:left="567" w:hanging="567"/>
        <w:contextualSpacing w:val="0"/>
        <w:rPr>
          <w:rFonts w:ascii="Times New Roman" w:hAnsi="Times New Roman"/>
          <w:sz w:val="24"/>
          <w:szCs w:val="24"/>
        </w:rPr>
      </w:pPr>
      <w:r>
        <w:rPr>
          <w:rFonts w:ascii="Times New Roman" w:hAnsi="Times New Roman"/>
          <w:sz w:val="24"/>
          <w:szCs w:val="24"/>
        </w:rPr>
        <w:t>At the national macro level, th</w:t>
      </w:r>
      <w:r w:rsidR="00C57238">
        <w:rPr>
          <w:rFonts w:ascii="Times New Roman" w:hAnsi="Times New Roman"/>
          <w:sz w:val="24"/>
          <w:szCs w:val="24"/>
        </w:rPr>
        <w:t>e baseline shows:</w:t>
      </w:r>
    </w:p>
    <w:p w:rsidR="00C57238" w:rsidRDefault="00C57238" w:rsidP="00C57238">
      <w:pPr>
        <w:pStyle w:val="ListParagraph"/>
        <w:numPr>
          <w:ilvl w:val="0"/>
          <w:numId w:val="12"/>
        </w:numPr>
        <w:spacing w:before="0"/>
        <w:ind w:left="993"/>
        <w:rPr>
          <w:rFonts w:ascii="Times New Roman" w:hAnsi="Times New Roman"/>
          <w:sz w:val="24"/>
          <w:szCs w:val="24"/>
        </w:rPr>
      </w:pPr>
      <w:r w:rsidRPr="00C57238">
        <w:rPr>
          <w:rFonts w:ascii="Times New Roman" w:hAnsi="Times New Roman"/>
          <w:sz w:val="24"/>
          <w:szCs w:val="24"/>
        </w:rPr>
        <w:t xml:space="preserve">A slowdown in the Chinese economy with weak investment growth </w:t>
      </w:r>
      <w:r>
        <w:rPr>
          <w:rFonts w:ascii="Times New Roman" w:hAnsi="Times New Roman"/>
          <w:sz w:val="24"/>
          <w:szCs w:val="24"/>
        </w:rPr>
        <w:t xml:space="preserve">to 2030 </w:t>
      </w:r>
      <w:r w:rsidRPr="00C57238">
        <w:rPr>
          <w:rFonts w:ascii="Times New Roman" w:hAnsi="Times New Roman"/>
          <w:sz w:val="24"/>
          <w:szCs w:val="24"/>
        </w:rPr>
        <w:t>and a turnaround in its trade accounts after 2030 with import</w:t>
      </w:r>
      <w:r>
        <w:rPr>
          <w:rFonts w:ascii="Times New Roman" w:hAnsi="Times New Roman"/>
          <w:sz w:val="24"/>
          <w:szCs w:val="24"/>
        </w:rPr>
        <w:t xml:space="preserve"> growth exceeding export growth;</w:t>
      </w:r>
      <w:r w:rsidRPr="00C57238">
        <w:rPr>
          <w:rFonts w:ascii="Times New Roman" w:hAnsi="Times New Roman"/>
          <w:sz w:val="24"/>
          <w:szCs w:val="24"/>
        </w:rPr>
        <w:t xml:space="preserve">  </w:t>
      </w:r>
    </w:p>
    <w:p w:rsidR="00C57238" w:rsidRDefault="00C57238" w:rsidP="00C57238">
      <w:pPr>
        <w:pStyle w:val="ListParagraph"/>
        <w:numPr>
          <w:ilvl w:val="0"/>
          <w:numId w:val="12"/>
        </w:numPr>
        <w:spacing w:before="0"/>
        <w:ind w:left="993"/>
        <w:rPr>
          <w:rFonts w:ascii="Times New Roman" w:hAnsi="Times New Roman"/>
          <w:sz w:val="24"/>
          <w:szCs w:val="24"/>
        </w:rPr>
      </w:pPr>
      <w:r>
        <w:rPr>
          <w:rFonts w:ascii="Times New Roman" w:hAnsi="Times New Roman"/>
          <w:sz w:val="24"/>
          <w:szCs w:val="24"/>
        </w:rPr>
        <w:t>E</w:t>
      </w:r>
      <w:r w:rsidRPr="00E36BF2">
        <w:rPr>
          <w:rFonts w:ascii="Times New Roman" w:hAnsi="Times New Roman"/>
          <w:sz w:val="24"/>
          <w:szCs w:val="24"/>
        </w:rPr>
        <w:t>xtremely strong growth in trade for India with annual export growth sustained out to 2050 at between 6 and 8 per cent and import growt</w:t>
      </w:r>
      <w:r>
        <w:rPr>
          <w:rFonts w:ascii="Times New Roman" w:hAnsi="Times New Roman"/>
          <w:sz w:val="24"/>
          <w:szCs w:val="24"/>
        </w:rPr>
        <w:t>h between 4 and 5 per cent;</w:t>
      </w:r>
    </w:p>
    <w:p w:rsidR="00C57238" w:rsidRDefault="00C57238" w:rsidP="00C57238">
      <w:pPr>
        <w:pStyle w:val="ListParagraph"/>
        <w:numPr>
          <w:ilvl w:val="0"/>
          <w:numId w:val="11"/>
        </w:numPr>
        <w:ind w:left="993"/>
        <w:rPr>
          <w:rFonts w:ascii="Times New Roman" w:hAnsi="Times New Roman"/>
          <w:sz w:val="24"/>
          <w:szCs w:val="24"/>
        </w:rPr>
      </w:pPr>
      <w:r>
        <w:rPr>
          <w:rFonts w:ascii="Times New Roman" w:hAnsi="Times New Roman"/>
          <w:sz w:val="24"/>
          <w:szCs w:val="24"/>
        </w:rPr>
        <w:t>Strong wage growth in most regions out to 2050 and reductions in rates of return on capital reflecting continuing high rates of global saving supporting fast growth in capital relative to labour;</w:t>
      </w:r>
    </w:p>
    <w:p w:rsidR="00C57238" w:rsidRDefault="00C57238" w:rsidP="00C57238">
      <w:pPr>
        <w:pStyle w:val="ListParagraph"/>
        <w:numPr>
          <w:ilvl w:val="0"/>
          <w:numId w:val="11"/>
        </w:numPr>
        <w:ind w:left="993"/>
        <w:rPr>
          <w:rFonts w:ascii="Times New Roman" w:hAnsi="Times New Roman"/>
          <w:sz w:val="24"/>
          <w:szCs w:val="24"/>
        </w:rPr>
      </w:pPr>
      <w:r>
        <w:rPr>
          <w:rFonts w:ascii="Times New Roman" w:hAnsi="Times New Roman"/>
          <w:sz w:val="24"/>
          <w:szCs w:val="24"/>
        </w:rPr>
        <w:t>Sluggish growth and a poor wage outcome for Saudi Arabia reflecting declining markets for oil and gas;</w:t>
      </w:r>
    </w:p>
    <w:p w:rsidR="00C57238" w:rsidRDefault="00C57238" w:rsidP="00C57238">
      <w:pPr>
        <w:pStyle w:val="ListParagraph"/>
        <w:numPr>
          <w:ilvl w:val="0"/>
          <w:numId w:val="11"/>
        </w:numPr>
        <w:ind w:left="993"/>
        <w:rPr>
          <w:rFonts w:ascii="Times New Roman" w:hAnsi="Times New Roman"/>
          <w:sz w:val="24"/>
          <w:szCs w:val="24"/>
        </w:rPr>
      </w:pPr>
      <w:r>
        <w:rPr>
          <w:rFonts w:ascii="Times New Roman" w:hAnsi="Times New Roman"/>
          <w:sz w:val="24"/>
          <w:szCs w:val="24"/>
        </w:rPr>
        <w:t xml:space="preserve">Weak GDP growth for Japan reflecting declining employment but, </w:t>
      </w:r>
      <w:r w:rsidR="00792147">
        <w:rPr>
          <w:rFonts w:ascii="Times New Roman" w:hAnsi="Times New Roman"/>
          <w:sz w:val="24"/>
          <w:szCs w:val="24"/>
        </w:rPr>
        <w:t>at the same time</w:t>
      </w:r>
      <w:r>
        <w:rPr>
          <w:rFonts w:ascii="Times New Roman" w:hAnsi="Times New Roman"/>
          <w:sz w:val="24"/>
          <w:szCs w:val="24"/>
        </w:rPr>
        <w:t>, moderate improvement in wages;</w:t>
      </w:r>
    </w:p>
    <w:p w:rsidR="00C57238" w:rsidRDefault="00C57238" w:rsidP="00C57238">
      <w:pPr>
        <w:pStyle w:val="ListParagraph"/>
        <w:numPr>
          <w:ilvl w:val="0"/>
          <w:numId w:val="11"/>
        </w:numPr>
        <w:ind w:left="993"/>
        <w:rPr>
          <w:rFonts w:ascii="Times New Roman" w:hAnsi="Times New Roman"/>
          <w:sz w:val="24"/>
          <w:szCs w:val="24"/>
        </w:rPr>
      </w:pPr>
      <w:r>
        <w:rPr>
          <w:rFonts w:ascii="Times New Roman" w:hAnsi="Times New Roman"/>
          <w:sz w:val="24"/>
          <w:szCs w:val="24"/>
        </w:rPr>
        <w:t xml:space="preserve">Rapid reductions in coal per unit of output in using industries in most regions but relatively slow decline in global use of coal because of strong growth in GDP and electricity production in major using economies such as India; </w:t>
      </w:r>
    </w:p>
    <w:p w:rsidR="00C57238" w:rsidRDefault="00C57238" w:rsidP="00C57238">
      <w:pPr>
        <w:pStyle w:val="ListParagraph"/>
        <w:numPr>
          <w:ilvl w:val="0"/>
          <w:numId w:val="11"/>
        </w:numPr>
        <w:ind w:left="993"/>
        <w:rPr>
          <w:rFonts w:ascii="Times New Roman" w:hAnsi="Times New Roman"/>
          <w:sz w:val="24"/>
          <w:szCs w:val="24"/>
        </w:rPr>
      </w:pPr>
      <w:r>
        <w:rPr>
          <w:rFonts w:ascii="Times New Roman" w:hAnsi="Times New Roman"/>
          <w:sz w:val="24"/>
          <w:szCs w:val="24"/>
        </w:rPr>
        <w:t xml:space="preserve">Reductions in use of oil and gas per unit of output in using industries in most regions but almost no decline in global use.  </w:t>
      </w:r>
    </w:p>
    <w:p w:rsidR="00FA2976" w:rsidRPr="00FA2976" w:rsidRDefault="00FA2976" w:rsidP="005745F4">
      <w:pPr>
        <w:pStyle w:val="ListParagraph"/>
        <w:numPr>
          <w:ilvl w:val="0"/>
          <w:numId w:val="10"/>
        </w:numPr>
        <w:ind w:left="567" w:hanging="567"/>
        <w:contextualSpacing w:val="0"/>
        <w:rPr>
          <w:rFonts w:ascii="Times New Roman" w:hAnsi="Times New Roman"/>
          <w:sz w:val="24"/>
          <w:szCs w:val="24"/>
        </w:rPr>
      </w:pPr>
      <w:r w:rsidRPr="00FA2976">
        <w:rPr>
          <w:rFonts w:ascii="Times New Roman" w:hAnsi="Times New Roman"/>
          <w:sz w:val="24"/>
          <w:szCs w:val="24"/>
        </w:rPr>
        <w:lastRenderedPageBreak/>
        <w:t>In addition to macro results</w:t>
      </w:r>
      <w:r w:rsidR="00D640D8">
        <w:rPr>
          <w:rFonts w:ascii="Times New Roman" w:hAnsi="Times New Roman"/>
          <w:sz w:val="24"/>
          <w:szCs w:val="24"/>
        </w:rPr>
        <w:t>,</w:t>
      </w:r>
      <w:r w:rsidRPr="00FA2976">
        <w:rPr>
          <w:rFonts w:ascii="Times New Roman" w:hAnsi="Times New Roman"/>
          <w:sz w:val="24"/>
          <w:szCs w:val="24"/>
        </w:rPr>
        <w:t xml:space="preserve"> GTAP produce</w:t>
      </w:r>
      <w:r>
        <w:rPr>
          <w:rFonts w:ascii="Times New Roman" w:hAnsi="Times New Roman"/>
          <w:sz w:val="24"/>
          <w:szCs w:val="24"/>
        </w:rPr>
        <w:t>s</w:t>
      </w:r>
      <w:r w:rsidRPr="00FA2976">
        <w:rPr>
          <w:rFonts w:ascii="Times New Roman" w:hAnsi="Times New Roman"/>
          <w:sz w:val="24"/>
          <w:szCs w:val="24"/>
        </w:rPr>
        <w:t xml:space="preserve"> a huge volume of industry results.  </w:t>
      </w:r>
      <w:r w:rsidR="00D640D8">
        <w:rPr>
          <w:rFonts w:ascii="Times New Roman" w:hAnsi="Times New Roman"/>
          <w:sz w:val="24"/>
          <w:szCs w:val="24"/>
        </w:rPr>
        <w:t>To guide analysis of these</w:t>
      </w:r>
      <w:r w:rsidR="00D640D8" w:rsidRPr="00FA2976">
        <w:rPr>
          <w:rFonts w:ascii="Times New Roman" w:hAnsi="Times New Roman"/>
          <w:sz w:val="24"/>
          <w:szCs w:val="24"/>
        </w:rPr>
        <w:t xml:space="preserve"> results</w:t>
      </w:r>
      <w:r w:rsidR="005745F4">
        <w:rPr>
          <w:rFonts w:ascii="Times New Roman" w:hAnsi="Times New Roman"/>
          <w:sz w:val="24"/>
          <w:szCs w:val="24"/>
        </w:rPr>
        <w:t>,</w:t>
      </w:r>
      <w:r w:rsidR="00D640D8" w:rsidRPr="00FA2976">
        <w:rPr>
          <w:rFonts w:ascii="Times New Roman" w:hAnsi="Times New Roman"/>
          <w:sz w:val="24"/>
          <w:szCs w:val="24"/>
        </w:rPr>
        <w:t xml:space="preserve"> </w:t>
      </w:r>
      <w:r w:rsidR="00D640D8">
        <w:rPr>
          <w:rFonts w:ascii="Times New Roman" w:hAnsi="Times New Roman"/>
          <w:sz w:val="24"/>
          <w:szCs w:val="24"/>
        </w:rPr>
        <w:t xml:space="preserve">we develop a framework that decomposes the gap between an industry’s growth rate and that of GDP into the part attributable to the allocation of the industry’s sales across markets and the part attributable to its performance in those markets.   We apply the framework to the industry results for Canada.  </w:t>
      </w:r>
    </w:p>
    <w:p w:rsidR="00FA2976" w:rsidRPr="00FA2976" w:rsidRDefault="00FA2976" w:rsidP="005745F4">
      <w:pPr>
        <w:pStyle w:val="ListParagraph"/>
        <w:numPr>
          <w:ilvl w:val="0"/>
          <w:numId w:val="10"/>
        </w:numPr>
        <w:ind w:left="567" w:hanging="567"/>
        <w:contextualSpacing w:val="0"/>
        <w:rPr>
          <w:rFonts w:ascii="Times New Roman" w:hAnsi="Times New Roman"/>
          <w:sz w:val="24"/>
          <w:szCs w:val="24"/>
        </w:rPr>
      </w:pPr>
      <w:r w:rsidRPr="00FA2976">
        <w:rPr>
          <w:rFonts w:ascii="Times New Roman" w:hAnsi="Times New Roman"/>
          <w:sz w:val="24"/>
          <w:szCs w:val="24"/>
        </w:rPr>
        <w:t xml:space="preserve">With different strengths for different industries, we find that all of the following play a role in determining the </w:t>
      </w:r>
      <w:r w:rsidR="005745F4">
        <w:rPr>
          <w:rFonts w:ascii="Times New Roman" w:hAnsi="Times New Roman"/>
          <w:sz w:val="24"/>
          <w:szCs w:val="24"/>
        </w:rPr>
        <w:t xml:space="preserve">output </w:t>
      </w:r>
      <w:r w:rsidRPr="00FA2976">
        <w:rPr>
          <w:rFonts w:ascii="Times New Roman" w:hAnsi="Times New Roman"/>
          <w:sz w:val="24"/>
          <w:szCs w:val="24"/>
        </w:rPr>
        <w:t xml:space="preserve">growth rate </w:t>
      </w:r>
      <w:r w:rsidR="005745F4">
        <w:rPr>
          <w:rFonts w:ascii="Times New Roman" w:hAnsi="Times New Roman"/>
          <w:sz w:val="24"/>
          <w:szCs w:val="24"/>
        </w:rPr>
        <w:t>for a Canadian industry relative to GDP</w:t>
      </w:r>
      <w:r w:rsidRPr="00FA2976">
        <w:rPr>
          <w:rFonts w:ascii="Times New Roman" w:hAnsi="Times New Roman"/>
          <w:sz w:val="24"/>
          <w:szCs w:val="24"/>
        </w:rPr>
        <w:t>:</w:t>
      </w:r>
    </w:p>
    <w:p w:rsidR="00FA2976" w:rsidRDefault="00FA2976" w:rsidP="00FA2976">
      <w:pPr>
        <w:pStyle w:val="ListParagraph"/>
        <w:numPr>
          <w:ilvl w:val="0"/>
          <w:numId w:val="16"/>
        </w:numPr>
        <w:ind w:left="993"/>
        <w:rPr>
          <w:rFonts w:ascii="Times New Roman" w:hAnsi="Times New Roman"/>
          <w:sz w:val="24"/>
          <w:szCs w:val="24"/>
        </w:rPr>
      </w:pPr>
      <w:r>
        <w:rPr>
          <w:rFonts w:ascii="Times New Roman" w:hAnsi="Times New Roman"/>
          <w:sz w:val="24"/>
          <w:szCs w:val="24"/>
        </w:rPr>
        <w:t>the distribution of the industry’s sales to different sales categories and the growth rates of the categories;</w:t>
      </w:r>
    </w:p>
    <w:p w:rsidR="00FA2976" w:rsidRDefault="00FA2976" w:rsidP="00FA2976">
      <w:pPr>
        <w:pStyle w:val="ListParagraph"/>
        <w:numPr>
          <w:ilvl w:val="0"/>
          <w:numId w:val="16"/>
        </w:numPr>
        <w:ind w:left="993"/>
        <w:rPr>
          <w:rFonts w:ascii="Times New Roman" w:hAnsi="Times New Roman"/>
          <w:sz w:val="24"/>
          <w:szCs w:val="24"/>
        </w:rPr>
      </w:pPr>
      <w:r>
        <w:rPr>
          <w:rFonts w:ascii="Times New Roman" w:hAnsi="Times New Roman"/>
          <w:sz w:val="24"/>
          <w:szCs w:val="24"/>
        </w:rPr>
        <w:t>the capital-labour ratio in the industry’s production function and the economy-wide movements in capital rental rates relative to wage rates;</w:t>
      </w:r>
    </w:p>
    <w:p w:rsidR="00FA2976" w:rsidRDefault="00FA2976" w:rsidP="00FA2976">
      <w:pPr>
        <w:pStyle w:val="ListParagraph"/>
        <w:numPr>
          <w:ilvl w:val="0"/>
          <w:numId w:val="16"/>
        </w:numPr>
        <w:ind w:left="993"/>
        <w:rPr>
          <w:rFonts w:ascii="Times New Roman" w:hAnsi="Times New Roman"/>
          <w:sz w:val="24"/>
          <w:szCs w:val="24"/>
        </w:rPr>
      </w:pPr>
      <w:r>
        <w:rPr>
          <w:rFonts w:ascii="Times New Roman" w:hAnsi="Times New Roman"/>
          <w:sz w:val="24"/>
          <w:szCs w:val="24"/>
        </w:rPr>
        <w:t xml:space="preserve">the expenditure elasticity of demand by households for the industry’s product; </w:t>
      </w:r>
    </w:p>
    <w:p w:rsidR="00FA2976" w:rsidRDefault="00FA2976" w:rsidP="00FA2976">
      <w:pPr>
        <w:pStyle w:val="ListParagraph"/>
        <w:numPr>
          <w:ilvl w:val="0"/>
          <w:numId w:val="16"/>
        </w:numPr>
        <w:ind w:left="993"/>
        <w:rPr>
          <w:rFonts w:ascii="Times New Roman" w:hAnsi="Times New Roman"/>
          <w:sz w:val="24"/>
          <w:szCs w:val="24"/>
        </w:rPr>
      </w:pPr>
      <w:r>
        <w:rPr>
          <w:rFonts w:ascii="Times New Roman" w:hAnsi="Times New Roman"/>
          <w:sz w:val="24"/>
          <w:szCs w:val="24"/>
        </w:rPr>
        <w:t>the distribution of the industry’s exports across trading partners (the proportions of its exports that go to the U.S., China, etc) and the changes in the prices of competitors in Canada’s export markets relative to changes in the price of the Canadian product;</w:t>
      </w:r>
    </w:p>
    <w:p w:rsidR="00FA2976" w:rsidRDefault="00FA2976" w:rsidP="00FA2976">
      <w:pPr>
        <w:pStyle w:val="ListParagraph"/>
        <w:numPr>
          <w:ilvl w:val="0"/>
          <w:numId w:val="16"/>
        </w:numPr>
        <w:ind w:left="993"/>
        <w:rPr>
          <w:rFonts w:ascii="Times New Roman" w:hAnsi="Times New Roman"/>
          <w:sz w:val="24"/>
          <w:szCs w:val="24"/>
        </w:rPr>
      </w:pPr>
      <w:r>
        <w:rPr>
          <w:rFonts w:ascii="Times New Roman" w:hAnsi="Times New Roman"/>
          <w:sz w:val="24"/>
          <w:szCs w:val="24"/>
        </w:rPr>
        <w:t>the sources (U.S., China, etc) of imports that compete with the industry’s product in Canadian market</w:t>
      </w:r>
      <w:r w:rsidR="005745F4">
        <w:rPr>
          <w:rFonts w:ascii="Times New Roman" w:hAnsi="Times New Roman"/>
          <w:sz w:val="24"/>
          <w:szCs w:val="24"/>
        </w:rPr>
        <w:t>s</w:t>
      </w:r>
      <w:r>
        <w:rPr>
          <w:rFonts w:ascii="Times New Roman" w:hAnsi="Times New Roman"/>
          <w:sz w:val="24"/>
          <w:szCs w:val="24"/>
        </w:rPr>
        <w:t xml:space="preserve"> and changes in the prices of these imported products relative to that of the Canadian product; </w:t>
      </w:r>
    </w:p>
    <w:p w:rsidR="00FA2976" w:rsidRDefault="00FA2976" w:rsidP="00FA2976">
      <w:pPr>
        <w:pStyle w:val="ListParagraph"/>
        <w:numPr>
          <w:ilvl w:val="0"/>
          <w:numId w:val="16"/>
        </w:numPr>
        <w:ind w:left="993"/>
        <w:rPr>
          <w:rFonts w:ascii="Times New Roman" w:hAnsi="Times New Roman"/>
          <w:sz w:val="24"/>
          <w:szCs w:val="24"/>
        </w:rPr>
      </w:pPr>
      <w:r>
        <w:rPr>
          <w:rFonts w:ascii="Times New Roman" w:hAnsi="Times New Roman"/>
          <w:sz w:val="24"/>
          <w:szCs w:val="24"/>
        </w:rPr>
        <w:t>technological/environmental changes affecting the use of fossil-fuel products; and</w:t>
      </w:r>
    </w:p>
    <w:p w:rsidR="00FA2976" w:rsidRDefault="00FA2976" w:rsidP="00FA2976">
      <w:pPr>
        <w:pStyle w:val="ListParagraph"/>
        <w:numPr>
          <w:ilvl w:val="0"/>
          <w:numId w:val="16"/>
        </w:numPr>
        <w:ind w:left="993"/>
        <w:rPr>
          <w:rFonts w:ascii="Times New Roman" w:hAnsi="Times New Roman"/>
          <w:sz w:val="24"/>
          <w:szCs w:val="24"/>
        </w:rPr>
      </w:pPr>
      <w:r>
        <w:rPr>
          <w:rFonts w:ascii="Times New Roman" w:hAnsi="Times New Roman"/>
          <w:sz w:val="24"/>
          <w:szCs w:val="24"/>
        </w:rPr>
        <w:t>assumptions about the availability of agricultural land and the share of the industry’s costs accounted for by land.</w:t>
      </w:r>
    </w:p>
    <w:p w:rsidR="00E57197" w:rsidRDefault="00810A57" w:rsidP="00810A57">
      <w:pPr>
        <w:pStyle w:val="ListParagraph"/>
        <w:numPr>
          <w:ilvl w:val="0"/>
          <w:numId w:val="10"/>
        </w:numPr>
        <w:ind w:left="567" w:hanging="567"/>
        <w:contextualSpacing w:val="0"/>
        <w:rPr>
          <w:rFonts w:ascii="Times New Roman" w:hAnsi="Times New Roman"/>
          <w:sz w:val="24"/>
          <w:szCs w:val="24"/>
        </w:rPr>
      </w:pPr>
      <w:r w:rsidRPr="00810A57">
        <w:rPr>
          <w:rFonts w:ascii="Times New Roman" w:hAnsi="Times New Roman"/>
          <w:sz w:val="24"/>
          <w:szCs w:val="24"/>
        </w:rPr>
        <w:t xml:space="preserve">We conclude the paper with what we hope is an impartial assessment of the success/shortcomings of the overall project.  The project has not yet fulfilled our initial hopes.  We have not satisfactorily integrated the historical and validation </w:t>
      </w:r>
      <w:r>
        <w:rPr>
          <w:rFonts w:ascii="Times New Roman" w:hAnsi="Times New Roman"/>
          <w:sz w:val="24"/>
          <w:szCs w:val="24"/>
        </w:rPr>
        <w:t>components into the baseline.  I</w:t>
      </w:r>
      <w:r w:rsidRPr="00810A57">
        <w:rPr>
          <w:rFonts w:ascii="Times New Roman" w:hAnsi="Times New Roman"/>
          <w:sz w:val="24"/>
          <w:szCs w:val="24"/>
        </w:rPr>
        <w:t xml:space="preserve">n the baseline we </w:t>
      </w:r>
      <w:r>
        <w:rPr>
          <w:rFonts w:ascii="Times New Roman" w:hAnsi="Times New Roman"/>
          <w:sz w:val="24"/>
          <w:szCs w:val="24"/>
        </w:rPr>
        <w:t>did not obtain</w:t>
      </w:r>
      <w:r w:rsidRPr="00810A57">
        <w:rPr>
          <w:rFonts w:ascii="Times New Roman" w:hAnsi="Times New Roman"/>
          <w:sz w:val="24"/>
          <w:szCs w:val="24"/>
        </w:rPr>
        <w:t xml:space="preserve"> realistic results for accumulation in each region of foreign assets and liabilities.</w:t>
      </w:r>
      <w:r>
        <w:rPr>
          <w:rFonts w:ascii="Times New Roman" w:hAnsi="Times New Roman"/>
          <w:sz w:val="24"/>
          <w:szCs w:val="24"/>
        </w:rPr>
        <w:t xml:space="preserve">  Nevertheless, our conclusions </w:t>
      </w:r>
      <w:r w:rsidRPr="00810A57">
        <w:rPr>
          <w:rFonts w:ascii="Times New Roman" w:hAnsi="Times New Roman"/>
          <w:sz w:val="24"/>
          <w:szCs w:val="24"/>
        </w:rPr>
        <w:t xml:space="preserve">are optimistic.  We have solved a lot of theoretical and data problems.  We have obtained results that are interpretable and point the way for future improvements.  We remain convinced that historical, validation and baseline exercises are an important vehicle for improving the quality and policy relevance of global economic modelling with GTAP.   </w:t>
      </w:r>
    </w:p>
    <w:p w:rsidR="00810A57" w:rsidRPr="00E57197" w:rsidRDefault="00810A57" w:rsidP="00E57197">
      <w:pPr>
        <w:ind w:left="0"/>
        <w:rPr>
          <w:rFonts w:ascii="Times New Roman" w:hAnsi="Times New Roman"/>
          <w:sz w:val="24"/>
          <w:szCs w:val="24"/>
        </w:rPr>
      </w:pPr>
      <w:r w:rsidRPr="00E57197">
        <w:rPr>
          <w:rFonts w:ascii="Times New Roman" w:hAnsi="Times New Roman"/>
          <w:sz w:val="24"/>
          <w:szCs w:val="24"/>
        </w:rPr>
        <w:t xml:space="preserve"> </w:t>
      </w:r>
    </w:p>
    <w:p w:rsidR="006F32E6" w:rsidRDefault="006F32E6">
      <w:pPr>
        <w:rPr>
          <w:rFonts w:ascii="Times New Roman" w:hAnsi="Times New Roman"/>
          <w:b/>
          <w:sz w:val="24"/>
          <w:szCs w:val="24"/>
        </w:rPr>
      </w:pPr>
      <w:r>
        <w:rPr>
          <w:rFonts w:ascii="Times New Roman" w:hAnsi="Times New Roman"/>
          <w:b/>
          <w:sz w:val="24"/>
          <w:szCs w:val="24"/>
        </w:rPr>
        <w:br w:type="page"/>
      </w:r>
    </w:p>
    <w:p w:rsidR="002C6525" w:rsidRPr="00E57197" w:rsidRDefault="0059134D" w:rsidP="002C6525">
      <w:pPr>
        <w:jc w:val="center"/>
      </w:pPr>
      <w:r>
        <w:rPr>
          <w:rFonts w:ascii="Times New Roman" w:hAnsi="Times New Roman"/>
          <w:b/>
          <w:sz w:val="24"/>
          <w:szCs w:val="24"/>
        </w:rPr>
        <w:lastRenderedPageBreak/>
        <w:t>Creating a GTAP baseline for 2014 to 2050</w:t>
      </w:r>
      <w:r w:rsidR="00E57197">
        <w:rPr>
          <w:rFonts w:ascii="Times New Roman" w:hAnsi="Times New Roman"/>
          <w:b/>
          <w:sz w:val="24"/>
          <w:szCs w:val="24"/>
        </w:rPr>
        <w:t xml:space="preserve"> with special reference to Canada</w:t>
      </w:r>
    </w:p>
    <w:p w:rsidR="0059134D" w:rsidRDefault="0059134D" w:rsidP="0098401D">
      <w:pPr>
        <w:spacing w:before="140"/>
        <w:jc w:val="center"/>
        <w:rPr>
          <w:rFonts w:ascii="Times New Roman" w:hAnsi="Times New Roman"/>
          <w:b/>
          <w:sz w:val="24"/>
          <w:szCs w:val="24"/>
        </w:rPr>
      </w:pPr>
    </w:p>
    <w:p w:rsidR="0098401D" w:rsidRDefault="0098401D" w:rsidP="0098401D">
      <w:pPr>
        <w:spacing w:before="100"/>
        <w:jc w:val="center"/>
        <w:rPr>
          <w:rFonts w:ascii="Times New Roman" w:hAnsi="Times New Roman"/>
          <w:b/>
          <w:sz w:val="24"/>
          <w:szCs w:val="24"/>
        </w:rPr>
      </w:pPr>
    </w:p>
    <w:p w:rsidR="0098401D" w:rsidRDefault="0098401D" w:rsidP="0098401D">
      <w:pPr>
        <w:spacing w:before="100"/>
        <w:jc w:val="center"/>
        <w:rPr>
          <w:rFonts w:ascii="Times New Roman" w:hAnsi="Times New Roman"/>
          <w:b/>
          <w:sz w:val="24"/>
          <w:szCs w:val="24"/>
        </w:rPr>
      </w:pPr>
    </w:p>
    <w:p w:rsidR="0059134D" w:rsidRDefault="0059134D" w:rsidP="007456D8">
      <w:pPr>
        <w:ind w:left="0"/>
        <w:rPr>
          <w:rFonts w:ascii="Times New Roman" w:hAnsi="Times New Roman"/>
          <w:b/>
          <w:sz w:val="24"/>
          <w:szCs w:val="24"/>
        </w:rPr>
      </w:pPr>
      <w:r w:rsidRPr="0059134D">
        <w:rPr>
          <w:rFonts w:ascii="Times New Roman" w:hAnsi="Times New Roman"/>
          <w:b/>
          <w:sz w:val="24"/>
          <w:szCs w:val="24"/>
        </w:rPr>
        <w:t>1.</w:t>
      </w:r>
      <w:r>
        <w:rPr>
          <w:rFonts w:ascii="Times New Roman" w:hAnsi="Times New Roman"/>
          <w:b/>
          <w:sz w:val="24"/>
          <w:szCs w:val="24"/>
        </w:rPr>
        <w:t xml:space="preserve"> </w:t>
      </w:r>
      <w:r w:rsidRPr="0059134D">
        <w:rPr>
          <w:rFonts w:ascii="Times New Roman" w:hAnsi="Times New Roman"/>
          <w:b/>
          <w:sz w:val="24"/>
          <w:szCs w:val="24"/>
        </w:rPr>
        <w:t xml:space="preserve"> Introduction</w:t>
      </w:r>
    </w:p>
    <w:p w:rsidR="0059134D" w:rsidRDefault="0059134D" w:rsidP="007456D8">
      <w:pPr>
        <w:ind w:left="0"/>
        <w:rPr>
          <w:rFonts w:ascii="Times New Roman" w:hAnsi="Times New Roman"/>
          <w:sz w:val="24"/>
          <w:szCs w:val="24"/>
        </w:rPr>
      </w:pPr>
      <w:r>
        <w:rPr>
          <w:rFonts w:ascii="Times New Roman" w:hAnsi="Times New Roman"/>
          <w:sz w:val="24"/>
          <w:szCs w:val="24"/>
        </w:rPr>
        <w:t xml:space="preserve">This paper describes </w:t>
      </w:r>
      <w:r w:rsidR="00EC5E6E">
        <w:rPr>
          <w:rFonts w:ascii="Times New Roman" w:hAnsi="Times New Roman"/>
          <w:sz w:val="24"/>
          <w:szCs w:val="24"/>
        </w:rPr>
        <w:t xml:space="preserve">the construction of </w:t>
      </w:r>
      <w:r>
        <w:rPr>
          <w:rFonts w:ascii="Times New Roman" w:hAnsi="Times New Roman"/>
          <w:sz w:val="24"/>
          <w:szCs w:val="24"/>
        </w:rPr>
        <w:t>a baseline for a 57-commodity</w:t>
      </w:r>
      <w:r w:rsidR="00E20B9E">
        <w:rPr>
          <w:rFonts w:ascii="Times New Roman" w:hAnsi="Times New Roman"/>
          <w:sz w:val="24"/>
          <w:szCs w:val="24"/>
        </w:rPr>
        <w:t>,</w:t>
      </w:r>
      <w:r>
        <w:rPr>
          <w:rFonts w:ascii="Times New Roman" w:hAnsi="Times New Roman"/>
          <w:sz w:val="24"/>
          <w:szCs w:val="24"/>
        </w:rPr>
        <w:t xml:space="preserve"> 13-region version of the GTAP model.  The </w:t>
      </w:r>
      <w:r w:rsidR="00EC5E6E">
        <w:rPr>
          <w:rFonts w:ascii="Times New Roman" w:hAnsi="Times New Roman"/>
          <w:sz w:val="24"/>
          <w:szCs w:val="24"/>
        </w:rPr>
        <w:t>baseline</w:t>
      </w:r>
      <w:r>
        <w:rPr>
          <w:rFonts w:ascii="Times New Roman" w:hAnsi="Times New Roman"/>
          <w:sz w:val="24"/>
          <w:szCs w:val="24"/>
        </w:rPr>
        <w:t xml:space="preserve"> covers the period 2014 to 2050</w:t>
      </w:r>
      <w:r w:rsidR="00EC5E6E">
        <w:rPr>
          <w:rFonts w:ascii="Times New Roman" w:hAnsi="Times New Roman"/>
          <w:sz w:val="24"/>
          <w:szCs w:val="24"/>
        </w:rPr>
        <w:t xml:space="preserve">.  It was created by four linked simulations for the </w:t>
      </w:r>
      <w:r>
        <w:rPr>
          <w:rFonts w:ascii="Times New Roman" w:hAnsi="Times New Roman"/>
          <w:sz w:val="24"/>
          <w:szCs w:val="24"/>
        </w:rPr>
        <w:t>periods</w:t>
      </w:r>
      <w:r w:rsidR="00EC5E6E">
        <w:rPr>
          <w:rFonts w:ascii="Times New Roman" w:hAnsi="Times New Roman"/>
          <w:sz w:val="24"/>
          <w:szCs w:val="24"/>
        </w:rPr>
        <w:t xml:space="preserve"> </w:t>
      </w:r>
      <w:r>
        <w:rPr>
          <w:rFonts w:ascii="Times New Roman" w:hAnsi="Times New Roman"/>
          <w:sz w:val="24"/>
          <w:szCs w:val="24"/>
        </w:rPr>
        <w:t>2014-2019</w:t>
      </w:r>
      <w:r w:rsidR="00EC5E6E">
        <w:rPr>
          <w:rFonts w:ascii="Times New Roman" w:hAnsi="Times New Roman"/>
          <w:sz w:val="24"/>
          <w:szCs w:val="24"/>
        </w:rPr>
        <w:t>,</w:t>
      </w:r>
      <w:r>
        <w:rPr>
          <w:rFonts w:ascii="Times New Roman" w:hAnsi="Times New Roman"/>
          <w:sz w:val="24"/>
          <w:szCs w:val="24"/>
        </w:rPr>
        <w:t xml:space="preserve"> 2019-2030</w:t>
      </w:r>
      <w:r w:rsidR="00EC5E6E">
        <w:rPr>
          <w:rFonts w:ascii="Times New Roman" w:hAnsi="Times New Roman"/>
          <w:sz w:val="24"/>
          <w:szCs w:val="24"/>
        </w:rPr>
        <w:t>,</w:t>
      </w:r>
      <w:r>
        <w:rPr>
          <w:rFonts w:ascii="Times New Roman" w:hAnsi="Times New Roman"/>
          <w:sz w:val="24"/>
          <w:szCs w:val="24"/>
        </w:rPr>
        <w:t xml:space="preserve"> 2030-2040 and 2040-2050.  </w:t>
      </w:r>
    </w:p>
    <w:p w:rsidR="00EC5E6E" w:rsidRDefault="00EC5E6E" w:rsidP="007456D8">
      <w:pPr>
        <w:ind w:left="0"/>
        <w:rPr>
          <w:rFonts w:ascii="Times New Roman" w:hAnsi="Times New Roman"/>
          <w:sz w:val="24"/>
          <w:szCs w:val="24"/>
        </w:rPr>
      </w:pPr>
      <w:r>
        <w:rPr>
          <w:rFonts w:ascii="Times New Roman" w:hAnsi="Times New Roman"/>
          <w:sz w:val="24"/>
          <w:szCs w:val="24"/>
        </w:rPr>
        <w:t xml:space="preserve">The starting point for the first simulation is the GTAP database for 2014.  We simulate from 2014 to 2019 in a single 5-year jump.  </w:t>
      </w:r>
      <w:r w:rsidR="002770E8">
        <w:rPr>
          <w:rFonts w:ascii="Times New Roman" w:hAnsi="Times New Roman"/>
          <w:sz w:val="24"/>
          <w:szCs w:val="24"/>
        </w:rPr>
        <w:t xml:space="preserve">The main purpose of the 2014-19 simulation is to create </w:t>
      </w:r>
      <w:r w:rsidR="00AE630B">
        <w:rPr>
          <w:rFonts w:ascii="Times New Roman" w:hAnsi="Times New Roman"/>
          <w:sz w:val="24"/>
          <w:szCs w:val="24"/>
        </w:rPr>
        <w:t>a relatively up-to-date launching point for the subsequent simulations.  We chose 2014 because this is the year of the latest “mature” GTAP database</w:t>
      </w:r>
      <w:r w:rsidR="00AE630B">
        <w:rPr>
          <w:rStyle w:val="FootnoteReference"/>
          <w:rFonts w:ascii="Times New Roman" w:hAnsi="Times New Roman"/>
          <w:sz w:val="24"/>
          <w:szCs w:val="24"/>
        </w:rPr>
        <w:footnoteReference w:id="1"/>
      </w:r>
      <w:r w:rsidR="00AE630B">
        <w:rPr>
          <w:rFonts w:ascii="Times New Roman" w:hAnsi="Times New Roman"/>
          <w:sz w:val="24"/>
          <w:szCs w:val="24"/>
        </w:rPr>
        <w:t xml:space="preserve">.  We chose 2019 because it is the latest year for comprehensive data uncontaminated by Covid.  </w:t>
      </w:r>
      <w:r>
        <w:rPr>
          <w:rFonts w:ascii="Times New Roman" w:hAnsi="Times New Roman"/>
          <w:sz w:val="24"/>
          <w:szCs w:val="24"/>
        </w:rPr>
        <w:t xml:space="preserve">The second simulation starts from the 2019 database </w:t>
      </w:r>
      <w:r w:rsidR="00362F93">
        <w:rPr>
          <w:rFonts w:ascii="Times New Roman" w:hAnsi="Times New Roman"/>
          <w:sz w:val="24"/>
          <w:szCs w:val="24"/>
        </w:rPr>
        <w:t xml:space="preserve">formed in the first simulation </w:t>
      </w:r>
      <w:r>
        <w:rPr>
          <w:rFonts w:ascii="Times New Roman" w:hAnsi="Times New Roman"/>
          <w:sz w:val="24"/>
          <w:szCs w:val="24"/>
        </w:rPr>
        <w:t xml:space="preserve">and moves out 11 years to 2030, again in a single jump.  The third and fourth simulations each jump out 10 years starting from the database created </w:t>
      </w:r>
      <w:r w:rsidR="002E2D1B">
        <w:rPr>
          <w:rFonts w:ascii="Times New Roman" w:hAnsi="Times New Roman"/>
          <w:sz w:val="24"/>
          <w:szCs w:val="24"/>
        </w:rPr>
        <w:t>in</w:t>
      </w:r>
      <w:r>
        <w:rPr>
          <w:rFonts w:ascii="Times New Roman" w:hAnsi="Times New Roman"/>
          <w:sz w:val="24"/>
          <w:szCs w:val="24"/>
        </w:rPr>
        <w:t xml:space="preserve"> the previous simulation.</w:t>
      </w:r>
    </w:p>
    <w:p w:rsidR="00EC5E6E" w:rsidRDefault="00EC5E6E" w:rsidP="007456D8">
      <w:pPr>
        <w:ind w:left="0"/>
        <w:rPr>
          <w:rFonts w:ascii="Times New Roman" w:hAnsi="Times New Roman"/>
          <w:sz w:val="24"/>
          <w:szCs w:val="24"/>
        </w:rPr>
      </w:pPr>
      <w:r>
        <w:rPr>
          <w:rFonts w:ascii="Times New Roman" w:hAnsi="Times New Roman"/>
          <w:sz w:val="24"/>
          <w:szCs w:val="24"/>
        </w:rPr>
        <w:t xml:space="preserve">The 2014-19 simulation is historical.  In setting the shocks </w:t>
      </w:r>
      <w:r w:rsidR="005E6F25">
        <w:rPr>
          <w:rFonts w:ascii="Times New Roman" w:hAnsi="Times New Roman"/>
          <w:sz w:val="24"/>
          <w:szCs w:val="24"/>
        </w:rPr>
        <w:t>that morphed the 2014 world economy into the 2019 world economy we drew on data showing actual movements in a considerable number of variables.  In the other simulations</w:t>
      </w:r>
      <w:r w:rsidR="00875DC2">
        <w:rPr>
          <w:rFonts w:ascii="Times New Roman" w:hAnsi="Times New Roman"/>
          <w:sz w:val="24"/>
          <w:szCs w:val="24"/>
        </w:rPr>
        <w:t>,</w:t>
      </w:r>
      <w:r w:rsidR="005E6F25">
        <w:rPr>
          <w:rFonts w:ascii="Times New Roman" w:hAnsi="Times New Roman"/>
          <w:sz w:val="24"/>
          <w:szCs w:val="24"/>
        </w:rPr>
        <w:t xml:space="preserve"> we built in forecasts from the International Monetary Fund (IMF), the International Labor Organization (ILO)</w:t>
      </w:r>
      <w:r w:rsidR="00FF2B26">
        <w:rPr>
          <w:rFonts w:ascii="Times New Roman" w:hAnsi="Times New Roman"/>
          <w:sz w:val="24"/>
          <w:szCs w:val="24"/>
        </w:rPr>
        <w:t>, the International Energy Agency (IEA)</w:t>
      </w:r>
      <w:r w:rsidR="005E6F25">
        <w:rPr>
          <w:rFonts w:ascii="Times New Roman" w:hAnsi="Times New Roman"/>
          <w:sz w:val="24"/>
          <w:szCs w:val="24"/>
        </w:rPr>
        <w:t xml:space="preserve"> and the International Institute for Applied Systems Analysis (IIASA).  </w:t>
      </w:r>
    </w:p>
    <w:p w:rsidR="004402F6" w:rsidRDefault="00362F93" w:rsidP="00362F93">
      <w:pPr>
        <w:ind w:left="0"/>
        <w:rPr>
          <w:rFonts w:ascii="Times New Roman" w:hAnsi="Times New Roman"/>
          <w:sz w:val="24"/>
          <w:szCs w:val="24"/>
        </w:rPr>
      </w:pPr>
      <w:r>
        <w:rPr>
          <w:rFonts w:ascii="Times New Roman" w:hAnsi="Times New Roman"/>
          <w:sz w:val="24"/>
          <w:szCs w:val="24"/>
        </w:rPr>
        <w:t xml:space="preserve">The paper is set out as follows. </w:t>
      </w:r>
      <w:r w:rsidRPr="007A2EB9">
        <w:rPr>
          <w:rFonts w:ascii="Times New Roman" w:hAnsi="Times New Roman"/>
          <w:sz w:val="24"/>
          <w:szCs w:val="24"/>
        </w:rPr>
        <w:t xml:space="preserve"> Section</w:t>
      </w:r>
      <w:r w:rsidR="007A2EB9" w:rsidRPr="007A2EB9">
        <w:rPr>
          <w:rFonts w:ascii="Times New Roman" w:hAnsi="Times New Roman"/>
          <w:sz w:val="24"/>
          <w:szCs w:val="24"/>
        </w:rPr>
        <w:t>s</w:t>
      </w:r>
      <w:r w:rsidRPr="007A2EB9">
        <w:rPr>
          <w:rFonts w:ascii="Times New Roman" w:hAnsi="Times New Roman"/>
          <w:sz w:val="24"/>
          <w:szCs w:val="24"/>
        </w:rPr>
        <w:t xml:space="preserve"> 2 </w:t>
      </w:r>
      <w:r w:rsidR="007A2EB9" w:rsidRPr="007A2EB9">
        <w:rPr>
          <w:rFonts w:ascii="Times New Roman" w:hAnsi="Times New Roman"/>
          <w:sz w:val="24"/>
          <w:szCs w:val="24"/>
        </w:rPr>
        <w:t xml:space="preserve">and 3 are short, theoretical and we hope readable.  </w:t>
      </w:r>
      <w:r w:rsidR="007A2EB9">
        <w:rPr>
          <w:rFonts w:ascii="Times New Roman" w:hAnsi="Times New Roman"/>
          <w:sz w:val="24"/>
          <w:szCs w:val="24"/>
        </w:rPr>
        <w:t xml:space="preserve">Section 2 </w:t>
      </w:r>
      <w:r w:rsidR="002A632B">
        <w:rPr>
          <w:rFonts w:ascii="Times New Roman" w:hAnsi="Times New Roman"/>
          <w:sz w:val="24"/>
          <w:szCs w:val="24"/>
        </w:rPr>
        <w:t>gives</w:t>
      </w:r>
      <w:r w:rsidR="007A2EB9">
        <w:rPr>
          <w:rFonts w:ascii="Times New Roman" w:hAnsi="Times New Roman"/>
          <w:sz w:val="24"/>
          <w:szCs w:val="24"/>
        </w:rPr>
        <w:t xml:space="preserve"> an interpretation of a CGE model, even a dynamic one, </w:t>
      </w:r>
      <w:r w:rsidR="002A632B">
        <w:rPr>
          <w:rFonts w:ascii="Times New Roman" w:hAnsi="Times New Roman"/>
          <w:sz w:val="24"/>
          <w:szCs w:val="24"/>
        </w:rPr>
        <w:t>as a</w:t>
      </w:r>
      <w:r w:rsidR="007A2EB9">
        <w:rPr>
          <w:rFonts w:ascii="Times New Roman" w:hAnsi="Times New Roman"/>
          <w:sz w:val="24"/>
          <w:szCs w:val="24"/>
        </w:rPr>
        <w:t xml:space="preserve"> system of equations in variables that refer to a single year.  This is important for understanding</w:t>
      </w:r>
      <w:r w:rsidR="002A632B">
        <w:rPr>
          <w:rFonts w:ascii="Times New Roman" w:hAnsi="Times New Roman"/>
          <w:sz w:val="24"/>
          <w:szCs w:val="24"/>
        </w:rPr>
        <w:t xml:space="preserve"> how</w:t>
      </w:r>
      <w:r w:rsidR="007A2EB9">
        <w:rPr>
          <w:rFonts w:ascii="Times New Roman" w:hAnsi="Times New Roman"/>
          <w:sz w:val="24"/>
          <w:szCs w:val="24"/>
        </w:rPr>
        <w:t xml:space="preserve"> long-run </w:t>
      </w:r>
      <w:r w:rsidR="002A632B">
        <w:rPr>
          <w:rFonts w:ascii="Times New Roman" w:hAnsi="Times New Roman"/>
          <w:sz w:val="24"/>
          <w:szCs w:val="24"/>
        </w:rPr>
        <w:t xml:space="preserve">simulations that jump over a number of years can be computed in </w:t>
      </w:r>
      <w:r w:rsidR="007A2EB9">
        <w:rPr>
          <w:rFonts w:ascii="Times New Roman" w:hAnsi="Times New Roman"/>
          <w:sz w:val="24"/>
          <w:szCs w:val="24"/>
        </w:rPr>
        <w:t>GEMPACK software</w:t>
      </w:r>
      <w:r w:rsidR="002A632B">
        <w:rPr>
          <w:rFonts w:ascii="Times New Roman" w:hAnsi="Times New Roman"/>
          <w:sz w:val="24"/>
          <w:szCs w:val="24"/>
        </w:rPr>
        <w:t xml:space="preserve">.  Section 3 describes what we refer to as the standard long-run closure.  </w:t>
      </w:r>
      <w:r w:rsidR="004402F6">
        <w:rPr>
          <w:rFonts w:ascii="Times New Roman" w:hAnsi="Times New Roman"/>
          <w:sz w:val="24"/>
          <w:szCs w:val="24"/>
        </w:rPr>
        <w:t>The principal innovations in this closure are</w:t>
      </w:r>
      <w:r w:rsidR="00291428">
        <w:rPr>
          <w:rFonts w:ascii="Times New Roman" w:hAnsi="Times New Roman"/>
          <w:sz w:val="24"/>
          <w:szCs w:val="24"/>
        </w:rPr>
        <w:t>:</w:t>
      </w:r>
      <w:r w:rsidR="004402F6">
        <w:rPr>
          <w:rFonts w:ascii="Times New Roman" w:hAnsi="Times New Roman"/>
          <w:sz w:val="24"/>
          <w:szCs w:val="24"/>
        </w:rPr>
        <w:t xml:space="preserve"> </w:t>
      </w:r>
      <w:r w:rsidR="00E20B9E">
        <w:rPr>
          <w:rFonts w:ascii="Times New Roman" w:hAnsi="Times New Roman"/>
          <w:sz w:val="24"/>
          <w:szCs w:val="24"/>
        </w:rPr>
        <w:t xml:space="preserve">(a) </w:t>
      </w:r>
      <w:r w:rsidR="004402F6">
        <w:rPr>
          <w:rFonts w:ascii="Times New Roman" w:hAnsi="Times New Roman"/>
          <w:sz w:val="24"/>
          <w:szCs w:val="24"/>
        </w:rPr>
        <w:t>the use</w:t>
      </w:r>
      <w:r w:rsidR="00291428">
        <w:rPr>
          <w:rFonts w:ascii="Times New Roman" w:hAnsi="Times New Roman"/>
          <w:sz w:val="24"/>
          <w:szCs w:val="24"/>
        </w:rPr>
        <w:t xml:space="preserve"> of the </w:t>
      </w:r>
      <w:r w:rsidR="004402F6">
        <w:rPr>
          <w:rFonts w:ascii="Times New Roman" w:hAnsi="Times New Roman"/>
          <w:sz w:val="24"/>
          <w:szCs w:val="24"/>
        </w:rPr>
        <w:t xml:space="preserve">smooth-growth assumption for </w:t>
      </w:r>
      <w:r w:rsidR="0098401D">
        <w:rPr>
          <w:rFonts w:ascii="Times New Roman" w:hAnsi="Times New Roman"/>
          <w:sz w:val="24"/>
          <w:szCs w:val="24"/>
        </w:rPr>
        <w:t>saving</w:t>
      </w:r>
      <w:r w:rsidR="004402F6">
        <w:rPr>
          <w:rFonts w:ascii="Times New Roman" w:hAnsi="Times New Roman"/>
          <w:sz w:val="24"/>
          <w:szCs w:val="24"/>
        </w:rPr>
        <w:t xml:space="preserve"> in each region to bridge the gap between disjoint years, 2014 to 2019, 2019 to 2030, etc</w:t>
      </w:r>
      <w:r w:rsidR="00291428">
        <w:rPr>
          <w:rFonts w:ascii="Times New Roman" w:hAnsi="Times New Roman"/>
          <w:sz w:val="24"/>
          <w:szCs w:val="24"/>
        </w:rPr>
        <w:t xml:space="preserve">; and </w:t>
      </w:r>
      <w:r w:rsidR="00E20B9E">
        <w:rPr>
          <w:rFonts w:ascii="Times New Roman" w:hAnsi="Times New Roman"/>
          <w:sz w:val="24"/>
          <w:szCs w:val="24"/>
        </w:rPr>
        <w:t xml:space="preserve">(b) </w:t>
      </w:r>
      <w:r w:rsidR="00291428">
        <w:rPr>
          <w:rFonts w:ascii="Times New Roman" w:hAnsi="Times New Roman"/>
          <w:sz w:val="24"/>
          <w:szCs w:val="24"/>
        </w:rPr>
        <w:t>the imposition of forward-looking expectations for the determination of investment.  Understanding the standard long-run closure is helpful for understanding the development of the baseline closures.  Forming these closure</w:t>
      </w:r>
      <w:r w:rsidR="00BD3766">
        <w:rPr>
          <w:rFonts w:ascii="Times New Roman" w:hAnsi="Times New Roman"/>
          <w:sz w:val="24"/>
          <w:szCs w:val="24"/>
        </w:rPr>
        <w:t>s</w:t>
      </w:r>
      <w:r w:rsidR="00291428">
        <w:rPr>
          <w:rFonts w:ascii="Times New Roman" w:hAnsi="Times New Roman"/>
          <w:sz w:val="24"/>
          <w:szCs w:val="24"/>
        </w:rPr>
        <w:t xml:space="preserve"> requires swapping some variables (e.g. real GDP) that are endogenous in the standard long-run closure to the exogenous category </w:t>
      </w:r>
      <w:r w:rsidR="00335F39">
        <w:rPr>
          <w:rFonts w:ascii="Times New Roman" w:hAnsi="Times New Roman"/>
          <w:sz w:val="24"/>
          <w:szCs w:val="24"/>
        </w:rPr>
        <w:t>so that t</w:t>
      </w:r>
      <w:r w:rsidR="00291428">
        <w:rPr>
          <w:rFonts w:ascii="Times New Roman" w:hAnsi="Times New Roman"/>
          <w:sz w:val="24"/>
          <w:szCs w:val="24"/>
        </w:rPr>
        <w:t xml:space="preserve">hey </w:t>
      </w:r>
      <w:r w:rsidR="00335F39">
        <w:rPr>
          <w:rFonts w:ascii="Times New Roman" w:hAnsi="Times New Roman"/>
          <w:sz w:val="24"/>
          <w:szCs w:val="24"/>
        </w:rPr>
        <w:t>can</w:t>
      </w:r>
      <w:r w:rsidR="00291428">
        <w:rPr>
          <w:rFonts w:ascii="Times New Roman" w:hAnsi="Times New Roman"/>
          <w:sz w:val="24"/>
          <w:szCs w:val="24"/>
        </w:rPr>
        <w:t xml:space="preserve"> receive shocks in our baseline simulations either from data</w:t>
      </w:r>
      <w:r w:rsidR="00BD3766">
        <w:rPr>
          <w:rFonts w:ascii="Times New Roman" w:hAnsi="Times New Roman"/>
          <w:sz w:val="24"/>
          <w:szCs w:val="24"/>
        </w:rPr>
        <w:t xml:space="preserve"> (</w:t>
      </w:r>
      <w:r w:rsidR="00291428">
        <w:rPr>
          <w:rFonts w:ascii="Times New Roman" w:hAnsi="Times New Roman"/>
          <w:sz w:val="24"/>
          <w:szCs w:val="24"/>
        </w:rPr>
        <w:t>in the 2014-19 simulation</w:t>
      </w:r>
      <w:r w:rsidR="00BD3766">
        <w:rPr>
          <w:rFonts w:ascii="Times New Roman" w:hAnsi="Times New Roman"/>
          <w:sz w:val="24"/>
          <w:szCs w:val="24"/>
        </w:rPr>
        <w:t>)</w:t>
      </w:r>
      <w:r w:rsidR="00291428">
        <w:rPr>
          <w:rFonts w:ascii="Times New Roman" w:hAnsi="Times New Roman"/>
          <w:sz w:val="24"/>
          <w:szCs w:val="24"/>
        </w:rPr>
        <w:t xml:space="preserve"> or from extraneous forecasts </w:t>
      </w:r>
      <w:r w:rsidR="00BD3766">
        <w:rPr>
          <w:rFonts w:ascii="Times New Roman" w:hAnsi="Times New Roman"/>
          <w:sz w:val="24"/>
          <w:szCs w:val="24"/>
        </w:rPr>
        <w:t>(</w:t>
      </w:r>
      <w:r w:rsidR="00291428">
        <w:rPr>
          <w:rFonts w:ascii="Times New Roman" w:hAnsi="Times New Roman"/>
          <w:sz w:val="24"/>
          <w:szCs w:val="24"/>
        </w:rPr>
        <w:t>in simulations for later periods</w:t>
      </w:r>
      <w:r w:rsidR="00BD3766">
        <w:rPr>
          <w:rFonts w:ascii="Times New Roman" w:hAnsi="Times New Roman"/>
          <w:sz w:val="24"/>
          <w:szCs w:val="24"/>
        </w:rPr>
        <w:t>)</w:t>
      </w:r>
      <w:r w:rsidR="00291428">
        <w:rPr>
          <w:rFonts w:ascii="Times New Roman" w:hAnsi="Times New Roman"/>
          <w:sz w:val="24"/>
          <w:szCs w:val="24"/>
        </w:rPr>
        <w:t xml:space="preserve">.    </w:t>
      </w:r>
      <w:r w:rsidR="004402F6">
        <w:rPr>
          <w:rFonts w:ascii="Times New Roman" w:hAnsi="Times New Roman"/>
          <w:sz w:val="24"/>
          <w:szCs w:val="24"/>
        </w:rPr>
        <w:t xml:space="preserve">  </w:t>
      </w:r>
    </w:p>
    <w:p w:rsidR="007D0ECB" w:rsidRDefault="00E62745" w:rsidP="00362F93">
      <w:pPr>
        <w:ind w:left="0"/>
        <w:rPr>
          <w:rFonts w:ascii="Times New Roman" w:hAnsi="Times New Roman"/>
          <w:sz w:val="24"/>
          <w:szCs w:val="24"/>
        </w:rPr>
      </w:pPr>
      <w:r>
        <w:rPr>
          <w:rFonts w:ascii="Times New Roman" w:hAnsi="Times New Roman"/>
          <w:sz w:val="24"/>
          <w:szCs w:val="24"/>
        </w:rPr>
        <w:lastRenderedPageBreak/>
        <w:t xml:space="preserve">The details of the closure modifications for the 2014-19 simulation are in section 4.  </w:t>
      </w:r>
      <w:r w:rsidR="007D0ECB">
        <w:rPr>
          <w:rFonts w:ascii="Times New Roman" w:hAnsi="Times New Roman"/>
          <w:sz w:val="24"/>
          <w:szCs w:val="24"/>
        </w:rPr>
        <w:t xml:space="preserve">The closure </w:t>
      </w:r>
      <w:r w:rsidR="00207243">
        <w:rPr>
          <w:rFonts w:ascii="Times New Roman" w:hAnsi="Times New Roman"/>
          <w:sz w:val="24"/>
          <w:szCs w:val="24"/>
        </w:rPr>
        <w:t>was</w:t>
      </w:r>
      <w:r w:rsidR="007D0ECB">
        <w:rPr>
          <w:rFonts w:ascii="Times New Roman" w:hAnsi="Times New Roman"/>
          <w:sz w:val="24"/>
          <w:szCs w:val="24"/>
        </w:rPr>
        <w:t xml:space="preserve"> developed</w:t>
      </w:r>
      <w:r>
        <w:rPr>
          <w:rFonts w:ascii="Times New Roman" w:hAnsi="Times New Roman"/>
          <w:sz w:val="24"/>
          <w:szCs w:val="24"/>
        </w:rPr>
        <w:t xml:space="preserve"> </w:t>
      </w:r>
      <w:r w:rsidRPr="00AE5156">
        <w:rPr>
          <w:rFonts w:ascii="Times New Roman" w:hAnsi="Times New Roman"/>
          <w:sz w:val="24"/>
          <w:szCs w:val="24"/>
        </w:rPr>
        <w:t>in 1</w:t>
      </w:r>
      <w:r w:rsidR="00B95BCC" w:rsidRPr="00AE5156">
        <w:rPr>
          <w:rFonts w:ascii="Times New Roman" w:hAnsi="Times New Roman"/>
          <w:sz w:val="24"/>
          <w:szCs w:val="24"/>
        </w:rPr>
        <w:t>9</w:t>
      </w:r>
      <w:r>
        <w:rPr>
          <w:rFonts w:ascii="Times New Roman" w:hAnsi="Times New Roman"/>
          <w:sz w:val="24"/>
          <w:szCs w:val="24"/>
        </w:rPr>
        <w:t xml:space="preserve"> steps.  At each step</w:t>
      </w:r>
      <w:r w:rsidR="007D0ECB">
        <w:rPr>
          <w:rFonts w:ascii="Times New Roman" w:hAnsi="Times New Roman"/>
          <w:sz w:val="24"/>
          <w:szCs w:val="24"/>
        </w:rPr>
        <w:t>,</w:t>
      </w:r>
      <w:r>
        <w:rPr>
          <w:rFonts w:ascii="Times New Roman" w:hAnsi="Times New Roman"/>
          <w:sz w:val="24"/>
          <w:szCs w:val="24"/>
        </w:rPr>
        <w:t xml:space="preserve"> we introduce</w:t>
      </w:r>
      <w:r w:rsidR="00207243">
        <w:rPr>
          <w:rFonts w:ascii="Times New Roman" w:hAnsi="Times New Roman"/>
          <w:sz w:val="24"/>
          <w:szCs w:val="24"/>
        </w:rPr>
        <w:t>d</w:t>
      </w:r>
      <w:r>
        <w:rPr>
          <w:rFonts w:ascii="Times New Roman" w:hAnsi="Times New Roman"/>
          <w:sz w:val="24"/>
          <w:szCs w:val="24"/>
        </w:rPr>
        <w:t xml:space="preserve"> additional shocks and </w:t>
      </w:r>
      <w:r w:rsidR="007D0ECB">
        <w:rPr>
          <w:rFonts w:ascii="Times New Roman" w:hAnsi="Times New Roman"/>
          <w:sz w:val="24"/>
          <w:szCs w:val="24"/>
        </w:rPr>
        <w:t>monitor</w:t>
      </w:r>
      <w:r w:rsidR="00207243">
        <w:rPr>
          <w:rFonts w:ascii="Times New Roman" w:hAnsi="Times New Roman"/>
          <w:sz w:val="24"/>
          <w:szCs w:val="24"/>
        </w:rPr>
        <w:t>ed</w:t>
      </w:r>
      <w:r w:rsidR="007D0ECB">
        <w:rPr>
          <w:rFonts w:ascii="Times New Roman" w:hAnsi="Times New Roman"/>
          <w:sz w:val="24"/>
          <w:szCs w:val="24"/>
        </w:rPr>
        <w:t xml:space="preserve"> progress by running </w:t>
      </w:r>
      <w:r>
        <w:rPr>
          <w:rFonts w:ascii="Times New Roman" w:hAnsi="Times New Roman"/>
          <w:sz w:val="24"/>
          <w:szCs w:val="24"/>
        </w:rPr>
        <w:t xml:space="preserve">a checking simulation.  The process is </w:t>
      </w:r>
      <w:r w:rsidR="002770E8">
        <w:rPr>
          <w:rFonts w:ascii="Times New Roman" w:hAnsi="Times New Roman"/>
          <w:sz w:val="24"/>
          <w:szCs w:val="24"/>
        </w:rPr>
        <w:t>documented</w:t>
      </w:r>
      <w:r>
        <w:rPr>
          <w:rFonts w:ascii="Times New Roman" w:hAnsi="Times New Roman"/>
          <w:sz w:val="24"/>
          <w:szCs w:val="24"/>
        </w:rPr>
        <w:t xml:space="preserve"> in </w:t>
      </w:r>
      <w:r w:rsidR="00207243">
        <w:rPr>
          <w:rFonts w:ascii="Times New Roman" w:hAnsi="Times New Roman"/>
          <w:sz w:val="24"/>
          <w:szCs w:val="24"/>
        </w:rPr>
        <w:t>Table 4.1</w:t>
      </w:r>
      <w:r>
        <w:rPr>
          <w:rFonts w:ascii="Times New Roman" w:hAnsi="Times New Roman"/>
          <w:sz w:val="24"/>
          <w:szCs w:val="24"/>
        </w:rPr>
        <w:t xml:space="preserve"> which shows swaps of variables between endogenous and exogenous categories and the data sources for the shocks.  </w:t>
      </w:r>
      <w:r w:rsidR="007D0ECB">
        <w:rPr>
          <w:rFonts w:ascii="Times New Roman" w:hAnsi="Times New Roman"/>
          <w:sz w:val="24"/>
          <w:szCs w:val="24"/>
        </w:rPr>
        <w:t xml:space="preserve">We conclude section 4 with a summary of the changes in technology and preference variables revealed by the 2014-19 simulation. </w:t>
      </w:r>
    </w:p>
    <w:p w:rsidR="004402F6" w:rsidRDefault="00207243" w:rsidP="00362F93">
      <w:pPr>
        <w:ind w:left="0"/>
        <w:rPr>
          <w:rFonts w:ascii="Times New Roman" w:hAnsi="Times New Roman"/>
          <w:sz w:val="24"/>
          <w:szCs w:val="24"/>
        </w:rPr>
      </w:pPr>
      <w:r>
        <w:rPr>
          <w:rFonts w:ascii="Times New Roman" w:hAnsi="Times New Roman"/>
          <w:sz w:val="24"/>
          <w:szCs w:val="24"/>
        </w:rPr>
        <w:t xml:space="preserve">Section 5 </w:t>
      </w:r>
      <w:r w:rsidR="007416BB">
        <w:rPr>
          <w:rFonts w:ascii="Times New Roman" w:hAnsi="Times New Roman"/>
          <w:sz w:val="24"/>
          <w:szCs w:val="24"/>
        </w:rPr>
        <w:t>displays</w:t>
      </w:r>
      <w:r w:rsidR="002770E8">
        <w:rPr>
          <w:rFonts w:ascii="Times New Roman" w:hAnsi="Times New Roman"/>
          <w:sz w:val="24"/>
          <w:szCs w:val="24"/>
        </w:rPr>
        <w:t xml:space="preserve"> the modifications to the standard long-run closure </w:t>
      </w:r>
      <w:r w:rsidR="00A1088F" w:rsidRPr="007A2EB9">
        <w:rPr>
          <w:rFonts w:ascii="Times New Roman" w:hAnsi="Times New Roman"/>
          <w:sz w:val="24"/>
          <w:szCs w:val="24"/>
        </w:rPr>
        <w:t>required to bring IMF, ILO</w:t>
      </w:r>
      <w:r w:rsidR="00FF2B26">
        <w:rPr>
          <w:rFonts w:ascii="Times New Roman" w:hAnsi="Times New Roman"/>
          <w:sz w:val="24"/>
          <w:szCs w:val="24"/>
        </w:rPr>
        <w:t>, IIASA</w:t>
      </w:r>
      <w:r w:rsidR="00A1088F" w:rsidRPr="007A2EB9">
        <w:rPr>
          <w:rFonts w:ascii="Times New Roman" w:hAnsi="Times New Roman"/>
          <w:sz w:val="24"/>
          <w:szCs w:val="24"/>
        </w:rPr>
        <w:t xml:space="preserve"> and </w:t>
      </w:r>
      <w:r w:rsidR="00FF2B26" w:rsidRPr="00A75D65">
        <w:rPr>
          <w:rFonts w:ascii="Times New Roman" w:hAnsi="Times New Roman"/>
          <w:sz w:val="24"/>
          <w:szCs w:val="24"/>
        </w:rPr>
        <w:t>IEA</w:t>
      </w:r>
      <w:r w:rsidR="00A1088F" w:rsidRPr="007A2EB9">
        <w:rPr>
          <w:rFonts w:ascii="Times New Roman" w:hAnsi="Times New Roman"/>
          <w:sz w:val="24"/>
          <w:szCs w:val="24"/>
        </w:rPr>
        <w:t xml:space="preserve"> forecasts into the </w:t>
      </w:r>
      <w:r w:rsidR="002770E8">
        <w:rPr>
          <w:rFonts w:ascii="Times New Roman" w:hAnsi="Times New Roman"/>
          <w:sz w:val="24"/>
          <w:szCs w:val="24"/>
        </w:rPr>
        <w:t>simulations for 2019-30, 2030-40 and 2040-50</w:t>
      </w:r>
      <w:r w:rsidR="00A1088F" w:rsidRPr="007A2EB9">
        <w:rPr>
          <w:rFonts w:ascii="Times New Roman" w:hAnsi="Times New Roman"/>
          <w:sz w:val="24"/>
          <w:szCs w:val="24"/>
        </w:rPr>
        <w:t>.</w:t>
      </w:r>
      <w:r w:rsidR="002770E8">
        <w:rPr>
          <w:rFonts w:ascii="Times New Roman" w:hAnsi="Times New Roman"/>
          <w:sz w:val="24"/>
          <w:szCs w:val="24"/>
        </w:rPr>
        <w:t xml:space="preserve">  These modifications are not as complex as those required for the data-driven 2014-19 simulation.  They were implemented in a 7-step procedure documented in Table 5.1.  </w:t>
      </w:r>
    </w:p>
    <w:p w:rsidR="00E57197" w:rsidRPr="00AE5156" w:rsidRDefault="007416BB" w:rsidP="00362F93">
      <w:pPr>
        <w:ind w:left="0"/>
        <w:rPr>
          <w:rFonts w:ascii="Times New Roman" w:hAnsi="Times New Roman"/>
          <w:sz w:val="24"/>
          <w:szCs w:val="24"/>
        </w:rPr>
      </w:pPr>
      <w:r>
        <w:rPr>
          <w:rFonts w:ascii="Times New Roman" w:hAnsi="Times New Roman"/>
          <w:sz w:val="24"/>
          <w:szCs w:val="24"/>
        </w:rPr>
        <w:t xml:space="preserve">Section 6 sets out </w:t>
      </w:r>
      <w:r w:rsidRPr="00AE5156">
        <w:rPr>
          <w:rFonts w:ascii="Times New Roman" w:hAnsi="Times New Roman"/>
          <w:sz w:val="24"/>
          <w:szCs w:val="24"/>
        </w:rPr>
        <w:t xml:space="preserve">results for </w:t>
      </w:r>
      <w:r w:rsidR="00B95BCC" w:rsidRPr="00AE5156">
        <w:rPr>
          <w:rFonts w:ascii="Times New Roman" w:hAnsi="Times New Roman"/>
          <w:sz w:val="24"/>
          <w:szCs w:val="24"/>
        </w:rPr>
        <w:t xml:space="preserve">macro and energy variables for </w:t>
      </w:r>
      <w:r w:rsidRPr="00AE5156">
        <w:rPr>
          <w:rFonts w:ascii="Times New Roman" w:hAnsi="Times New Roman"/>
          <w:sz w:val="24"/>
          <w:szCs w:val="24"/>
        </w:rPr>
        <w:t xml:space="preserve">all four simulations together with intuitive and back-of-the-envelope explanations.  </w:t>
      </w:r>
    </w:p>
    <w:p w:rsidR="00A75D65" w:rsidRPr="00AE5156" w:rsidRDefault="00A75D65" w:rsidP="00362F93">
      <w:pPr>
        <w:ind w:left="0"/>
        <w:rPr>
          <w:rFonts w:ascii="Times New Roman" w:hAnsi="Times New Roman"/>
          <w:sz w:val="24"/>
          <w:szCs w:val="24"/>
        </w:rPr>
      </w:pPr>
      <w:r w:rsidRPr="00FA2976">
        <w:rPr>
          <w:rFonts w:ascii="Times New Roman" w:hAnsi="Times New Roman"/>
          <w:sz w:val="24"/>
          <w:szCs w:val="24"/>
        </w:rPr>
        <w:t>GTAP produce</w:t>
      </w:r>
      <w:r>
        <w:rPr>
          <w:rFonts w:ascii="Times New Roman" w:hAnsi="Times New Roman"/>
          <w:sz w:val="24"/>
          <w:szCs w:val="24"/>
        </w:rPr>
        <w:t>s</w:t>
      </w:r>
      <w:r w:rsidRPr="00FA2976">
        <w:rPr>
          <w:rFonts w:ascii="Times New Roman" w:hAnsi="Times New Roman"/>
          <w:sz w:val="24"/>
          <w:szCs w:val="24"/>
        </w:rPr>
        <w:t xml:space="preserve"> a huge volume of industry results.  </w:t>
      </w:r>
      <w:r>
        <w:rPr>
          <w:rFonts w:ascii="Times New Roman" w:hAnsi="Times New Roman"/>
          <w:sz w:val="24"/>
          <w:szCs w:val="24"/>
        </w:rPr>
        <w:t>In section 7, we develop a framework for analysing industry results.  The framework decomposes the gap between an industry’s growth rate and that of GDP into the part attributable to the allocation of the industry’s sales across markets and the part attributable to its performance in those markets.   We apply the framework to the industry results for Canada.</w:t>
      </w:r>
    </w:p>
    <w:p w:rsidR="00E20B9E" w:rsidRPr="00AE5156" w:rsidRDefault="007416BB" w:rsidP="007416BB">
      <w:pPr>
        <w:ind w:left="0"/>
        <w:rPr>
          <w:rFonts w:ascii="Times New Roman" w:hAnsi="Times New Roman"/>
          <w:sz w:val="24"/>
          <w:szCs w:val="24"/>
        </w:rPr>
      </w:pPr>
      <w:r w:rsidRPr="00AE5156">
        <w:rPr>
          <w:rFonts w:ascii="Times New Roman" w:hAnsi="Times New Roman"/>
          <w:sz w:val="24"/>
          <w:szCs w:val="24"/>
        </w:rPr>
        <w:t xml:space="preserve">Concluding remarks are in section </w:t>
      </w:r>
      <w:r w:rsidR="00B95BCC" w:rsidRPr="00AE5156">
        <w:rPr>
          <w:rFonts w:ascii="Times New Roman" w:hAnsi="Times New Roman"/>
          <w:sz w:val="24"/>
          <w:szCs w:val="24"/>
        </w:rPr>
        <w:t>8</w:t>
      </w:r>
      <w:r w:rsidRPr="00AE5156">
        <w:rPr>
          <w:rFonts w:ascii="Times New Roman" w:hAnsi="Times New Roman"/>
          <w:sz w:val="24"/>
          <w:szCs w:val="24"/>
        </w:rPr>
        <w:t xml:space="preserve">.  We explain that the current paper addresses the third part, baseline creation, of a larger project.  In the first two parts, we undertook an historical simulation for 2004 to 2014 and a validation simulation for 2014 to 2017.  We try to make an impartial assessment of the success of the project.  </w:t>
      </w:r>
      <w:r w:rsidR="00742DD6" w:rsidRPr="00AE5156">
        <w:rPr>
          <w:rFonts w:ascii="Times New Roman" w:hAnsi="Times New Roman"/>
          <w:sz w:val="24"/>
          <w:szCs w:val="24"/>
        </w:rPr>
        <w:t>The project has not yet fulfilled our initial hope</w:t>
      </w:r>
      <w:r w:rsidR="00E20B9E" w:rsidRPr="00AE5156">
        <w:rPr>
          <w:rFonts w:ascii="Times New Roman" w:hAnsi="Times New Roman"/>
          <w:sz w:val="24"/>
          <w:szCs w:val="24"/>
        </w:rPr>
        <w:t>s</w:t>
      </w:r>
      <w:r w:rsidR="00742DD6" w:rsidRPr="00AE5156">
        <w:rPr>
          <w:rFonts w:ascii="Times New Roman" w:hAnsi="Times New Roman"/>
          <w:sz w:val="24"/>
          <w:szCs w:val="24"/>
        </w:rPr>
        <w:t>.  We have not satisfactorily integrated the three parts.  In particular</w:t>
      </w:r>
      <w:r w:rsidR="00E20B9E" w:rsidRPr="00AE5156">
        <w:rPr>
          <w:rFonts w:ascii="Times New Roman" w:hAnsi="Times New Roman"/>
          <w:sz w:val="24"/>
          <w:szCs w:val="24"/>
        </w:rPr>
        <w:t>,</w:t>
      </w:r>
      <w:r w:rsidR="00742DD6" w:rsidRPr="00AE5156">
        <w:rPr>
          <w:rFonts w:ascii="Times New Roman" w:hAnsi="Times New Roman"/>
          <w:sz w:val="24"/>
          <w:szCs w:val="24"/>
        </w:rPr>
        <w:t xml:space="preserve"> we have not taken mu</w:t>
      </w:r>
      <w:r w:rsidR="00E20B9E" w:rsidRPr="00AE5156">
        <w:rPr>
          <w:rFonts w:ascii="Times New Roman" w:hAnsi="Times New Roman"/>
          <w:sz w:val="24"/>
          <w:szCs w:val="24"/>
        </w:rPr>
        <w:t>c</w:t>
      </w:r>
      <w:r w:rsidR="00742DD6" w:rsidRPr="00AE5156">
        <w:rPr>
          <w:rFonts w:ascii="Times New Roman" w:hAnsi="Times New Roman"/>
          <w:sz w:val="24"/>
          <w:szCs w:val="24"/>
        </w:rPr>
        <w:t>h f</w:t>
      </w:r>
      <w:r w:rsidR="00E20B9E" w:rsidRPr="00AE5156">
        <w:rPr>
          <w:rFonts w:ascii="Times New Roman" w:hAnsi="Times New Roman"/>
          <w:sz w:val="24"/>
          <w:szCs w:val="24"/>
        </w:rPr>
        <w:t>ro</w:t>
      </w:r>
      <w:r w:rsidR="00742DD6" w:rsidRPr="00AE5156">
        <w:rPr>
          <w:rFonts w:ascii="Times New Roman" w:hAnsi="Times New Roman"/>
          <w:sz w:val="24"/>
          <w:szCs w:val="24"/>
        </w:rPr>
        <w:t xml:space="preserve">m the historical and validation simulations into the baseline simulation.  </w:t>
      </w:r>
    </w:p>
    <w:p w:rsidR="007416BB" w:rsidRDefault="00E20B9E" w:rsidP="007416BB">
      <w:pPr>
        <w:ind w:left="0"/>
        <w:rPr>
          <w:rFonts w:ascii="Times New Roman" w:hAnsi="Times New Roman"/>
          <w:sz w:val="24"/>
          <w:szCs w:val="24"/>
        </w:rPr>
      </w:pPr>
      <w:r w:rsidRPr="00AE5156">
        <w:rPr>
          <w:rFonts w:ascii="Times New Roman" w:hAnsi="Times New Roman"/>
          <w:sz w:val="24"/>
          <w:szCs w:val="24"/>
        </w:rPr>
        <w:t xml:space="preserve">Nevertheless, our conclusions in section </w:t>
      </w:r>
      <w:r w:rsidR="00B95BCC" w:rsidRPr="00AE5156">
        <w:rPr>
          <w:rFonts w:ascii="Times New Roman" w:hAnsi="Times New Roman"/>
          <w:sz w:val="24"/>
          <w:szCs w:val="24"/>
        </w:rPr>
        <w:t>8</w:t>
      </w:r>
      <w:r w:rsidRPr="00AE5156">
        <w:rPr>
          <w:rFonts w:ascii="Times New Roman" w:hAnsi="Times New Roman"/>
          <w:sz w:val="24"/>
          <w:szCs w:val="24"/>
        </w:rPr>
        <w:t xml:space="preserve"> are optimistic</w:t>
      </w:r>
      <w:r>
        <w:rPr>
          <w:rFonts w:ascii="Times New Roman" w:hAnsi="Times New Roman"/>
          <w:sz w:val="24"/>
          <w:szCs w:val="24"/>
        </w:rPr>
        <w:t xml:space="preserve">.  We have solved a lot of theoretical and data problems.  We have obtained results that are interpretable and point the way for future improvements.  We remain convinced that historical, validation and baseline exercises are an important vehicle for improving the quality and policy relevance of global economic modelling with GTAP.  </w:t>
      </w:r>
      <w:r w:rsidR="00742DD6">
        <w:rPr>
          <w:rFonts w:ascii="Times New Roman" w:hAnsi="Times New Roman"/>
          <w:sz w:val="24"/>
          <w:szCs w:val="24"/>
        </w:rPr>
        <w:t xml:space="preserve"> </w:t>
      </w:r>
      <w:r w:rsidR="007416BB">
        <w:rPr>
          <w:rFonts w:ascii="Times New Roman" w:hAnsi="Times New Roman"/>
          <w:sz w:val="24"/>
          <w:szCs w:val="24"/>
        </w:rPr>
        <w:t xml:space="preserve"> </w:t>
      </w:r>
    </w:p>
    <w:p w:rsidR="001847B3" w:rsidRDefault="0098401D" w:rsidP="007416BB">
      <w:pPr>
        <w:ind w:left="0"/>
        <w:rPr>
          <w:rFonts w:ascii="Times New Roman" w:hAnsi="Times New Roman"/>
          <w:sz w:val="24"/>
          <w:szCs w:val="24"/>
        </w:rPr>
      </w:pPr>
      <w:r>
        <w:rPr>
          <w:rFonts w:ascii="Times New Roman" w:hAnsi="Times New Roman"/>
          <w:sz w:val="24"/>
          <w:szCs w:val="24"/>
        </w:rPr>
        <w:t xml:space="preserve">The paper has </w:t>
      </w:r>
      <w:r w:rsidR="00A75D65">
        <w:rPr>
          <w:rFonts w:ascii="Times New Roman" w:hAnsi="Times New Roman"/>
          <w:sz w:val="24"/>
          <w:szCs w:val="24"/>
        </w:rPr>
        <w:t>four</w:t>
      </w:r>
      <w:r>
        <w:rPr>
          <w:rFonts w:ascii="Times New Roman" w:hAnsi="Times New Roman"/>
          <w:sz w:val="24"/>
          <w:szCs w:val="24"/>
        </w:rPr>
        <w:t xml:space="preserve"> appendices.  Appendix 1 provides details of the data and forecasts used to set the shocks in the four simulations.  Appendix 2 gives the mathematical details of the smooth-growth assumption for saving and its use in long-run simulations.  Appendix 3 describes our iterative procedure for computing with forward-looking expectations for investors and compares solutions under for forward-looking and static expectations.</w:t>
      </w:r>
      <w:r w:rsidR="00A75D65">
        <w:rPr>
          <w:rFonts w:ascii="Times New Roman" w:hAnsi="Times New Roman"/>
          <w:sz w:val="24"/>
          <w:szCs w:val="24"/>
        </w:rPr>
        <w:t xml:space="preserve">  Appendix 4 </w:t>
      </w:r>
      <w:r w:rsidR="00764943">
        <w:rPr>
          <w:rFonts w:ascii="Times New Roman" w:hAnsi="Times New Roman"/>
          <w:sz w:val="24"/>
          <w:szCs w:val="24"/>
        </w:rPr>
        <w:t xml:space="preserve">defines the GTAP industries. </w:t>
      </w:r>
    </w:p>
    <w:p w:rsidR="0098293D" w:rsidRPr="00945E58" w:rsidRDefault="0059134D" w:rsidP="007456D8">
      <w:pPr>
        <w:ind w:left="0"/>
        <w:rPr>
          <w:rFonts w:ascii="Times New Roman" w:hAnsi="Times New Roman"/>
          <w:b/>
          <w:sz w:val="24"/>
          <w:szCs w:val="24"/>
        </w:rPr>
      </w:pPr>
      <w:r>
        <w:rPr>
          <w:rFonts w:ascii="Times New Roman" w:hAnsi="Times New Roman"/>
          <w:b/>
          <w:sz w:val="24"/>
          <w:szCs w:val="24"/>
        </w:rPr>
        <w:t xml:space="preserve">2.  </w:t>
      </w:r>
      <w:r w:rsidR="00945E58">
        <w:rPr>
          <w:rFonts w:ascii="Times New Roman" w:hAnsi="Times New Roman"/>
          <w:b/>
          <w:sz w:val="24"/>
          <w:szCs w:val="24"/>
        </w:rPr>
        <w:t>Simulations connecting disjoint years</w:t>
      </w:r>
      <w:r>
        <w:rPr>
          <w:rFonts w:ascii="Times New Roman" w:hAnsi="Times New Roman"/>
          <w:b/>
          <w:sz w:val="24"/>
          <w:szCs w:val="24"/>
        </w:rPr>
        <w:t xml:space="preserve">  </w:t>
      </w:r>
    </w:p>
    <w:p w:rsidR="00884D51" w:rsidRDefault="00884D51" w:rsidP="007456D8">
      <w:pPr>
        <w:ind w:left="0"/>
        <w:rPr>
          <w:rFonts w:ascii="Times New Roman" w:hAnsi="Times New Roman"/>
          <w:i/>
          <w:sz w:val="24"/>
          <w:szCs w:val="24"/>
        </w:rPr>
      </w:pPr>
      <w:r>
        <w:rPr>
          <w:rFonts w:ascii="Times New Roman" w:hAnsi="Times New Roman"/>
          <w:i/>
          <w:sz w:val="24"/>
          <w:szCs w:val="24"/>
        </w:rPr>
        <w:t xml:space="preserve">A system of equations </w:t>
      </w:r>
      <w:r w:rsidR="00362F93">
        <w:rPr>
          <w:rFonts w:ascii="Times New Roman" w:hAnsi="Times New Roman"/>
          <w:i/>
          <w:sz w:val="24"/>
          <w:szCs w:val="24"/>
        </w:rPr>
        <w:t>in</w:t>
      </w:r>
      <w:r>
        <w:rPr>
          <w:rFonts w:ascii="Times New Roman" w:hAnsi="Times New Roman"/>
          <w:i/>
          <w:sz w:val="24"/>
          <w:szCs w:val="24"/>
        </w:rPr>
        <w:t xml:space="preserve"> variables for a single year</w:t>
      </w:r>
    </w:p>
    <w:p w:rsidR="00661944" w:rsidRDefault="00661944" w:rsidP="007456D8">
      <w:pPr>
        <w:ind w:left="0"/>
        <w:rPr>
          <w:rFonts w:ascii="Times New Roman" w:hAnsi="Times New Roman"/>
          <w:sz w:val="24"/>
          <w:szCs w:val="24"/>
        </w:rPr>
      </w:pPr>
      <w:r>
        <w:rPr>
          <w:rFonts w:ascii="Times New Roman" w:hAnsi="Times New Roman"/>
          <w:sz w:val="24"/>
          <w:szCs w:val="24"/>
        </w:rPr>
        <w:t xml:space="preserve">Models such as GTAP can </w:t>
      </w:r>
      <w:r w:rsidR="00884D51">
        <w:rPr>
          <w:rFonts w:ascii="Times New Roman" w:hAnsi="Times New Roman"/>
          <w:sz w:val="24"/>
          <w:szCs w:val="24"/>
        </w:rPr>
        <w:t xml:space="preserve">usually </w:t>
      </w:r>
      <w:r>
        <w:rPr>
          <w:rFonts w:ascii="Times New Roman" w:hAnsi="Times New Roman"/>
          <w:sz w:val="24"/>
          <w:szCs w:val="24"/>
        </w:rPr>
        <w:t>be thought of as large systems of equations</w:t>
      </w:r>
      <w:r w:rsidR="00380549">
        <w:rPr>
          <w:rFonts w:ascii="Times New Roman" w:hAnsi="Times New Roman"/>
          <w:sz w:val="24"/>
          <w:szCs w:val="24"/>
        </w:rPr>
        <w:t xml:space="preserve"> </w:t>
      </w:r>
      <w:r w:rsidR="00362F93">
        <w:rPr>
          <w:rFonts w:ascii="Times New Roman" w:hAnsi="Times New Roman"/>
          <w:sz w:val="24"/>
          <w:szCs w:val="24"/>
        </w:rPr>
        <w:t>in which the</w:t>
      </w:r>
      <w:r w:rsidR="00380549">
        <w:rPr>
          <w:rFonts w:ascii="Times New Roman" w:hAnsi="Times New Roman"/>
          <w:sz w:val="24"/>
          <w:szCs w:val="24"/>
        </w:rPr>
        <w:t xml:space="preserve"> variables </w:t>
      </w:r>
      <w:r w:rsidR="00362F93">
        <w:rPr>
          <w:rFonts w:ascii="Times New Roman" w:hAnsi="Times New Roman"/>
          <w:sz w:val="24"/>
          <w:szCs w:val="24"/>
        </w:rPr>
        <w:t xml:space="preserve">are </w:t>
      </w:r>
      <w:r w:rsidR="00380549">
        <w:rPr>
          <w:rFonts w:ascii="Times New Roman" w:hAnsi="Times New Roman"/>
          <w:sz w:val="24"/>
          <w:szCs w:val="24"/>
        </w:rPr>
        <w:t xml:space="preserve">for a </w:t>
      </w:r>
      <w:r w:rsidR="00380549" w:rsidRPr="00380549">
        <w:rPr>
          <w:rFonts w:ascii="Times New Roman" w:hAnsi="Times New Roman"/>
          <w:i/>
          <w:sz w:val="24"/>
          <w:szCs w:val="24"/>
        </w:rPr>
        <w:t>single</w:t>
      </w:r>
      <w:r w:rsidR="00380549">
        <w:rPr>
          <w:rFonts w:ascii="Times New Roman" w:hAnsi="Times New Roman"/>
          <w:sz w:val="24"/>
          <w:szCs w:val="24"/>
        </w:rPr>
        <w:t xml:space="preserve"> year, year t.  These equations impose familiar conditions such as: demand equals supply for commodities</w:t>
      </w:r>
      <w:r w:rsidR="00884D51">
        <w:rPr>
          <w:rFonts w:ascii="Times New Roman" w:hAnsi="Times New Roman"/>
          <w:sz w:val="24"/>
          <w:szCs w:val="24"/>
        </w:rPr>
        <w:t xml:space="preserve"> and factors</w:t>
      </w:r>
      <w:r w:rsidR="00380549">
        <w:rPr>
          <w:rFonts w:ascii="Times New Roman" w:hAnsi="Times New Roman"/>
          <w:sz w:val="24"/>
          <w:szCs w:val="24"/>
        </w:rPr>
        <w:t xml:space="preserve"> in year t; prices equal costs in year t; and demands by households in year t reflect income and prices in year t.  Perhaps less familiar is the treatment of stock variables.  We assume that capital at the end of year t equals capital at the start of year t depreciated </w:t>
      </w:r>
      <w:r w:rsidR="00380549" w:rsidRPr="006613AA">
        <w:rPr>
          <w:rFonts w:ascii="Times New Roman" w:hAnsi="Times New Roman"/>
          <w:i/>
          <w:sz w:val="24"/>
          <w:szCs w:val="24"/>
        </w:rPr>
        <w:t>plus</w:t>
      </w:r>
      <w:r w:rsidR="00380549">
        <w:rPr>
          <w:rFonts w:ascii="Times New Roman" w:hAnsi="Times New Roman"/>
          <w:sz w:val="24"/>
          <w:szCs w:val="24"/>
        </w:rPr>
        <w:t xml:space="preserve"> investment during year t.  All of these are year-t variables.  Similarly we assume that net foreign </w:t>
      </w:r>
      <w:r w:rsidR="006613AA">
        <w:rPr>
          <w:rFonts w:ascii="Times New Roman" w:hAnsi="Times New Roman"/>
          <w:sz w:val="24"/>
          <w:szCs w:val="24"/>
        </w:rPr>
        <w:t>assets</w:t>
      </w:r>
      <w:r w:rsidR="00380549">
        <w:rPr>
          <w:rFonts w:ascii="Times New Roman" w:hAnsi="Times New Roman"/>
          <w:sz w:val="24"/>
          <w:szCs w:val="24"/>
        </w:rPr>
        <w:t xml:space="preserve"> at the end of year t equal net foreign </w:t>
      </w:r>
      <w:r w:rsidR="00847BEC">
        <w:rPr>
          <w:rFonts w:ascii="Times New Roman" w:hAnsi="Times New Roman"/>
          <w:sz w:val="24"/>
          <w:szCs w:val="24"/>
        </w:rPr>
        <w:t>assets</w:t>
      </w:r>
      <w:r w:rsidR="00380549">
        <w:rPr>
          <w:rFonts w:ascii="Times New Roman" w:hAnsi="Times New Roman"/>
          <w:sz w:val="24"/>
          <w:szCs w:val="24"/>
        </w:rPr>
        <w:t xml:space="preserve"> at the </w:t>
      </w:r>
      <w:r w:rsidR="00380549">
        <w:rPr>
          <w:rFonts w:ascii="Times New Roman" w:hAnsi="Times New Roman"/>
          <w:sz w:val="24"/>
          <w:szCs w:val="24"/>
        </w:rPr>
        <w:lastRenderedPageBreak/>
        <w:t xml:space="preserve">start of year t possibly revalued via exchange-rate movements </w:t>
      </w:r>
      <w:r w:rsidR="006613AA" w:rsidRPr="006613AA">
        <w:rPr>
          <w:rFonts w:ascii="Times New Roman" w:hAnsi="Times New Roman"/>
          <w:i/>
          <w:sz w:val="24"/>
          <w:szCs w:val="24"/>
        </w:rPr>
        <w:t>plus</w:t>
      </w:r>
      <w:r w:rsidR="006613AA">
        <w:rPr>
          <w:rFonts w:ascii="Times New Roman" w:hAnsi="Times New Roman"/>
          <w:sz w:val="24"/>
          <w:szCs w:val="24"/>
        </w:rPr>
        <w:t xml:space="preserve"> the current account surplus for year t.  Again, these are all year t variables.  </w:t>
      </w:r>
      <w:r w:rsidR="00847BEC">
        <w:rPr>
          <w:rFonts w:ascii="Times New Roman" w:hAnsi="Times New Roman"/>
          <w:sz w:val="24"/>
          <w:szCs w:val="24"/>
        </w:rPr>
        <w:t xml:space="preserve">Stylistically, we can represent the model as </w:t>
      </w:r>
    </w:p>
    <w:p w:rsidR="00847BEC" w:rsidRDefault="00847BEC" w:rsidP="00847BEC">
      <w:pPr>
        <w:tabs>
          <w:tab w:val="left" w:pos="851"/>
          <w:tab w:val="right" w:pos="8931"/>
        </w:tabs>
        <w:ind w:left="0"/>
        <w:rPr>
          <w:rFonts w:ascii="Times New Roman" w:hAnsi="Times New Roman"/>
          <w:sz w:val="24"/>
          <w:szCs w:val="24"/>
        </w:rPr>
      </w:pPr>
      <w:r>
        <w:rPr>
          <w:rFonts w:ascii="Times New Roman" w:hAnsi="Times New Roman"/>
          <w:sz w:val="24"/>
          <w:szCs w:val="24"/>
        </w:rPr>
        <w:tab/>
      </w:r>
      <w:r w:rsidRPr="00847BEC">
        <w:rPr>
          <w:rFonts w:ascii="Times New Roman" w:hAnsi="Times New Roman"/>
          <w:position w:val="-10"/>
          <w:sz w:val="24"/>
          <w:szCs w:val="24"/>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5.75pt" o:ole="">
            <v:imagedata r:id="rId8" o:title=""/>
          </v:shape>
          <o:OLEObject Type="Embed" ProgID="Equation.DSMT4" ShapeID="_x0000_i1025" DrawAspect="Content" ObjectID="_1774671646" r:id="rId9"/>
        </w:object>
      </w:r>
      <w:r>
        <w:rPr>
          <w:rFonts w:ascii="Times New Roman" w:hAnsi="Times New Roman"/>
          <w:sz w:val="24"/>
          <w:szCs w:val="24"/>
        </w:rPr>
        <w:t xml:space="preserve"> </w:t>
      </w:r>
      <w:r>
        <w:rPr>
          <w:rFonts w:ascii="Times New Roman" w:hAnsi="Times New Roman"/>
          <w:sz w:val="24"/>
          <w:szCs w:val="24"/>
        </w:rPr>
        <w:tab/>
        <w:t>(2.1)</w:t>
      </w:r>
    </w:p>
    <w:p w:rsidR="00847BEC" w:rsidRDefault="00847BEC" w:rsidP="00847BEC">
      <w:pPr>
        <w:tabs>
          <w:tab w:val="left" w:pos="851"/>
          <w:tab w:val="right" w:pos="8931"/>
        </w:tabs>
        <w:ind w:left="0"/>
        <w:rPr>
          <w:rFonts w:ascii="Times New Roman" w:hAnsi="Times New Roman"/>
          <w:sz w:val="24"/>
          <w:szCs w:val="24"/>
        </w:rPr>
      </w:pPr>
      <w:r>
        <w:rPr>
          <w:rFonts w:ascii="Times New Roman" w:hAnsi="Times New Roman"/>
          <w:sz w:val="24"/>
          <w:szCs w:val="24"/>
        </w:rPr>
        <w:t xml:space="preserve">where </w:t>
      </w:r>
    </w:p>
    <w:p w:rsidR="00847BEC" w:rsidRDefault="00847BEC" w:rsidP="00847BEC">
      <w:pPr>
        <w:spacing w:before="0"/>
        <w:ind w:left="284"/>
        <w:rPr>
          <w:rFonts w:ascii="Times New Roman" w:hAnsi="Times New Roman"/>
          <w:sz w:val="24"/>
          <w:szCs w:val="24"/>
        </w:rPr>
      </w:pPr>
      <w:r>
        <w:rPr>
          <w:rFonts w:ascii="Times New Roman" w:hAnsi="Times New Roman"/>
          <w:sz w:val="24"/>
          <w:szCs w:val="24"/>
        </w:rPr>
        <w:t xml:space="preserve">X is the vector of variables for year t (prices, quantities, technology variables, preference variables, start-of-year stocks and end-of-year stocks, etc) and </w:t>
      </w:r>
    </w:p>
    <w:p w:rsidR="00847BEC" w:rsidRPr="00847BEC" w:rsidRDefault="00847BEC" w:rsidP="00847BEC">
      <w:pPr>
        <w:spacing w:before="0"/>
        <w:ind w:left="284"/>
        <w:rPr>
          <w:rFonts w:ascii="Times New Roman" w:hAnsi="Times New Roman"/>
          <w:i/>
          <w:sz w:val="24"/>
          <w:szCs w:val="24"/>
        </w:rPr>
      </w:pPr>
      <w:r>
        <w:rPr>
          <w:rFonts w:ascii="Times New Roman" w:hAnsi="Times New Roman"/>
          <w:sz w:val="24"/>
          <w:szCs w:val="24"/>
        </w:rPr>
        <w:t xml:space="preserve">F is a vector of functions (demand </w:t>
      </w:r>
      <w:r>
        <w:rPr>
          <w:rFonts w:ascii="Times New Roman" w:hAnsi="Times New Roman"/>
          <w:i/>
          <w:sz w:val="24"/>
          <w:szCs w:val="24"/>
        </w:rPr>
        <w:t>minus</w:t>
      </w:r>
      <w:r>
        <w:rPr>
          <w:rFonts w:ascii="Times New Roman" w:hAnsi="Times New Roman"/>
          <w:sz w:val="24"/>
          <w:szCs w:val="24"/>
        </w:rPr>
        <w:t xml:space="preserve"> supply, prices </w:t>
      </w:r>
      <w:r>
        <w:rPr>
          <w:rFonts w:ascii="Times New Roman" w:hAnsi="Times New Roman"/>
          <w:i/>
          <w:sz w:val="24"/>
          <w:szCs w:val="24"/>
        </w:rPr>
        <w:t xml:space="preserve">minus </w:t>
      </w:r>
      <w:r>
        <w:rPr>
          <w:rFonts w:ascii="Times New Roman" w:hAnsi="Times New Roman"/>
          <w:sz w:val="24"/>
          <w:szCs w:val="24"/>
        </w:rPr>
        <w:t xml:space="preserve">costs, end-of-year stocks </w:t>
      </w:r>
      <w:r>
        <w:rPr>
          <w:rFonts w:ascii="Times New Roman" w:hAnsi="Times New Roman"/>
          <w:i/>
          <w:sz w:val="24"/>
          <w:szCs w:val="24"/>
        </w:rPr>
        <w:t>minus</w:t>
      </w:r>
      <w:r>
        <w:rPr>
          <w:rFonts w:ascii="Times New Roman" w:hAnsi="Times New Roman"/>
          <w:sz w:val="24"/>
          <w:szCs w:val="24"/>
        </w:rPr>
        <w:t xml:space="preserve"> revalued start-of-year stocks </w:t>
      </w:r>
      <w:r w:rsidR="00884D51">
        <w:rPr>
          <w:rFonts w:ascii="Times New Roman" w:hAnsi="Times New Roman"/>
          <w:i/>
          <w:sz w:val="24"/>
          <w:szCs w:val="24"/>
        </w:rPr>
        <w:t>minus</w:t>
      </w:r>
      <w:r>
        <w:rPr>
          <w:rFonts w:ascii="Times New Roman" w:hAnsi="Times New Roman"/>
          <w:i/>
          <w:sz w:val="24"/>
          <w:szCs w:val="24"/>
        </w:rPr>
        <w:t xml:space="preserve"> </w:t>
      </w:r>
      <w:r w:rsidRPr="00847BEC">
        <w:rPr>
          <w:rFonts w:ascii="Times New Roman" w:hAnsi="Times New Roman"/>
          <w:sz w:val="24"/>
          <w:szCs w:val="24"/>
        </w:rPr>
        <w:t>relevant flow</w:t>
      </w:r>
      <w:r w:rsidR="00362F93">
        <w:rPr>
          <w:rFonts w:ascii="Times New Roman" w:hAnsi="Times New Roman"/>
          <w:sz w:val="24"/>
          <w:szCs w:val="24"/>
        </w:rPr>
        <w:t>s</w:t>
      </w:r>
      <w:r>
        <w:rPr>
          <w:rFonts w:ascii="Times New Roman" w:hAnsi="Times New Roman"/>
          <w:sz w:val="24"/>
          <w:szCs w:val="24"/>
        </w:rPr>
        <w:t>, etc).</w:t>
      </w:r>
    </w:p>
    <w:p w:rsidR="004406E9" w:rsidRDefault="004406E9" w:rsidP="004406E9">
      <w:pPr>
        <w:spacing w:before="0"/>
        <w:ind w:left="0"/>
        <w:rPr>
          <w:rFonts w:ascii="Times New Roman" w:hAnsi="Times New Roman"/>
          <w:sz w:val="24"/>
          <w:szCs w:val="24"/>
        </w:rPr>
      </w:pPr>
      <w:r>
        <w:rPr>
          <w:rFonts w:ascii="Times New Roman" w:hAnsi="Times New Roman"/>
          <w:sz w:val="24"/>
          <w:szCs w:val="24"/>
        </w:rPr>
        <w:t xml:space="preserve">The number of variables is </w:t>
      </w:r>
      <w:r w:rsidR="00884D51">
        <w:rPr>
          <w:rFonts w:ascii="Times New Roman" w:hAnsi="Times New Roman"/>
          <w:sz w:val="24"/>
          <w:szCs w:val="24"/>
        </w:rPr>
        <w:t xml:space="preserve">always </w:t>
      </w:r>
      <w:r>
        <w:rPr>
          <w:rFonts w:ascii="Times New Roman" w:hAnsi="Times New Roman"/>
          <w:sz w:val="24"/>
          <w:szCs w:val="24"/>
        </w:rPr>
        <w:t>greater than the number of equations, that is n &gt; m where n is the dimension of X and m is the dimension of F.</w:t>
      </w:r>
      <w:r w:rsidR="00085741">
        <w:rPr>
          <w:rFonts w:ascii="Times New Roman" w:hAnsi="Times New Roman"/>
          <w:sz w:val="24"/>
          <w:szCs w:val="24"/>
        </w:rPr>
        <w:t xml:space="preserve">  </w:t>
      </w:r>
      <w:r w:rsidR="00884D51">
        <w:rPr>
          <w:rFonts w:ascii="Times New Roman" w:hAnsi="Times New Roman"/>
          <w:sz w:val="24"/>
          <w:szCs w:val="24"/>
        </w:rPr>
        <w:t>T</w:t>
      </w:r>
      <w:r w:rsidR="00085741">
        <w:rPr>
          <w:rFonts w:ascii="Times New Roman" w:hAnsi="Times New Roman"/>
          <w:sz w:val="24"/>
          <w:szCs w:val="24"/>
        </w:rPr>
        <w:t xml:space="preserve">o obtain a solution of (2.1) we need to set values for n-m exogenous variables.   </w:t>
      </w:r>
    </w:p>
    <w:p w:rsidR="00661944" w:rsidRDefault="00D9724C" w:rsidP="007456D8">
      <w:pPr>
        <w:ind w:left="0"/>
        <w:rPr>
          <w:rFonts w:ascii="Times New Roman" w:hAnsi="Times New Roman"/>
          <w:sz w:val="24"/>
          <w:szCs w:val="24"/>
        </w:rPr>
      </w:pPr>
      <w:r>
        <w:rPr>
          <w:rFonts w:ascii="Times New Roman" w:hAnsi="Times New Roman"/>
          <w:sz w:val="24"/>
          <w:szCs w:val="24"/>
        </w:rPr>
        <w:t>The GEMPACK solution method</w:t>
      </w:r>
      <w:r>
        <w:rPr>
          <w:rStyle w:val="FootnoteReference"/>
          <w:rFonts w:ascii="Times New Roman" w:hAnsi="Times New Roman"/>
          <w:sz w:val="24"/>
          <w:szCs w:val="24"/>
        </w:rPr>
        <w:footnoteReference w:id="2"/>
      </w:r>
      <w:r>
        <w:rPr>
          <w:rFonts w:ascii="Times New Roman" w:hAnsi="Times New Roman"/>
          <w:sz w:val="24"/>
          <w:szCs w:val="24"/>
        </w:rPr>
        <w:t xml:space="preserve"> used in most application of GTAP requires an initial solution, a value for the vector X that satisfies (2.1).  Initial solutions can be obtained from </w:t>
      </w:r>
      <w:r w:rsidR="006613AA">
        <w:rPr>
          <w:rFonts w:ascii="Times New Roman" w:hAnsi="Times New Roman"/>
          <w:sz w:val="24"/>
          <w:szCs w:val="24"/>
        </w:rPr>
        <w:t>GTAP database</w:t>
      </w:r>
      <w:r w:rsidR="004406E9">
        <w:rPr>
          <w:rFonts w:ascii="Times New Roman" w:hAnsi="Times New Roman"/>
          <w:sz w:val="24"/>
          <w:szCs w:val="24"/>
        </w:rPr>
        <w:t>s</w:t>
      </w:r>
      <w:r>
        <w:rPr>
          <w:rFonts w:ascii="Times New Roman" w:hAnsi="Times New Roman"/>
          <w:sz w:val="24"/>
          <w:szCs w:val="24"/>
        </w:rPr>
        <w:t>.</w:t>
      </w:r>
      <w:r w:rsidR="007510DC">
        <w:rPr>
          <w:rFonts w:ascii="Times New Roman" w:hAnsi="Times New Roman"/>
          <w:sz w:val="24"/>
          <w:szCs w:val="24"/>
        </w:rPr>
        <w:t xml:space="preserve">  In th</w:t>
      </w:r>
      <w:r w:rsidR="004406E9">
        <w:rPr>
          <w:rFonts w:ascii="Times New Roman" w:hAnsi="Times New Roman"/>
          <w:sz w:val="24"/>
          <w:szCs w:val="24"/>
        </w:rPr>
        <w:t>ese</w:t>
      </w:r>
      <w:r w:rsidR="007510DC">
        <w:rPr>
          <w:rFonts w:ascii="Times New Roman" w:hAnsi="Times New Roman"/>
          <w:sz w:val="24"/>
          <w:szCs w:val="24"/>
        </w:rPr>
        <w:t xml:space="preserve"> solution</w:t>
      </w:r>
      <w:r w:rsidR="004406E9">
        <w:rPr>
          <w:rFonts w:ascii="Times New Roman" w:hAnsi="Times New Roman"/>
          <w:sz w:val="24"/>
          <w:szCs w:val="24"/>
        </w:rPr>
        <w:t>s</w:t>
      </w:r>
      <w:r w:rsidR="007510DC">
        <w:rPr>
          <w:rFonts w:ascii="Times New Roman" w:hAnsi="Times New Roman"/>
          <w:sz w:val="24"/>
          <w:szCs w:val="24"/>
        </w:rPr>
        <w:t xml:space="preserve"> we can assume that most prices are one.  Then balance conditions in the database</w:t>
      </w:r>
      <w:r w:rsidR="004406E9">
        <w:rPr>
          <w:rFonts w:ascii="Times New Roman" w:hAnsi="Times New Roman"/>
          <w:sz w:val="24"/>
          <w:szCs w:val="24"/>
        </w:rPr>
        <w:t>s</w:t>
      </w:r>
      <w:r w:rsidR="007510DC">
        <w:rPr>
          <w:rFonts w:ascii="Times New Roman" w:hAnsi="Times New Roman"/>
          <w:sz w:val="24"/>
          <w:szCs w:val="24"/>
        </w:rPr>
        <w:t xml:space="preserve"> ensure that quantities demanded for commodities and factors equal quantities supplied and that prices equal costs.  Stock equations can be satisfied by deducing end-of-year values from start-of-year values appropriately depreciated or revalued </w:t>
      </w:r>
      <w:r w:rsidR="007510DC" w:rsidRPr="004406E9">
        <w:rPr>
          <w:rFonts w:ascii="Times New Roman" w:hAnsi="Times New Roman"/>
          <w:i/>
          <w:sz w:val="24"/>
          <w:szCs w:val="24"/>
        </w:rPr>
        <w:t>plus</w:t>
      </w:r>
      <w:r w:rsidR="007510DC">
        <w:rPr>
          <w:rFonts w:ascii="Times New Roman" w:hAnsi="Times New Roman"/>
          <w:sz w:val="24"/>
          <w:szCs w:val="24"/>
        </w:rPr>
        <w:t xml:space="preserve"> flow values explicitly given in the database</w:t>
      </w:r>
      <w:r w:rsidR="004406E9">
        <w:rPr>
          <w:rFonts w:ascii="Times New Roman" w:hAnsi="Times New Roman"/>
          <w:sz w:val="24"/>
          <w:szCs w:val="24"/>
        </w:rPr>
        <w:t>s</w:t>
      </w:r>
      <w:r w:rsidR="007510DC">
        <w:rPr>
          <w:rFonts w:ascii="Times New Roman" w:hAnsi="Times New Roman"/>
          <w:sz w:val="24"/>
          <w:szCs w:val="24"/>
        </w:rPr>
        <w:t xml:space="preserve">.  </w:t>
      </w:r>
    </w:p>
    <w:p w:rsidR="00694A4D" w:rsidRPr="00694A4D" w:rsidRDefault="00694A4D" w:rsidP="004406E9">
      <w:pPr>
        <w:ind w:left="0"/>
        <w:rPr>
          <w:rFonts w:ascii="Times New Roman" w:hAnsi="Times New Roman"/>
          <w:i/>
          <w:sz w:val="24"/>
          <w:szCs w:val="24"/>
        </w:rPr>
      </w:pPr>
      <w:r>
        <w:rPr>
          <w:rFonts w:ascii="Times New Roman" w:hAnsi="Times New Roman"/>
          <w:i/>
          <w:sz w:val="24"/>
          <w:szCs w:val="24"/>
        </w:rPr>
        <w:t>Year-on-year simulations</w:t>
      </w:r>
    </w:p>
    <w:p w:rsidR="008022D8" w:rsidRDefault="004406E9" w:rsidP="004406E9">
      <w:pPr>
        <w:ind w:left="0"/>
        <w:rPr>
          <w:rFonts w:ascii="Times New Roman" w:hAnsi="Times New Roman"/>
          <w:sz w:val="24"/>
          <w:szCs w:val="24"/>
        </w:rPr>
      </w:pPr>
      <w:r>
        <w:rPr>
          <w:rFonts w:ascii="Times New Roman" w:hAnsi="Times New Roman"/>
          <w:sz w:val="24"/>
          <w:szCs w:val="24"/>
        </w:rPr>
        <w:t>In year-on-year simulations</w:t>
      </w:r>
      <w:r w:rsidR="00085741">
        <w:rPr>
          <w:rFonts w:ascii="Times New Roman" w:hAnsi="Times New Roman"/>
          <w:sz w:val="24"/>
          <w:szCs w:val="24"/>
        </w:rPr>
        <w:t xml:space="preserve">, we start with a solution for year 0 given by a GTAP database.  </w:t>
      </w:r>
      <w:r w:rsidR="00D9724C">
        <w:rPr>
          <w:rFonts w:ascii="Times New Roman" w:hAnsi="Times New Roman"/>
          <w:sz w:val="24"/>
          <w:szCs w:val="24"/>
        </w:rPr>
        <w:t xml:space="preserve">This solution becomes the </w:t>
      </w:r>
      <w:r w:rsidR="00D9724C" w:rsidRPr="008F3058">
        <w:rPr>
          <w:rFonts w:ascii="Times New Roman" w:hAnsi="Times New Roman"/>
          <w:i/>
          <w:sz w:val="24"/>
          <w:szCs w:val="24"/>
        </w:rPr>
        <w:t>initial</w:t>
      </w:r>
      <w:r w:rsidR="00D9724C">
        <w:rPr>
          <w:rFonts w:ascii="Times New Roman" w:hAnsi="Times New Roman"/>
          <w:sz w:val="24"/>
          <w:szCs w:val="24"/>
        </w:rPr>
        <w:t xml:space="preserve"> solution for year 1.  W</w:t>
      </w:r>
      <w:r w:rsidR="00085741">
        <w:rPr>
          <w:rFonts w:ascii="Times New Roman" w:hAnsi="Times New Roman"/>
          <w:sz w:val="24"/>
          <w:szCs w:val="24"/>
        </w:rPr>
        <w:t xml:space="preserve">e compute the </w:t>
      </w:r>
      <w:r w:rsidR="00D9724C" w:rsidRPr="008F3058">
        <w:rPr>
          <w:rFonts w:ascii="Times New Roman" w:hAnsi="Times New Roman"/>
          <w:i/>
          <w:sz w:val="24"/>
          <w:szCs w:val="24"/>
        </w:rPr>
        <w:t>required</w:t>
      </w:r>
      <w:r w:rsidR="00D9724C">
        <w:rPr>
          <w:rFonts w:ascii="Times New Roman" w:hAnsi="Times New Roman"/>
          <w:sz w:val="24"/>
          <w:szCs w:val="24"/>
        </w:rPr>
        <w:t xml:space="preserve"> </w:t>
      </w:r>
      <w:r w:rsidR="00085741">
        <w:rPr>
          <w:rFonts w:ascii="Times New Roman" w:hAnsi="Times New Roman"/>
          <w:sz w:val="24"/>
          <w:szCs w:val="24"/>
        </w:rPr>
        <w:t xml:space="preserve">solution for year 1 by shocking the exogenous variables with movements from their values in </w:t>
      </w:r>
      <w:r w:rsidR="00D9724C">
        <w:rPr>
          <w:rFonts w:ascii="Times New Roman" w:hAnsi="Times New Roman"/>
          <w:sz w:val="24"/>
          <w:szCs w:val="24"/>
        </w:rPr>
        <w:t xml:space="preserve">the initial solution (their </w:t>
      </w:r>
      <w:r w:rsidR="00D262CA">
        <w:rPr>
          <w:rFonts w:ascii="Times New Roman" w:hAnsi="Times New Roman"/>
          <w:sz w:val="24"/>
          <w:szCs w:val="24"/>
        </w:rPr>
        <w:t xml:space="preserve">year </w:t>
      </w:r>
      <w:r w:rsidR="00085741">
        <w:rPr>
          <w:rFonts w:ascii="Times New Roman" w:hAnsi="Times New Roman"/>
          <w:sz w:val="24"/>
          <w:szCs w:val="24"/>
        </w:rPr>
        <w:t xml:space="preserve">0 </w:t>
      </w:r>
      <w:r w:rsidR="00D9724C">
        <w:rPr>
          <w:rFonts w:ascii="Times New Roman" w:hAnsi="Times New Roman"/>
          <w:sz w:val="24"/>
          <w:szCs w:val="24"/>
        </w:rPr>
        <w:t xml:space="preserve">values) </w:t>
      </w:r>
      <w:r w:rsidR="00085741">
        <w:rPr>
          <w:rFonts w:ascii="Times New Roman" w:hAnsi="Times New Roman"/>
          <w:sz w:val="24"/>
          <w:szCs w:val="24"/>
        </w:rPr>
        <w:t xml:space="preserve">to their </w:t>
      </w:r>
      <w:r w:rsidR="00D9724C">
        <w:rPr>
          <w:rFonts w:ascii="Times New Roman" w:hAnsi="Times New Roman"/>
          <w:sz w:val="24"/>
          <w:szCs w:val="24"/>
        </w:rPr>
        <w:t xml:space="preserve">required </w:t>
      </w:r>
      <w:r w:rsidR="00085741">
        <w:rPr>
          <w:rFonts w:ascii="Times New Roman" w:hAnsi="Times New Roman"/>
          <w:sz w:val="24"/>
          <w:szCs w:val="24"/>
        </w:rPr>
        <w:t xml:space="preserve">values </w:t>
      </w:r>
      <w:r w:rsidR="00D9724C">
        <w:rPr>
          <w:rFonts w:ascii="Times New Roman" w:hAnsi="Times New Roman"/>
          <w:sz w:val="24"/>
          <w:szCs w:val="24"/>
        </w:rPr>
        <w:t>for</w:t>
      </w:r>
      <w:r w:rsidR="00085741">
        <w:rPr>
          <w:rFonts w:ascii="Times New Roman" w:hAnsi="Times New Roman"/>
          <w:sz w:val="24"/>
          <w:szCs w:val="24"/>
        </w:rPr>
        <w:t xml:space="preserve"> year 1.  The exogenous variables include start-of-year stocks.  The shock for start-of-year capital</w:t>
      </w:r>
      <w:r w:rsidR="008F3058">
        <w:rPr>
          <w:rFonts w:ascii="Times New Roman" w:hAnsi="Times New Roman"/>
          <w:sz w:val="24"/>
          <w:szCs w:val="24"/>
        </w:rPr>
        <w:t>, for example,</w:t>
      </w:r>
      <w:r w:rsidR="00085741">
        <w:rPr>
          <w:rFonts w:ascii="Times New Roman" w:hAnsi="Times New Roman"/>
          <w:sz w:val="24"/>
          <w:szCs w:val="24"/>
        </w:rPr>
        <w:t xml:space="preserve"> </w:t>
      </w:r>
      <w:r w:rsidR="00347AB7">
        <w:rPr>
          <w:rFonts w:ascii="Times New Roman" w:hAnsi="Times New Roman"/>
          <w:sz w:val="24"/>
          <w:szCs w:val="24"/>
        </w:rPr>
        <w:t xml:space="preserve">in </w:t>
      </w:r>
      <w:r w:rsidR="008F3058">
        <w:rPr>
          <w:rFonts w:ascii="Times New Roman" w:hAnsi="Times New Roman"/>
          <w:sz w:val="24"/>
          <w:szCs w:val="24"/>
        </w:rPr>
        <w:t xml:space="preserve">the </w:t>
      </w:r>
      <w:r w:rsidR="00347AB7">
        <w:rPr>
          <w:rFonts w:ascii="Times New Roman" w:hAnsi="Times New Roman"/>
          <w:sz w:val="24"/>
          <w:szCs w:val="24"/>
        </w:rPr>
        <w:t>year</w:t>
      </w:r>
      <w:r w:rsidR="008F3058">
        <w:rPr>
          <w:rFonts w:ascii="Times New Roman" w:hAnsi="Times New Roman"/>
          <w:sz w:val="24"/>
          <w:szCs w:val="24"/>
        </w:rPr>
        <w:t>-</w:t>
      </w:r>
      <w:r w:rsidR="00347AB7">
        <w:rPr>
          <w:rFonts w:ascii="Times New Roman" w:hAnsi="Times New Roman"/>
          <w:sz w:val="24"/>
          <w:szCs w:val="24"/>
        </w:rPr>
        <w:t>1</w:t>
      </w:r>
      <w:r w:rsidR="008F3058">
        <w:rPr>
          <w:rFonts w:ascii="Times New Roman" w:hAnsi="Times New Roman"/>
          <w:sz w:val="24"/>
          <w:szCs w:val="24"/>
        </w:rPr>
        <w:t xml:space="preserve"> computation</w:t>
      </w:r>
      <w:r w:rsidR="00085741">
        <w:rPr>
          <w:rFonts w:ascii="Times New Roman" w:hAnsi="Times New Roman"/>
          <w:sz w:val="24"/>
          <w:szCs w:val="24"/>
        </w:rPr>
        <w:t xml:space="preserve"> is the </w:t>
      </w:r>
      <w:r w:rsidR="006307C6">
        <w:rPr>
          <w:rFonts w:ascii="Times New Roman" w:hAnsi="Times New Roman"/>
          <w:sz w:val="24"/>
          <w:szCs w:val="24"/>
        </w:rPr>
        <w:t xml:space="preserve">difference in </w:t>
      </w:r>
      <w:r w:rsidR="00085741">
        <w:rPr>
          <w:rFonts w:ascii="Times New Roman" w:hAnsi="Times New Roman"/>
          <w:sz w:val="24"/>
          <w:szCs w:val="24"/>
        </w:rPr>
        <w:t xml:space="preserve">year 0 </w:t>
      </w:r>
      <w:r w:rsidR="00347AB7">
        <w:rPr>
          <w:rFonts w:ascii="Times New Roman" w:hAnsi="Times New Roman"/>
          <w:sz w:val="24"/>
          <w:szCs w:val="24"/>
        </w:rPr>
        <w:t xml:space="preserve">between </w:t>
      </w:r>
      <w:r w:rsidR="006307C6">
        <w:rPr>
          <w:rFonts w:ascii="Times New Roman" w:hAnsi="Times New Roman"/>
          <w:sz w:val="24"/>
          <w:szCs w:val="24"/>
        </w:rPr>
        <w:t>end-of-year capital and start-of-year capital.  By applying this shock in the year</w:t>
      </w:r>
      <w:r w:rsidR="00347AB7">
        <w:rPr>
          <w:rFonts w:ascii="Times New Roman" w:hAnsi="Times New Roman"/>
          <w:sz w:val="24"/>
          <w:szCs w:val="24"/>
        </w:rPr>
        <w:t>-</w:t>
      </w:r>
      <w:r w:rsidR="006307C6">
        <w:rPr>
          <w:rFonts w:ascii="Times New Roman" w:hAnsi="Times New Roman"/>
          <w:sz w:val="24"/>
          <w:szCs w:val="24"/>
        </w:rPr>
        <w:t>1 simulation</w:t>
      </w:r>
      <w:r w:rsidR="00021ED3">
        <w:rPr>
          <w:rFonts w:ascii="Times New Roman" w:hAnsi="Times New Roman"/>
          <w:sz w:val="24"/>
          <w:szCs w:val="24"/>
        </w:rPr>
        <w:t>,</w:t>
      </w:r>
      <w:r w:rsidR="006307C6">
        <w:rPr>
          <w:rFonts w:ascii="Times New Roman" w:hAnsi="Times New Roman"/>
          <w:sz w:val="24"/>
          <w:szCs w:val="24"/>
        </w:rPr>
        <w:t xml:space="preserve"> we impose the condition that </w:t>
      </w:r>
      <w:r w:rsidR="00347AB7">
        <w:rPr>
          <w:rFonts w:ascii="Times New Roman" w:hAnsi="Times New Roman"/>
          <w:sz w:val="24"/>
          <w:szCs w:val="24"/>
        </w:rPr>
        <w:t>start</w:t>
      </w:r>
      <w:r w:rsidR="006307C6">
        <w:rPr>
          <w:rFonts w:ascii="Times New Roman" w:hAnsi="Times New Roman"/>
          <w:sz w:val="24"/>
          <w:szCs w:val="24"/>
        </w:rPr>
        <w:t xml:space="preserve">-of-year capital in year </w:t>
      </w:r>
      <w:r w:rsidR="00347AB7">
        <w:rPr>
          <w:rFonts w:ascii="Times New Roman" w:hAnsi="Times New Roman"/>
          <w:sz w:val="24"/>
          <w:szCs w:val="24"/>
        </w:rPr>
        <w:t>1</w:t>
      </w:r>
      <w:r w:rsidR="006307C6">
        <w:rPr>
          <w:rFonts w:ascii="Times New Roman" w:hAnsi="Times New Roman"/>
          <w:sz w:val="24"/>
          <w:szCs w:val="24"/>
        </w:rPr>
        <w:t xml:space="preserve"> equals </w:t>
      </w:r>
      <w:r w:rsidR="00347AB7">
        <w:rPr>
          <w:rFonts w:ascii="Times New Roman" w:hAnsi="Times New Roman"/>
          <w:sz w:val="24"/>
          <w:szCs w:val="24"/>
        </w:rPr>
        <w:t>end</w:t>
      </w:r>
      <w:r w:rsidR="006307C6">
        <w:rPr>
          <w:rFonts w:ascii="Times New Roman" w:hAnsi="Times New Roman"/>
          <w:sz w:val="24"/>
          <w:szCs w:val="24"/>
        </w:rPr>
        <w:t xml:space="preserve">-of-year capital in year </w:t>
      </w:r>
      <w:r w:rsidR="00347AB7">
        <w:rPr>
          <w:rFonts w:ascii="Times New Roman" w:hAnsi="Times New Roman"/>
          <w:sz w:val="24"/>
          <w:szCs w:val="24"/>
        </w:rPr>
        <w:t>0</w:t>
      </w:r>
      <w:r w:rsidR="006307C6">
        <w:rPr>
          <w:rFonts w:ascii="Times New Roman" w:hAnsi="Times New Roman"/>
          <w:sz w:val="24"/>
          <w:szCs w:val="24"/>
        </w:rPr>
        <w:t xml:space="preserve">.  </w:t>
      </w:r>
      <w:r w:rsidR="008F3058">
        <w:rPr>
          <w:rFonts w:ascii="Times New Roman" w:hAnsi="Times New Roman"/>
          <w:sz w:val="24"/>
          <w:szCs w:val="24"/>
        </w:rPr>
        <w:t xml:space="preserve">The initial solution in the year-2 computation is the final (required) year-1 solution.  In the year-2 computation, </w:t>
      </w:r>
      <w:r w:rsidR="00D262CA">
        <w:rPr>
          <w:rFonts w:ascii="Times New Roman" w:hAnsi="Times New Roman"/>
          <w:sz w:val="24"/>
          <w:szCs w:val="24"/>
        </w:rPr>
        <w:t xml:space="preserve">we compute the </w:t>
      </w:r>
      <w:r w:rsidR="008F3058">
        <w:rPr>
          <w:rFonts w:ascii="Times New Roman" w:hAnsi="Times New Roman"/>
          <w:sz w:val="24"/>
          <w:szCs w:val="24"/>
        </w:rPr>
        <w:t xml:space="preserve">required </w:t>
      </w:r>
      <w:r w:rsidR="00D262CA">
        <w:rPr>
          <w:rFonts w:ascii="Times New Roman" w:hAnsi="Times New Roman"/>
          <w:sz w:val="24"/>
          <w:szCs w:val="24"/>
        </w:rPr>
        <w:t xml:space="preserve">solution for year 2 by shocking the exogenous variables with movements from </w:t>
      </w:r>
      <w:r w:rsidR="008F3058">
        <w:rPr>
          <w:rFonts w:ascii="Times New Roman" w:hAnsi="Times New Roman"/>
          <w:sz w:val="24"/>
          <w:szCs w:val="24"/>
        </w:rPr>
        <w:t>their values in the initial solution for year 2 (the final values for year 1)</w:t>
      </w:r>
      <w:r w:rsidR="00D262CA">
        <w:rPr>
          <w:rFonts w:ascii="Times New Roman" w:hAnsi="Times New Roman"/>
          <w:sz w:val="24"/>
          <w:szCs w:val="24"/>
        </w:rPr>
        <w:t xml:space="preserve"> to their </w:t>
      </w:r>
      <w:r w:rsidR="008F3058">
        <w:rPr>
          <w:rFonts w:ascii="Times New Roman" w:hAnsi="Times New Roman"/>
          <w:sz w:val="24"/>
          <w:szCs w:val="24"/>
        </w:rPr>
        <w:t xml:space="preserve">required </w:t>
      </w:r>
      <w:r w:rsidR="00D262CA">
        <w:rPr>
          <w:rFonts w:ascii="Times New Roman" w:hAnsi="Times New Roman"/>
          <w:sz w:val="24"/>
          <w:szCs w:val="24"/>
        </w:rPr>
        <w:t xml:space="preserve">values </w:t>
      </w:r>
      <w:r w:rsidR="008F3058">
        <w:rPr>
          <w:rFonts w:ascii="Times New Roman" w:hAnsi="Times New Roman"/>
          <w:sz w:val="24"/>
          <w:szCs w:val="24"/>
        </w:rPr>
        <w:t>for</w:t>
      </w:r>
      <w:r w:rsidR="00D262CA">
        <w:rPr>
          <w:rFonts w:ascii="Times New Roman" w:hAnsi="Times New Roman"/>
          <w:sz w:val="24"/>
          <w:szCs w:val="24"/>
        </w:rPr>
        <w:t xml:space="preserve"> year 2.  </w:t>
      </w:r>
      <w:r w:rsidR="00347AB7">
        <w:rPr>
          <w:rFonts w:ascii="Times New Roman" w:hAnsi="Times New Roman"/>
          <w:sz w:val="24"/>
          <w:szCs w:val="24"/>
        </w:rPr>
        <w:t>U</w:t>
      </w:r>
      <w:r w:rsidR="00D262CA">
        <w:rPr>
          <w:rFonts w:ascii="Times New Roman" w:hAnsi="Times New Roman"/>
          <w:sz w:val="24"/>
          <w:szCs w:val="24"/>
        </w:rPr>
        <w:t xml:space="preserve">sing differences in </w:t>
      </w:r>
      <w:r w:rsidR="00694A4D">
        <w:rPr>
          <w:rFonts w:ascii="Times New Roman" w:hAnsi="Times New Roman"/>
          <w:sz w:val="24"/>
          <w:szCs w:val="24"/>
        </w:rPr>
        <w:t xml:space="preserve">the final </w:t>
      </w:r>
      <w:r w:rsidR="00D262CA">
        <w:rPr>
          <w:rFonts w:ascii="Times New Roman" w:hAnsi="Times New Roman"/>
          <w:sz w:val="24"/>
          <w:szCs w:val="24"/>
        </w:rPr>
        <w:t xml:space="preserve">year-1 </w:t>
      </w:r>
      <w:r w:rsidR="00694A4D">
        <w:rPr>
          <w:rFonts w:ascii="Times New Roman" w:hAnsi="Times New Roman"/>
          <w:sz w:val="24"/>
          <w:szCs w:val="24"/>
        </w:rPr>
        <w:t xml:space="preserve">solution in the </w:t>
      </w:r>
      <w:r w:rsidR="00D262CA">
        <w:rPr>
          <w:rFonts w:ascii="Times New Roman" w:hAnsi="Times New Roman"/>
          <w:sz w:val="24"/>
          <w:szCs w:val="24"/>
        </w:rPr>
        <w:t xml:space="preserve">values for end-of-year and start-of-year stock variables, we can impose shocks to start-of-year stock variables in the year-2 computation that </w:t>
      </w:r>
      <w:r w:rsidR="00895ED4">
        <w:rPr>
          <w:rFonts w:ascii="Times New Roman" w:hAnsi="Times New Roman"/>
          <w:sz w:val="24"/>
          <w:szCs w:val="24"/>
        </w:rPr>
        <w:t xml:space="preserve">equate </w:t>
      </w:r>
      <w:r w:rsidR="00B87B33">
        <w:rPr>
          <w:rFonts w:ascii="Times New Roman" w:hAnsi="Times New Roman"/>
          <w:sz w:val="24"/>
          <w:szCs w:val="24"/>
        </w:rPr>
        <w:t xml:space="preserve">start-of-year stocks in year 2 to end-of-year stocks in year 1.  </w:t>
      </w:r>
    </w:p>
    <w:p w:rsidR="00694A4D" w:rsidRPr="00694A4D" w:rsidRDefault="00694A4D" w:rsidP="004406E9">
      <w:pPr>
        <w:ind w:left="0"/>
        <w:rPr>
          <w:rFonts w:ascii="Times New Roman" w:hAnsi="Times New Roman"/>
          <w:i/>
          <w:sz w:val="24"/>
          <w:szCs w:val="24"/>
        </w:rPr>
      </w:pPr>
      <w:r>
        <w:rPr>
          <w:rFonts w:ascii="Times New Roman" w:hAnsi="Times New Roman"/>
          <w:i/>
          <w:sz w:val="24"/>
          <w:szCs w:val="24"/>
        </w:rPr>
        <w:t>Disjoint-year simulations</w:t>
      </w:r>
    </w:p>
    <w:p w:rsidR="004406E9" w:rsidRDefault="00884D51" w:rsidP="004406E9">
      <w:pPr>
        <w:ind w:left="0"/>
        <w:rPr>
          <w:rFonts w:ascii="Times New Roman" w:hAnsi="Times New Roman"/>
          <w:sz w:val="24"/>
          <w:szCs w:val="24"/>
        </w:rPr>
      </w:pPr>
      <w:r>
        <w:rPr>
          <w:rFonts w:ascii="Times New Roman" w:hAnsi="Times New Roman"/>
          <w:sz w:val="24"/>
          <w:szCs w:val="24"/>
        </w:rPr>
        <w:t>Rather than conduct year-on-year simulations, we</w:t>
      </w:r>
      <w:r w:rsidR="004406E9" w:rsidRPr="00347AB7">
        <w:rPr>
          <w:rFonts w:ascii="Times New Roman" w:hAnsi="Times New Roman"/>
          <w:sz w:val="24"/>
          <w:szCs w:val="24"/>
        </w:rPr>
        <w:t xml:space="preserve"> jump forward in multi-year steps.  </w:t>
      </w:r>
      <w:r>
        <w:rPr>
          <w:rFonts w:ascii="Times New Roman" w:hAnsi="Times New Roman"/>
          <w:sz w:val="24"/>
          <w:szCs w:val="24"/>
        </w:rPr>
        <w:t>The problem is that e</w:t>
      </w:r>
      <w:r w:rsidR="00347AB7" w:rsidRPr="00347AB7">
        <w:rPr>
          <w:rFonts w:ascii="Times New Roman" w:hAnsi="Times New Roman"/>
          <w:sz w:val="24"/>
          <w:szCs w:val="24"/>
        </w:rPr>
        <w:t>nd-of-year</w:t>
      </w:r>
      <w:r w:rsidR="00347AB7">
        <w:rPr>
          <w:rFonts w:ascii="Times New Roman" w:hAnsi="Times New Roman"/>
          <w:sz w:val="24"/>
          <w:szCs w:val="24"/>
        </w:rPr>
        <w:t xml:space="preserve"> stock variables in the solution for year t do not reveal values for start-of year stock variables in year t+</w:t>
      </w:r>
      <w:r w:rsidR="00347AB7">
        <w:rPr>
          <w:rFonts w:ascii="Times New Roman" w:hAnsi="Times New Roman"/>
          <w:sz w:val="24"/>
          <w:szCs w:val="24"/>
        </w:rPr>
        <w:sym w:font="Symbol" w:char="F074"/>
      </w:r>
      <w:r w:rsidR="00347AB7">
        <w:rPr>
          <w:rFonts w:ascii="Times New Roman" w:hAnsi="Times New Roman"/>
          <w:sz w:val="24"/>
          <w:szCs w:val="24"/>
        </w:rPr>
        <w:t xml:space="preserve"> where </w:t>
      </w:r>
      <w:r w:rsidR="00347AB7">
        <w:rPr>
          <w:rFonts w:ascii="Times New Roman" w:hAnsi="Times New Roman"/>
          <w:sz w:val="24"/>
          <w:szCs w:val="24"/>
        </w:rPr>
        <w:sym w:font="Symbol" w:char="F074"/>
      </w:r>
      <w:r w:rsidR="00347AB7">
        <w:rPr>
          <w:rFonts w:ascii="Times New Roman" w:hAnsi="Times New Roman"/>
          <w:sz w:val="24"/>
          <w:szCs w:val="24"/>
        </w:rPr>
        <w:t xml:space="preserve"> &gt; 1.  </w:t>
      </w:r>
    </w:p>
    <w:p w:rsidR="00347AB7" w:rsidRDefault="00347AB7" w:rsidP="004406E9">
      <w:pPr>
        <w:ind w:left="0"/>
        <w:rPr>
          <w:rFonts w:ascii="Times New Roman" w:hAnsi="Times New Roman"/>
          <w:sz w:val="24"/>
          <w:szCs w:val="24"/>
        </w:rPr>
      </w:pPr>
      <w:r>
        <w:rPr>
          <w:rFonts w:ascii="Times New Roman" w:hAnsi="Times New Roman"/>
          <w:sz w:val="24"/>
          <w:szCs w:val="24"/>
        </w:rPr>
        <w:t xml:space="preserve">So how do we set start-of-year stocks in </w:t>
      </w:r>
      <w:r w:rsidR="00004013">
        <w:rPr>
          <w:rFonts w:ascii="Times New Roman" w:hAnsi="Times New Roman"/>
          <w:sz w:val="24"/>
          <w:szCs w:val="24"/>
        </w:rPr>
        <w:t>a sequence of simulations connecting disjoint years such as 2014, 2019, 2030, etc?  How do we avoid explicit modelling of the accumulation process</w:t>
      </w:r>
      <w:r w:rsidR="00884D51">
        <w:rPr>
          <w:rFonts w:ascii="Times New Roman" w:hAnsi="Times New Roman"/>
          <w:sz w:val="24"/>
          <w:szCs w:val="24"/>
        </w:rPr>
        <w:t>es</w:t>
      </w:r>
      <w:r w:rsidR="00004013">
        <w:rPr>
          <w:rFonts w:ascii="Times New Roman" w:hAnsi="Times New Roman"/>
          <w:sz w:val="24"/>
          <w:szCs w:val="24"/>
        </w:rPr>
        <w:t xml:space="preserve"> for the years between t and t+</w:t>
      </w:r>
      <w:r w:rsidR="00004013">
        <w:rPr>
          <w:rFonts w:ascii="Times New Roman" w:hAnsi="Times New Roman"/>
          <w:sz w:val="24"/>
          <w:szCs w:val="24"/>
        </w:rPr>
        <w:sym w:font="Symbol" w:char="F074"/>
      </w:r>
      <w:r w:rsidR="00004013">
        <w:rPr>
          <w:rFonts w:ascii="Times New Roman" w:hAnsi="Times New Roman"/>
          <w:sz w:val="24"/>
          <w:szCs w:val="24"/>
        </w:rPr>
        <w:t xml:space="preserve">?  </w:t>
      </w:r>
    </w:p>
    <w:p w:rsidR="0098293D" w:rsidRDefault="00004013" w:rsidP="004406E9">
      <w:pPr>
        <w:ind w:left="0"/>
        <w:rPr>
          <w:rFonts w:ascii="Times New Roman" w:hAnsi="Times New Roman"/>
          <w:sz w:val="24"/>
          <w:szCs w:val="24"/>
        </w:rPr>
      </w:pPr>
      <w:r>
        <w:rPr>
          <w:rFonts w:ascii="Times New Roman" w:hAnsi="Times New Roman"/>
          <w:sz w:val="24"/>
          <w:szCs w:val="24"/>
        </w:rPr>
        <w:lastRenderedPageBreak/>
        <w:t xml:space="preserve">Our approach is to use a smooth growth assumption applied to saving.  This </w:t>
      </w:r>
      <w:r w:rsidR="005E4F2E">
        <w:rPr>
          <w:rFonts w:ascii="Times New Roman" w:hAnsi="Times New Roman"/>
          <w:sz w:val="24"/>
          <w:szCs w:val="24"/>
        </w:rPr>
        <w:t>can be understood by an example.  A</w:t>
      </w:r>
      <w:r>
        <w:rPr>
          <w:rFonts w:ascii="Times New Roman" w:hAnsi="Times New Roman"/>
          <w:sz w:val="24"/>
          <w:szCs w:val="24"/>
        </w:rPr>
        <w:t xml:space="preserve">ssume that </w:t>
      </w:r>
      <w:r w:rsidR="005E4F2E">
        <w:rPr>
          <w:rFonts w:ascii="Times New Roman" w:hAnsi="Times New Roman"/>
          <w:sz w:val="24"/>
          <w:szCs w:val="24"/>
        </w:rPr>
        <w:t xml:space="preserve">the </w:t>
      </w:r>
      <w:r>
        <w:rPr>
          <w:rFonts w:ascii="Times New Roman" w:hAnsi="Times New Roman"/>
          <w:sz w:val="24"/>
          <w:szCs w:val="24"/>
        </w:rPr>
        <w:t xml:space="preserve">simulated value for saving in region </w:t>
      </w:r>
      <w:r w:rsidR="005E4F2E">
        <w:rPr>
          <w:rFonts w:ascii="Times New Roman" w:hAnsi="Times New Roman"/>
          <w:sz w:val="24"/>
          <w:szCs w:val="24"/>
        </w:rPr>
        <w:t>r is 50 per cent greater in year t+</w:t>
      </w:r>
      <w:r w:rsidR="00FF5575">
        <w:rPr>
          <w:rFonts w:ascii="Times New Roman" w:hAnsi="Times New Roman"/>
          <w:sz w:val="24"/>
          <w:szCs w:val="24"/>
        </w:rPr>
        <w:sym w:font="Symbol" w:char="F074"/>
      </w:r>
      <w:r w:rsidR="005E4F2E">
        <w:rPr>
          <w:rFonts w:ascii="Times New Roman" w:hAnsi="Times New Roman"/>
          <w:sz w:val="24"/>
          <w:szCs w:val="24"/>
        </w:rPr>
        <w:t xml:space="preserve"> than in year t.  </w:t>
      </w:r>
      <w:r w:rsidR="0098293D">
        <w:rPr>
          <w:rFonts w:ascii="Times New Roman" w:hAnsi="Times New Roman"/>
          <w:sz w:val="24"/>
          <w:szCs w:val="24"/>
        </w:rPr>
        <w:t xml:space="preserve">Under the smooth growth assumption, </w:t>
      </w:r>
      <w:r w:rsidR="005E4F2E">
        <w:rPr>
          <w:rFonts w:ascii="Times New Roman" w:hAnsi="Times New Roman"/>
          <w:sz w:val="24"/>
          <w:szCs w:val="24"/>
        </w:rPr>
        <w:t xml:space="preserve">we assume that: saving in year t+1 </w:t>
      </w:r>
      <w:r w:rsidR="0098293D">
        <w:rPr>
          <w:rFonts w:ascii="Times New Roman" w:hAnsi="Times New Roman"/>
          <w:sz w:val="24"/>
          <w:szCs w:val="24"/>
        </w:rPr>
        <w:t>is</w:t>
      </w:r>
      <w:r w:rsidR="005E4F2E">
        <w:rPr>
          <w:rFonts w:ascii="Times New Roman" w:hAnsi="Times New Roman"/>
          <w:sz w:val="24"/>
          <w:szCs w:val="24"/>
        </w:rPr>
        <w:t xml:space="preserve"> saving in year t </w:t>
      </w:r>
      <w:r w:rsidR="005E4F2E" w:rsidRPr="0098293D">
        <w:rPr>
          <w:rFonts w:ascii="Times New Roman" w:hAnsi="Times New Roman"/>
          <w:i/>
          <w:sz w:val="24"/>
          <w:szCs w:val="24"/>
        </w:rPr>
        <w:t>times</w:t>
      </w:r>
      <w:r w:rsidR="005E4F2E">
        <w:rPr>
          <w:rFonts w:ascii="Times New Roman" w:hAnsi="Times New Roman"/>
          <w:sz w:val="24"/>
          <w:szCs w:val="24"/>
        </w:rPr>
        <w:t xml:space="preserve"> </w:t>
      </w:r>
      <w:r w:rsidR="00FF5575">
        <w:rPr>
          <w:rFonts w:ascii="Times New Roman" w:hAnsi="Times New Roman"/>
          <w:sz w:val="24"/>
          <w:szCs w:val="24"/>
        </w:rPr>
        <w:t>(1.50)</w:t>
      </w:r>
      <w:r w:rsidR="00FF5575">
        <w:rPr>
          <w:rFonts w:ascii="Times New Roman" w:hAnsi="Times New Roman"/>
          <w:sz w:val="24"/>
          <w:szCs w:val="24"/>
          <w:vertAlign w:val="superscript"/>
        </w:rPr>
        <w:t>^(1/</w:t>
      </w:r>
      <w:r w:rsidR="00FF5575">
        <w:rPr>
          <w:rFonts w:ascii="Times New Roman" w:hAnsi="Times New Roman"/>
          <w:sz w:val="24"/>
          <w:szCs w:val="24"/>
          <w:vertAlign w:val="superscript"/>
        </w:rPr>
        <w:sym w:font="Symbol" w:char="F074"/>
      </w:r>
      <w:r w:rsidR="00FF5575">
        <w:rPr>
          <w:rFonts w:ascii="Times New Roman" w:hAnsi="Times New Roman"/>
          <w:sz w:val="24"/>
          <w:szCs w:val="24"/>
          <w:vertAlign w:val="superscript"/>
        </w:rPr>
        <w:t>)</w:t>
      </w:r>
      <w:r w:rsidR="00362F93">
        <w:rPr>
          <w:rFonts w:ascii="Times New Roman" w:hAnsi="Times New Roman"/>
          <w:sz w:val="24"/>
          <w:szCs w:val="24"/>
          <w:vertAlign w:val="subscript"/>
        </w:rPr>
        <w:t>;</w:t>
      </w:r>
      <w:r w:rsidR="005E4F2E">
        <w:rPr>
          <w:rFonts w:ascii="Times New Roman" w:hAnsi="Times New Roman"/>
          <w:sz w:val="24"/>
          <w:szCs w:val="24"/>
        </w:rPr>
        <w:t xml:space="preserve"> saving in year t+2 </w:t>
      </w:r>
      <w:r w:rsidR="0098293D">
        <w:rPr>
          <w:rFonts w:ascii="Times New Roman" w:hAnsi="Times New Roman"/>
          <w:sz w:val="24"/>
          <w:szCs w:val="24"/>
        </w:rPr>
        <w:t>is</w:t>
      </w:r>
      <w:r w:rsidR="005E4F2E">
        <w:rPr>
          <w:rFonts w:ascii="Times New Roman" w:hAnsi="Times New Roman"/>
          <w:sz w:val="24"/>
          <w:szCs w:val="24"/>
        </w:rPr>
        <w:t xml:space="preserve"> saving in year t </w:t>
      </w:r>
      <w:r w:rsidR="005E4F2E" w:rsidRPr="0098293D">
        <w:rPr>
          <w:rFonts w:ascii="Times New Roman" w:hAnsi="Times New Roman"/>
          <w:i/>
          <w:sz w:val="24"/>
          <w:szCs w:val="24"/>
        </w:rPr>
        <w:t>times</w:t>
      </w:r>
      <w:r w:rsidR="005E4F2E">
        <w:rPr>
          <w:rFonts w:ascii="Times New Roman" w:hAnsi="Times New Roman"/>
          <w:sz w:val="24"/>
          <w:szCs w:val="24"/>
        </w:rPr>
        <w:t xml:space="preserve"> (1.50)</w:t>
      </w:r>
      <w:r w:rsidR="005E4F2E">
        <w:rPr>
          <w:rFonts w:ascii="Times New Roman" w:hAnsi="Times New Roman"/>
          <w:sz w:val="24"/>
          <w:szCs w:val="24"/>
          <w:vertAlign w:val="superscript"/>
        </w:rPr>
        <w:t>^(2/</w:t>
      </w:r>
      <w:r w:rsidR="00FF5575">
        <w:rPr>
          <w:rFonts w:ascii="Times New Roman" w:hAnsi="Times New Roman"/>
          <w:sz w:val="24"/>
          <w:szCs w:val="24"/>
          <w:vertAlign w:val="superscript"/>
        </w:rPr>
        <w:sym w:font="Symbol" w:char="F074"/>
      </w:r>
      <w:r w:rsidR="005E4F2E">
        <w:rPr>
          <w:rFonts w:ascii="Times New Roman" w:hAnsi="Times New Roman"/>
          <w:sz w:val="24"/>
          <w:szCs w:val="24"/>
          <w:vertAlign w:val="superscript"/>
        </w:rPr>
        <w:t>)</w:t>
      </w:r>
      <w:r w:rsidR="005E4F2E">
        <w:rPr>
          <w:rFonts w:ascii="Times New Roman" w:hAnsi="Times New Roman"/>
          <w:sz w:val="24"/>
          <w:szCs w:val="24"/>
        </w:rPr>
        <w:t>; etc.  From here</w:t>
      </w:r>
      <w:r w:rsidR="00FF5575">
        <w:rPr>
          <w:rFonts w:ascii="Times New Roman" w:hAnsi="Times New Roman"/>
          <w:sz w:val="24"/>
          <w:szCs w:val="24"/>
        </w:rPr>
        <w:t>,</w:t>
      </w:r>
      <w:r w:rsidR="005E4F2E">
        <w:rPr>
          <w:rFonts w:ascii="Times New Roman" w:hAnsi="Times New Roman"/>
          <w:sz w:val="24"/>
          <w:szCs w:val="24"/>
        </w:rPr>
        <w:t xml:space="preserve"> we can </w:t>
      </w:r>
      <w:r w:rsidR="00FF5575">
        <w:rPr>
          <w:rFonts w:ascii="Times New Roman" w:hAnsi="Times New Roman"/>
          <w:sz w:val="24"/>
          <w:szCs w:val="24"/>
        </w:rPr>
        <w:t xml:space="preserve">write equations into the model that work out </w:t>
      </w:r>
      <w:r w:rsidR="005E4F2E">
        <w:rPr>
          <w:rFonts w:ascii="Times New Roman" w:hAnsi="Times New Roman"/>
          <w:sz w:val="24"/>
          <w:szCs w:val="24"/>
        </w:rPr>
        <w:t>accumulated saving</w:t>
      </w:r>
      <w:r w:rsidR="0098401D">
        <w:rPr>
          <w:rFonts w:ascii="Times New Roman" w:hAnsi="Times New Roman"/>
          <w:sz w:val="24"/>
          <w:szCs w:val="24"/>
        </w:rPr>
        <w:t>s</w:t>
      </w:r>
      <w:r w:rsidR="005E4F2E">
        <w:rPr>
          <w:rFonts w:ascii="Times New Roman" w:hAnsi="Times New Roman"/>
          <w:sz w:val="24"/>
          <w:szCs w:val="24"/>
        </w:rPr>
        <w:t xml:space="preserve"> for each region</w:t>
      </w:r>
      <w:r w:rsidR="0098293D">
        <w:rPr>
          <w:rFonts w:ascii="Times New Roman" w:hAnsi="Times New Roman"/>
          <w:sz w:val="24"/>
          <w:szCs w:val="24"/>
        </w:rPr>
        <w:t xml:space="preserve"> across the years t to t+</w:t>
      </w:r>
      <w:r w:rsidR="00FF5575">
        <w:rPr>
          <w:rFonts w:ascii="Times New Roman" w:hAnsi="Times New Roman"/>
          <w:sz w:val="24"/>
          <w:szCs w:val="24"/>
        </w:rPr>
        <w:sym w:font="Symbol" w:char="F074"/>
      </w:r>
      <w:r w:rsidR="00FF5575">
        <w:rPr>
          <w:rFonts w:ascii="Times New Roman" w:hAnsi="Times New Roman"/>
          <w:sz w:val="24"/>
          <w:szCs w:val="24"/>
        </w:rPr>
        <w:t>-1 as functions only of the region’s saving in years t and t+</w:t>
      </w:r>
      <w:r w:rsidR="00FF5575">
        <w:rPr>
          <w:rFonts w:ascii="Times New Roman" w:hAnsi="Times New Roman"/>
          <w:sz w:val="24"/>
          <w:szCs w:val="24"/>
        </w:rPr>
        <w:sym w:font="Symbol" w:char="F074"/>
      </w:r>
      <w:r w:rsidR="00FF5575">
        <w:rPr>
          <w:rFonts w:ascii="Times New Roman" w:hAnsi="Times New Roman"/>
          <w:sz w:val="24"/>
          <w:szCs w:val="24"/>
        </w:rPr>
        <w:t>: no values are required for intermediate years</w:t>
      </w:r>
      <w:r w:rsidR="00CC680D">
        <w:rPr>
          <w:rFonts w:ascii="Times New Roman" w:hAnsi="Times New Roman"/>
          <w:sz w:val="24"/>
          <w:szCs w:val="24"/>
        </w:rPr>
        <w:t xml:space="preserve"> (see Appendix 2)</w:t>
      </w:r>
      <w:r w:rsidR="00FF5575">
        <w:rPr>
          <w:rFonts w:ascii="Times New Roman" w:hAnsi="Times New Roman"/>
          <w:sz w:val="24"/>
          <w:szCs w:val="24"/>
        </w:rPr>
        <w:t>.  Accumulated savings inform start-</w:t>
      </w:r>
      <w:r w:rsidR="005E4F2E">
        <w:rPr>
          <w:rFonts w:ascii="Times New Roman" w:hAnsi="Times New Roman"/>
          <w:sz w:val="24"/>
          <w:szCs w:val="24"/>
        </w:rPr>
        <w:t>of-year levels for regional wealth in year t+</w:t>
      </w:r>
      <w:r w:rsidR="00FF5575">
        <w:rPr>
          <w:rFonts w:ascii="Times New Roman" w:hAnsi="Times New Roman"/>
          <w:sz w:val="24"/>
          <w:szCs w:val="24"/>
        </w:rPr>
        <w:sym w:font="Symbol" w:char="F074"/>
      </w:r>
      <w:r w:rsidR="005E4F2E">
        <w:rPr>
          <w:rFonts w:ascii="Times New Roman" w:hAnsi="Times New Roman"/>
          <w:sz w:val="24"/>
          <w:szCs w:val="24"/>
        </w:rPr>
        <w:t xml:space="preserve">, and also the start-of-year value for </w:t>
      </w:r>
      <w:r w:rsidR="005E4F2E" w:rsidRPr="0098293D">
        <w:rPr>
          <w:rFonts w:ascii="Times New Roman" w:hAnsi="Times New Roman"/>
          <w:i/>
          <w:sz w:val="24"/>
          <w:szCs w:val="24"/>
        </w:rPr>
        <w:t>global</w:t>
      </w:r>
      <w:r w:rsidR="005E4F2E">
        <w:rPr>
          <w:rFonts w:ascii="Times New Roman" w:hAnsi="Times New Roman"/>
          <w:sz w:val="24"/>
          <w:szCs w:val="24"/>
        </w:rPr>
        <w:t xml:space="preserve"> capital in year t+</w:t>
      </w:r>
      <w:r w:rsidR="00FF5575">
        <w:rPr>
          <w:rFonts w:ascii="Times New Roman" w:hAnsi="Times New Roman"/>
          <w:sz w:val="24"/>
          <w:szCs w:val="24"/>
        </w:rPr>
        <w:sym w:font="Symbol" w:char="F074"/>
      </w:r>
      <w:r w:rsidR="005E4F2E">
        <w:rPr>
          <w:rFonts w:ascii="Times New Roman" w:hAnsi="Times New Roman"/>
          <w:sz w:val="24"/>
          <w:szCs w:val="24"/>
        </w:rPr>
        <w:t>.  Start-of-year global capital for year t+</w:t>
      </w:r>
      <w:r w:rsidR="00EF707F">
        <w:rPr>
          <w:rFonts w:ascii="Times New Roman" w:hAnsi="Times New Roman"/>
          <w:sz w:val="24"/>
          <w:szCs w:val="24"/>
        </w:rPr>
        <w:sym w:font="Symbol" w:char="F074"/>
      </w:r>
      <w:r w:rsidR="005E4F2E">
        <w:rPr>
          <w:rFonts w:ascii="Times New Roman" w:hAnsi="Times New Roman"/>
          <w:sz w:val="24"/>
          <w:szCs w:val="24"/>
        </w:rPr>
        <w:t xml:space="preserve"> is distributed to the regions </w:t>
      </w:r>
      <w:r w:rsidR="0098293D">
        <w:rPr>
          <w:rFonts w:ascii="Times New Roman" w:hAnsi="Times New Roman"/>
          <w:sz w:val="24"/>
          <w:szCs w:val="24"/>
        </w:rPr>
        <w:t>via equalization of rates of return.  Net foreign assets for each region at the start of year t+</w:t>
      </w:r>
      <w:r w:rsidR="00EF707F">
        <w:rPr>
          <w:rFonts w:ascii="Times New Roman" w:hAnsi="Times New Roman"/>
          <w:sz w:val="24"/>
          <w:szCs w:val="24"/>
        </w:rPr>
        <w:sym w:font="Symbol" w:char="F074"/>
      </w:r>
      <w:r w:rsidR="0098293D">
        <w:rPr>
          <w:rFonts w:ascii="Times New Roman" w:hAnsi="Times New Roman"/>
          <w:sz w:val="24"/>
          <w:szCs w:val="24"/>
        </w:rPr>
        <w:t xml:space="preserve"> can then be deduced by comparing the region’s start-of-year capital with its savings accumulated from year t to year t+</w:t>
      </w:r>
      <w:r w:rsidR="00EF707F">
        <w:rPr>
          <w:rFonts w:ascii="Times New Roman" w:hAnsi="Times New Roman"/>
          <w:sz w:val="24"/>
          <w:szCs w:val="24"/>
        </w:rPr>
        <w:sym w:font="Symbol" w:char="F074"/>
      </w:r>
      <w:r w:rsidR="00EF707F">
        <w:rPr>
          <w:rFonts w:ascii="Times New Roman" w:hAnsi="Times New Roman"/>
          <w:sz w:val="24"/>
          <w:szCs w:val="24"/>
        </w:rPr>
        <w:t>-1</w:t>
      </w:r>
      <w:r w:rsidR="0098293D">
        <w:rPr>
          <w:rFonts w:ascii="Times New Roman" w:hAnsi="Times New Roman"/>
          <w:sz w:val="24"/>
          <w:szCs w:val="24"/>
        </w:rPr>
        <w:t>.</w:t>
      </w:r>
      <w:r w:rsidR="00EF707F">
        <w:rPr>
          <w:rFonts w:ascii="Times New Roman" w:hAnsi="Times New Roman"/>
          <w:sz w:val="24"/>
          <w:szCs w:val="24"/>
        </w:rPr>
        <w:t xml:space="preserve"> </w:t>
      </w:r>
    </w:p>
    <w:p w:rsidR="00EF707F" w:rsidRPr="00E57197" w:rsidRDefault="00EF707F" w:rsidP="004406E9">
      <w:pPr>
        <w:ind w:left="0"/>
        <w:rPr>
          <w:rFonts w:ascii="Times New Roman" w:hAnsi="Times New Roman"/>
          <w:b/>
          <w:sz w:val="24"/>
          <w:szCs w:val="24"/>
        </w:rPr>
      </w:pPr>
      <w:r>
        <w:rPr>
          <w:rFonts w:ascii="Times New Roman" w:hAnsi="Times New Roman"/>
          <w:sz w:val="24"/>
          <w:szCs w:val="24"/>
        </w:rPr>
        <w:t>Essentially, in our GEMPACK computations, the initial solution for year t+</w:t>
      </w:r>
      <w:r>
        <w:rPr>
          <w:rFonts w:ascii="Times New Roman" w:hAnsi="Times New Roman"/>
          <w:sz w:val="24"/>
          <w:szCs w:val="24"/>
        </w:rPr>
        <w:sym w:font="Symbol" w:char="F074"/>
      </w:r>
      <w:r>
        <w:rPr>
          <w:rFonts w:ascii="Times New Roman" w:hAnsi="Times New Roman"/>
          <w:sz w:val="24"/>
          <w:szCs w:val="24"/>
        </w:rPr>
        <w:t xml:space="preserve"> is provided by the solution for year t.  However, there are complications.  </w:t>
      </w:r>
      <w:r w:rsidR="00027A1F">
        <w:rPr>
          <w:rFonts w:ascii="Times New Roman" w:hAnsi="Times New Roman"/>
          <w:sz w:val="24"/>
          <w:szCs w:val="24"/>
        </w:rPr>
        <w:t>Under the smooth-growth assumption, the determination of accumulated saving</w:t>
      </w:r>
      <w:r w:rsidR="0098401D">
        <w:rPr>
          <w:rFonts w:ascii="Times New Roman" w:hAnsi="Times New Roman"/>
          <w:sz w:val="24"/>
          <w:szCs w:val="24"/>
        </w:rPr>
        <w:t>s</w:t>
      </w:r>
      <w:r w:rsidR="00027A1F">
        <w:rPr>
          <w:rFonts w:ascii="Times New Roman" w:hAnsi="Times New Roman"/>
          <w:sz w:val="24"/>
          <w:szCs w:val="24"/>
        </w:rPr>
        <w:t xml:space="preserve"> and therefore star</w:t>
      </w:r>
      <w:r>
        <w:rPr>
          <w:rFonts w:ascii="Times New Roman" w:hAnsi="Times New Roman"/>
          <w:sz w:val="24"/>
          <w:szCs w:val="24"/>
        </w:rPr>
        <w:t xml:space="preserve">t-of-year stock variables </w:t>
      </w:r>
      <w:r w:rsidR="00027A1F">
        <w:rPr>
          <w:rFonts w:ascii="Times New Roman" w:hAnsi="Times New Roman"/>
          <w:sz w:val="24"/>
          <w:szCs w:val="24"/>
        </w:rPr>
        <w:t>for year t+</w:t>
      </w:r>
      <w:r w:rsidR="00027A1F">
        <w:rPr>
          <w:rFonts w:ascii="Times New Roman" w:hAnsi="Times New Roman"/>
          <w:sz w:val="24"/>
          <w:szCs w:val="24"/>
        </w:rPr>
        <w:sym w:font="Symbol" w:char="F074"/>
      </w:r>
      <w:r w:rsidR="00027A1F">
        <w:rPr>
          <w:rFonts w:ascii="Times New Roman" w:hAnsi="Times New Roman"/>
          <w:sz w:val="24"/>
          <w:szCs w:val="24"/>
        </w:rPr>
        <w:t xml:space="preserve"> depend on saving </w:t>
      </w:r>
      <w:r w:rsidR="00027A1F">
        <w:rPr>
          <w:rFonts w:ascii="Times New Roman" w:hAnsi="Times New Roman"/>
          <w:i/>
          <w:sz w:val="24"/>
          <w:szCs w:val="24"/>
        </w:rPr>
        <w:t>in</w:t>
      </w:r>
      <w:r w:rsidR="00027A1F">
        <w:rPr>
          <w:rFonts w:ascii="Times New Roman" w:hAnsi="Times New Roman"/>
          <w:sz w:val="24"/>
          <w:szCs w:val="24"/>
        </w:rPr>
        <w:t xml:space="preserve"> year t+</w:t>
      </w:r>
      <w:r w:rsidR="00027A1F">
        <w:rPr>
          <w:rFonts w:ascii="Times New Roman" w:hAnsi="Times New Roman"/>
          <w:sz w:val="24"/>
          <w:szCs w:val="24"/>
        </w:rPr>
        <w:sym w:font="Symbol" w:char="F074"/>
      </w:r>
      <w:r w:rsidR="00027A1F">
        <w:rPr>
          <w:rFonts w:ascii="Times New Roman" w:hAnsi="Times New Roman"/>
          <w:sz w:val="24"/>
          <w:szCs w:val="24"/>
        </w:rPr>
        <w:t xml:space="preserve">.  Consequently, we can’t simply treat start-of-year stock variables </w:t>
      </w:r>
      <w:r>
        <w:rPr>
          <w:rFonts w:ascii="Times New Roman" w:hAnsi="Times New Roman"/>
          <w:sz w:val="24"/>
          <w:szCs w:val="24"/>
        </w:rPr>
        <w:t>as exogenous and give them shocks derived from a database or from a solution for a previous year.  Start-of-year stock variables for year t+</w:t>
      </w:r>
      <w:r>
        <w:rPr>
          <w:rFonts w:ascii="Times New Roman" w:hAnsi="Times New Roman"/>
          <w:sz w:val="24"/>
          <w:szCs w:val="24"/>
        </w:rPr>
        <w:sym w:font="Symbol" w:char="F074"/>
      </w:r>
      <w:r>
        <w:rPr>
          <w:rFonts w:ascii="Times New Roman" w:hAnsi="Times New Roman"/>
          <w:sz w:val="24"/>
          <w:szCs w:val="24"/>
        </w:rPr>
        <w:t xml:space="preserve"> depend endogenously on saving in </w:t>
      </w:r>
      <w:r w:rsidR="00027A1F">
        <w:rPr>
          <w:rFonts w:ascii="Times New Roman" w:hAnsi="Times New Roman"/>
          <w:sz w:val="24"/>
          <w:szCs w:val="24"/>
        </w:rPr>
        <w:t>y</w:t>
      </w:r>
      <w:r>
        <w:rPr>
          <w:rFonts w:ascii="Times New Roman" w:hAnsi="Times New Roman"/>
          <w:sz w:val="24"/>
          <w:szCs w:val="24"/>
        </w:rPr>
        <w:t>ear t</w:t>
      </w:r>
      <w:r w:rsidR="00027A1F">
        <w:rPr>
          <w:rFonts w:ascii="Times New Roman" w:hAnsi="Times New Roman"/>
          <w:sz w:val="24"/>
          <w:szCs w:val="24"/>
        </w:rPr>
        <w:t>+</w:t>
      </w:r>
      <w:r>
        <w:rPr>
          <w:rFonts w:ascii="Times New Roman" w:hAnsi="Times New Roman"/>
          <w:sz w:val="24"/>
          <w:szCs w:val="24"/>
        </w:rPr>
        <w:sym w:font="Symbol" w:char="F074"/>
      </w:r>
      <w:r w:rsidR="00027A1F">
        <w:rPr>
          <w:rFonts w:ascii="Times New Roman" w:hAnsi="Times New Roman"/>
          <w:sz w:val="24"/>
          <w:szCs w:val="24"/>
        </w:rPr>
        <w:t xml:space="preserve">.  </w:t>
      </w:r>
      <w:r w:rsidR="00CC680D">
        <w:rPr>
          <w:rFonts w:ascii="Times New Roman" w:hAnsi="Times New Roman"/>
          <w:sz w:val="24"/>
          <w:szCs w:val="24"/>
        </w:rPr>
        <w:t>This means that</w:t>
      </w:r>
      <w:r w:rsidR="006A08C9">
        <w:rPr>
          <w:rFonts w:ascii="Times New Roman" w:hAnsi="Times New Roman"/>
          <w:sz w:val="24"/>
          <w:szCs w:val="24"/>
        </w:rPr>
        <w:t xml:space="preserve"> the smooth-growth assumption invalidates the simple representation of the model </w:t>
      </w:r>
      <w:r w:rsidR="00CC680D">
        <w:rPr>
          <w:rFonts w:ascii="Times New Roman" w:hAnsi="Times New Roman"/>
          <w:sz w:val="24"/>
          <w:szCs w:val="24"/>
        </w:rPr>
        <w:t>in (2.1)</w:t>
      </w:r>
      <w:r w:rsidR="00021ED3">
        <w:rPr>
          <w:rFonts w:ascii="Times New Roman" w:hAnsi="Times New Roman"/>
          <w:sz w:val="24"/>
          <w:szCs w:val="24"/>
        </w:rPr>
        <w:t>.</w:t>
      </w:r>
      <w:r w:rsidR="00CC680D">
        <w:rPr>
          <w:rFonts w:ascii="Times New Roman" w:hAnsi="Times New Roman"/>
          <w:sz w:val="24"/>
          <w:szCs w:val="24"/>
        </w:rPr>
        <w:t xml:space="preserve">  It also</w:t>
      </w:r>
      <w:r w:rsidR="006A08C9">
        <w:rPr>
          <w:rFonts w:ascii="Times New Roman" w:hAnsi="Times New Roman"/>
          <w:sz w:val="24"/>
          <w:szCs w:val="24"/>
        </w:rPr>
        <w:t xml:space="preserve"> means that the year t solution does not immediately reveal an initial solution for year t+</w:t>
      </w:r>
      <w:r w:rsidR="006A08C9">
        <w:rPr>
          <w:rFonts w:ascii="Times New Roman" w:hAnsi="Times New Roman"/>
          <w:sz w:val="24"/>
          <w:szCs w:val="24"/>
        </w:rPr>
        <w:sym w:font="Symbol" w:char="F074"/>
      </w:r>
      <w:r w:rsidR="00CC680D">
        <w:rPr>
          <w:rFonts w:ascii="Times New Roman" w:hAnsi="Times New Roman"/>
          <w:sz w:val="24"/>
          <w:szCs w:val="24"/>
        </w:rPr>
        <w:t>.  Fortunately, as explained in Appendix 2, these difficulties were overcome a couple of decades ago exploiting an insight provided by our colleague Mark Horridge</w:t>
      </w:r>
      <w:r w:rsidR="00AE5156">
        <w:rPr>
          <w:rFonts w:ascii="Times New Roman" w:hAnsi="Times New Roman"/>
          <w:sz w:val="24"/>
          <w:szCs w:val="24"/>
        </w:rPr>
        <w:t>.</w:t>
      </w:r>
    </w:p>
    <w:p w:rsidR="006A1F30" w:rsidRPr="001B5682" w:rsidRDefault="00945E58" w:rsidP="007456D8">
      <w:pPr>
        <w:ind w:left="0"/>
        <w:rPr>
          <w:rFonts w:ascii="Times New Roman" w:hAnsi="Times New Roman"/>
          <w:b/>
          <w:sz w:val="24"/>
          <w:szCs w:val="24"/>
        </w:rPr>
      </w:pPr>
      <w:r w:rsidRPr="001B5682">
        <w:rPr>
          <w:rFonts w:ascii="Times New Roman" w:hAnsi="Times New Roman"/>
          <w:b/>
          <w:sz w:val="24"/>
          <w:szCs w:val="24"/>
        </w:rPr>
        <w:t>3</w:t>
      </w:r>
      <w:r w:rsidR="006A1F30" w:rsidRPr="001B5682">
        <w:rPr>
          <w:rFonts w:ascii="Times New Roman" w:hAnsi="Times New Roman"/>
          <w:b/>
          <w:sz w:val="24"/>
          <w:szCs w:val="24"/>
        </w:rPr>
        <w:t>.  The standard long-run closure</w:t>
      </w:r>
    </w:p>
    <w:p w:rsidR="007456D8" w:rsidRDefault="001B5682" w:rsidP="001B5682">
      <w:pPr>
        <w:ind w:left="0"/>
        <w:rPr>
          <w:rFonts w:ascii="Times New Roman" w:hAnsi="Times New Roman"/>
          <w:iCs/>
          <w:sz w:val="24"/>
          <w:szCs w:val="24"/>
        </w:rPr>
      </w:pPr>
      <w:r>
        <w:rPr>
          <w:rFonts w:ascii="Times New Roman" w:hAnsi="Times New Roman"/>
          <w:sz w:val="24"/>
          <w:szCs w:val="24"/>
        </w:rPr>
        <w:t xml:space="preserve">In setting up the simulations for 2014-19, 2019-30, 2030-40 and 2040-50, our starting point in each case is </w:t>
      </w:r>
      <w:r w:rsidR="00362F93">
        <w:rPr>
          <w:rFonts w:ascii="Times New Roman" w:hAnsi="Times New Roman"/>
          <w:sz w:val="24"/>
          <w:szCs w:val="24"/>
        </w:rPr>
        <w:t>what we will refer to as the standard</w:t>
      </w:r>
      <w:r w:rsidR="007456D8">
        <w:rPr>
          <w:rFonts w:ascii="Times New Roman" w:hAnsi="Times New Roman"/>
          <w:sz w:val="24"/>
          <w:szCs w:val="24"/>
        </w:rPr>
        <w:t xml:space="preserve"> long-run </w:t>
      </w:r>
      <w:r>
        <w:rPr>
          <w:rFonts w:ascii="Times New Roman" w:hAnsi="Times New Roman"/>
          <w:sz w:val="24"/>
          <w:szCs w:val="24"/>
        </w:rPr>
        <w:t>closure</w:t>
      </w:r>
      <w:r w:rsidR="00362F93">
        <w:rPr>
          <w:rStyle w:val="FootnoteReference"/>
          <w:rFonts w:ascii="Times New Roman" w:hAnsi="Times New Roman"/>
          <w:sz w:val="24"/>
          <w:szCs w:val="24"/>
        </w:rPr>
        <w:footnoteReference w:id="3"/>
      </w:r>
      <w:r>
        <w:rPr>
          <w:rFonts w:ascii="Times New Roman" w:hAnsi="Times New Roman"/>
          <w:sz w:val="24"/>
          <w:szCs w:val="24"/>
        </w:rPr>
        <w:t xml:space="preserve">.  </w:t>
      </w:r>
      <w:r w:rsidR="007456D8">
        <w:rPr>
          <w:rFonts w:ascii="Times New Roman" w:hAnsi="Times New Roman"/>
          <w:sz w:val="24"/>
          <w:szCs w:val="24"/>
        </w:rPr>
        <w:t>In th</w:t>
      </w:r>
      <w:r>
        <w:rPr>
          <w:rFonts w:ascii="Times New Roman" w:hAnsi="Times New Roman"/>
          <w:sz w:val="24"/>
          <w:szCs w:val="24"/>
        </w:rPr>
        <w:t xml:space="preserve">is </w:t>
      </w:r>
      <w:r w:rsidR="007456D8">
        <w:rPr>
          <w:rFonts w:ascii="Times New Roman" w:hAnsi="Times New Roman"/>
          <w:sz w:val="24"/>
          <w:szCs w:val="24"/>
        </w:rPr>
        <w:t>closure:</w:t>
      </w:r>
    </w:p>
    <w:p w:rsidR="007456D8" w:rsidRPr="00706527" w:rsidRDefault="007456D8" w:rsidP="007456D8">
      <w:pPr>
        <w:pStyle w:val="ListParagraph"/>
        <w:numPr>
          <w:ilvl w:val="0"/>
          <w:numId w:val="4"/>
        </w:numPr>
        <w:spacing w:before="0"/>
        <w:ind w:left="782" w:hanging="357"/>
        <w:rPr>
          <w:rFonts w:ascii="Times New Roman" w:hAnsi="Times New Roman"/>
          <w:sz w:val="24"/>
          <w:szCs w:val="24"/>
        </w:rPr>
      </w:pPr>
      <w:r w:rsidRPr="00706527">
        <w:rPr>
          <w:rFonts w:ascii="Times New Roman" w:hAnsi="Times New Roman"/>
          <w:iCs/>
          <w:sz w:val="24"/>
          <w:szCs w:val="24"/>
        </w:rPr>
        <w:t xml:space="preserve">all technology, consumer preference and tax-rate variables are exogenous.  </w:t>
      </w:r>
    </w:p>
    <w:p w:rsidR="007456D8" w:rsidRPr="00706527" w:rsidRDefault="007456D8" w:rsidP="007456D8">
      <w:pPr>
        <w:pStyle w:val="ListParagraph"/>
        <w:numPr>
          <w:ilvl w:val="0"/>
          <w:numId w:val="4"/>
        </w:numPr>
        <w:rPr>
          <w:rFonts w:ascii="Times New Roman" w:hAnsi="Times New Roman"/>
          <w:sz w:val="24"/>
          <w:szCs w:val="24"/>
        </w:rPr>
      </w:pPr>
      <w:r>
        <w:rPr>
          <w:rFonts w:ascii="Times New Roman" w:hAnsi="Times New Roman"/>
          <w:iCs/>
          <w:sz w:val="24"/>
          <w:szCs w:val="24"/>
        </w:rPr>
        <w:t>p</w:t>
      </w:r>
      <w:r w:rsidR="00E54E9C">
        <w:rPr>
          <w:rFonts w:ascii="Times New Roman" w:hAnsi="Times New Roman"/>
          <w:iCs/>
          <w:sz w:val="24"/>
          <w:szCs w:val="24"/>
        </w:rPr>
        <w:t xml:space="preserve">opulation, employment, and </w:t>
      </w:r>
      <w:r w:rsidRPr="00706527">
        <w:rPr>
          <w:rFonts w:ascii="Times New Roman" w:hAnsi="Times New Roman"/>
          <w:iCs/>
          <w:sz w:val="24"/>
          <w:szCs w:val="24"/>
        </w:rPr>
        <w:t>availability of land and other natural resources in each region are exogenous</w:t>
      </w:r>
      <w:r>
        <w:rPr>
          <w:rFonts w:ascii="Times New Roman" w:hAnsi="Times New Roman"/>
          <w:iCs/>
          <w:sz w:val="24"/>
          <w:szCs w:val="24"/>
        </w:rPr>
        <w:t>.</w:t>
      </w:r>
    </w:p>
    <w:p w:rsidR="000C459B" w:rsidRPr="000C459B" w:rsidRDefault="007456D8" w:rsidP="00AC438D">
      <w:pPr>
        <w:pStyle w:val="ListParagraph"/>
        <w:numPr>
          <w:ilvl w:val="0"/>
          <w:numId w:val="4"/>
        </w:numPr>
        <w:rPr>
          <w:rFonts w:ascii="Times New Roman" w:hAnsi="Times New Roman"/>
          <w:sz w:val="24"/>
          <w:szCs w:val="24"/>
        </w:rPr>
      </w:pPr>
      <w:r w:rsidRPr="000C459B">
        <w:rPr>
          <w:rFonts w:ascii="Times New Roman" w:hAnsi="Times New Roman"/>
          <w:iCs/>
          <w:sz w:val="24"/>
          <w:szCs w:val="24"/>
        </w:rPr>
        <w:t xml:space="preserve">saving in each region </w:t>
      </w:r>
      <w:r w:rsidR="000C459B" w:rsidRPr="000C459B">
        <w:rPr>
          <w:rFonts w:ascii="Times New Roman" w:hAnsi="Times New Roman"/>
          <w:iCs/>
          <w:sz w:val="24"/>
          <w:szCs w:val="24"/>
        </w:rPr>
        <w:t>in year t+</w:t>
      </w:r>
      <w:r w:rsidR="000C459B">
        <w:rPr>
          <w:rFonts w:ascii="Times New Roman" w:hAnsi="Times New Roman"/>
          <w:iCs/>
          <w:sz w:val="24"/>
          <w:szCs w:val="24"/>
        </w:rPr>
        <w:sym w:font="Symbol" w:char="F074"/>
      </w:r>
      <w:r w:rsidRPr="000C459B">
        <w:rPr>
          <w:rFonts w:ascii="Times New Roman" w:hAnsi="Times New Roman"/>
          <w:iCs/>
          <w:sz w:val="24"/>
          <w:szCs w:val="24"/>
        </w:rPr>
        <w:t xml:space="preserve"> </w:t>
      </w:r>
      <w:r w:rsidR="000C459B" w:rsidRPr="000C459B">
        <w:rPr>
          <w:rFonts w:ascii="Times New Roman" w:hAnsi="Times New Roman"/>
          <w:iCs/>
          <w:sz w:val="24"/>
          <w:szCs w:val="24"/>
        </w:rPr>
        <w:t>is</w:t>
      </w:r>
      <w:r w:rsidRPr="000C459B">
        <w:rPr>
          <w:rFonts w:ascii="Times New Roman" w:hAnsi="Times New Roman"/>
          <w:iCs/>
          <w:sz w:val="24"/>
          <w:szCs w:val="24"/>
        </w:rPr>
        <w:t xml:space="preserve"> determined as a function of the region's net national product.  This is sufficient to tie down global saving in </w:t>
      </w:r>
      <w:r w:rsidR="000C459B" w:rsidRPr="000C459B">
        <w:rPr>
          <w:rFonts w:ascii="Times New Roman" w:hAnsi="Times New Roman"/>
          <w:iCs/>
          <w:sz w:val="24"/>
          <w:szCs w:val="24"/>
        </w:rPr>
        <w:t>t+</w:t>
      </w:r>
      <w:r w:rsidR="000C459B">
        <w:rPr>
          <w:rFonts w:ascii="Times New Roman" w:hAnsi="Times New Roman"/>
          <w:iCs/>
          <w:sz w:val="24"/>
          <w:szCs w:val="24"/>
        </w:rPr>
        <w:sym w:font="Symbol" w:char="F074"/>
      </w:r>
      <w:r w:rsidR="000C459B" w:rsidRPr="000C459B">
        <w:rPr>
          <w:rFonts w:ascii="Times New Roman" w:hAnsi="Times New Roman"/>
          <w:iCs/>
          <w:sz w:val="24"/>
          <w:szCs w:val="24"/>
        </w:rPr>
        <w:t xml:space="preserve"> </w:t>
      </w:r>
      <w:r w:rsidRPr="000C459B">
        <w:rPr>
          <w:rFonts w:ascii="Times New Roman" w:hAnsi="Times New Roman"/>
          <w:iCs/>
          <w:sz w:val="24"/>
          <w:szCs w:val="24"/>
        </w:rPr>
        <w:t xml:space="preserve">which in turn gives us global investment in </w:t>
      </w:r>
      <w:r w:rsidR="000C459B" w:rsidRPr="000C459B">
        <w:rPr>
          <w:rFonts w:ascii="Times New Roman" w:hAnsi="Times New Roman"/>
          <w:iCs/>
          <w:sz w:val="24"/>
          <w:szCs w:val="24"/>
        </w:rPr>
        <w:t>t+</w:t>
      </w:r>
      <w:r w:rsidR="000C459B">
        <w:rPr>
          <w:rFonts w:ascii="Times New Roman" w:hAnsi="Times New Roman"/>
          <w:iCs/>
          <w:sz w:val="24"/>
          <w:szCs w:val="24"/>
        </w:rPr>
        <w:sym w:font="Symbol" w:char="F074"/>
      </w:r>
      <w:r w:rsidRPr="000C459B">
        <w:rPr>
          <w:rFonts w:ascii="Times New Roman" w:hAnsi="Times New Roman"/>
          <w:iCs/>
          <w:sz w:val="24"/>
          <w:szCs w:val="24"/>
        </w:rPr>
        <w:t xml:space="preserve">.  </w:t>
      </w:r>
    </w:p>
    <w:p w:rsidR="007456D8" w:rsidRPr="000C459B" w:rsidRDefault="007456D8" w:rsidP="00AC438D">
      <w:pPr>
        <w:pStyle w:val="ListParagraph"/>
        <w:numPr>
          <w:ilvl w:val="0"/>
          <w:numId w:val="4"/>
        </w:numPr>
        <w:rPr>
          <w:rFonts w:ascii="Times New Roman" w:hAnsi="Times New Roman"/>
          <w:sz w:val="24"/>
          <w:szCs w:val="24"/>
        </w:rPr>
      </w:pPr>
      <w:r w:rsidRPr="000C459B">
        <w:rPr>
          <w:rFonts w:ascii="Times New Roman" w:hAnsi="Times New Roman"/>
          <w:iCs/>
          <w:sz w:val="24"/>
          <w:szCs w:val="24"/>
        </w:rPr>
        <w:t xml:space="preserve">global investment in </w:t>
      </w:r>
      <w:r w:rsidR="000C459B" w:rsidRPr="000C459B">
        <w:rPr>
          <w:rFonts w:ascii="Times New Roman" w:hAnsi="Times New Roman"/>
          <w:iCs/>
          <w:sz w:val="24"/>
          <w:szCs w:val="24"/>
        </w:rPr>
        <w:t>t+</w:t>
      </w:r>
      <w:r w:rsidR="000C459B">
        <w:rPr>
          <w:rFonts w:ascii="Times New Roman" w:hAnsi="Times New Roman"/>
          <w:iCs/>
          <w:sz w:val="24"/>
          <w:szCs w:val="24"/>
        </w:rPr>
        <w:sym w:font="Symbol" w:char="F074"/>
      </w:r>
      <w:r w:rsidR="000C459B" w:rsidRPr="000C459B">
        <w:rPr>
          <w:rFonts w:ascii="Times New Roman" w:hAnsi="Times New Roman"/>
          <w:iCs/>
          <w:sz w:val="24"/>
          <w:szCs w:val="24"/>
        </w:rPr>
        <w:t xml:space="preserve"> </w:t>
      </w:r>
      <w:r w:rsidRPr="000C459B">
        <w:rPr>
          <w:rFonts w:ascii="Times New Roman" w:hAnsi="Times New Roman"/>
          <w:iCs/>
          <w:sz w:val="24"/>
          <w:szCs w:val="24"/>
        </w:rPr>
        <w:t xml:space="preserve">is allocated across regions </w:t>
      </w:r>
      <w:r w:rsidR="00E51577" w:rsidRPr="000C459B">
        <w:rPr>
          <w:rFonts w:ascii="Times New Roman" w:hAnsi="Times New Roman"/>
          <w:iCs/>
          <w:sz w:val="24"/>
          <w:szCs w:val="24"/>
        </w:rPr>
        <w:t xml:space="preserve">so that capital growth </w:t>
      </w:r>
      <w:r w:rsidR="00E51577" w:rsidRPr="000C459B">
        <w:rPr>
          <w:rFonts w:ascii="Times New Roman" w:hAnsi="Times New Roman"/>
          <w:i/>
          <w:iCs/>
          <w:sz w:val="24"/>
          <w:szCs w:val="24"/>
        </w:rPr>
        <w:t>in</w:t>
      </w:r>
      <w:r w:rsidR="00E51577" w:rsidRPr="000C459B">
        <w:rPr>
          <w:rFonts w:ascii="Times New Roman" w:hAnsi="Times New Roman"/>
          <w:iCs/>
          <w:sz w:val="24"/>
          <w:szCs w:val="24"/>
        </w:rPr>
        <w:t xml:space="preserve"> </w:t>
      </w:r>
      <w:r w:rsidR="000C459B" w:rsidRPr="000C459B">
        <w:rPr>
          <w:rFonts w:ascii="Times New Roman" w:hAnsi="Times New Roman"/>
          <w:iCs/>
          <w:sz w:val="24"/>
          <w:szCs w:val="24"/>
        </w:rPr>
        <w:t>t+</w:t>
      </w:r>
      <w:r w:rsidR="000C459B">
        <w:rPr>
          <w:rFonts w:ascii="Times New Roman" w:hAnsi="Times New Roman"/>
          <w:iCs/>
          <w:sz w:val="24"/>
          <w:szCs w:val="24"/>
        </w:rPr>
        <w:sym w:font="Symbol" w:char="F074"/>
      </w:r>
      <w:r w:rsidR="000C459B" w:rsidRPr="000C459B">
        <w:rPr>
          <w:rFonts w:ascii="Times New Roman" w:hAnsi="Times New Roman"/>
          <w:iCs/>
          <w:sz w:val="24"/>
          <w:szCs w:val="24"/>
        </w:rPr>
        <w:t xml:space="preserve"> </w:t>
      </w:r>
      <w:r w:rsidR="00E51577" w:rsidRPr="000C459B">
        <w:rPr>
          <w:rFonts w:ascii="Times New Roman" w:hAnsi="Times New Roman"/>
          <w:iCs/>
          <w:sz w:val="24"/>
          <w:szCs w:val="24"/>
        </w:rPr>
        <w:t>in region r reflects the region’s capital growth over the subsequent period</w:t>
      </w:r>
      <w:r w:rsidR="000C459B">
        <w:rPr>
          <w:rFonts w:ascii="Times New Roman" w:hAnsi="Times New Roman"/>
          <w:iCs/>
          <w:sz w:val="24"/>
          <w:szCs w:val="24"/>
        </w:rPr>
        <w:t xml:space="preserve">.  For example, global investment in the 2030 solution is allocated across regions to reflect </w:t>
      </w:r>
      <w:r w:rsidR="00A145BF">
        <w:rPr>
          <w:rFonts w:ascii="Times New Roman" w:hAnsi="Times New Roman"/>
          <w:iCs/>
          <w:sz w:val="24"/>
          <w:szCs w:val="24"/>
        </w:rPr>
        <w:t xml:space="preserve">average annual </w:t>
      </w:r>
      <w:r w:rsidR="000C459B">
        <w:rPr>
          <w:rFonts w:ascii="Times New Roman" w:hAnsi="Times New Roman"/>
          <w:iCs/>
          <w:sz w:val="24"/>
          <w:szCs w:val="24"/>
        </w:rPr>
        <w:t xml:space="preserve">capital growth </w:t>
      </w:r>
      <w:r w:rsidR="00A145BF">
        <w:rPr>
          <w:rFonts w:ascii="Times New Roman" w:hAnsi="Times New Roman"/>
          <w:iCs/>
          <w:sz w:val="24"/>
          <w:szCs w:val="24"/>
        </w:rPr>
        <w:t xml:space="preserve">rates </w:t>
      </w:r>
      <w:r w:rsidR="000C459B">
        <w:rPr>
          <w:rFonts w:ascii="Times New Roman" w:hAnsi="Times New Roman"/>
          <w:iCs/>
          <w:sz w:val="24"/>
          <w:szCs w:val="24"/>
        </w:rPr>
        <w:t xml:space="preserve">for </w:t>
      </w:r>
      <w:r w:rsidR="00E51577" w:rsidRPr="000C459B">
        <w:rPr>
          <w:rFonts w:ascii="Times New Roman" w:hAnsi="Times New Roman"/>
          <w:iCs/>
          <w:sz w:val="24"/>
          <w:szCs w:val="24"/>
        </w:rPr>
        <w:t>20</w:t>
      </w:r>
      <w:r w:rsidR="000C459B">
        <w:rPr>
          <w:rFonts w:ascii="Times New Roman" w:hAnsi="Times New Roman"/>
          <w:iCs/>
          <w:sz w:val="24"/>
          <w:szCs w:val="24"/>
        </w:rPr>
        <w:t>30</w:t>
      </w:r>
      <w:r w:rsidR="00E51577" w:rsidRPr="000C459B">
        <w:rPr>
          <w:rFonts w:ascii="Times New Roman" w:hAnsi="Times New Roman"/>
          <w:iCs/>
          <w:sz w:val="24"/>
          <w:szCs w:val="24"/>
        </w:rPr>
        <w:t xml:space="preserve"> to 20</w:t>
      </w:r>
      <w:r w:rsidR="000C459B">
        <w:rPr>
          <w:rFonts w:ascii="Times New Roman" w:hAnsi="Times New Roman"/>
          <w:iCs/>
          <w:sz w:val="24"/>
          <w:szCs w:val="24"/>
        </w:rPr>
        <w:t>4</w:t>
      </w:r>
      <w:r w:rsidR="00E51577" w:rsidRPr="000C459B">
        <w:rPr>
          <w:rFonts w:ascii="Times New Roman" w:hAnsi="Times New Roman"/>
          <w:iCs/>
          <w:sz w:val="24"/>
          <w:szCs w:val="24"/>
        </w:rPr>
        <w:t xml:space="preserve">0.  </w:t>
      </w:r>
      <w:r w:rsidR="001B5682" w:rsidRPr="000C459B">
        <w:rPr>
          <w:rFonts w:ascii="Times New Roman" w:hAnsi="Times New Roman"/>
          <w:iCs/>
          <w:sz w:val="24"/>
          <w:szCs w:val="24"/>
        </w:rPr>
        <w:t xml:space="preserve">This gives our regional investors forward-looking expectations.  Because a region’s capital growth </w:t>
      </w:r>
      <w:r w:rsidR="00A145BF">
        <w:rPr>
          <w:rFonts w:ascii="Times New Roman" w:hAnsi="Times New Roman"/>
          <w:iCs/>
          <w:sz w:val="24"/>
          <w:szCs w:val="24"/>
        </w:rPr>
        <w:t>over</w:t>
      </w:r>
      <w:r w:rsidR="001B5682" w:rsidRPr="000C459B">
        <w:rPr>
          <w:rFonts w:ascii="Times New Roman" w:hAnsi="Times New Roman"/>
          <w:iCs/>
          <w:sz w:val="24"/>
          <w:szCs w:val="24"/>
        </w:rPr>
        <w:t xml:space="preserve"> the subsequent period is not known when we are solving the model</w:t>
      </w:r>
      <w:r w:rsidR="000C459B">
        <w:rPr>
          <w:rFonts w:ascii="Times New Roman" w:hAnsi="Times New Roman"/>
          <w:iCs/>
          <w:sz w:val="24"/>
          <w:szCs w:val="24"/>
        </w:rPr>
        <w:t xml:space="preserve"> </w:t>
      </w:r>
      <w:r w:rsidR="00A145BF">
        <w:rPr>
          <w:rFonts w:ascii="Times New Roman" w:hAnsi="Times New Roman"/>
          <w:iCs/>
          <w:sz w:val="24"/>
          <w:szCs w:val="24"/>
        </w:rPr>
        <w:t>for</w:t>
      </w:r>
      <w:r w:rsidR="000C459B">
        <w:rPr>
          <w:rFonts w:ascii="Times New Roman" w:hAnsi="Times New Roman"/>
          <w:iCs/>
          <w:sz w:val="24"/>
          <w:szCs w:val="24"/>
        </w:rPr>
        <w:t xml:space="preserve"> year </w:t>
      </w:r>
      <w:r w:rsidR="000C459B" w:rsidRPr="000C459B">
        <w:rPr>
          <w:rFonts w:ascii="Times New Roman" w:hAnsi="Times New Roman"/>
          <w:iCs/>
          <w:sz w:val="24"/>
          <w:szCs w:val="24"/>
        </w:rPr>
        <w:t>t+</w:t>
      </w:r>
      <w:r w:rsidR="000C459B">
        <w:rPr>
          <w:rFonts w:ascii="Times New Roman" w:hAnsi="Times New Roman"/>
          <w:iCs/>
          <w:sz w:val="24"/>
          <w:szCs w:val="24"/>
        </w:rPr>
        <w:sym w:font="Symbol" w:char="F074"/>
      </w:r>
      <w:r w:rsidR="000C459B">
        <w:rPr>
          <w:rFonts w:ascii="Times New Roman" w:hAnsi="Times New Roman"/>
          <w:iCs/>
          <w:sz w:val="24"/>
          <w:szCs w:val="24"/>
        </w:rPr>
        <w:t xml:space="preserve">, we </w:t>
      </w:r>
      <w:r w:rsidR="00A145BF">
        <w:rPr>
          <w:rFonts w:ascii="Times New Roman" w:hAnsi="Times New Roman"/>
          <w:iCs/>
          <w:sz w:val="24"/>
          <w:szCs w:val="24"/>
        </w:rPr>
        <w:t>set</w:t>
      </w:r>
      <w:r w:rsidR="000C459B">
        <w:rPr>
          <w:rFonts w:ascii="Times New Roman" w:hAnsi="Times New Roman"/>
          <w:iCs/>
          <w:sz w:val="24"/>
          <w:szCs w:val="24"/>
        </w:rPr>
        <w:t xml:space="preserve"> </w:t>
      </w:r>
      <w:r w:rsidR="00A145BF">
        <w:rPr>
          <w:rFonts w:ascii="Times New Roman" w:hAnsi="Times New Roman"/>
          <w:iCs/>
          <w:sz w:val="24"/>
          <w:szCs w:val="24"/>
        </w:rPr>
        <w:t>regional capital growth rates in the year</w:t>
      </w:r>
      <w:r w:rsidR="00E54E9C">
        <w:rPr>
          <w:rFonts w:ascii="Times New Roman" w:hAnsi="Times New Roman"/>
          <w:iCs/>
          <w:sz w:val="24"/>
          <w:szCs w:val="24"/>
        </w:rPr>
        <w:t>-</w:t>
      </w:r>
      <w:r w:rsidR="00A145BF" w:rsidRPr="000C459B">
        <w:rPr>
          <w:rFonts w:ascii="Times New Roman" w:hAnsi="Times New Roman"/>
          <w:iCs/>
          <w:sz w:val="24"/>
          <w:szCs w:val="24"/>
        </w:rPr>
        <w:t>t+</w:t>
      </w:r>
      <w:r w:rsidR="00A145BF">
        <w:rPr>
          <w:rFonts w:ascii="Times New Roman" w:hAnsi="Times New Roman"/>
          <w:iCs/>
          <w:sz w:val="24"/>
          <w:szCs w:val="24"/>
        </w:rPr>
        <w:sym w:font="Symbol" w:char="F074"/>
      </w:r>
      <w:r w:rsidR="00A145BF">
        <w:rPr>
          <w:rFonts w:ascii="Times New Roman" w:hAnsi="Times New Roman"/>
          <w:iCs/>
          <w:sz w:val="24"/>
          <w:szCs w:val="24"/>
        </w:rPr>
        <w:t xml:space="preserve"> computation via an</w:t>
      </w:r>
      <w:r w:rsidR="000C459B">
        <w:rPr>
          <w:rFonts w:ascii="Times New Roman" w:hAnsi="Times New Roman"/>
          <w:iCs/>
          <w:sz w:val="24"/>
          <w:szCs w:val="24"/>
        </w:rPr>
        <w:t xml:space="preserve"> iterative approach</w:t>
      </w:r>
      <w:r w:rsidR="008C3DBC">
        <w:rPr>
          <w:rFonts w:ascii="Times New Roman" w:hAnsi="Times New Roman"/>
          <w:iCs/>
          <w:sz w:val="24"/>
          <w:szCs w:val="24"/>
        </w:rPr>
        <w:t xml:space="preserve"> (see Appendix 3)</w:t>
      </w:r>
      <w:r w:rsidR="000C459B" w:rsidRPr="000C459B">
        <w:rPr>
          <w:rFonts w:ascii="Times New Roman" w:hAnsi="Times New Roman"/>
          <w:iCs/>
          <w:sz w:val="24"/>
          <w:szCs w:val="24"/>
        </w:rPr>
        <w:t xml:space="preserve">.  </w:t>
      </w:r>
      <w:r w:rsidR="00A145BF">
        <w:rPr>
          <w:rFonts w:ascii="Times New Roman" w:hAnsi="Times New Roman"/>
          <w:iCs/>
          <w:sz w:val="24"/>
          <w:szCs w:val="24"/>
        </w:rPr>
        <w:t xml:space="preserve"> </w:t>
      </w:r>
    </w:p>
    <w:p w:rsidR="007456D8" w:rsidRPr="00706527" w:rsidRDefault="007456D8" w:rsidP="007456D8">
      <w:pPr>
        <w:pStyle w:val="ListParagraph"/>
        <w:numPr>
          <w:ilvl w:val="0"/>
          <w:numId w:val="4"/>
        </w:numPr>
        <w:rPr>
          <w:rFonts w:ascii="Times New Roman" w:hAnsi="Times New Roman"/>
          <w:sz w:val="24"/>
          <w:szCs w:val="24"/>
        </w:rPr>
      </w:pPr>
      <w:r>
        <w:rPr>
          <w:rFonts w:ascii="Times New Roman" w:hAnsi="Times New Roman"/>
          <w:iCs/>
          <w:sz w:val="24"/>
          <w:szCs w:val="24"/>
        </w:rPr>
        <w:lastRenderedPageBreak/>
        <w:t xml:space="preserve">capital stocks at </w:t>
      </w:r>
      <w:r w:rsidR="00AE29DE">
        <w:rPr>
          <w:rFonts w:ascii="Times New Roman" w:hAnsi="Times New Roman"/>
          <w:iCs/>
          <w:sz w:val="24"/>
          <w:szCs w:val="24"/>
        </w:rPr>
        <w:t xml:space="preserve">the </w:t>
      </w:r>
      <w:r>
        <w:rPr>
          <w:rFonts w:ascii="Times New Roman" w:hAnsi="Times New Roman"/>
          <w:iCs/>
          <w:sz w:val="24"/>
          <w:szCs w:val="24"/>
        </w:rPr>
        <w:t>s</w:t>
      </w:r>
      <w:r w:rsidRPr="00706527">
        <w:rPr>
          <w:rFonts w:ascii="Times New Roman" w:hAnsi="Times New Roman"/>
          <w:iCs/>
          <w:sz w:val="24"/>
          <w:szCs w:val="24"/>
        </w:rPr>
        <w:t>tart</w:t>
      </w:r>
      <w:r w:rsidR="00AE29DE">
        <w:rPr>
          <w:rFonts w:ascii="Times New Roman" w:hAnsi="Times New Roman"/>
          <w:iCs/>
          <w:sz w:val="24"/>
          <w:szCs w:val="24"/>
        </w:rPr>
        <w:t xml:space="preserve"> </w:t>
      </w:r>
      <w:r w:rsidRPr="00706527">
        <w:rPr>
          <w:rFonts w:ascii="Times New Roman" w:hAnsi="Times New Roman"/>
          <w:iCs/>
          <w:sz w:val="24"/>
          <w:szCs w:val="24"/>
        </w:rPr>
        <w:t>of</w:t>
      </w:r>
      <w:r w:rsidR="00AE29DE">
        <w:rPr>
          <w:rFonts w:ascii="Times New Roman" w:hAnsi="Times New Roman"/>
          <w:iCs/>
          <w:sz w:val="24"/>
          <w:szCs w:val="24"/>
        </w:rPr>
        <w:t xml:space="preserve"> </w:t>
      </w:r>
      <w:r w:rsidR="00AE29DE">
        <w:rPr>
          <w:rFonts w:ascii="Times New Roman" w:hAnsi="Times New Roman"/>
          <w:sz w:val="24"/>
          <w:szCs w:val="24"/>
        </w:rPr>
        <w:t>t+</w:t>
      </w:r>
      <w:r w:rsidR="00AE29DE">
        <w:rPr>
          <w:rFonts w:ascii="Times New Roman" w:hAnsi="Times New Roman"/>
          <w:sz w:val="24"/>
          <w:szCs w:val="24"/>
        </w:rPr>
        <w:sym w:font="Symbol" w:char="F074"/>
      </w:r>
      <w:r w:rsidR="00AE29DE">
        <w:rPr>
          <w:rFonts w:ascii="Times New Roman" w:hAnsi="Times New Roman"/>
          <w:sz w:val="24"/>
          <w:szCs w:val="24"/>
        </w:rPr>
        <w:t xml:space="preserve"> </w:t>
      </w:r>
      <w:r w:rsidRPr="00706527">
        <w:rPr>
          <w:rFonts w:ascii="Times New Roman" w:hAnsi="Times New Roman"/>
          <w:iCs/>
          <w:sz w:val="24"/>
          <w:szCs w:val="24"/>
        </w:rPr>
        <w:t xml:space="preserve">in each </w:t>
      </w:r>
      <w:r w:rsidR="00EC7DD9">
        <w:rPr>
          <w:rFonts w:ascii="Times New Roman" w:hAnsi="Times New Roman"/>
          <w:iCs/>
          <w:sz w:val="24"/>
          <w:szCs w:val="24"/>
        </w:rPr>
        <w:t xml:space="preserve">industry and </w:t>
      </w:r>
      <w:r w:rsidRPr="00706527">
        <w:rPr>
          <w:rFonts w:ascii="Times New Roman" w:hAnsi="Times New Roman"/>
          <w:iCs/>
          <w:sz w:val="24"/>
          <w:szCs w:val="24"/>
        </w:rPr>
        <w:t xml:space="preserve">region are endogenous and relative </w:t>
      </w:r>
      <w:r>
        <w:rPr>
          <w:rFonts w:ascii="Times New Roman" w:hAnsi="Times New Roman"/>
          <w:i/>
          <w:iCs/>
          <w:sz w:val="24"/>
          <w:szCs w:val="24"/>
        </w:rPr>
        <w:t xml:space="preserve">actual </w:t>
      </w:r>
      <w:r w:rsidRPr="00706527">
        <w:rPr>
          <w:rFonts w:ascii="Times New Roman" w:hAnsi="Times New Roman"/>
          <w:iCs/>
          <w:sz w:val="24"/>
          <w:szCs w:val="24"/>
        </w:rPr>
        <w:t xml:space="preserve">rates of return across </w:t>
      </w:r>
      <w:r w:rsidR="00EC7DD9">
        <w:rPr>
          <w:rFonts w:ascii="Times New Roman" w:hAnsi="Times New Roman"/>
          <w:iCs/>
          <w:sz w:val="24"/>
          <w:szCs w:val="24"/>
        </w:rPr>
        <w:t xml:space="preserve">industries and </w:t>
      </w:r>
      <w:r w:rsidRPr="00706527">
        <w:rPr>
          <w:rFonts w:ascii="Times New Roman" w:hAnsi="Times New Roman"/>
          <w:iCs/>
          <w:sz w:val="24"/>
          <w:szCs w:val="24"/>
        </w:rPr>
        <w:t xml:space="preserve">regions are exogenous. </w:t>
      </w:r>
      <w:r w:rsidR="00AE29DE">
        <w:rPr>
          <w:rFonts w:ascii="Times New Roman" w:hAnsi="Times New Roman"/>
          <w:iCs/>
          <w:sz w:val="24"/>
          <w:szCs w:val="24"/>
        </w:rPr>
        <w:t xml:space="preserve">  </w:t>
      </w:r>
    </w:p>
    <w:p w:rsidR="007456D8" w:rsidRPr="00706527" w:rsidRDefault="007456D8" w:rsidP="007456D8">
      <w:pPr>
        <w:pStyle w:val="ListParagraph"/>
        <w:numPr>
          <w:ilvl w:val="0"/>
          <w:numId w:val="4"/>
        </w:numPr>
        <w:rPr>
          <w:rFonts w:ascii="Times New Roman" w:hAnsi="Times New Roman"/>
          <w:sz w:val="24"/>
          <w:szCs w:val="24"/>
        </w:rPr>
      </w:pPr>
      <w:r>
        <w:rPr>
          <w:rFonts w:ascii="Times New Roman" w:hAnsi="Times New Roman"/>
          <w:iCs/>
          <w:sz w:val="24"/>
          <w:szCs w:val="24"/>
        </w:rPr>
        <w:t>a</w:t>
      </w:r>
      <w:r w:rsidRPr="00706527">
        <w:rPr>
          <w:rFonts w:ascii="Times New Roman" w:hAnsi="Times New Roman"/>
          <w:iCs/>
          <w:sz w:val="24"/>
          <w:szCs w:val="24"/>
        </w:rPr>
        <w:t xml:space="preserve">bsolute </w:t>
      </w:r>
      <w:r>
        <w:rPr>
          <w:rFonts w:ascii="Times New Roman" w:hAnsi="Times New Roman"/>
          <w:iCs/>
          <w:sz w:val="24"/>
          <w:szCs w:val="24"/>
        </w:rPr>
        <w:t xml:space="preserve">actual </w:t>
      </w:r>
      <w:r w:rsidRPr="00706527">
        <w:rPr>
          <w:rFonts w:ascii="Times New Roman" w:hAnsi="Times New Roman"/>
          <w:iCs/>
          <w:sz w:val="24"/>
          <w:szCs w:val="24"/>
        </w:rPr>
        <w:t xml:space="preserve">rates of return are endogenous so that global capital accumulation between </w:t>
      </w:r>
      <w:r>
        <w:rPr>
          <w:rFonts w:ascii="Times New Roman" w:hAnsi="Times New Roman"/>
          <w:iCs/>
          <w:sz w:val="24"/>
          <w:szCs w:val="24"/>
        </w:rPr>
        <w:t>start-of-</w:t>
      </w:r>
      <w:r w:rsidR="00AE29DE">
        <w:rPr>
          <w:rFonts w:ascii="Times New Roman" w:hAnsi="Times New Roman"/>
          <w:iCs/>
          <w:sz w:val="24"/>
          <w:szCs w:val="24"/>
        </w:rPr>
        <w:t>t</w:t>
      </w:r>
      <w:r w:rsidRPr="00706527">
        <w:rPr>
          <w:rFonts w:ascii="Times New Roman" w:hAnsi="Times New Roman"/>
          <w:iCs/>
          <w:sz w:val="24"/>
          <w:szCs w:val="24"/>
        </w:rPr>
        <w:t xml:space="preserve"> and </w:t>
      </w:r>
      <w:r>
        <w:rPr>
          <w:rFonts w:ascii="Times New Roman" w:hAnsi="Times New Roman"/>
          <w:iCs/>
          <w:sz w:val="24"/>
          <w:szCs w:val="24"/>
        </w:rPr>
        <w:t>start-of-</w:t>
      </w:r>
      <w:r w:rsidR="00AE29DE" w:rsidRPr="00AE29DE">
        <w:rPr>
          <w:rFonts w:ascii="Times New Roman" w:hAnsi="Times New Roman"/>
          <w:sz w:val="24"/>
          <w:szCs w:val="24"/>
        </w:rPr>
        <w:t xml:space="preserve"> </w:t>
      </w:r>
      <w:r w:rsidR="00AE29DE">
        <w:rPr>
          <w:rFonts w:ascii="Times New Roman" w:hAnsi="Times New Roman"/>
          <w:sz w:val="24"/>
          <w:szCs w:val="24"/>
        </w:rPr>
        <w:t>t+</w:t>
      </w:r>
      <w:r w:rsidR="00AE29DE">
        <w:rPr>
          <w:rFonts w:ascii="Times New Roman" w:hAnsi="Times New Roman"/>
          <w:sz w:val="24"/>
          <w:szCs w:val="24"/>
        </w:rPr>
        <w:sym w:font="Symbol" w:char="F074"/>
      </w:r>
      <w:r w:rsidRPr="00706527">
        <w:rPr>
          <w:rFonts w:ascii="Times New Roman" w:hAnsi="Times New Roman"/>
          <w:iCs/>
          <w:sz w:val="24"/>
          <w:szCs w:val="24"/>
        </w:rPr>
        <w:t xml:space="preserve"> equals global accumulated savings </w:t>
      </w:r>
      <w:r w:rsidR="00AB0D2D">
        <w:rPr>
          <w:rFonts w:ascii="Times New Roman" w:hAnsi="Times New Roman"/>
          <w:iCs/>
          <w:sz w:val="24"/>
          <w:szCs w:val="24"/>
        </w:rPr>
        <w:t>for the same period</w:t>
      </w:r>
      <w:r w:rsidRPr="00706527">
        <w:rPr>
          <w:rFonts w:ascii="Times New Roman" w:hAnsi="Times New Roman"/>
          <w:iCs/>
          <w:sz w:val="24"/>
          <w:szCs w:val="24"/>
        </w:rPr>
        <w:t>.</w:t>
      </w:r>
      <w:r w:rsidR="00AC438D">
        <w:rPr>
          <w:rFonts w:ascii="Times New Roman" w:hAnsi="Times New Roman"/>
          <w:iCs/>
          <w:sz w:val="24"/>
          <w:szCs w:val="24"/>
        </w:rPr>
        <w:t xml:space="preserve"> </w:t>
      </w:r>
      <w:r w:rsidRPr="00706527">
        <w:rPr>
          <w:rFonts w:ascii="Times New Roman" w:hAnsi="Times New Roman"/>
          <w:iCs/>
          <w:sz w:val="24"/>
          <w:szCs w:val="24"/>
        </w:rPr>
        <w:t xml:space="preserve"> </w:t>
      </w:r>
      <w:r w:rsidR="00AC438D">
        <w:rPr>
          <w:rFonts w:ascii="Times New Roman" w:hAnsi="Times New Roman"/>
          <w:iCs/>
          <w:sz w:val="24"/>
          <w:szCs w:val="24"/>
        </w:rPr>
        <w:t>If simulated accumulated saving</w:t>
      </w:r>
      <w:r w:rsidR="0098401D">
        <w:rPr>
          <w:rFonts w:ascii="Times New Roman" w:hAnsi="Times New Roman"/>
          <w:iCs/>
          <w:sz w:val="24"/>
          <w:szCs w:val="24"/>
        </w:rPr>
        <w:t>s</w:t>
      </w:r>
      <w:r w:rsidR="00AC438D">
        <w:rPr>
          <w:rFonts w:ascii="Times New Roman" w:hAnsi="Times New Roman"/>
          <w:iCs/>
          <w:sz w:val="24"/>
          <w:szCs w:val="24"/>
        </w:rPr>
        <w:t xml:space="preserve"> happened to be low, then absolute actual rates of return would be high, reflecting scarcity of capital and vice versa.</w:t>
      </w:r>
    </w:p>
    <w:p w:rsidR="007456D8" w:rsidRPr="00706527" w:rsidRDefault="007456D8" w:rsidP="007456D8">
      <w:pPr>
        <w:pStyle w:val="ListParagraph"/>
        <w:numPr>
          <w:ilvl w:val="0"/>
          <w:numId w:val="4"/>
        </w:numPr>
        <w:rPr>
          <w:rFonts w:ascii="Times New Roman" w:hAnsi="Times New Roman"/>
          <w:sz w:val="24"/>
          <w:szCs w:val="24"/>
        </w:rPr>
      </w:pPr>
      <w:r>
        <w:rPr>
          <w:rFonts w:ascii="Times New Roman" w:hAnsi="Times New Roman"/>
          <w:iCs/>
          <w:sz w:val="24"/>
          <w:szCs w:val="24"/>
        </w:rPr>
        <w:t>a</w:t>
      </w:r>
      <w:r w:rsidRPr="00706527">
        <w:rPr>
          <w:rFonts w:ascii="Times New Roman" w:hAnsi="Times New Roman"/>
          <w:iCs/>
          <w:sz w:val="24"/>
          <w:szCs w:val="24"/>
        </w:rPr>
        <w:t xml:space="preserve">ccumulated savings in each region is deduced from a </w:t>
      </w:r>
      <w:r w:rsidR="00E54E9C">
        <w:rPr>
          <w:rFonts w:ascii="Times New Roman" w:hAnsi="Times New Roman"/>
          <w:iCs/>
          <w:sz w:val="24"/>
          <w:szCs w:val="24"/>
        </w:rPr>
        <w:t xml:space="preserve">smooth-growth path for real saving between year t and year </w:t>
      </w:r>
      <w:r w:rsidR="00E54E9C">
        <w:rPr>
          <w:rFonts w:ascii="Times New Roman" w:hAnsi="Times New Roman"/>
          <w:sz w:val="24"/>
          <w:szCs w:val="24"/>
        </w:rPr>
        <w:t>t+</w:t>
      </w:r>
      <w:r w:rsidR="00E54E9C">
        <w:rPr>
          <w:rFonts w:ascii="Times New Roman" w:hAnsi="Times New Roman"/>
          <w:sz w:val="24"/>
          <w:szCs w:val="24"/>
        </w:rPr>
        <w:sym w:font="Symbol" w:char="F074"/>
      </w:r>
      <w:r w:rsidR="00E54E9C">
        <w:rPr>
          <w:rFonts w:ascii="Times New Roman" w:hAnsi="Times New Roman"/>
          <w:sz w:val="24"/>
          <w:szCs w:val="24"/>
        </w:rPr>
        <w:t>-1</w:t>
      </w:r>
      <w:r w:rsidRPr="00706527">
        <w:rPr>
          <w:rFonts w:ascii="Times New Roman" w:hAnsi="Times New Roman"/>
          <w:iCs/>
          <w:sz w:val="24"/>
          <w:szCs w:val="24"/>
        </w:rPr>
        <w:t xml:space="preserve">.  </w:t>
      </w:r>
    </w:p>
    <w:p w:rsidR="007456D8" w:rsidRPr="00706527" w:rsidRDefault="007456D8" w:rsidP="007456D8">
      <w:pPr>
        <w:pStyle w:val="ListParagraph"/>
        <w:numPr>
          <w:ilvl w:val="0"/>
          <w:numId w:val="4"/>
        </w:numPr>
        <w:rPr>
          <w:rFonts w:ascii="Times New Roman" w:hAnsi="Times New Roman"/>
          <w:sz w:val="24"/>
          <w:szCs w:val="24"/>
        </w:rPr>
      </w:pPr>
      <w:r w:rsidRPr="00706527">
        <w:rPr>
          <w:rFonts w:ascii="Times New Roman" w:hAnsi="Times New Roman"/>
          <w:iCs/>
          <w:sz w:val="24"/>
          <w:szCs w:val="24"/>
        </w:rPr>
        <w:t xml:space="preserve">exchange rates </w:t>
      </w:r>
      <w:r>
        <w:rPr>
          <w:rFonts w:ascii="Times New Roman" w:hAnsi="Times New Roman"/>
          <w:iCs/>
          <w:sz w:val="24"/>
          <w:szCs w:val="24"/>
        </w:rPr>
        <w:t xml:space="preserve">are </w:t>
      </w:r>
      <w:r w:rsidRPr="00706527">
        <w:rPr>
          <w:rFonts w:ascii="Times New Roman" w:hAnsi="Times New Roman"/>
          <w:iCs/>
          <w:sz w:val="24"/>
          <w:szCs w:val="24"/>
        </w:rPr>
        <w:t>implicitly set on one</w:t>
      </w:r>
      <w:r>
        <w:rPr>
          <w:rFonts w:ascii="Times New Roman" w:hAnsi="Times New Roman"/>
          <w:iCs/>
          <w:sz w:val="24"/>
          <w:szCs w:val="24"/>
        </w:rPr>
        <w:t>, and a</w:t>
      </w:r>
      <w:r w:rsidRPr="00706527">
        <w:rPr>
          <w:rFonts w:ascii="Times New Roman" w:hAnsi="Times New Roman"/>
          <w:iCs/>
          <w:sz w:val="24"/>
          <w:szCs w:val="24"/>
        </w:rPr>
        <w:t xml:space="preserve">ll values are in $US.  </w:t>
      </w:r>
    </w:p>
    <w:p w:rsidR="00961002" w:rsidRPr="00961002" w:rsidRDefault="007456D8" w:rsidP="00961002">
      <w:pPr>
        <w:pStyle w:val="ListParagraph"/>
        <w:numPr>
          <w:ilvl w:val="0"/>
          <w:numId w:val="4"/>
        </w:numPr>
        <w:rPr>
          <w:rFonts w:ascii="Times New Roman" w:hAnsi="Times New Roman"/>
          <w:sz w:val="24"/>
          <w:szCs w:val="24"/>
        </w:rPr>
      </w:pPr>
      <w:r>
        <w:rPr>
          <w:rFonts w:ascii="Times New Roman" w:hAnsi="Times New Roman"/>
          <w:iCs/>
          <w:sz w:val="24"/>
          <w:szCs w:val="24"/>
        </w:rPr>
        <w:t>t</w:t>
      </w:r>
      <w:r w:rsidRPr="00706527">
        <w:rPr>
          <w:rFonts w:ascii="Times New Roman" w:hAnsi="Times New Roman"/>
          <w:iCs/>
          <w:sz w:val="24"/>
          <w:szCs w:val="24"/>
        </w:rPr>
        <w:t xml:space="preserve">he </w:t>
      </w:r>
      <w:r w:rsidR="00F94E20">
        <w:rPr>
          <w:rFonts w:ascii="Times New Roman" w:hAnsi="Times New Roman"/>
          <w:iCs/>
          <w:sz w:val="24"/>
          <w:szCs w:val="24"/>
        </w:rPr>
        <w:t xml:space="preserve">nominal value of global GDP is effectively exogenous, providing the numeraire.  </w:t>
      </w:r>
    </w:p>
    <w:p w:rsidR="00AC438D" w:rsidRPr="00C600BB" w:rsidRDefault="00AC438D" w:rsidP="0097390B">
      <w:pPr>
        <w:ind w:left="0"/>
        <w:rPr>
          <w:rFonts w:ascii="Times New Roman" w:hAnsi="Times New Roman"/>
          <w:b/>
          <w:color w:val="BFBFBF"/>
          <w:sz w:val="24"/>
          <w:szCs w:val="24"/>
        </w:rPr>
      </w:pPr>
      <w:r>
        <w:rPr>
          <w:rFonts w:ascii="Times New Roman" w:hAnsi="Times New Roman"/>
          <w:b/>
          <w:sz w:val="24"/>
          <w:szCs w:val="24"/>
        </w:rPr>
        <w:t>4</w:t>
      </w:r>
      <w:r w:rsidR="001B5682" w:rsidRPr="001B5682">
        <w:rPr>
          <w:rFonts w:ascii="Times New Roman" w:hAnsi="Times New Roman"/>
          <w:b/>
          <w:sz w:val="24"/>
          <w:szCs w:val="24"/>
        </w:rPr>
        <w:t>.  The 2014-19 historical simulation: updating the GTAP database</w:t>
      </w:r>
      <w:r>
        <w:rPr>
          <w:rStyle w:val="FootnoteReference"/>
          <w:rFonts w:ascii="Times New Roman" w:hAnsi="Times New Roman"/>
          <w:b/>
          <w:sz w:val="24"/>
          <w:szCs w:val="24"/>
        </w:rPr>
        <w:footnoteReference w:id="4"/>
      </w:r>
      <w:r w:rsidR="001B5682" w:rsidRPr="001B5682">
        <w:rPr>
          <w:rFonts w:ascii="Times New Roman" w:hAnsi="Times New Roman"/>
          <w:b/>
          <w:sz w:val="24"/>
          <w:szCs w:val="24"/>
        </w:rPr>
        <w:t xml:space="preserve"> </w:t>
      </w:r>
    </w:p>
    <w:p w:rsidR="006A1F30" w:rsidRPr="006A1F30" w:rsidRDefault="00AC438D" w:rsidP="0097390B">
      <w:pPr>
        <w:ind w:left="0"/>
        <w:rPr>
          <w:rFonts w:ascii="Times New Roman" w:hAnsi="Times New Roman"/>
          <w:b/>
          <w:i/>
          <w:sz w:val="24"/>
          <w:szCs w:val="24"/>
        </w:rPr>
      </w:pPr>
      <w:r>
        <w:rPr>
          <w:rFonts w:ascii="Times New Roman" w:hAnsi="Times New Roman"/>
          <w:b/>
          <w:i/>
          <w:sz w:val="24"/>
          <w:szCs w:val="24"/>
        </w:rPr>
        <w:t>4.1</w:t>
      </w:r>
      <w:r w:rsidR="006A1F30">
        <w:rPr>
          <w:rFonts w:ascii="Times New Roman" w:hAnsi="Times New Roman"/>
          <w:b/>
          <w:i/>
          <w:sz w:val="24"/>
          <w:szCs w:val="24"/>
        </w:rPr>
        <w:t>.  Bringing in data for 2014-2019</w:t>
      </w:r>
      <w:r w:rsidR="00AD116B">
        <w:rPr>
          <w:rFonts w:ascii="Times New Roman" w:hAnsi="Times New Roman"/>
          <w:b/>
          <w:i/>
          <w:sz w:val="24"/>
          <w:szCs w:val="24"/>
        </w:rPr>
        <w:t xml:space="preserve">: </w:t>
      </w:r>
      <w:r w:rsidR="00961920">
        <w:rPr>
          <w:rFonts w:ascii="Times New Roman" w:hAnsi="Times New Roman"/>
          <w:b/>
          <w:i/>
          <w:sz w:val="24"/>
          <w:szCs w:val="24"/>
        </w:rPr>
        <w:t>e</w:t>
      </w:r>
      <w:r w:rsidR="00AD116B" w:rsidRPr="00DF5970">
        <w:rPr>
          <w:rFonts w:ascii="Times New Roman" w:hAnsi="Times New Roman"/>
          <w:b/>
          <w:i/>
          <w:sz w:val="24"/>
          <w:szCs w:val="24"/>
        </w:rPr>
        <w:t xml:space="preserve">xplanation of the </w:t>
      </w:r>
      <w:r w:rsidR="00AD116B" w:rsidRPr="00AE5156">
        <w:rPr>
          <w:rFonts w:ascii="Times New Roman" w:hAnsi="Times New Roman"/>
          <w:b/>
          <w:i/>
          <w:sz w:val="24"/>
          <w:szCs w:val="24"/>
        </w:rPr>
        <w:t>1</w:t>
      </w:r>
      <w:r w:rsidR="00CF67BB" w:rsidRPr="00AE5156">
        <w:rPr>
          <w:rFonts w:ascii="Times New Roman" w:hAnsi="Times New Roman"/>
          <w:b/>
          <w:i/>
          <w:sz w:val="24"/>
          <w:szCs w:val="24"/>
        </w:rPr>
        <w:t>9</w:t>
      </w:r>
      <w:r w:rsidR="00AD116B" w:rsidRPr="00AE5156">
        <w:rPr>
          <w:rFonts w:ascii="Times New Roman" w:hAnsi="Times New Roman"/>
          <w:b/>
          <w:i/>
          <w:sz w:val="24"/>
          <w:szCs w:val="24"/>
        </w:rPr>
        <w:t xml:space="preserve"> steps</w:t>
      </w:r>
      <w:r w:rsidR="00AD116B">
        <w:rPr>
          <w:rFonts w:ascii="Times New Roman" w:hAnsi="Times New Roman"/>
          <w:b/>
          <w:i/>
          <w:sz w:val="24"/>
          <w:szCs w:val="24"/>
        </w:rPr>
        <w:t xml:space="preserve"> (panels)</w:t>
      </w:r>
      <w:r w:rsidR="00AD116B" w:rsidRPr="00DF5970">
        <w:rPr>
          <w:rFonts w:ascii="Times New Roman" w:hAnsi="Times New Roman"/>
          <w:b/>
          <w:i/>
          <w:sz w:val="24"/>
          <w:szCs w:val="24"/>
        </w:rPr>
        <w:t xml:space="preserve"> in Table </w:t>
      </w:r>
      <w:r w:rsidR="00AD116B">
        <w:rPr>
          <w:rFonts w:ascii="Times New Roman" w:hAnsi="Times New Roman"/>
          <w:b/>
          <w:i/>
          <w:sz w:val="24"/>
          <w:szCs w:val="24"/>
        </w:rPr>
        <w:t>4</w:t>
      </w:r>
      <w:r w:rsidR="00AD116B" w:rsidRPr="00DF5970">
        <w:rPr>
          <w:rFonts w:ascii="Times New Roman" w:hAnsi="Times New Roman"/>
          <w:b/>
          <w:i/>
          <w:sz w:val="24"/>
          <w:szCs w:val="24"/>
        </w:rPr>
        <w:t>.1</w:t>
      </w:r>
      <w:r w:rsidR="006A1F30">
        <w:rPr>
          <w:rFonts w:ascii="Times New Roman" w:hAnsi="Times New Roman"/>
          <w:b/>
          <w:i/>
          <w:sz w:val="24"/>
          <w:szCs w:val="24"/>
        </w:rPr>
        <w:t xml:space="preserve"> </w:t>
      </w:r>
    </w:p>
    <w:p w:rsidR="00EB1BF8" w:rsidRDefault="0097390B" w:rsidP="0097390B">
      <w:pPr>
        <w:ind w:left="0"/>
        <w:rPr>
          <w:rFonts w:ascii="Times New Roman" w:hAnsi="Times New Roman"/>
          <w:sz w:val="24"/>
          <w:szCs w:val="24"/>
        </w:rPr>
      </w:pPr>
      <w:r>
        <w:rPr>
          <w:rFonts w:ascii="Times New Roman" w:hAnsi="Times New Roman"/>
          <w:sz w:val="24"/>
          <w:szCs w:val="24"/>
        </w:rPr>
        <w:t xml:space="preserve">In the 2014-19 </w:t>
      </w:r>
      <w:r w:rsidR="00F33938">
        <w:rPr>
          <w:rFonts w:ascii="Times New Roman" w:hAnsi="Times New Roman"/>
          <w:sz w:val="24"/>
          <w:szCs w:val="24"/>
        </w:rPr>
        <w:t xml:space="preserve">historical </w:t>
      </w:r>
      <w:r>
        <w:rPr>
          <w:rFonts w:ascii="Times New Roman" w:hAnsi="Times New Roman"/>
          <w:sz w:val="24"/>
          <w:szCs w:val="24"/>
        </w:rPr>
        <w:t xml:space="preserve">simulation, we apply shocks to represent observed movements between these two years in some variables and </w:t>
      </w:r>
      <w:r w:rsidR="006A1F30">
        <w:rPr>
          <w:rFonts w:ascii="Times New Roman" w:hAnsi="Times New Roman"/>
          <w:sz w:val="24"/>
          <w:szCs w:val="24"/>
        </w:rPr>
        <w:t xml:space="preserve">introduce </w:t>
      </w:r>
      <w:r>
        <w:rPr>
          <w:rFonts w:ascii="Times New Roman" w:hAnsi="Times New Roman"/>
          <w:sz w:val="24"/>
          <w:szCs w:val="24"/>
        </w:rPr>
        <w:t xml:space="preserve">assumptions for other variables.  </w:t>
      </w:r>
      <w:r w:rsidR="00EB1BF8" w:rsidRPr="00CF67BB">
        <w:rPr>
          <w:rFonts w:ascii="Times New Roman" w:hAnsi="Times New Roman"/>
          <w:sz w:val="24"/>
          <w:szCs w:val="24"/>
        </w:rPr>
        <w:t>Appendix 1 contains details on the formulation of the shocks.</w:t>
      </w:r>
      <w:r w:rsidR="00EB1BF8">
        <w:rPr>
          <w:rFonts w:ascii="Times New Roman" w:hAnsi="Times New Roman"/>
          <w:sz w:val="24"/>
          <w:szCs w:val="24"/>
        </w:rPr>
        <w:t xml:space="preserve">  </w:t>
      </w:r>
    </w:p>
    <w:p w:rsidR="0097390B" w:rsidRDefault="0097390B" w:rsidP="00696E2C">
      <w:pPr>
        <w:tabs>
          <w:tab w:val="left" w:pos="2127"/>
        </w:tabs>
        <w:ind w:left="0"/>
        <w:rPr>
          <w:rFonts w:ascii="Times New Roman" w:hAnsi="Times New Roman"/>
          <w:sz w:val="24"/>
          <w:szCs w:val="24"/>
        </w:rPr>
      </w:pPr>
      <w:r>
        <w:rPr>
          <w:rFonts w:ascii="Times New Roman" w:hAnsi="Times New Roman"/>
          <w:sz w:val="24"/>
          <w:szCs w:val="24"/>
        </w:rPr>
        <w:t xml:space="preserve">The </w:t>
      </w:r>
      <w:r w:rsidR="006F4F52">
        <w:rPr>
          <w:rFonts w:ascii="Times New Roman" w:hAnsi="Times New Roman"/>
          <w:sz w:val="24"/>
          <w:szCs w:val="24"/>
        </w:rPr>
        <w:t xml:space="preserve">shocked variables </w:t>
      </w:r>
      <w:r>
        <w:rPr>
          <w:rFonts w:ascii="Times New Roman" w:hAnsi="Times New Roman"/>
          <w:sz w:val="24"/>
          <w:szCs w:val="24"/>
        </w:rPr>
        <w:t xml:space="preserve">can be seen in columns 2 and 3 of Table </w:t>
      </w:r>
      <w:r w:rsidR="00AC438D">
        <w:rPr>
          <w:rFonts w:ascii="Times New Roman" w:hAnsi="Times New Roman"/>
          <w:sz w:val="24"/>
          <w:szCs w:val="24"/>
        </w:rPr>
        <w:t>4</w:t>
      </w:r>
      <w:r>
        <w:rPr>
          <w:rFonts w:ascii="Times New Roman" w:hAnsi="Times New Roman"/>
          <w:sz w:val="24"/>
          <w:szCs w:val="24"/>
        </w:rPr>
        <w:t xml:space="preserve">.1.  Some of these variables are exogenous in </w:t>
      </w:r>
      <w:r w:rsidR="006F4F52">
        <w:rPr>
          <w:rFonts w:ascii="Times New Roman" w:hAnsi="Times New Roman"/>
          <w:sz w:val="24"/>
          <w:szCs w:val="24"/>
        </w:rPr>
        <w:t>the standard long-run</w:t>
      </w:r>
      <w:r>
        <w:rPr>
          <w:rFonts w:ascii="Times New Roman" w:hAnsi="Times New Roman"/>
          <w:sz w:val="24"/>
          <w:szCs w:val="24"/>
        </w:rPr>
        <w:t xml:space="preserve"> closure.  For these variables, shocks can be applied without a closure change.  An example of such a variable is regional population growth [pop(r), </w:t>
      </w:r>
      <w:r w:rsidR="00792147">
        <w:rPr>
          <w:rFonts w:ascii="Times New Roman" w:hAnsi="Times New Roman"/>
          <w:sz w:val="24"/>
          <w:szCs w:val="24"/>
        </w:rPr>
        <w:t>panel 3</w:t>
      </w:r>
      <w:r>
        <w:rPr>
          <w:rFonts w:ascii="Times New Roman" w:hAnsi="Times New Roman"/>
          <w:sz w:val="24"/>
          <w:szCs w:val="24"/>
        </w:rPr>
        <w:t xml:space="preserve">, Table </w:t>
      </w:r>
      <w:r w:rsidR="00AC438D">
        <w:rPr>
          <w:rFonts w:ascii="Times New Roman" w:hAnsi="Times New Roman"/>
          <w:sz w:val="24"/>
          <w:szCs w:val="24"/>
        </w:rPr>
        <w:t>4</w:t>
      </w:r>
      <w:r>
        <w:rPr>
          <w:rFonts w:ascii="Times New Roman" w:hAnsi="Times New Roman"/>
          <w:sz w:val="24"/>
          <w:szCs w:val="24"/>
        </w:rPr>
        <w:t xml:space="preserve">.1].  Other </w:t>
      </w:r>
      <w:r w:rsidR="00A7765E">
        <w:rPr>
          <w:rFonts w:ascii="Times New Roman" w:hAnsi="Times New Roman"/>
          <w:sz w:val="24"/>
          <w:szCs w:val="24"/>
        </w:rPr>
        <w:t>shocked</w:t>
      </w:r>
      <w:r>
        <w:rPr>
          <w:rFonts w:ascii="Times New Roman" w:hAnsi="Times New Roman"/>
          <w:sz w:val="24"/>
          <w:szCs w:val="24"/>
        </w:rPr>
        <w:t xml:space="preserve"> variables are endogenous in the standard long-run closure.  Applying shocks to these variables requires a closure change.  An example is real GDP in each region [qgdp</w:t>
      </w:r>
      <w:r w:rsidR="00DF5970">
        <w:rPr>
          <w:rFonts w:ascii="Times New Roman" w:hAnsi="Times New Roman"/>
          <w:sz w:val="24"/>
          <w:szCs w:val="24"/>
        </w:rPr>
        <w:t>_obs</w:t>
      </w:r>
      <w:r>
        <w:rPr>
          <w:rFonts w:ascii="Times New Roman" w:hAnsi="Times New Roman"/>
          <w:sz w:val="24"/>
          <w:szCs w:val="24"/>
        </w:rPr>
        <w:t xml:space="preserve">(r), </w:t>
      </w:r>
      <w:r w:rsidR="008C7C45">
        <w:rPr>
          <w:rFonts w:ascii="Times New Roman" w:hAnsi="Times New Roman"/>
          <w:sz w:val="24"/>
          <w:szCs w:val="24"/>
        </w:rPr>
        <w:t>panel 1</w:t>
      </w:r>
      <w:r>
        <w:rPr>
          <w:rFonts w:ascii="Times New Roman" w:hAnsi="Times New Roman"/>
          <w:sz w:val="24"/>
          <w:szCs w:val="24"/>
        </w:rPr>
        <w:t xml:space="preserve">].  </w:t>
      </w:r>
      <w:r w:rsidRPr="00E20474">
        <w:rPr>
          <w:rFonts w:ascii="Times New Roman" w:hAnsi="Times New Roman"/>
          <w:sz w:val="24"/>
          <w:szCs w:val="24"/>
        </w:rPr>
        <w:t>Movements in this variable from 20</w:t>
      </w:r>
      <w:r w:rsidR="00E20474" w:rsidRPr="00E20474">
        <w:rPr>
          <w:rFonts w:ascii="Times New Roman" w:hAnsi="Times New Roman"/>
          <w:sz w:val="24"/>
          <w:szCs w:val="24"/>
        </w:rPr>
        <w:t>1</w:t>
      </w:r>
      <w:r w:rsidR="00A7765E">
        <w:rPr>
          <w:rFonts w:ascii="Times New Roman" w:hAnsi="Times New Roman"/>
          <w:sz w:val="24"/>
          <w:szCs w:val="24"/>
        </w:rPr>
        <w:t>4</w:t>
      </w:r>
      <w:r w:rsidRPr="00E20474">
        <w:rPr>
          <w:rFonts w:ascii="Times New Roman" w:hAnsi="Times New Roman"/>
          <w:sz w:val="24"/>
          <w:szCs w:val="24"/>
        </w:rPr>
        <w:t xml:space="preserve"> to 201</w:t>
      </w:r>
      <w:r w:rsidR="00E20474" w:rsidRPr="00E20474">
        <w:rPr>
          <w:rFonts w:ascii="Times New Roman" w:hAnsi="Times New Roman"/>
          <w:sz w:val="24"/>
          <w:szCs w:val="24"/>
        </w:rPr>
        <w:t>9</w:t>
      </w:r>
      <w:r w:rsidRPr="00E20474">
        <w:rPr>
          <w:rFonts w:ascii="Times New Roman" w:hAnsi="Times New Roman"/>
          <w:sz w:val="24"/>
          <w:szCs w:val="24"/>
        </w:rPr>
        <w:t xml:space="preserve"> can be observed from OECD data [column 4, </w:t>
      </w:r>
      <w:r w:rsidR="008C7C45">
        <w:rPr>
          <w:rFonts w:ascii="Times New Roman" w:hAnsi="Times New Roman"/>
          <w:sz w:val="24"/>
          <w:szCs w:val="24"/>
        </w:rPr>
        <w:t>panel 1</w:t>
      </w:r>
      <w:r w:rsidRPr="00E20474">
        <w:rPr>
          <w:rFonts w:ascii="Times New Roman" w:hAnsi="Times New Roman"/>
          <w:sz w:val="24"/>
          <w:szCs w:val="24"/>
        </w:rPr>
        <w:t>].</w:t>
      </w:r>
      <w:r>
        <w:rPr>
          <w:rFonts w:ascii="Times New Roman" w:hAnsi="Times New Roman"/>
          <w:sz w:val="24"/>
          <w:szCs w:val="24"/>
        </w:rPr>
        <w:t xml:space="preserve">  For real GDP to become exogenous, we must endogenize a naturally exogenous variable (a variable that is exogenous in the standard long-run closure).  As can be seen from columns 5 and 6, the variable that we chose for endogenization was primary-factor-saving technical change [afereg(r)].  </w:t>
      </w:r>
    </w:p>
    <w:p w:rsidR="0097390B" w:rsidRDefault="0097390B" w:rsidP="0097390B">
      <w:pPr>
        <w:ind w:left="0"/>
        <w:rPr>
          <w:rFonts w:ascii="Times New Roman" w:hAnsi="Times New Roman"/>
          <w:sz w:val="24"/>
          <w:szCs w:val="24"/>
        </w:rPr>
      </w:pPr>
      <w:r>
        <w:rPr>
          <w:rFonts w:ascii="Times New Roman" w:hAnsi="Times New Roman"/>
          <w:sz w:val="24"/>
          <w:szCs w:val="24"/>
        </w:rPr>
        <w:t xml:space="preserve">In creating the </w:t>
      </w:r>
      <w:r w:rsidR="00F33938">
        <w:rPr>
          <w:rFonts w:ascii="Times New Roman" w:hAnsi="Times New Roman"/>
          <w:sz w:val="24"/>
          <w:szCs w:val="24"/>
        </w:rPr>
        <w:t xml:space="preserve">2014-19 </w:t>
      </w:r>
      <w:r>
        <w:rPr>
          <w:rFonts w:ascii="Times New Roman" w:hAnsi="Times New Roman"/>
          <w:sz w:val="24"/>
          <w:szCs w:val="24"/>
        </w:rPr>
        <w:t xml:space="preserve">historical closure, we used a step-by-step approach.  Each step added to the previous step by introducing a movement in an additional variable and computing a new solution.  As we moved through the steps, the closure became increasingly complex.  The step-by-step approach was necessary so that we could locate and rectify problems.  If step </w:t>
      </w:r>
      <w:r w:rsidRPr="00661A18">
        <w:rPr>
          <w:rFonts w:ascii="Times New Roman" w:hAnsi="Times New Roman"/>
          <w:i/>
          <w:sz w:val="24"/>
          <w:szCs w:val="24"/>
        </w:rPr>
        <w:t>x</w:t>
      </w:r>
      <w:r>
        <w:rPr>
          <w:rFonts w:ascii="Times New Roman" w:hAnsi="Times New Roman"/>
          <w:sz w:val="24"/>
          <w:szCs w:val="24"/>
        </w:rPr>
        <w:t xml:space="preserve"> produced a satisfactory solution but step </w:t>
      </w:r>
      <w:r w:rsidRPr="00661A18">
        <w:rPr>
          <w:rFonts w:ascii="Times New Roman" w:hAnsi="Times New Roman"/>
          <w:i/>
          <w:sz w:val="24"/>
          <w:szCs w:val="24"/>
        </w:rPr>
        <w:t>x</w:t>
      </w:r>
      <w:r>
        <w:rPr>
          <w:rFonts w:ascii="Times New Roman" w:hAnsi="Times New Roman"/>
          <w:sz w:val="24"/>
          <w:szCs w:val="24"/>
        </w:rPr>
        <w:t xml:space="preserve">+1 failed, then to a large extent we could confine our search for the problem to the limited changes that were made between steps </w:t>
      </w:r>
      <w:r w:rsidRPr="00661A18">
        <w:rPr>
          <w:rFonts w:ascii="Times New Roman" w:hAnsi="Times New Roman"/>
          <w:i/>
          <w:sz w:val="24"/>
          <w:szCs w:val="24"/>
        </w:rPr>
        <w:t>x</w:t>
      </w:r>
      <w:r>
        <w:rPr>
          <w:rFonts w:ascii="Times New Roman" w:hAnsi="Times New Roman"/>
          <w:sz w:val="24"/>
          <w:szCs w:val="24"/>
        </w:rPr>
        <w:t xml:space="preserve"> and </w:t>
      </w:r>
      <w:r w:rsidRPr="00661A18">
        <w:rPr>
          <w:rFonts w:ascii="Times New Roman" w:hAnsi="Times New Roman"/>
          <w:i/>
          <w:sz w:val="24"/>
          <w:szCs w:val="24"/>
        </w:rPr>
        <w:t>x</w:t>
      </w:r>
      <w:r>
        <w:rPr>
          <w:rFonts w:ascii="Times New Roman" w:hAnsi="Times New Roman"/>
          <w:sz w:val="24"/>
          <w:szCs w:val="24"/>
        </w:rPr>
        <w:t xml:space="preserve">+1.  </w:t>
      </w:r>
      <w:r w:rsidR="00E00683">
        <w:rPr>
          <w:rFonts w:ascii="Times New Roman" w:hAnsi="Times New Roman"/>
          <w:sz w:val="24"/>
          <w:szCs w:val="24"/>
        </w:rPr>
        <w:t xml:space="preserve">As can be seen from Table </w:t>
      </w:r>
      <w:r w:rsidR="00AC438D">
        <w:rPr>
          <w:rFonts w:ascii="Times New Roman" w:hAnsi="Times New Roman"/>
          <w:sz w:val="24"/>
          <w:szCs w:val="24"/>
        </w:rPr>
        <w:t>4</w:t>
      </w:r>
      <w:r w:rsidR="00E00683">
        <w:rPr>
          <w:rFonts w:ascii="Times New Roman" w:hAnsi="Times New Roman"/>
          <w:sz w:val="24"/>
          <w:szCs w:val="24"/>
        </w:rPr>
        <w:t>.1, we conducted the 2014-19 simulation in 1</w:t>
      </w:r>
      <w:r w:rsidR="00AE5156">
        <w:rPr>
          <w:rFonts w:ascii="Times New Roman" w:hAnsi="Times New Roman"/>
          <w:sz w:val="24"/>
          <w:szCs w:val="24"/>
        </w:rPr>
        <w:t>9</w:t>
      </w:r>
      <w:r w:rsidR="00E00683">
        <w:rPr>
          <w:rFonts w:ascii="Times New Roman" w:hAnsi="Times New Roman"/>
          <w:sz w:val="24"/>
          <w:szCs w:val="24"/>
        </w:rPr>
        <w:t xml:space="preserve"> steps. </w:t>
      </w:r>
    </w:p>
    <w:p w:rsidR="00CD5A39" w:rsidRPr="00AE5156" w:rsidRDefault="0097390B" w:rsidP="0097390B">
      <w:pPr>
        <w:ind w:left="0"/>
        <w:rPr>
          <w:rFonts w:ascii="Times New Roman" w:hAnsi="Times New Roman"/>
          <w:sz w:val="24"/>
          <w:szCs w:val="24"/>
        </w:rPr>
      </w:pPr>
      <w:r>
        <w:rPr>
          <w:rFonts w:ascii="Times New Roman" w:hAnsi="Times New Roman"/>
          <w:sz w:val="24"/>
          <w:szCs w:val="24"/>
        </w:rPr>
        <w:t xml:space="preserve">The broad outline of our </w:t>
      </w:r>
      <w:r w:rsidR="00C00B97" w:rsidRPr="00AE5156">
        <w:rPr>
          <w:rFonts w:ascii="Times New Roman" w:hAnsi="Times New Roman"/>
          <w:sz w:val="24"/>
          <w:szCs w:val="24"/>
        </w:rPr>
        <w:t>1</w:t>
      </w:r>
      <w:r w:rsidR="00CF67BB" w:rsidRPr="00AE5156">
        <w:rPr>
          <w:rFonts w:ascii="Times New Roman" w:hAnsi="Times New Roman"/>
          <w:sz w:val="24"/>
          <w:szCs w:val="24"/>
        </w:rPr>
        <w:t>9</w:t>
      </w:r>
      <w:r w:rsidR="00CD5A39" w:rsidRPr="00AE5156">
        <w:rPr>
          <w:rFonts w:ascii="Times New Roman" w:hAnsi="Times New Roman"/>
          <w:sz w:val="24"/>
          <w:szCs w:val="24"/>
        </w:rPr>
        <w:t>-</w:t>
      </w:r>
      <w:r w:rsidRPr="00AE5156">
        <w:rPr>
          <w:rFonts w:ascii="Times New Roman" w:hAnsi="Times New Roman"/>
          <w:sz w:val="24"/>
          <w:szCs w:val="24"/>
        </w:rPr>
        <w:t xml:space="preserve">step strategy can be seen in the </w:t>
      </w:r>
      <w:r w:rsidR="00B519E2" w:rsidRPr="00AE5156">
        <w:rPr>
          <w:rFonts w:ascii="Times New Roman" w:hAnsi="Times New Roman"/>
          <w:sz w:val="24"/>
          <w:szCs w:val="24"/>
        </w:rPr>
        <w:t>five</w:t>
      </w:r>
      <w:r w:rsidRPr="00AE5156">
        <w:rPr>
          <w:rFonts w:ascii="Times New Roman" w:hAnsi="Times New Roman"/>
          <w:sz w:val="24"/>
          <w:szCs w:val="24"/>
        </w:rPr>
        <w:t>-part organization</w:t>
      </w:r>
      <w:r>
        <w:rPr>
          <w:rFonts w:ascii="Times New Roman" w:hAnsi="Times New Roman"/>
          <w:sz w:val="24"/>
          <w:szCs w:val="24"/>
        </w:rPr>
        <w:t xml:space="preserve"> of Table </w:t>
      </w:r>
      <w:r w:rsidR="00AC438D">
        <w:rPr>
          <w:rFonts w:ascii="Times New Roman" w:hAnsi="Times New Roman"/>
          <w:sz w:val="24"/>
          <w:szCs w:val="24"/>
        </w:rPr>
        <w:t>4</w:t>
      </w:r>
      <w:r>
        <w:rPr>
          <w:rFonts w:ascii="Times New Roman" w:hAnsi="Times New Roman"/>
          <w:sz w:val="24"/>
          <w:szCs w:val="24"/>
        </w:rPr>
        <w:t xml:space="preserve">.1.  </w:t>
      </w:r>
      <w:r w:rsidR="00E00683">
        <w:rPr>
          <w:rFonts w:ascii="Times New Roman" w:hAnsi="Times New Roman"/>
          <w:sz w:val="24"/>
          <w:szCs w:val="24"/>
        </w:rPr>
        <w:t xml:space="preserve">The first part introduces </w:t>
      </w:r>
      <w:r>
        <w:rPr>
          <w:rFonts w:ascii="Times New Roman" w:hAnsi="Times New Roman"/>
          <w:sz w:val="24"/>
          <w:szCs w:val="24"/>
        </w:rPr>
        <w:t xml:space="preserve">real GDP for each region, explained by factor inputs and macro technology (total factor productivity).  </w:t>
      </w:r>
      <w:r w:rsidR="00E00683">
        <w:rPr>
          <w:rFonts w:ascii="Times New Roman" w:hAnsi="Times New Roman"/>
          <w:sz w:val="24"/>
          <w:szCs w:val="24"/>
        </w:rPr>
        <w:t>T</w:t>
      </w:r>
      <w:r>
        <w:rPr>
          <w:rFonts w:ascii="Times New Roman" w:hAnsi="Times New Roman"/>
          <w:sz w:val="24"/>
          <w:szCs w:val="24"/>
        </w:rPr>
        <w:t>he second part</w:t>
      </w:r>
      <w:r w:rsidR="00E00683">
        <w:rPr>
          <w:rFonts w:ascii="Times New Roman" w:hAnsi="Times New Roman"/>
          <w:sz w:val="24"/>
          <w:szCs w:val="24"/>
        </w:rPr>
        <w:t xml:space="preserve"> introduces expenditure components of real GDP </w:t>
      </w:r>
      <w:r>
        <w:rPr>
          <w:rFonts w:ascii="Times New Roman" w:hAnsi="Times New Roman"/>
          <w:sz w:val="24"/>
          <w:szCs w:val="24"/>
        </w:rPr>
        <w:t xml:space="preserve">for each region.  The third part </w:t>
      </w:r>
      <w:r w:rsidR="00E00683">
        <w:rPr>
          <w:rFonts w:ascii="Times New Roman" w:hAnsi="Times New Roman"/>
          <w:sz w:val="24"/>
          <w:szCs w:val="24"/>
        </w:rPr>
        <w:t>puts in place</w:t>
      </w:r>
      <w:r>
        <w:rPr>
          <w:rFonts w:ascii="Times New Roman" w:hAnsi="Times New Roman"/>
          <w:sz w:val="24"/>
          <w:szCs w:val="24"/>
        </w:rPr>
        <w:t xml:space="preserve"> </w:t>
      </w:r>
      <w:r w:rsidR="00E00683">
        <w:rPr>
          <w:rFonts w:ascii="Times New Roman" w:hAnsi="Times New Roman"/>
          <w:sz w:val="24"/>
          <w:szCs w:val="24"/>
        </w:rPr>
        <w:t xml:space="preserve">energy variables at the global level.  The fourth part </w:t>
      </w:r>
      <w:r w:rsidR="00CD5A39">
        <w:rPr>
          <w:rFonts w:ascii="Times New Roman" w:hAnsi="Times New Roman"/>
          <w:sz w:val="24"/>
          <w:szCs w:val="24"/>
        </w:rPr>
        <w:t>introduces</w:t>
      </w:r>
      <w:r w:rsidR="00E00683">
        <w:rPr>
          <w:rFonts w:ascii="Times New Roman" w:hAnsi="Times New Roman"/>
          <w:sz w:val="24"/>
          <w:szCs w:val="24"/>
        </w:rPr>
        <w:t xml:space="preserve"> macro pr</w:t>
      </w:r>
      <w:r w:rsidR="00B519E2">
        <w:rPr>
          <w:rFonts w:ascii="Times New Roman" w:hAnsi="Times New Roman"/>
          <w:sz w:val="24"/>
          <w:szCs w:val="24"/>
        </w:rPr>
        <w:t xml:space="preserve">ice variables for each region </w:t>
      </w:r>
      <w:r w:rsidR="00B519E2" w:rsidRPr="00AE5156">
        <w:rPr>
          <w:rFonts w:ascii="Times New Roman" w:hAnsi="Times New Roman"/>
          <w:sz w:val="24"/>
          <w:szCs w:val="24"/>
        </w:rPr>
        <w:t>and the fifth part is concerned with net foreign liabilities and wealth.</w:t>
      </w:r>
    </w:p>
    <w:p w:rsidR="00AE5156" w:rsidRDefault="00E00683" w:rsidP="00764943">
      <w:pPr>
        <w:ind w:left="0"/>
        <w:rPr>
          <w:rFonts w:ascii="Times New Roman" w:hAnsi="Times New Roman"/>
          <w:sz w:val="24"/>
          <w:szCs w:val="24"/>
        </w:rPr>
      </w:pPr>
      <w:r w:rsidRPr="00AE5156">
        <w:rPr>
          <w:rFonts w:ascii="Times New Roman" w:hAnsi="Times New Roman"/>
          <w:sz w:val="24"/>
          <w:szCs w:val="24"/>
        </w:rPr>
        <w:t>By the time we ha</w:t>
      </w:r>
      <w:r w:rsidR="00CD5A39" w:rsidRPr="00AE5156">
        <w:rPr>
          <w:rFonts w:ascii="Times New Roman" w:hAnsi="Times New Roman"/>
          <w:sz w:val="24"/>
          <w:szCs w:val="24"/>
        </w:rPr>
        <w:t xml:space="preserve">d </w:t>
      </w:r>
      <w:r w:rsidRPr="00AE5156">
        <w:rPr>
          <w:rFonts w:ascii="Times New Roman" w:hAnsi="Times New Roman"/>
          <w:sz w:val="24"/>
          <w:szCs w:val="24"/>
        </w:rPr>
        <w:t xml:space="preserve">implemented all </w:t>
      </w:r>
      <w:r w:rsidR="00C00B97" w:rsidRPr="00AE5156">
        <w:rPr>
          <w:rFonts w:ascii="Times New Roman" w:hAnsi="Times New Roman"/>
          <w:sz w:val="24"/>
          <w:szCs w:val="24"/>
        </w:rPr>
        <w:t>1</w:t>
      </w:r>
      <w:r w:rsidR="00CF67BB" w:rsidRPr="00AE5156">
        <w:rPr>
          <w:rFonts w:ascii="Times New Roman" w:hAnsi="Times New Roman"/>
          <w:sz w:val="24"/>
          <w:szCs w:val="24"/>
        </w:rPr>
        <w:t>9</w:t>
      </w:r>
      <w:r w:rsidRPr="00AE5156">
        <w:rPr>
          <w:rFonts w:ascii="Times New Roman" w:hAnsi="Times New Roman"/>
          <w:sz w:val="24"/>
          <w:szCs w:val="24"/>
        </w:rPr>
        <w:t xml:space="preserve"> steps in Table </w:t>
      </w:r>
      <w:r w:rsidR="00AC438D" w:rsidRPr="00AE5156">
        <w:rPr>
          <w:rFonts w:ascii="Times New Roman" w:hAnsi="Times New Roman"/>
          <w:sz w:val="24"/>
          <w:szCs w:val="24"/>
        </w:rPr>
        <w:t>4</w:t>
      </w:r>
      <w:r w:rsidRPr="00AE5156">
        <w:rPr>
          <w:rFonts w:ascii="Times New Roman" w:hAnsi="Times New Roman"/>
          <w:sz w:val="24"/>
          <w:szCs w:val="24"/>
        </w:rPr>
        <w:t>.1</w:t>
      </w:r>
      <w:r w:rsidR="00CD5A39" w:rsidRPr="00AE5156">
        <w:rPr>
          <w:rFonts w:ascii="Times New Roman" w:hAnsi="Times New Roman"/>
          <w:sz w:val="24"/>
          <w:szCs w:val="24"/>
        </w:rPr>
        <w:t>, the 2014</w:t>
      </w:r>
      <w:r w:rsidR="00CD5A39">
        <w:rPr>
          <w:rFonts w:ascii="Times New Roman" w:hAnsi="Times New Roman"/>
          <w:sz w:val="24"/>
          <w:szCs w:val="24"/>
        </w:rPr>
        <w:t xml:space="preserve">-19 simulation produced a database for 2019 that was consistent with data for each region on real GDP and its income </w:t>
      </w:r>
    </w:p>
    <w:p w:rsidR="00764943" w:rsidRDefault="00764943">
      <w:pPr>
        <w:spacing w:before="0" w:line="240" w:lineRule="auto"/>
        <w:ind w:left="0"/>
        <w:rPr>
          <w:rFonts w:ascii="Times New Roman" w:hAnsi="Times New Roman"/>
          <w:b/>
          <w:i/>
          <w:sz w:val="24"/>
          <w:szCs w:val="24"/>
        </w:rPr>
      </w:pPr>
      <w:r>
        <w:rPr>
          <w:rFonts w:ascii="Times New Roman" w:hAnsi="Times New Roman"/>
          <w:b/>
          <w:i/>
          <w:sz w:val="24"/>
          <w:szCs w:val="24"/>
        </w:rPr>
        <w:br w:type="page"/>
      </w:r>
    </w:p>
    <w:p w:rsidR="004E1D52" w:rsidRPr="002F7461" w:rsidRDefault="004E1D52" w:rsidP="004E1D52">
      <w:pPr>
        <w:ind w:left="0"/>
        <w:jc w:val="center"/>
        <w:rPr>
          <w:rFonts w:ascii="Times New Roman" w:hAnsi="Times New Roman"/>
          <w:b/>
          <w:i/>
          <w:sz w:val="24"/>
          <w:szCs w:val="24"/>
        </w:rPr>
      </w:pPr>
      <w:r>
        <w:rPr>
          <w:rFonts w:ascii="Times New Roman" w:hAnsi="Times New Roman"/>
          <w:b/>
          <w:i/>
          <w:sz w:val="24"/>
          <w:szCs w:val="24"/>
        </w:rPr>
        <w:lastRenderedPageBreak/>
        <w:t xml:space="preserve">Table </w:t>
      </w:r>
      <w:r w:rsidR="00F27764">
        <w:rPr>
          <w:rFonts w:ascii="Times New Roman" w:hAnsi="Times New Roman"/>
          <w:b/>
          <w:i/>
          <w:sz w:val="24"/>
          <w:szCs w:val="24"/>
        </w:rPr>
        <w:t>4</w:t>
      </w:r>
      <w:r>
        <w:rPr>
          <w:rFonts w:ascii="Times New Roman" w:hAnsi="Times New Roman"/>
          <w:b/>
          <w:i/>
          <w:sz w:val="24"/>
          <w:szCs w:val="24"/>
        </w:rPr>
        <w:t>.1.  Shocked variables and closure swaps for the 2014-19 simulation</w:t>
      </w:r>
    </w:p>
    <w:tbl>
      <w:tblPr>
        <w:tblW w:w="9495" w:type="dxa"/>
        <w:tblInd w:w="-142" w:type="dxa"/>
        <w:tblBorders>
          <w:top w:val="single" w:sz="18" w:space="0" w:color="7F7F7F"/>
          <w:bottom w:val="single" w:sz="18" w:space="0" w:color="7F7F7F"/>
          <w:insideH w:val="single" w:sz="4" w:space="0" w:color="7F7F7F"/>
          <w:insideV w:val="single" w:sz="4" w:space="0" w:color="7F7F7F"/>
        </w:tblBorders>
        <w:tblLayout w:type="fixed"/>
        <w:tblLook w:val="04A0" w:firstRow="1" w:lastRow="0" w:firstColumn="1" w:lastColumn="0" w:noHBand="0" w:noVBand="1"/>
      </w:tblPr>
      <w:tblGrid>
        <w:gridCol w:w="993"/>
        <w:gridCol w:w="1701"/>
        <w:gridCol w:w="1404"/>
        <w:gridCol w:w="1217"/>
        <w:gridCol w:w="1639"/>
        <w:gridCol w:w="2532"/>
        <w:gridCol w:w="9"/>
      </w:tblGrid>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Panel no</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Exo variable</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Description</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rPr>
                <w:rFonts w:ascii="Times New Roman" w:hAnsi="Times New Roman"/>
                <w:b/>
                <w:sz w:val="24"/>
                <w:szCs w:val="24"/>
              </w:rPr>
            </w:pPr>
            <w:r w:rsidRPr="00C600BB">
              <w:rPr>
                <w:rFonts w:ascii="Times New Roman" w:hAnsi="Times New Roman"/>
                <w:b/>
                <w:sz w:val="24"/>
                <w:szCs w:val="24"/>
              </w:rPr>
              <w:t>Source for shock</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Swap variable</w:t>
            </w:r>
          </w:p>
          <w:p w:rsidR="004E1D52" w:rsidRPr="00C600BB" w:rsidRDefault="004E1D52" w:rsidP="00C600BB">
            <w:pPr>
              <w:spacing w:before="0" w:line="240" w:lineRule="auto"/>
              <w:ind w:left="0"/>
              <w:jc w:val="center"/>
              <w:rPr>
                <w:rFonts w:ascii="Times New Roman" w:hAnsi="Times New Roman"/>
                <w:i/>
                <w:sz w:val="24"/>
                <w:szCs w:val="24"/>
              </w:rPr>
            </w:pPr>
            <w:r w:rsidRPr="00C600BB">
              <w:rPr>
                <w:rFonts w:ascii="Times New Roman" w:hAnsi="Times New Roman"/>
                <w:i/>
                <w:sz w:val="24"/>
                <w:szCs w:val="24"/>
              </w:rPr>
              <w:t>(goes endogenous)</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 xml:space="preserve">Description </w:t>
            </w: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(1)</w:t>
            </w:r>
          </w:p>
        </w:tc>
        <w:tc>
          <w:tcPr>
            <w:tcW w:w="1701"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(2)</w:t>
            </w:r>
          </w:p>
        </w:tc>
        <w:tc>
          <w:tcPr>
            <w:tcW w:w="1404"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(3)</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(4)</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(5)</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(6)</w:t>
            </w:r>
          </w:p>
        </w:tc>
      </w:tr>
      <w:tr w:rsidR="0083655D" w:rsidRPr="00C600BB" w:rsidTr="00C600BB">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i/>
                <w:sz w:val="20"/>
                <w:szCs w:val="20"/>
              </w:rPr>
            </w:pPr>
            <w:r w:rsidRPr="00C600BB">
              <w:rPr>
                <w:rFonts w:ascii="Times New Roman" w:hAnsi="Times New Roman"/>
                <w:b/>
                <w:i/>
                <w:sz w:val="20"/>
                <w:szCs w:val="20"/>
              </w:rPr>
              <w:t>Part 1:</w:t>
            </w:r>
          </w:p>
        </w:tc>
        <w:tc>
          <w:tcPr>
            <w:tcW w:w="8502" w:type="dxa"/>
            <w:gridSpan w:val="6"/>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rPr>
                <w:rFonts w:ascii="Times New Roman" w:hAnsi="Times New Roman"/>
                <w:b/>
                <w:i/>
                <w:sz w:val="20"/>
                <w:szCs w:val="20"/>
              </w:rPr>
            </w:pPr>
            <w:r w:rsidRPr="00C600BB">
              <w:rPr>
                <w:rFonts w:ascii="Times New Roman" w:hAnsi="Times New Roman"/>
                <w:b/>
                <w:i/>
                <w:sz w:val="20"/>
                <w:szCs w:val="20"/>
              </w:rPr>
              <w:t>Real GDP and supply-side determinants</w:t>
            </w: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w:t>
            </w:r>
          </w:p>
        </w:tc>
        <w:tc>
          <w:tcPr>
            <w:tcW w:w="1701"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qgdp_obs(r)</w:t>
            </w:r>
          </w:p>
        </w:tc>
        <w:tc>
          <w:tcPr>
            <w:tcW w:w="1404"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GDP</w:t>
            </w:r>
          </w:p>
        </w:tc>
        <w:tc>
          <w:tcPr>
            <w:tcW w:w="1217" w:type="dxa"/>
            <w:tcBorders>
              <w:top w:val="single" w:sz="18"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w:t>
            </w:r>
          </w:p>
          <w:p w:rsidR="004E1D52" w:rsidRPr="00C600BB" w:rsidRDefault="00AC377D"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data</w:t>
            </w:r>
          </w:p>
        </w:tc>
        <w:tc>
          <w:tcPr>
            <w:tcW w:w="1639" w:type="dxa"/>
            <w:tcBorders>
              <w:top w:val="single" w:sz="18"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afereg(r)</w:t>
            </w:r>
          </w:p>
        </w:tc>
        <w:tc>
          <w:tcPr>
            <w:tcW w:w="2532"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Primary factor tech change by region</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2</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kb_obs(r)</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Observed capital in r</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Penn data,</w:t>
            </w:r>
          </w:p>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capital services</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f_rorc(r)</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Shift in rate of return </w:t>
            </w:r>
            <w:r w:rsidR="0065325C" w:rsidRPr="00C600BB">
              <w:rPr>
                <w:rFonts w:ascii="Times New Roman" w:hAnsi="Times New Roman"/>
                <w:sz w:val="20"/>
                <w:szCs w:val="20"/>
              </w:rPr>
              <w:t xml:space="preserve">in </w:t>
            </w:r>
            <w:r w:rsidR="00703477" w:rsidRPr="00C600BB">
              <w:rPr>
                <w:rFonts w:ascii="Times New Roman" w:hAnsi="Times New Roman"/>
                <w:sz w:val="20"/>
                <w:szCs w:val="20"/>
              </w:rPr>
              <w:t xml:space="preserve">all </w:t>
            </w:r>
            <w:r w:rsidR="0065325C" w:rsidRPr="00C600BB">
              <w:rPr>
                <w:rFonts w:ascii="Times New Roman" w:hAnsi="Times New Roman"/>
                <w:sz w:val="20"/>
                <w:szCs w:val="20"/>
              </w:rPr>
              <w:t>ind</w:t>
            </w:r>
            <w:r w:rsidR="00703477" w:rsidRPr="00C600BB">
              <w:rPr>
                <w:rFonts w:ascii="Times New Roman" w:hAnsi="Times New Roman"/>
                <w:sz w:val="20"/>
                <w:szCs w:val="20"/>
              </w:rPr>
              <w:t xml:space="preserve">ustries </w:t>
            </w:r>
            <w:r w:rsidRPr="00C600BB">
              <w:rPr>
                <w:rFonts w:ascii="Times New Roman" w:hAnsi="Times New Roman"/>
                <w:sz w:val="20"/>
                <w:szCs w:val="20"/>
              </w:rPr>
              <w:t xml:space="preserve">in r </w:t>
            </w: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ff_rorc</w:t>
            </w:r>
          </w:p>
        </w:tc>
        <w:tc>
          <w:tcPr>
            <w:tcW w:w="1404"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Shift in global rate of return </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shift_kb</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Uniform correction of regional capital</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3</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lsreg(r)</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Employment, same as labour supply</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Penn data on total hours of   employment</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pop(r)</w:t>
            </w:r>
          </w:p>
        </w:tc>
        <w:tc>
          <w:tcPr>
            <w:tcW w:w="1404"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Population</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4</w:t>
            </w:r>
          </w:p>
        </w:tc>
        <w:tc>
          <w:tcPr>
            <w:tcW w:w="1701"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qo(land,r)</w:t>
            </w:r>
          </w:p>
        </w:tc>
        <w:tc>
          <w:tcPr>
            <w:tcW w:w="1404"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Supply of land </w:t>
            </w:r>
          </w:p>
        </w:tc>
        <w:tc>
          <w:tcPr>
            <w:tcW w:w="1217" w:type="dxa"/>
            <w:tcBorders>
              <w:top w:val="single" w:sz="18"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18"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5</w:t>
            </w:r>
          </w:p>
        </w:tc>
        <w:tc>
          <w:tcPr>
            <w:tcW w:w="1701"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pm(natres,r)</w:t>
            </w:r>
          </w:p>
        </w:tc>
        <w:tc>
          <w:tcPr>
            <w:tcW w:w="1404"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Price of natural resources</w:t>
            </w:r>
          </w:p>
        </w:tc>
        <w:tc>
          <w:tcPr>
            <w:tcW w:w="1217" w:type="dxa"/>
            <w:tcBorders>
              <w:top w:val="single" w:sz="18"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Assumed shock </w:t>
            </w:r>
          </w:p>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-5.26%</w:t>
            </w:r>
          </w:p>
        </w:tc>
        <w:tc>
          <w:tcPr>
            <w:tcW w:w="1639" w:type="dxa"/>
            <w:tcBorders>
              <w:top w:val="single" w:sz="18"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qo(natres,r)</w:t>
            </w:r>
          </w:p>
        </w:tc>
        <w:tc>
          <w:tcPr>
            <w:tcW w:w="2532"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Use of natural resources</w:t>
            </w: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6</w:t>
            </w:r>
          </w:p>
        </w:tc>
        <w:tc>
          <w:tcPr>
            <w:tcW w:w="1701"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twistKL(r)</w:t>
            </w:r>
          </w:p>
        </w:tc>
        <w:tc>
          <w:tcPr>
            <w:tcW w:w="1404"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K/L technology twist</w:t>
            </w:r>
          </w:p>
        </w:tc>
        <w:tc>
          <w:tcPr>
            <w:tcW w:w="1217" w:type="dxa"/>
            <w:tcBorders>
              <w:top w:val="single" w:sz="18"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Extrapolate from 2004-14</w:t>
            </w:r>
          </w:p>
        </w:tc>
        <w:tc>
          <w:tcPr>
            <w:tcW w:w="1639" w:type="dxa"/>
            <w:tcBorders>
              <w:top w:val="single" w:sz="18"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r>
      <w:tr w:rsidR="0083655D" w:rsidRPr="00C600BB" w:rsidTr="00C600BB">
        <w:tc>
          <w:tcPr>
            <w:tcW w:w="9495" w:type="dxa"/>
            <w:gridSpan w:val="7"/>
            <w:tcBorders>
              <w:top w:val="single" w:sz="18" w:space="0" w:color="7F7F7F"/>
              <w:left w:val="nil"/>
              <w:bottom w:val="single" w:sz="18" w:space="0" w:color="7F7F7F"/>
            </w:tcBorders>
            <w:shd w:val="clear" w:color="auto" w:fill="auto"/>
          </w:tcPr>
          <w:p w:rsidR="004E1D52" w:rsidRPr="00C600BB" w:rsidRDefault="004E1D52" w:rsidP="00C600BB">
            <w:pPr>
              <w:spacing w:before="60" w:after="60" w:line="240" w:lineRule="auto"/>
              <w:ind w:left="23"/>
              <w:rPr>
                <w:rFonts w:ascii="Times New Roman" w:hAnsi="Times New Roman"/>
                <w:sz w:val="20"/>
                <w:szCs w:val="20"/>
              </w:rPr>
            </w:pPr>
            <w:r w:rsidRPr="00C600BB">
              <w:rPr>
                <w:rFonts w:ascii="Times New Roman" w:hAnsi="Times New Roman"/>
                <w:b/>
                <w:i/>
                <w:sz w:val="20"/>
                <w:szCs w:val="20"/>
              </w:rPr>
              <w:t>Part 2a:  Real GDP from the expenditure side (C, G, I and M, with X as a residual)</w:t>
            </w:r>
          </w:p>
        </w:tc>
      </w:tr>
      <w:tr w:rsidR="0083655D" w:rsidRPr="00C600BB" w:rsidTr="00C600BB">
        <w:trPr>
          <w:gridAfter w:val="1"/>
          <w:wAfter w:w="9" w:type="dxa"/>
        </w:trPr>
        <w:tc>
          <w:tcPr>
            <w:tcW w:w="993"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7</w:t>
            </w:r>
          </w:p>
        </w:tc>
        <w:tc>
          <w:tcPr>
            <w:tcW w:w="1701"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cr(r)</w:t>
            </w:r>
          </w:p>
        </w:tc>
        <w:tc>
          <w:tcPr>
            <w:tcW w:w="1404"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private consumption</w:t>
            </w:r>
          </w:p>
        </w:tc>
        <w:tc>
          <w:tcPr>
            <w:tcW w:w="1217" w:type="dxa"/>
            <w:tcBorders>
              <w:top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apcnnp(r)</w:t>
            </w:r>
          </w:p>
        </w:tc>
        <w:tc>
          <w:tcPr>
            <w:tcW w:w="2532"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Average Hhld  propensity to consume out of net national </w:t>
            </w:r>
            <w:r w:rsidR="008C7C45" w:rsidRPr="00C600BB">
              <w:rPr>
                <w:rFonts w:ascii="Times New Roman" w:hAnsi="Times New Roman"/>
                <w:sz w:val="20"/>
                <w:szCs w:val="20"/>
              </w:rPr>
              <w:t>product</w:t>
            </w:r>
          </w:p>
        </w:tc>
      </w:tr>
      <w:tr w:rsidR="0083655D" w:rsidRPr="00C600BB" w:rsidTr="00C600BB">
        <w:trPr>
          <w:gridAfter w:val="1"/>
          <w:wAfter w:w="9" w:type="dxa"/>
        </w:trPr>
        <w:tc>
          <w:tcPr>
            <w:tcW w:w="993"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8</w:t>
            </w:r>
          </w:p>
        </w:tc>
        <w:tc>
          <w:tcPr>
            <w:tcW w:w="1701"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gr(r)</w:t>
            </w:r>
          </w:p>
        </w:tc>
        <w:tc>
          <w:tcPr>
            <w:tcW w:w="1404"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govt. consumption</w:t>
            </w:r>
          </w:p>
        </w:tc>
        <w:tc>
          <w:tcPr>
            <w:tcW w:w="1217" w:type="dxa"/>
            <w:tcBorders>
              <w:top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dpgov(r)</w:t>
            </w:r>
          </w:p>
        </w:tc>
        <w:tc>
          <w:tcPr>
            <w:tcW w:w="2532"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Average Govt  propensity to consume out of net national product</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9</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qcgds(r)</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investment</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614276"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f_ke</w:t>
            </w:r>
            <w:r w:rsidR="004E1D52" w:rsidRPr="00C600BB">
              <w:rPr>
                <w:rFonts w:ascii="Times New Roman" w:hAnsi="Times New Roman"/>
                <w:sz w:val="20"/>
                <w:szCs w:val="20"/>
              </w:rPr>
              <w:t>(r)</w:t>
            </w:r>
          </w:p>
        </w:tc>
        <w:tc>
          <w:tcPr>
            <w:tcW w:w="2532" w:type="dxa"/>
            <w:tcBorders>
              <w:top w:val="single" w:sz="18" w:space="0" w:color="7F7F7F"/>
              <w:bottom w:val="single" w:sz="4" w:space="0" w:color="7F7F7F"/>
            </w:tcBorders>
            <w:shd w:val="clear" w:color="auto" w:fill="auto"/>
          </w:tcPr>
          <w:p w:rsidR="004E1D52" w:rsidRPr="00C600BB" w:rsidRDefault="00614276"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Disconnects investment by region from forward-looking capital growth  </w:t>
            </w: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4E1D52" w:rsidRPr="00C600BB" w:rsidRDefault="00614276"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ff_ke</w:t>
            </w:r>
          </w:p>
        </w:tc>
        <w:tc>
          <w:tcPr>
            <w:tcW w:w="1404" w:type="dxa"/>
            <w:tcBorders>
              <w:top w:val="single" w:sz="4" w:space="0" w:color="7F7F7F"/>
              <w:bottom w:val="single" w:sz="18" w:space="0" w:color="7F7F7F"/>
            </w:tcBorders>
            <w:shd w:val="clear" w:color="auto" w:fill="auto"/>
          </w:tcPr>
          <w:p w:rsidR="004E1D52" w:rsidRPr="00C600BB" w:rsidRDefault="00614276"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Must now be exo to avoid indeterminacy with f_ke(r)</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f_qgdp_obs</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Scalar correction to observations for real GDP to reconcile global real expenditure (C+I+G) with global real GDP </w:t>
            </w: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10</w:t>
            </w:r>
          </w:p>
        </w:tc>
        <w:tc>
          <w:tcPr>
            <w:tcW w:w="1701"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impvol(r)</w:t>
            </w:r>
          </w:p>
        </w:tc>
        <w:tc>
          <w:tcPr>
            <w:tcW w:w="1404"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imports</w:t>
            </w:r>
          </w:p>
        </w:tc>
        <w:tc>
          <w:tcPr>
            <w:tcW w:w="1217" w:type="dxa"/>
            <w:tcBorders>
              <w:top w:val="single" w:sz="18"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twist_src_i(r)</w:t>
            </w:r>
          </w:p>
        </w:tc>
        <w:tc>
          <w:tcPr>
            <w:tcW w:w="2532"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Domestic–import preference twist </w:t>
            </w:r>
          </w:p>
        </w:tc>
      </w:tr>
    </w:tbl>
    <w:p w:rsidR="004E1D52" w:rsidRDefault="004E1D52" w:rsidP="004E1D52">
      <w:pPr>
        <w:spacing w:before="0"/>
        <w:jc w:val="right"/>
        <w:rPr>
          <w:rFonts w:ascii="Times New Roman" w:hAnsi="Times New Roman"/>
          <w:b/>
          <w:i/>
        </w:rPr>
      </w:pPr>
      <w:r w:rsidRPr="00B41EC2">
        <w:rPr>
          <w:rFonts w:ascii="Times New Roman" w:hAnsi="Times New Roman"/>
          <w:b/>
          <w:i/>
        </w:rPr>
        <w:t xml:space="preserve">Table </w:t>
      </w:r>
      <w:r w:rsidR="00F27764">
        <w:rPr>
          <w:rFonts w:ascii="Times New Roman" w:hAnsi="Times New Roman"/>
          <w:b/>
          <w:i/>
        </w:rPr>
        <w:t>4</w:t>
      </w:r>
      <w:r w:rsidRPr="00B41EC2">
        <w:rPr>
          <w:rFonts w:ascii="Times New Roman" w:hAnsi="Times New Roman"/>
          <w:b/>
          <w:i/>
        </w:rPr>
        <w:t>.1 continues …</w:t>
      </w:r>
    </w:p>
    <w:p w:rsidR="004E1D52" w:rsidRDefault="004E1D52" w:rsidP="004E1D52">
      <w:pPr>
        <w:rPr>
          <w:rFonts w:ascii="Times New Roman" w:hAnsi="Times New Roman"/>
          <w:b/>
          <w:i/>
        </w:rPr>
      </w:pPr>
      <w:r>
        <w:rPr>
          <w:rFonts w:ascii="Times New Roman" w:hAnsi="Times New Roman"/>
          <w:b/>
          <w:i/>
        </w:rPr>
        <w:br w:type="page"/>
      </w:r>
    </w:p>
    <w:p w:rsidR="004E1D52" w:rsidRPr="00990A76" w:rsidRDefault="004E1D52" w:rsidP="004E1D52">
      <w:pPr>
        <w:rPr>
          <w:rFonts w:ascii="Times New Roman" w:hAnsi="Times New Roman"/>
          <w:b/>
          <w:i/>
        </w:rPr>
      </w:pPr>
      <w:r>
        <w:rPr>
          <w:rFonts w:ascii="Times New Roman" w:hAnsi="Times New Roman"/>
          <w:b/>
          <w:i/>
        </w:rPr>
        <w:lastRenderedPageBreak/>
        <w:t xml:space="preserve">… Table </w:t>
      </w:r>
      <w:r w:rsidR="00F27764">
        <w:rPr>
          <w:rFonts w:ascii="Times New Roman" w:hAnsi="Times New Roman"/>
          <w:b/>
          <w:i/>
        </w:rPr>
        <w:t>4</w:t>
      </w:r>
      <w:r>
        <w:rPr>
          <w:rFonts w:ascii="Times New Roman" w:hAnsi="Times New Roman"/>
          <w:b/>
          <w:i/>
        </w:rPr>
        <w:t>.1 continued</w:t>
      </w:r>
    </w:p>
    <w:tbl>
      <w:tblPr>
        <w:tblW w:w="9495" w:type="dxa"/>
        <w:tblInd w:w="-142" w:type="dxa"/>
        <w:tblBorders>
          <w:top w:val="single" w:sz="18" w:space="0" w:color="7F7F7F"/>
          <w:bottom w:val="single" w:sz="18" w:space="0" w:color="7F7F7F"/>
          <w:insideH w:val="single" w:sz="4" w:space="0" w:color="7F7F7F"/>
          <w:insideV w:val="single" w:sz="4" w:space="0" w:color="7F7F7F"/>
        </w:tblBorders>
        <w:tblLayout w:type="fixed"/>
        <w:tblLook w:val="04A0" w:firstRow="1" w:lastRow="0" w:firstColumn="1" w:lastColumn="0" w:noHBand="0" w:noVBand="1"/>
      </w:tblPr>
      <w:tblGrid>
        <w:gridCol w:w="993"/>
        <w:gridCol w:w="1701"/>
        <w:gridCol w:w="1404"/>
        <w:gridCol w:w="1217"/>
        <w:gridCol w:w="1639"/>
        <w:gridCol w:w="2532"/>
        <w:gridCol w:w="9"/>
      </w:tblGrid>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Panel no</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Exo variable</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Description</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rPr>
                <w:rFonts w:ascii="Times New Roman" w:hAnsi="Times New Roman"/>
                <w:b/>
                <w:sz w:val="24"/>
                <w:szCs w:val="24"/>
              </w:rPr>
            </w:pPr>
            <w:r w:rsidRPr="00C600BB">
              <w:rPr>
                <w:rFonts w:ascii="Times New Roman" w:hAnsi="Times New Roman"/>
                <w:b/>
                <w:sz w:val="24"/>
                <w:szCs w:val="24"/>
              </w:rPr>
              <w:t>Source for shock</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Swap variable</w:t>
            </w:r>
          </w:p>
          <w:p w:rsidR="004E1D52" w:rsidRPr="00C600BB" w:rsidRDefault="004E1D52" w:rsidP="00C600BB">
            <w:pPr>
              <w:spacing w:before="0" w:line="240" w:lineRule="auto"/>
              <w:ind w:left="0"/>
              <w:jc w:val="center"/>
              <w:rPr>
                <w:rFonts w:ascii="Times New Roman" w:hAnsi="Times New Roman"/>
                <w:i/>
                <w:sz w:val="24"/>
                <w:szCs w:val="24"/>
              </w:rPr>
            </w:pPr>
            <w:r w:rsidRPr="00C600BB">
              <w:rPr>
                <w:rFonts w:ascii="Times New Roman" w:hAnsi="Times New Roman"/>
                <w:i/>
                <w:sz w:val="24"/>
                <w:szCs w:val="24"/>
              </w:rPr>
              <w:t>(goes endogenous)</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 xml:space="preserve">Description </w:t>
            </w: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(1)</w:t>
            </w:r>
          </w:p>
        </w:tc>
        <w:tc>
          <w:tcPr>
            <w:tcW w:w="1701"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(2)</w:t>
            </w:r>
          </w:p>
        </w:tc>
        <w:tc>
          <w:tcPr>
            <w:tcW w:w="1404"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(3)</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(4)</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(5)</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(6)</w:t>
            </w:r>
          </w:p>
        </w:tc>
      </w:tr>
      <w:tr w:rsidR="004E1D52" w:rsidRPr="00C600BB" w:rsidTr="00C600BB">
        <w:tc>
          <w:tcPr>
            <w:tcW w:w="9495" w:type="dxa"/>
            <w:gridSpan w:val="7"/>
            <w:tcBorders>
              <w:top w:val="single" w:sz="18" w:space="0" w:color="7F7F7F"/>
            </w:tcBorders>
            <w:shd w:val="clear" w:color="auto" w:fill="auto"/>
          </w:tcPr>
          <w:p w:rsidR="004E1D52" w:rsidRPr="00C600BB" w:rsidRDefault="004E1D52" w:rsidP="00C600BB">
            <w:pPr>
              <w:spacing w:before="60" w:after="60" w:line="240" w:lineRule="auto"/>
              <w:ind w:left="23"/>
              <w:rPr>
                <w:rFonts w:ascii="Times New Roman" w:hAnsi="Times New Roman"/>
                <w:sz w:val="20"/>
                <w:szCs w:val="20"/>
              </w:rPr>
            </w:pPr>
            <w:r w:rsidRPr="00C600BB">
              <w:rPr>
                <w:rFonts w:ascii="Times New Roman" w:hAnsi="Times New Roman"/>
                <w:b/>
                <w:i/>
                <w:sz w:val="20"/>
                <w:szCs w:val="20"/>
              </w:rPr>
              <w:t>Part 2b:  Introducing shocks for exports, making real GDP in each region the residual  rather than exports</w:t>
            </w:r>
          </w:p>
        </w:tc>
      </w:tr>
      <w:tr w:rsidR="0083655D" w:rsidRPr="00C600BB" w:rsidTr="00C600BB">
        <w:trPr>
          <w:gridAfter w:val="1"/>
          <w:wAfter w:w="9" w:type="dxa"/>
        </w:trPr>
        <w:tc>
          <w:tcPr>
            <w:tcW w:w="993" w:type="dxa"/>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11</w:t>
            </w:r>
          </w:p>
        </w:tc>
        <w:tc>
          <w:tcPr>
            <w:tcW w:w="1701" w:type="dxa"/>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expvol_obs(r)</w:t>
            </w:r>
          </w:p>
        </w:tc>
        <w:tc>
          <w:tcPr>
            <w:tcW w:w="1404" w:type="dxa"/>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exports</w:t>
            </w:r>
          </w:p>
        </w:tc>
        <w:tc>
          <w:tcPr>
            <w:tcW w:w="1217" w:type="dxa"/>
            <w:tcBorders>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4"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ff_qgdp_obs(r)</w:t>
            </w:r>
          </w:p>
        </w:tc>
        <w:tc>
          <w:tcPr>
            <w:tcW w:w="2532" w:type="dxa"/>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Correction to regional GDP observations to reconcile them with expenditure determination of GDP</w:t>
            </w:r>
          </w:p>
        </w:tc>
      </w:tr>
      <w:tr w:rsidR="0083655D" w:rsidRPr="00C600BB" w:rsidTr="00C600BB">
        <w:trPr>
          <w:gridAfter w:val="1"/>
          <w:wAfter w:w="9" w:type="dxa"/>
        </w:trPr>
        <w:tc>
          <w:tcPr>
            <w:tcW w:w="993"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f_qgdp_obs</w:t>
            </w:r>
          </w:p>
        </w:tc>
        <w:tc>
          <w:tcPr>
            <w:tcW w:w="1404"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Scalar real GDP correction from panel 9 must now be eliminated by setting it exogenously on zero</w:t>
            </w:r>
          </w:p>
        </w:tc>
        <w:tc>
          <w:tcPr>
            <w:tcW w:w="1217" w:type="dxa"/>
            <w:tcBorders>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f_expvol_obs</w:t>
            </w:r>
          </w:p>
        </w:tc>
        <w:tc>
          <w:tcPr>
            <w:tcW w:w="2532"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Scalar correction to observations for real exports by region to reconcile global real exports with global real imports</w:t>
            </w:r>
          </w:p>
        </w:tc>
      </w:tr>
      <w:tr w:rsidR="004E1D52" w:rsidRPr="00C600BB" w:rsidTr="00C600BB">
        <w:tc>
          <w:tcPr>
            <w:tcW w:w="9495" w:type="dxa"/>
            <w:gridSpan w:val="7"/>
            <w:tcBorders>
              <w:top w:val="single" w:sz="18" w:space="0" w:color="7F7F7F"/>
              <w:bottom w:val="single" w:sz="18" w:space="0" w:color="7F7F7F"/>
            </w:tcBorders>
            <w:shd w:val="clear" w:color="auto" w:fill="auto"/>
          </w:tcPr>
          <w:p w:rsidR="004E1D52" w:rsidRPr="00C600BB" w:rsidRDefault="004E1D52" w:rsidP="00C600BB">
            <w:pPr>
              <w:spacing w:before="60" w:after="60" w:line="240" w:lineRule="auto"/>
              <w:ind w:left="23"/>
              <w:rPr>
                <w:rFonts w:ascii="Times New Roman" w:hAnsi="Times New Roman"/>
                <w:sz w:val="20"/>
                <w:szCs w:val="20"/>
              </w:rPr>
            </w:pPr>
            <w:r w:rsidRPr="00C600BB">
              <w:rPr>
                <w:rFonts w:ascii="Times New Roman" w:hAnsi="Times New Roman"/>
                <w:b/>
                <w:i/>
                <w:sz w:val="20"/>
                <w:szCs w:val="20"/>
              </w:rPr>
              <w:t>Part 3:  World prices and quantities for fossil fuels</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12</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qworld(Foss)</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World output of coal, oil and gas</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Our World in Data,  energy </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wldout_sh(Foss)</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World-wide demand shifts in favour or against coal, oil and gas</w:t>
            </w:r>
          </w:p>
        </w:tc>
      </w:tr>
      <w:tr w:rsidR="0083655D" w:rsidRPr="00C600BB" w:rsidTr="00C600BB">
        <w:trPr>
          <w:gridAfter w:val="1"/>
          <w:wAfter w:w="9" w:type="dxa"/>
          <w:trHeight w:val="761"/>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f_neut(j,r)</w:t>
            </w:r>
          </w:p>
        </w:tc>
        <w:tc>
          <w:tcPr>
            <w:tcW w:w="1404"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Neutralizes fossil fuel saving</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a_neut(j,r)</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Technical change to offset fossil-fuel saving tech change</w:t>
            </w:r>
          </w:p>
        </w:tc>
      </w:tr>
      <w:tr w:rsidR="0083655D" w:rsidRPr="00C600BB" w:rsidTr="00C600BB">
        <w:trPr>
          <w:gridAfter w:val="1"/>
          <w:wAfter w:w="9" w:type="dxa"/>
        </w:trPr>
        <w:tc>
          <w:tcPr>
            <w:tcW w:w="993"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13</w:t>
            </w:r>
          </w:p>
        </w:tc>
        <w:tc>
          <w:tcPr>
            <w:tcW w:w="1701"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pworld(Foss)</w:t>
            </w:r>
          </w:p>
        </w:tc>
        <w:tc>
          <w:tcPr>
            <w:tcW w:w="1404"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World prices of coal, oil and gas</w:t>
            </w:r>
          </w:p>
        </w:tc>
        <w:tc>
          <w:tcPr>
            <w:tcW w:w="1217" w:type="dxa"/>
            <w:tcBorders>
              <w:top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World B</w:t>
            </w:r>
            <w:r w:rsidR="008C7C45" w:rsidRPr="00C600BB">
              <w:rPr>
                <w:rFonts w:ascii="Times New Roman" w:hAnsi="Times New Roman"/>
                <w:sz w:val="20"/>
                <w:szCs w:val="20"/>
              </w:rPr>
              <w:t>ank</w:t>
            </w:r>
            <w:r w:rsidRPr="00C600BB">
              <w:rPr>
                <w:rFonts w:ascii="Times New Roman" w:hAnsi="Times New Roman"/>
                <w:sz w:val="20"/>
                <w:szCs w:val="20"/>
              </w:rPr>
              <w:t xml:space="preserve"> &amp; Saudi</w:t>
            </w:r>
            <w:r w:rsidR="008C7C45" w:rsidRPr="00C600BB">
              <w:rPr>
                <w:rFonts w:ascii="Times New Roman" w:hAnsi="Times New Roman"/>
                <w:sz w:val="20"/>
                <w:szCs w:val="20"/>
              </w:rPr>
              <w:t xml:space="preserve"> </w:t>
            </w:r>
            <w:r w:rsidRPr="00C600BB">
              <w:rPr>
                <w:rFonts w:ascii="Times New Roman" w:hAnsi="Times New Roman"/>
                <w:sz w:val="20"/>
                <w:szCs w:val="20"/>
              </w:rPr>
              <w:t>Arabia statistics</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ff_pworld(Foss)</w:t>
            </w:r>
          </w:p>
        </w:tc>
        <w:tc>
          <w:tcPr>
            <w:tcW w:w="2532" w:type="dxa"/>
            <w:tcBorders>
              <w:top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Facilitates assumption that import price for fossil fuel f is same worldwide </w:t>
            </w:r>
          </w:p>
        </w:tc>
      </w:tr>
      <w:tr w:rsidR="0083655D" w:rsidRPr="00C600BB" w:rsidTr="00C600BB">
        <w:trPr>
          <w:gridAfter w:val="1"/>
          <w:wAfter w:w="9" w:type="dxa"/>
        </w:trPr>
        <w:tc>
          <w:tcPr>
            <w:tcW w:w="993"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ff_pm(Foss,r)</w:t>
            </w:r>
          </w:p>
        </w:tc>
        <w:tc>
          <w:tcPr>
            <w:tcW w:w="1404"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Equates fossil fuel import price </w:t>
            </w:r>
            <w:r w:rsidR="008C7C45" w:rsidRPr="00C600BB">
              <w:rPr>
                <w:rFonts w:ascii="Times New Roman" w:hAnsi="Times New Roman"/>
                <w:sz w:val="20"/>
                <w:szCs w:val="20"/>
              </w:rPr>
              <w:t xml:space="preserve"> across regions</w:t>
            </w:r>
          </w:p>
        </w:tc>
        <w:tc>
          <w:tcPr>
            <w:tcW w:w="1217" w:type="dxa"/>
            <w:tcBorders>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f_to(Foss,r)</w:t>
            </w:r>
          </w:p>
        </w:tc>
        <w:tc>
          <w:tcPr>
            <w:tcW w:w="2532" w:type="dxa"/>
            <w:tcBorders>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Phantom taxes to adjust fossil fuel costs  </w:t>
            </w:r>
          </w:p>
        </w:tc>
      </w:tr>
    </w:tbl>
    <w:p w:rsidR="004E1D52" w:rsidRDefault="004E1D52" w:rsidP="004E1D52">
      <w:pPr>
        <w:spacing w:before="0"/>
        <w:jc w:val="right"/>
        <w:rPr>
          <w:rFonts w:ascii="Times New Roman" w:hAnsi="Times New Roman"/>
          <w:b/>
          <w:i/>
        </w:rPr>
      </w:pPr>
      <w:r w:rsidRPr="00B41EC2">
        <w:rPr>
          <w:rFonts w:ascii="Times New Roman" w:hAnsi="Times New Roman"/>
          <w:b/>
          <w:i/>
        </w:rPr>
        <w:t xml:space="preserve">Table </w:t>
      </w:r>
      <w:r w:rsidR="00F27764">
        <w:rPr>
          <w:rFonts w:ascii="Times New Roman" w:hAnsi="Times New Roman"/>
          <w:b/>
          <w:i/>
        </w:rPr>
        <w:t>4</w:t>
      </w:r>
      <w:r w:rsidRPr="00B41EC2">
        <w:rPr>
          <w:rFonts w:ascii="Times New Roman" w:hAnsi="Times New Roman"/>
          <w:b/>
          <w:i/>
        </w:rPr>
        <w:t>.1 continues …</w:t>
      </w:r>
    </w:p>
    <w:p w:rsidR="004E1D52" w:rsidRDefault="004E1D52" w:rsidP="004E1D52">
      <w:pPr>
        <w:rPr>
          <w:rFonts w:ascii="Times New Roman" w:hAnsi="Times New Roman"/>
          <w:b/>
          <w:i/>
        </w:rPr>
      </w:pPr>
      <w:r>
        <w:rPr>
          <w:rFonts w:ascii="Times New Roman" w:hAnsi="Times New Roman"/>
          <w:b/>
          <w:i/>
        </w:rPr>
        <w:br w:type="page"/>
      </w:r>
    </w:p>
    <w:p w:rsidR="004E1D52" w:rsidRDefault="004E1D52" w:rsidP="004E1D52">
      <w:pPr>
        <w:rPr>
          <w:rFonts w:ascii="Times New Roman" w:hAnsi="Times New Roman"/>
          <w:b/>
          <w:i/>
        </w:rPr>
      </w:pPr>
      <w:r>
        <w:rPr>
          <w:rFonts w:ascii="Times New Roman" w:hAnsi="Times New Roman"/>
          <w:b/>
          <w:i/>
        </w:rPr>
        <w:lastRenderedPageBreak/>
        <w:t xml:space="preserve">… Table </w:t>
      </w:r>
      <w:r w:rsidR="00F27764">
        <w:rPr>
          <w:rFonts w:ascii="Times New Roman" w:hAnsi="Times New Roman"/>
          <w:b/>
          <w:i/>
        </w:rPr>
        <w:t>4</w:t>
      </w:r>
      <w:r>
        <w:rPr>
          <w:rFonts w:ascii="Times New Roman" w:hAnsi="Times New Roman"/>
          <w:b/>
          <w:i/>
        </w:rPr>
        <w:t>.1 continued</w:t>
      </w:r>
    </w:p>
    <w:tbl>
      <w:tblPr>
        <w:tblW w:w="9495" w:type="dxa"/>
        <w:tblInd w:w="-142" w:type="dxa"/>
        <w:tblBorders>
          <w:top w:val="single" w:sz="18" w:space="0" w:color="7F7F7F"/>
          <w:bottom w:val="single" w:sz="18" w:space="0" w:color="7F7F7F"/>
          <w:insideH w:val="single" w:sz="4" w:space="0" w:color="7F7F7F"/>
          <w:insideV w:val="single" w:sz="4" w:space="0" w:color="7F7F7F"/>
        </w:tblBorders>
        <w:tblLayout w:type="fixed"/>
        <w:tblLook w:val="04A0" w:firstRow="1" w:lastRow="0" w:firstColumn="1" w:lastColumn="0" w:noHBand="0" w:noVBand="1"/>
      </w:tblPr>
      <w:tblGrid>
        <w:gridCol w:w="993"/>
        <w:gridCol w:w="1701"/>
        <w:gridCol w:w="1404"/>
        <w:gridCol w:w="1217"/>
        <w:gridCol w:w="1639"/>
        <w:gridCol w:w="2532"/>
        <w:gridCol w:w="9"/>
      </w:tblGrid>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Panel no</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Exo variable</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Description</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rPr>
                <w:rFonts w:ascii="Times New Roman" w:hAnsi="Times New Roman"/>
                <w:b/>
                <w:sz w:val="24"/>
                <w:szCs w:val="24"/>
              </w:rPr>
            </w:pPr>
            <w:r w:rsidRPr="00C600BB">
              <w:rPr>
                <w:rFonts w:ascii="Times New Roman" w:hAnsi="Times New Roman"/>
                <w:b/>
                <w:sz w:val="24"/>
                <w:szCs w:val="24"/>
              </w:rPr>
              <w:t>Source for shock</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Swap variable</w:t>
            </w:r>
          </w:p>
          <w:p w:rsidR="004E1D52" w:rsidRPr="00C600BB" w:rsidRDefault="004E1D52" w:rsidP="00C600BB">
            <w:pPr>
              <w:spacing w:before="0" w:line="240" w:lineRule="auto"/>
              <w:ind w:left="0"/>
              <w:jc w:val="center"/>
              <w:rPr>
                <w:rFonts w:ascii="Times New Roman" w:hAnsi="Times New Roman"/>
                <w:i/>
                <w:sz w:val="24"/>
                <w:szCs w:val="24"/>
              </w:rPr>
            </w:pPr>
            <w:r w:rsidRPr="00C600BB">
              <w:rPr>
                <w:rFonts w:ascii="Times New Roman" w:hAnsi="Times New Roman"/>
                <w:i/>
                <w:sz w:val="24"/>
                <w:szCs w:val="24"/>
              </w:rPr>
              <w:t>(goes endogenous)</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 xml:space="preserve">Description </w:t>
            </w:r>
          </w:p>
        </w:tc>
      </w:tr>
      <w:tr w:rsidR="004E1D52" w:rsidRPr="00C600BB" w:rsidTr="00C600BB">
        <w:tc>
          <w:tcPr>
            <w:tcW w:w="9495" w:type="dxa"/>
            <w:gridSpan w:val="7"/>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rPr>
                <w:rFonts w:ascii="Times New Roman" w:hAnsi="Times New Roman"/>
                <w:b/>
                <w:sz w:val="20"/>
                <w:szCs w:val="20"/>
              </w:rPr>
            </w:pPr>
            <w:r w:rsidRPr="00C600BB">
              <w:rPr>
                <w:rFonts w:ascii="Times New Roman" w:hAnsi="Times New Roman"/>
                <w:b/>
                <w:i/>
                <w:iCs/>
                <w:sz w:val="20"/>
                <w:szCs w:val="20"/>
              </w:rPr>
              <w:t xml:space="preserve">Part 4:  Prices of GDP and selected expenditure components  </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14</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f_pgdp_obs(r)</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GDP price index</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f3_twistmd(r) </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World-wide preference shift towards/against exports from r</w:t>
            </w: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f3twmd_ave</w:t>
            </w:r>
          </w:p>
        </w:tc>
        <w:tc>
          <w:tcPr>
            <w:tcW w:w="1404"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Ave pref shift across world</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f_wgdpg</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Turns off earlier determination of wld price level</w:t>
            </w: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15</w:t>
            </w:r>
          </w:p>
        </w:tc>
        <w:tc>
          <w:tcPr>
            <w:tcW w:w="1701"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f_p_i_obs(r), all r, except RoW</w:t>
            </w:r>
          </w:p>
        </w:tc>
        <w:tc>
          <w:tcPr>
            <w:tcW w:w="1404"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Investment price index</w:t>
            </w:r>
          </w:p>
        </w:tc>
        <w:tc>
          <w:tcPr>
            <w:tcW w:w="1217" w:type="dxa"/>
            <w:tcBorders>
              <w:top w:val="single" w:sz="18"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a_cgds (r), all r, except RoW</w:t>
            </w:r>
          </w:p>
        </w:tc>
        <w:tc>
          <w:tcPr>
            <w:tcW w:w="2532"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Technical change in production of capital goods</w:t>
            </w: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16</w:t>
            </w:r>
          </w:p>
        </w:tc>
        <w:tc>
          <w:tcPr>
            <w:tcW w:w="1701"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f_p_x_obs(r), all r, except RoW</w:t>
            </w:r>
          </w:p>
        </w:tc>
        <w:tc>
          <w:tcPr>
            <w:tcW w:w="1404"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Export price index</w:t>
            </w:r>
          </w:p>
        </w:tc>
        <w:tc>
          <w:tcPr>
            <w:tcW w:w="1217" w:type="dxa"/>
            <w:tcBorders>
              <w:top w:val="single" w:sz="18"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phtx_i(r), all r, except RoW</w:t>
            </w:r>
          </w:p>
        </w:tc>
        <w:tc>
          <w:tcPr>
            <w:tcW w:w="2532" w:type="dxa"/>
            <w:tcBorders>
              <w:top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Phantom export tax</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17</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f_p_m_obs(r), all r, except RoW</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Import price index</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OECD data</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phtx_i2(r), all r, except RoW</w:t>
            </w:r>
          </w:p>
        </w:tc>
        <w:tc>
          <w:tcPr>
            <w:tcW w:w="2532"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color w:val="000000"/>
                <w:sz w:val="20"/>
                <w:szCs w:val="20"/>
              </w:rPr>
              <w:t>Discriminatory tax on all exports sent to r, except RoW</w:t>
            </w:r>
          </w:p>
        </w:tc>
      </w:tr>
      <w:tr w:rsidR="0083655D" w:rsidRPr="00C600BB" w:rsidTr="00C600BB">
        <w:trPr>
          <w:gridAfter w:val="1"/>
          <w:wAfter w:w="9" w:type="dxa"/>
        </w:trPr>
        <w:tc>
          <w:tcPr>
            <w:tcW w:w="993" w:type="dxa"/>
            <w:tcBorders>
              <w:top w:val="single" w:sz="4"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d_rcolt_phtx_i2</w:t>
            </w:r>
          </w:p>
        </w:tc>
        <w:tc>
          <w:tcPr>
            <w:tcW w:w="1404" w:type="dxa"/>
            <w:tcBorders>
              <w:top w:val="single" w:sz="4"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iCs/>
                <w:color w:val="000000"/>
                <w:sz w:val="20"/>
                <w:szCs w:val="20"/>
              </w:rPr>
              <w:t>Global real collection of revenue from discriminatory export taxes</w:t>
            </w:r>
          </w:p>
        </w:tc>
        <w:tc>
          <w:tcPr>
            <w:tcW w:w="1217" w:type="dxa"/>
            <w:tcBorders>
              <w:top w:val="single" w:sz="4"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phtx_i2(RoW)</w:t>
            </w:r>
          </w:p>
        </w:tc>
        <w:tc>
          <w:tcPr>
            <w:tcW w:w="2532" w:type="dxa"/>
            <w:tcBorders>
              <w:top w:val="single" w:sz="4"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color w:val="000000"/>
                <w:sz w:val="20"/>
                <w:szCs w:val="20"/>
              </w:rPr>
              <w:t>Discriminatory tax on all exports sent to RoW</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18</w:t>
            </w:r>
          </w:p>
        </w:tc>
        <w:tc>
          <w:tcPr>
            <w:tcW w:w="1701"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d_tottaxf(r)</w:t>
            </w:r>
          </w:p>
        </w:tc>
        <w:tc>
          <w:tcPr>
            <w:tcW w:w="1404" w:type="dxa"/>
            <w:tcBorders>
              <w:top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iCs/>
                <w:color w:val="000000"/>
                <w:sz w:val="20"/>
                <w:szCs w:val="20"/>
              </w:rPr>
              <w:t>Total collection of phantom export and production taxes</w:t>
            </w:r>
          </w:p>
        </w:tc>
        <w:tc>
          <w:tcPr>
            <w:tcW w:w="1217" w:type="dxa"/>
            <w:tcBorders>
              <w:top w:val="single" w:sz="18" w:space="0" w:color="7F7F7F"/>
              <w:bottom w:val="single" w:sz="4"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18" w:space="0" w:color="7F7F7F"/>
              <w:left w:val="single" w:sz="18" w:space="0" w:color="7F7F7F"/>
              <w:bottom w:val="single" w:sz="4"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f_tofr(r)</w:t>
            </w:r>
          </w:p>
        </w:tc>
        <w:tc>
          <w:tcPr>
            <w:tcW w:w="2532" w:type="dxa"/>
            <w:tcBorders>
              <w:top w:val="single" w:sz="18" w:space="0" w:color="7F7F7F"/>
              <w:bottom w:val="single" w:sz="4" w:space="0" w:color="7F7F7F"/>
            </w:tcBorders>
            <w:shd w:val="clear" w:color="auto" w:fill="auto"/>
          </w:tcPr>
          <w:p w:rsidR="004E1D52" w:rsidRPr="00C600BB" w:rsidRDefault="004E1D52" w:rsidP="00AE5156">
            <w:pPr>
              <w:spacing w:before="0" w:line="240" w:lineRule="auto"/>
              <w:ind w:left="0"/>
              <w:jc w:val="center"/>
              <w:rPr>
                <w:rFonts w:ascii="Times New Roman" w:hAnsi="Times New Roman"/>
                <w:sz w:val="20"/>
                <w:szCs w:val="20"/>
              </w:rPr>
            </w:pPr>
            <w:r w:rsidRPr="00C600BB">
              <w:rPr>
                <w:rFonts w:ascii="Times New Roman" w:hAnsi="Times New Roman"/>
                <w:iCs/>
                <w:color w:val="000000"/>
                <w:sz w:val="20"/>
                <w:szCs w:val="20"/>
              </w:rPr>
              <w:t xml:space="preserve">Uniform shift in phantom </w:t>
            </w:r>
            <w:r w:rsidR="00AE5156">
              <w:rPr>
                <w:rFonts w:ascii="Times New Roman" w:hAnsi="Times New Roman"/>
                <w:iCs/>
                <w:color w:val="000000"/>
                <w:sz w:val="20"/>
                <w:szCs w:val="20"/>
              </w:rPr>
              <w:t xml:space="preserve">rate of </w:t>
            </w:r>
            <w:r w:rsidRPr="00C600BB">
              <w:rPr>
                <w:rFonts w:ascii="Times New Roman" w:hAnsi="Times New Roman"/>
                <w:iCs/>
                <w:color w:val="000000"/>
                <w:sz w:val="20"/>
                <w:szCs w:val="20"/>
              </w:rPr>
              <w:t>production tax across the industries in region r</w:t>
            </w:r>
          </w:p>
        </w:tc>
      </w:tr>
      <w:tr w:rsidR="0083655D" w:rsidRPr="00C600BB" w:rsidTr="002A0D03">
        <w:trPr>
          <w:gridAfter w:val="1"/>
          <w:wAfter w:w="9" w:type="dxa"/>
        </w:trPr>
        <w:tc>
          <w:tcPr>
            <w:tcW w:w="993"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ff_tofr(i,r)</w:t>
            </w:r>
          </w:p>
        </w:tc>
        <w:tc>
          <w:tcPr>
            <w:tcW w:w="1404"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iCs/>
                <w:color w:val="000000"/>
                <w:sz w:val="20"/>
                <w:szCs w:val="20"/>
              </w:rPr>
              <w:t>Vector shift in phantom production taxes across the industries in region r</w:t>
            </w:r>
          </w:p>
        </w:tc>
        <w:tc>
          <w:tcPr>
            <w:tcW w:w="1217" w:type="dxa"/>
            <w:tcBorders>
              <w:top w:val="single" w:sz="4" w:space="0" w:color="7F7F7F"/>
              <w:bottom w:val="single" w:sz="18" w:space="0" w:color="7F7F7F"/>
              <w:right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tof(i,r)</w:t>
            </w:r>
          </w:p>
        </w:tc>
        <w:tc>
          <w:tcPr>
            <w:tcW w:w="2532" w:type="dxa"/>
            <w:tcBorders>
              <w:top w:val="single" w:sz="4" w:space="0" w:color="7F7F7F"/>
              <w:bottom w:val="single" w:sz="18" w:space="0" w:color="7F7F7F"/>
            </w:tcBorders>
            <w:shd w:val="clear" w:color="auto" w:fill="auto"/>
          </w:tcPr>
          <w:p w:rsidR="004E1D52" w:rsidRPr="00C600BB" w:rsidRDefault="004E1D52" w:rsidP="00C600BB">
            <w:pPr>
              <w:spacing w:before="0" w:line="240" w:lineRule="auto"/>
              <w:ind w:left="0"/>
              <w:jc w:val="center"/>
              <w:rPr>
                <w:rFonts w:ascii="Times New Roman" w:hAnsi="Times New Roman"/>
                <w:sz w:val="20"/>
                <w:szCs w:val="20"/>
              </w:rPr>
            </w:pPr>
            <w:r w:rsidRPr="00C600BB">
              <w:rPr>
                <w:rFonts w:ascii="Times New Roman" w:hAnsi="Times New Roman"/>
                <w:iCs/>
                <w:color w:val="000000"/>
                <w:sz w:val="20"/>
                <w:szCs w:val="20"/>
              </w:rPr>
              <w:t xml:space="preserve">Phantom subsidy component of </w:t>
            </w:r>
            <w:r w:rsidR="008C7C45" w:rsidRPr="00C600BB">
              <w:rPr>
                <w:rFonts w:ascii="Times New Roman" w:hAnsi="Times New Roman"/>
                <w:iCs/>
                <w:color w:val="000000"/>
                <w:sz w:val="20"/>
                <w:szCs w:val="20"/>
              </w:rPr>
              <w:t>production taxes (</w:t>
            </w:r>
            <w:r w:rsidRPr="00C600BB">
              <w:rPr>
                <w:rFonts w:ascii="Times New Roman" w:hAnsi="Times New Roman"/>
                <w:iCs/>
                <w:color w:val="000000"/>
                <w:sz w:val="20"/>
                <w:szCs w:val="20"/>
              </w:rPr>
              <w:t>to</w:t>
            </w:r>
            <w:r w:rsidR="008C7C45" w:rsidRPr="00C600BB">
              <w:rPr>
                <w:rFonts w:ascii="Times New Roman" w:hAnsi="Times New Roman"/>
                <w:iCs/>
                <w:color w:val="000000"/>
                <w:sz w:val="20"/>
                <w:szCs w:val="20"/>
              </w:rPr>
              <w:t>)</w:t>
            </w:r>
          </w:p>
        </w:tc>
      </w:tr>
      <w:tr w:rsidR="00595A93" w:rsidRPr="00C600BB" w:rsidTr="007D20C0">
        <w:trPr>
          <w:gridAfter w:val="1"/>
          <w:wAfter w:w="9" w:type="dxa"/>
        </w:trPr>
        <w:tc>
          <w:tcPr>
            <w:tcW w:w="9486" w:type="dxa"/>
            <w:gridSpan w:val="6"/>
            <w:tcBorders>
              <w:top w:val="single" w:sz="18" w:space="0" w:color="7F7F7F"/>
              <w:bottom w:val="single" w:sz="18" w:space="0" w:color="7F7F7F"/>
            </w:tcBorders>
            <w:shd w:val="clear" w:color="auto" w:fill="auto"/>
          </w:tcPr>
          <w:p w:rsidR="00595A93" w:rsidRPr="00C600BB" w:rsidRDefault="00595A93" w:rsidP="00595A93">
            <w:pPr>
              <w:spacing w:before="0" w:line="240" w:lineRule="auto"/>
              <w:ind w:left="0"/>
              <w:rPr>
                <w:rFonts w:ascii="Times New Roman" w:hAnsi="Times New Roman"/>
                <w:b/>
                <w:sz w:val="20"/>
                <w:szCs w:val="20"/>
              </w:rPr>
            </w:pPr>
            <w:r w:rsidRPr="00C600BB">
              <w:rPr>
                <w:rFonts w:ascii="Times New Roman" w:hAnsi="Times New Roman"/>
                <w:b/>
                <w:i/>
                <w:iCs/>
                <w:sz w:val="20"/>
                <w:szCs w:val="20"/>
              </w:rPr>
              <w:t xml:space="preserve">Part </w:t>
            </w:r>
            <w:r>
              <w:rPr>
                <w:rFonts w:ascii="Times New Roman" w:hAnsi="Times New Roman"/>
                <w:b/>
                <w:i/>
                <w:iCs/>
                <w:sz w:val="20"/>
                <w:szCs w:val="20"/>
              </w:rPr>
              <w:t>5</w:t>
            </w:r>
            <w:r w:rsidRPr="00C600BB">
              <w:rPr>
                <w:rFonts w:ascii="Times New Roman" w:hAnsi="Times New Roman"/>
                <w:b/>
                <w:i/>
                <w:iCs/>
                <w:sz w:val="20"/>
                <w:szCs w:val="20"/>
              </w:rPr>
              <w:t xml:space="preserve">:  </w:t>
            </w:r>
            <w:r>
              <w:rPr>
                <w:rFonts w:ascii="Times New Roman" w:hAnsi="Times New Roman"/>
                <w:b/>
                <w:i/>
                <w:iCs/>
                <w:sz w:val="20"/>
                <w:szCs w:val="20"/>
              </w:rPr>
              <w:t>Wealth and net foreign liabilities</w:t>
            </w:r>
            <w:r w:rsidRPr="00C600BB">
              <w:rPr>
                <w:rFonts w:ascii="Times New Roman" w:hAnsi="Times New Roman"/>
                <w:b/>
                <w:i/>
                <w:iCs/>
                <w:sz w:val="20"/>
                <w:szCs w:val="20"/>
              </w:rPr>
              <w:t xml:space="preserve">  </w:t>
            </w:r>
          </w:p>
        </w:tc>
      </w:tr>
      <w:tr w:rsidR="002A0D03" w:rsidRPr="00C600BB" w:rsidTr="002A0D03">
        <w:trPr>
          <w:gridAfter w:val="1"/>
          <w:wAfter w:w="9" w:type="dxa"/>
        </w:trPr>
        <w:tc>
          <w:tcPr>
            <w:tcW w:w="993" w:type="dxa"/>
            <w:tcBorders>
              <w:top w:val="single" w:sz="18" w:space="0" w:color="7F7F7F"/>
              <w:bottom w:val="single" w:sz="18" w:space="0" w:color="7F7F7F"/>
            </w:tcBorders>
            <w:shd w:val="clear" w:color="auto" w:fill="auto"/>
          </w:tcPr>
          <w:p w:rsidR="002A0D03" w:rsidRPr="00C600BB" w:rsidRDefault="002A0D03" w:rsidP="00C600BB">
            <w:pPr>
              <w:spacing w:before="0" w:line="240" w:lineRule="auto"/>
              <w:ind w:left="0"/>
              <w:jc w:val="center"/>
              <w:rPr>
                <w:rFonts w:ascii="Times New Roman" w:hAnsi="Times New Roman"/>
                <w:sz w:val="20"/>
                <w:szCs w:val="20"/>
              </w:rPr>
            </w:pPr>
            <w:r>
              <w:rPr>
                <w:rFonts w:ascii="Times New Roman" w:hAnsi="Times New Roman"/>
                <w:sz w:val="20"/>
                <w:szCs w:val="20"/>
              </w:rPr>
              <w:t>19</w:t>
            </w:r>
          </w:p>
        </w:tc>
        <w:tc>
          <w:tcPr>
            <w:tcW w:w="1701" w:type="dxa"/>
            <w:tcBorders>
              <w:top w:val="single" w:sz="18" w:space="0" w:color="7F7F7F"/>
              <w:bottom w:val="single" w:sz="18" w:space="0" w:color="7F7F7F"/>
            </w:tcBorders>
            <w:shd w:val="clear" w:color="auto" w:fill="auto"/>
          </w:tcPr>
          <w:p w:rsidR="002A0D03" w:rsidRPr="00C600BB" w:rsidRDefault="002A0D03" w:rsidP="002A0D03">
            <w:pPr>
              <w:spacing w:before="0" w:line="240" w:lineRule="auto"/>
              <w:ind w:left="0"/>
              <w:jc w:val="center"/>
              <w:rPr>
                <w:rFonts w:ascii="Times New Roman" w:hAnsi="Times New Roman"/>
                <w:sz w:val="20"/>
                <w:szCs w:val="20"/>
              </w:rPr>
            </w:pPr>
            <w:r w:rsidRPr="002A0D03">
              <w:rPr>
                <w:rFonts w:ascii="Times New Roman" w:hAnsi="Times New Roman"/>
                <w:sz w:val="20"/>
                <w:szCs w:val="20"/>
                <w:lang w:eastAsia="en-AU"/>
              </w:rPr>
              <w:t>d_</w:t>
            </w:r>
            <w:r>
              <w:rPr>
                <w:rFonts w:ascii="Times New Roman" w:hAnsi="Times New Roman"/>
                <w:sz w:val="20"/>
                <w:szCs w:val="20"/>
                <w:lang w:eastAsia="en-AU"/>
              </w:rPr>
              <w:t>netflt(r), for all r except RoW</w:t>
            </w:r>
          </w:p>
        </w:tc>
        <w:tc>
          <w:tcPr>
            <w:tcW w:w="1404" w:type="dxa"/>
            <w:tcBorders>
              <w:top w:val="single" w:sz="18" w:space="0" w:color="7F7F7F"/>
              <w:bottom w:val="single" w:sz="18" w:space="0" w:color="7F7F7F"/>
            </w:tcBorders>
            <w:shd w:val="clear" w:color="auto" w:fill="auto"/>
          </w:tcPr>
          <w:p w:rsidR="002A0D03" w:rsidRPr="00C600BB" w:rsidRDefault="002A0D03" w:rsidP="00C600BB">
            <w:pPr>
              <w:spacing w:before="0" w:line="240" w:lineRule="auto"/>
              <w:ind w:left="0"/>
              <w:jc w:val="center"/>
              <w:rPr>
                <w:rFonts w:ascii="Times New Roman" w:hAnsi="Times New Roman"/>
                <w:iCs/>
                <w:color w:val="000000"/>
                <w:sz w:val="20"/>
                <w:szCs w:val="20"/>
              </w:rPr>
            </w:pPr>
            <w:r>
              <w:rPr>
                <w:rFonts w:ascii="Times New Roman" w:hAnsi="Times New Roman"/>
                <w:iCs/>
                <w:color w:val="000000"/>
                <w:sz w:val="20"/>
                <w:szCs w:val="20"/>
              </w:rPr>
              <w:t xml:space="preserve">Net foreign liabilities </w:t>
            </w:r>
          </w:p>
        </w:tc>
        <w:tc>
          <w:tcPr>
            <w:tcW w:w="1217" w:type="dxa"/>
            <w:tcBorders>
              <w:top w:val="single" w:sz="18" w:space="0" w:color="7F7F7F"/>
              <w:bottom w:val="single" w:sz="18" w:space="0" w:color="7F7F7F"/>
              <w:right w:val="single" w:sz="18" w:space="0" w:color="7F7F7F"/>
            </w:tcBorders>
            <w:shd w:val="clear" w:color="auto" w:fill="auto"/>
          </w:tcPr>
          <w:p w:rsidR="002A0D03" w:rsidRPr="00C600BB" w:rsidRDefault="002A0D03" w:rsidP="00C600BB">
            <w:pPr>
              <w:spacing w:before="0" w:line="240" w:lineRule="auto"/>
              <w:ind w:left="0"/>
              <w:jc w:val="center"/>
              <w:rPr>
                <w:rFonts w:ascii="Times New Roman" w:hAnsi="Times New Roman"/>
                <w:sz w:val="20"/>
                <w:szCs w:val="20"/>
              </w:rPr>
            </w:pPr>
            <w:r>
              <w:rPr>
                <w:rFonts w:ascii="Times New Roman" w:hAnsi="Times New Roman"/>
                <w:sz w:val="20"/>
                <w:szCs w:val="20"/>
              </w:rPr>
              <w:t>IMF data</w:t>
            </w:r>
          </w:p>
        </w:tc>
        <w:tc>
          <w:tcPr>
            <w:tcW w:w="1639" w:type="dxa"/>
            <w:tcBorders>
              <w:top w:val="single" w:sz="18" w:space="0" w:color="7F7F7F"/>
              <w:left w:val="single" w:sz="18" w:space="0" w:color="7F7F7F"/>
              <w:bottom w:val="single" w:sz="18" w:space="0" w:color="7F7F7F"/>
            </w:tcBorders>
            <w:shd w:val="clear" w:color="auto" w:fill="auto"/>
          </w:tcPr>
          <w:p w:rsidR="002A0D03" w:rsidRPr="00C600BB" w:rsidRDefault="002A0D03" w:rsidP="00C600BB">
            <w:pPr>
              <w:spacing w:before="0" w:line="240" w:lineRule="auto"/>
              <w:ind w:left="0"/>
              <w:jc w:val="center"/>
              <w:rPr>
                <w:rFonts w:ascii="Times New Roman" w:hAnsi="Times New Roman"/>
                <w:sz w:val="20"/>
                <w:szCs w:val="20"/>
              </w:rPr>
            </w:pPr>
            <w:r w:rsidRPr="002A0D03">
              <w:rPr>
                <w:rFonts w:ascii="Times New Roman" w:hAnsi="Times New Roman"/>
                <w:sz w:val="20"/>
                <w:szCs w:val="20"/>
                <w:lang w:eastAsia="en-AU"/>
              </w:rPr>
              <w:t>d_swqh_b</w:t>
            </w:r>
            <w:r>
              <w:rPr>
                <w:rFonts w:ascii="Times New Roman" w:hAnsi="Times New Roman"/>
                <w:sz w:val="20"/>
                <w:szCs w:val="20"/>
                <w:lang w:eastAsia="en-AU"/>
              </w:rPr>
              <w:t>(r), for all r except RoW</w:t>
            </w:r>
          </w:p>
        </w:tc>
        <w:tc>
          <w:tcPr>
            <w:tcW w:w="2532" w:type="dxa"/>
            <w:tcBorders>
              <w:top w:val="single" w:sz="18" w:space="0" w:color="7F7F7F"/>
              <w:bottom w:val="single" w:sz="18" w:space="0" w:color="7F7F7F"/>
            </w:tcBorders>
            <w:shd w:val="clear" w:color="auto" w:fill="auto"/>
          </w:tcPr>
          <w:p w:rsidR="002A0D03" w:rsidRPr="00C600BB" w:rsidRDefault="00595A93" w:rsidP="00C600BB">
            <w:pPr>
              <w:spacing w:before="0" w:line="240" w:lineRule="auto"/>
              <w:ind w:left="0"/>
              <w:jc w:val="center"/>
              <w:rPr>
                <w:rFonts w:ascii="Times New Roman" w:hAnsi="Times New Roman"/>
                <w:iCs/>
                <w:color w:val="000000"/>
                <w:sz w:val="20"/>
                <w:szCs w:val="20"/>
              </w:rPr>
            </w:pPr>
            <w:r>
              <w:rPr>
                <w:rFonts w:ascii="Times New Roman" w:hAnsi="Times New Roman"/>
                <w:iCs/>
                <w:color w:val="000000"/>
                <w:sz w:val="20"/>
                <w:szCs w:val="20"/>
              </w:rPr>
              <w:t>Disconnects growth in wealth from growth in saving</w:t>
            </w:r>
          </w:p>
        </w:tc>
      </w:tr>
    </w:tbl>
    <w:p w:rsidR="00AE5156" w:rsidRDefault="00AE5156" w:rsidP="00AE5156">
      <w:pPr>
        <w:spacing w:before="0"/>
        <w:ind w:left="0"/>
        <w:rPr>
          <w:rFonts w:ascii="Times New Roman" w:hAnsi="Times New Roman"/>
          <w:sz w:val="24"/>
          <w:szCs w:val="24"/>
        </w:rPr>
      </w:pPr>
    </w:p>
    <w:p w:rsidR="00764943" w:rsidRDefault="00764943" w:rsidP="00764943">
      <w:pPr>
        <w:ind w:left="0"/>
        <w:rPr>
          <w:rFonts w:ascii="Times New Roman" w:hAnsi="Times New Roman"/>
          <w:sz w:val="24"/>
          <w:szCs w:val="24"/>
        </w:rPr>
      </w:pPr>
      <w:r>
        <w:rPr>
          <w:rFonts w:ascii="Times New Roman" w:hAnsi="Times New Roman"/>
          <w:sz w:val="24"/>
          <w:szCs w:val="24"/>
        </w:rPr>
        <w:t xml:space="preserve">and expenditure components, global prices and quantities for fossil fuels, prices in each region for expenditure components of GDP, </w:t>
      </w:r>
      <w:r w:rsidRPr="00AE5156">
        <w:rPr>
          <w:rFonts w:ascii="Times New Roman" w:hAnsi="Times New Roman"/>
          <w:sz w:val="24"/>
          <w:szCs w:val="24"/>
        </w:rPr>
        <w:t>and net foreign liabilities for each region.</w:t>
      </w:r>
      <w:r>
        <w:rPr>
          <w:rFonts w:ascii="Times New Roman" w:hAnsi="Times New Roman"/>
          <w:sz w:val="24"/>
          <w:szCs w:val="24"/>
        </w:rPr>
        <w:t xml:space="preserve">         </w:t>
      </w:r>
    </w:p>
    <w:p w:rsidR="00764943" w:rsidRPr="00961920" w:rsidRDefault="00764943" w:rsidP="00764943">
      <w:pPr>
        <w:ind w:left="0"/>
        <w:rPr>
          <w:rFonts w:ascii="Times New Roman" w:hAnsi="Times New Roman"/>
          <w:i/>
          <w:sz w:val="24"/>
          <w:szCs w:val="24"/>
        </w:rPr>
      </w:pPr>
      <w:r w:rsidRPr="00961920">
        <w:rPr>
          <w:rFonts w:ascii="Times New Roman" w:hAnsi="Times New Roman"/>
          <w:i/>
          <w:sz w:val="24"/>
          <w:szCs w:val="24"/>
        </w:rPr>
        <w:t>Part 1</w:t>
      </w:r>
      <w:r>
        <w:rPr>
          <w:rFonts w:ascii="Times New Roman" w:hAnsi="Times New Roman"/>
          <w:i/>
          <w:sz w:val="24"/>
          <w:szCs w:val="24"/>
        </w:rPr>
        <w:t xml:space="preserve"> </w:t>
      </w:r>
      <w:r w:rsidRPr="00961920">
        <w:rPr>
          <w:rFonts w:ascii="Times New Roman" w:hAnsi="Times New Roman"/>
          <w:i/>
          <w:sz w:val="24"/>
          <w:szCs w:val="24"/>
        </w:rPr>
        <w:t>of Table 4.1:  Real GDP and supply-side determinants</w:t>
      </w:r>
    </w:p>
    <w:p w:rsidR="00AE5156" w:rsidRDefault="00764943" w:rsidP="00AE5156">
      <w:pPr>
        <w:ind w:left="0"/>
        <w:rPr>
          <w:rFonts w:ascii="Times New Roman" w:hAnsi="Times New Roman"/>
          <w:sz w:val="24"/>
          <w:szCs w:val="24"/>
        </w:rPr>
      </w:pPr>
      <w:r>
        <w:rPr>
          <w:rFonts w:ascii="Times New Roman" w:hAnsi="Times New Roman"/>
          <w:i/>
          <w:sz w:val="24"/>
          <w:szCs w:val="24"/>
        </w:rPr>
        <w:t>Panel 1: real GDP.</w:t>
      </w:r>
      <w:r>
        <w:rPr>
          <w:rFonts w:ascii="Times New Roman" w:hAnsi="Times New Roman"/>
          <w:sz w:val="24"/>
          <w:szCs w:val="24"/>
        </w:rPr>
        <w:t xml:space="preserve">  As mentioned earlier, in going from the standard long-run closure to the historical closure, we exogenized real GDP for each region.  This enabled us to introduce </w:t>
      </w:r>
      <w:r w:rsidR="00AE5156">
        <w:rPr>
          <w:rFonts w:ascii="Times New Roman" w:hAnsi="Times New Roman"/>
          <w:sz w:val="24"/>
          <w:szCs w:val="24"/>
        </w:rPr>
        <w:t xml:space="preserve">OECD data on GDP movements between 2014 and 2019.  </w:t>
      </w:r>
      <w:r w:rsidR="00AE5156" w:rsidRPr="00A7765E">
        <w:rPr>
          <w:rFonts w:ascii="Times New Roman" w:hAnsi="Times New Roman"/>
          <w:sz w:val="24"/>
          <w:szCs w:val="24"/>
        </w:rPr>
        <w:t xml:space="preserve">These movements are given in </w:t>
      </w:r>
      <w:r w:rsidR="00AE5156">
        <w:rPr>
          <w:rFonts w:ascii="Times New Roman" w:hAnsi="Times New Roman"/>
          <w:sz w:val="24"/>
          <w:szCs w:val="24"/>
        </w:rPr>
        <w:t xml:space="preserve">Table 4.2.  The closure swap is to endogenize total primary-factor productivity in each region, afereg(r).  </w:t>
      </w:r>
    </w:p>
    <w:p w:rsidR="00E20B9E" w:rsidRDefault="00E20B9E" w:rsidP="00764943">
      <w:pPr>
        <w:ind w:left="0"/>
        <w:rPr>
          <w:rFonts w:ascii="Times New Roman" w:hAnsi="Times New Roman"/>
          <w:sz w:val="24"/>
          <w:szCs w:val="24"/>
        </w:rPr>
      </w:pPr>
      <w:r>
        <w:rPr>
          <w:rFonts w:ascii="Times New Roman" w:hAnsi="Times New Roman"/>
          <w:sz w:val="24"/>
          <w:szCs w:val="24"/>
        </w:rPr>
        <w:t xml:space="preserve">How do we know that afereg(r) is the right variable to endogenize?  As we move from step to step, there is no clear mathematically precise way of choosing the variables to be endogenized.  In making choices, we are guided by back-of-the-envelope representations of </w:t>
      </w:r>
    </w:p>
    <w:p w:rsidR="00AE5156" w:rsidRPr="00C600BB" w:rsidRDefault="00AE5156" w:rsidP="00AE5156">
      <w:pPr>
        <w:ind w:left="0"/>
        <w:jc w:val="center"/>
        <w:rPr>
          <w:rFonts w:ascii="Times New Roman" w:hAnsi="Times New Roman"/>
          <w:b/>
          <w:i/>
          <w:color w:val="000000"/>
          <w:sz w:val="24"/>
          <w:szCs w:val="24"/>
        </w:rPr>
      </w:pPr>
      <w:r w:rsidRPr="00C600BB">
        <w:rPr>
          <w:rFonts w:ascii="Times New Roman" w:hAnsi="Times New Roman"/>
          <w:b/>
          <w:i/>
          <w:color w:val="000000"/>
          <w:sz w:val="24"/>
          <w:szCs w:val="24"/>
        </w:rPr>
        <w:lastRenderedPageBreak/>
        <w:t xml:space="preserve">Table 4.2.  Percentage growth between 2014 and 2019 </w:t>
      </w:r>
      <w:r w:rsidR="0004492C">
        <w:rPr>
          <w:rFonts w:ascii="Times New Roman" w:hAnsi="Times New Roman"/>
          <w:b/>
          <w:i/>
          <w:color w:val="000000"/>
          <w:sz w:val="24"/>
          <w:szCs w:val="24"/>
        </w:rPr>
        <w:t xml:space="preserve"> </w:t>
      </w:r>
    </w:p>
    <w:tbl>
      <w:tblPr>
        <w:tblW w:w="7087" w:type="dxa"/>
        <w:tblInd w:w="993" w:type="dxa"/>
        <w:tblLook w:val="04A0" w:firstRow="1" w:lastRow="0" w:firstColumn="1" w:lastColumn="0" w:noHBand="0" w:noVBand="1"/>
      </w:tblPr>
      <w:tblGrid>
        <w:gridCol w:w="1515"/>
        <w:gridCol w:w="1072"/>
        <w:gridCol w:w="1069"/>
        <w:gridCol w:w="1020"/>
        <w:gridCol w:w="1154"/>
        <w:gridCol w:w="1257"/>
      </w:tblGrid>
      <w:tr w:rsidR="00AE5156" w:rsidRPr="00C600BB" w:rsidTr="00764943">
        <w:tc>
          <w:tcPr>
            <w:tcW w:w="1515" w:type="dxa"/>
            <w:tcBorders>
              <w:top w:val="single" w:sz="18" w:space="0" w:color="7F7F7F"/>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sz w:val="20"/>
                <w:szCs w:val="20"/>
              </w:rPr>
            </w:pPr>
          </w:p>
        </w:tc>
        <w:tc>
          <w:tcPr>
            <w:tcW w:w="1072" w:type="dxa"/>
            <w:tcBorders>
              <w:top w:val="single" w:sz="18" w:space="0" w:color="7F7F7F"/>
              <w:left w:val="single" w:sz="18" w:space="0" w:color="7F7F7F"/>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r w:rsidRPr="00C600BB">
              <w:rPr>
                <w:rFonts w:ascii="Times New Roman" w:hAnsi="Times New Roman"/>
                <w:color w:val="000000"/>
                <w:sz w:val="20"/>
                <w:szCs w:val="20"/>
              </w:rPr>
              <w:t>Population</w:t>
            </w:r>
          </w:p>
          <w:p w:rsidR="00AE5156" w:rsidRPr="00C600BB" w:rsidRDefault="00AE5156" w:rsidP="00AE5156">
            <w:pPr>
              <w:spacing w:before="0" w:line="240" w:lineRule="auto"/>
              <w:ind w:left="-109"/>
              <w:jc w:val="center"/>
              <w:rPr>
                <w:rFonts w:ascii="Times New Roman" w:hAnsi="Times New Roman"/>
                <w:color w:val="000000"/>
                <w:sz w:val="20"/>
                <w:szCs w:val="20"/>
              </w:rPr>
            </w:pPr>
            <w:r w:rsidRPr="00C600BB">
              <w:rPr>
                <w:rFonts w:ascii="Times New Roman" w:hAnsi="Times New Roman"/>
                <w:color w:val="000000"/>
                <w:sz w:val="20"/>
                <w:szCs w:val="20"/>
              </w:rPr>
              <w:t>(pop), data</w:t>
            </w:r>
          </w:p>
        </w:tc>
        <w:tc>
          <w:tcPr>
            <w:tcW w:w="1069" w:type="dxa"/>
            <w:tcBorders>
              <w:top w:val="single" w:sz="18" w:space="0" w:color="7F7F7F"/>
              <w:left w:val="single" w:sz="4" w:space="0" w:color="auto"/>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r w:rsidRPr="00C600BB">
              <w:rPr>
                <w:rFonts w:ascii="Times New Roman" w:hAnsi="Times New Roman"/>
                <w:color w:val="000000"/>
                <w:sz w:val="20"/>
                <w:szCs w:val="20"/>
              </w:rPr>
              <w:t>Real GDP (qgdp_obs), data</w:t>
            </w:r>
          </w:p>
        </w:tc>
        <w:tc>
          <w:tcPr>
            <w:tcW w:w="1020" w:type="dxa"/>
            <w:tcBorders>
              <w:top w:val="single" w:sz="18" w:space="0" w:color="7F7F7F"/>
              <w:left w:val="single" w:sz="4" w:space="0" w:color="auto"/>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r w:rsidRPr="00C600BB">
              <w:rPr>
                <w:rFonts w:ascii="Times New Roman" w:hAnsi="Times New Roman"/>
                <w:color w:val="000000"/>
                <w:sz w:val="20"/>
                <w:szCs w:val="20"/>
              </w:rPr>
              <w:t>Capital stock (kb_obs), data</w:t>
            </w:r>
          </w:p>
        </w:tc>
        <w:tc>
          <w:tcPr>
            <w:tcW w:w="1154" w:type="dxa"/>
            <w:tcBorders>
              <w:top w:val="single" w:sz="18" w:space="0" w:color="7F7F7F"/>
              <w:left w:val="single" w:sz="4" w:space="0" w:color="auto"/>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r w:rsidRPr="00C600BB">
              <w:rPr>
                <w:rFonts w:ascii="Times New Roman" w:hAnsi="Times New Roman"/>
                <w:color w:val="000000"/>
                <w:sz w:val="20"/>
                <w:szCs w:val="20"/>
              </w:rPr>
              <w:t>Employment (lsreg), data</w:t>
            </w:r>
          </w:p>
        </w:tc>
        <w:tc>
          <w:tcPr>
            <w:tcW w:w="1257" w:type="dxa"/>
            <w:tcBorders>
              <w:top w:val="single" w:sz="18" w:space="0" w:color="7F7F7F"/>
              <w:lef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r w:rsidRPr="00C600BB">
              <w:rPr>
                <w:rFonts w:ascii="Times New Roman" w:hAnsi="Times New Roman"/>
                <w:color w:val="000000"/>
                <w:sz w:val="20"/>
                <w:szCs w:val="20"/>
              </w:rPr>
              <w:t xml:space="preserve">K/L tech twist (twistKL), </w:t>
            </w:r>
          </w:p>
          <w:p w:rsidR="00AE5156" w:rsidRPr="00C600BB" w:rsidRDefault="00AE5156" w:rsidP="00AE5156">
            <w:pPr>
              <w:spacing w:before="0" w:line="240" w:lineRule="auto"/>
              <w:ind w:left="-109"/>
              <w:jc w:val="center"/>
              <w:rPr>
                <w:rFonts w:ascii="Times New Roman" w:hAnsi="Times New Roman"/>
                <w:color w:val="000000"/>
                <w:sz w:val="20"/>
                <w:szCs w:val="20"/>
              </w:rPr>
            </w:pPr>
            <w:r w:rsidRPr="00C600BB">
              <w:rPr>
                <w:rFonts w:ascii="Times New Roman" w:hAnsi="Times New Roman"/>
                <w:color w:val="000000"/>
                <w:sz w:val="20"/>
                <w:szCs w:val="20"/>
              </w:rPr>
              <w:t>extrap from 2004-14</w:t>
            </w:r>
          </w:p>
        </w:tc>
      </w:tr>
      <w:tr w:rsidR="00AE5156" w:rsidRPr="00C600BB" w:rsidTr="00764943">
        <w:tc>
          <w:tcPr>
            <w:tcW w:w="1515" w:type="dxa"/>
            <w:tcBorders>
              <w:bottom w:val="single" w:sz="18" w:space="0" w:color="7F7F7F"/>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sz w:val="20"/>
                <w:szCs w:val="20"/>
              </w:rPr>
            </w:pPr>
          </w:p>
        </w:tc>
        <w:tc>
          <w:tcPr>
            <w:tcW w:w="1072" w:type="dxa"/>
            <w:tcBorders>
              <w:left w:val="single" w:sz="18" w:space="0" w:color="7F7F7F"/>
              <w:bottom w:val="single" w:sz="18" w:space="0" w:color="7F7F7F"/>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p>
        </w:tc>
        <w:tc>
          <w:tcPr>
            <w:tcW w:w="1069" w:type="dxa"/>
            <w:tcBorders>
              <w:left w:val="single" w:sz="4" w:space="0" w:color="auto"/>
              <w:bottom w:val="single" w:sz="18" w:space="0" w:color="7F7F7F"/>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p>
        </w:tc>
        <w:tc>
          <w:tcPr>
            <w:tcW w:w="1020" w:type="dxa"/>
            <w:tcBorders>
              <w:left w:val="single" w:sz="4" w:space="0" w:color="auto"/>
              <w:bottom w:val="single" w:sz="18" w:space="0" w:color="7F7F7F"/>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p>
        </w:tc>
        <w:tc>
          <w:tcPr>
            <w:tcW w:w="1154" w:type="dxa"/>
            <w:tcBorders>
              <w:left w:val="single" w:sz="4" w:space="0" w:color="auto"/>
              <w:bottom w:val="single" w:sz="18" w:space="0" w:color="7F7F7F"/>
              <w:right w:val="single" w:sz="4" w:space="0" w:color="auto"/>
            </w:tcBorders>
            <w:shd w:val="clear" w:color="auto" w:fill="auto"/>
          </w:tcPr>
          <w:p w:rsidR="00AE5156" w:rsidRPr="00C600BB" w:rsidRDefault="00AE5156" w:rsidP="00AE5156">
            <w:pPr>
              <w:spacing w:before="0" w:line="240" w:lineRule="auto"/>
              <w:ind w:left="-109"/>
              <w:jc w:val="center"/>
              <w:rPr>
                <w:rFonts w:ascii="Times New Roman" w:hAnsi="Times New Roman"/>
                <w:color w:val="000000"/>
                <w:sz w:val="20"/>
                <w:szCs w:val="20"/>
              </w:rPr>
            </w:pPr>
          </w:p>
        </w:tc>
        <w:tc>
          <w:tcPr>
            <w:tcW w:w="1257" w:type="dxa"/>
            <w:tcBorders>
              <w:left w:val="single" w:sz="4" w:space="0" w:color="auto"/>
              <w:bottom w:val="single" w:sz="18" w:space="0" w:color="7F7F7F"/>
            </w:tcBorders>
            <w:shd w:val="clear" w:color="auto" w:fill="auto"/>
          </w:tcPr>
          <w:p w:rsidR="00AE5156" w:rsidRPr="00C600BB" w:rsidRDefault="00AE5156" w:rsidP="00AE5156">
            <w:pPr>
              <w:spacing w:before="0" w:line="240" w:lineRule="auto"/>
              <w:ind w:left="-109"/>
              <w:jc w:val="right"/>
              <w:rPr>
                <w:rFonts w:ascii="Times New Roman" w:hAnsi="Times New Roman"/>
                <w:color w:val="000000"/>
                <w:sz w:val="20"/>
                <w:szCs w:val="20"/>
              </w:rPr>
            </w:pPr>
          </w:p>
        </w:tc>
      </w:tr>
      <w:tr w:rsidR="00AE5156" w:rsidRPr="00C600BB" w:rsidTr="00764943">
        <w:tc>
          <w:tcPr>
            <w:tcW w:w="1515" w:type="dxa"/>
            <w:tcBorders>
              <w:top w:val="single" w:sz="18" w:space="0" w:color="7F7F7F"/>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1 USA</w:t>
            </w:r>
          </w:p>
        </w:tc>
        <w:tc>
          <w:tcPr>
            <w:tcW w:w="1072" w:type="dxa"/>
            <w:tcBorders>
              <w:top w:val="single" w:sz="18" w:space="0" w:color="7F7F7F"/>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3.12</w:t>
            </w:r>
          </w:p>
        </w:tc>
        <w:tc>
          <w:tcPr>
            <w:tcW w:w="1069" w:type="dxa"/>
            <w:tcBorders>
              <w:top w:val="single" w:sz="18" w:space="0" w:color="7F7F7F"/>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12.43</w:t>
            </w:r>
          </w:p>
        </w:tc>
        <w:tc>
          <w:tcPr>
            <w:tcW w:w="1020" w:type="dxa"/>
            <w:tcBorders>
              <w:top w:val="single" w:sz="18" w:space="0" w:color="7F7F7F"/>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11.11</w:t>
            </w:r>
          </w:p>
        </w:tc>
        <w:tc>
          <w:tcPr>
            <w:tcW w:w="1154" w:type="dxa"/>
            <w:tcBorders>
              <w:top w:val="single" w:sz="18" w:space="0" w:color="7F7F7F"/>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1.62</w:t>
            </w:r>
          </w:p>
        </w:tc>
        <w:tc>
          <w:tcPr>
            <w:tcW w:w="1257" w:type="dxa"/>
            <w:tcBorders>
              <w:top w:val="single" w:sz="18" w:space="0" w:color="7F7F7F"/>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3.73</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2 Canada</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6.07</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9.70</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11.49</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2.97</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7.17</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3 Mexico</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5.54</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10.41</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12.81</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6.53</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-1.63</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4 China</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2.44</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38.55</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54.57</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-0.21</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24.37</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5 Japan</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-0.71</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4.29</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4.79</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-3.60</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4.19</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6 SKorea</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2.01</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14.88</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21.72</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0.55</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11.2</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7 India</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5.80</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37.88</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39.67</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4.33</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15.94</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8 France</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1.67</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8.48</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10.30</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-0.73</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4.23</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9 Germany</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2.61</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8.72</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8.95</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1.55</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0.76</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10 UK</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3.41</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10.74</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11.60</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1.56</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0.97</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11 RoEU</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0.47</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13.61</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10.19</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-3.15</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6.45</w:t>
            </w:r>
          </w:p>
        </w:tc>
      </w:tr>
      <w:tr w:rsidR="00AE5156" w:rsidRPr="00C600BB" w:rsidTr="00764943">
        <w:tc>
          <w:tcPr>
            <w:tcW w:w="1515" w:type="dxa"/>
            <w:tcBorders>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12 SaudiArabia</w:t>
            </w:r>
          </w:p>
        </w:tc>
        <w:tc>
          <w:tcPr>
            <w:tcW w:w="1072" w:type="dxa"/>
            <w:tcBorders>
              <w:left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14.07</w:t>
            </w:r>
          </w:p>
        </w:tc>
        <w:tc>
          <w:tcPr>
            <w:tcW w:w="1069"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8.06</w:t>
            </w:r>
          </w:p>
        </w:tc>
        <w:tc>
          <w:tcPr>
            <w:tcW w:w="1020"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29.77</w:t>
            </w:r>
          </w:p>
        </w:tc>
        <w:tc>
          <w:tcPr>
            <w:tcW w:w="1154" w:type="dxa"/>
            <w:tcBorders>
              <w:left w:val="single" w:sz="4" w:space="0" w:color="auto"/>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14.07</w:t>
            </w:r>
          </w:p>
        </w:tc>
        <w:tc>
          <w:tcPr>
            <w:tcW w:w="1257" w:type="dxa"/>
            <w:tcBorders>
              <w:lef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13.42</w:t>
            </w:r>
          </w:p>
        </w:tc>
      </w:tr>
      <w:tr w:rsidR="00AE5156" w:rsidRPr="00C600BB" w:rsidTr="00764943">
        <w:tc>
          <w:tcPr>
            <w:tcW w:w="1515" w:type="dxa"/>
            <w:tcBorders>
              <w:bottom w:val="single" w:sz="18" w:space="0" w:color="7F7F7F"/>
              <w:right w:val="single" w:sz="18" w:space="0" w:color="7F7F7F"/>
            </w:tcBorders>
            <w:shd w:val="clear" w:color="auto" w:fill="auto"/>
            <w:vAlign w:val="bottom"/>
          </w:tcPr>
          <w:p w:rsidR="00AE5156" w:rsidRPr="00C600BB" w:rsidRDefault="00AE5156" w:rsidP="00AE5156">
            <w:pPr>
              <w:spacing w:before="0" w:line="240" w:lineRule="auto"/>
              <w:ind w:left="-109"/>
              <w:rPr>
                <w:rFonts w:ascii="Times New Roman" w:hAnsi="Times New Roman"/>
                <w:color w:val="000000"/>
                <w:sz w:val="20"/>
                <w:szCs w:val="20"/>
              </w:rPr>
            </w:pPr>
            <w:r w:rsidRPr="00C600BB">
              <w:rPr>
                <w:rFonts w:ascii="Times New Roman" w:hAnsi="Times New Roman"/>
                <w:color w:val="000000"/>
                <w:sz w:val="20"/>
                <w:szCs w:val="20"/>
              </w:rPr>
              <w:t>13 RoW</w:t>
            </w:r>
          </w:p>
        </w:tc>
        <w:tc>
          <w:tcPr>
            <w:tcW w:w="1072" w:type="dxa"/>
            <w:tcBorders>
              <w:left w:val="single" w:sz="18" w:space="0" w:color="7F7F7F"/>
              <w:bottom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9.60</w:t>
            </w:r>
          </w:p>
        </w:tc>
        <w:tc>
          <w:tcPr>
            <w:tcW w:w="1069" w:type="dxa"/>
            <w:tcBorders>
              <w:left w:val="single" w:sz="4" w:space="0" w:color="auto"/>
              <w:bottom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14.16</w:t>
            </w:r>
          </w:p>
        </w:tc>
        <w:tc>
          <w:tcPr>
            <w:tcW w:w="1020" w:type="dxa"/>
            <w:tcBorders>
              <w:left w:val="single" w:sz="4" w:space="0" w:color="auto"/>
              <w:bottom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18.99</w:t>
            </w:r>
          </w:p>
        </w:tc>
        <w:tc>
          <w:tcPr>
            <w:tcW w:w="1154" w:type="dxa"/>
            <w:tcBorders>
              <w:left w:val="single" w:sz="4" w:space="0" w:color="auto"/>
              <w:bottom w:val="single" w:sz="18" w:space="0" w:color="7F7F7F"/>
              <w:right w:val="single" w:sz="4" w:space="0" w:color="auto"/>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3.13</w:t>
            </w:r>
          </w:p>
        </w:tc>
        <w:tc>
          <w:tcPr>
            <w:tcW w:w="1257" w:type="dxa"/>
            <w:tcBorders>
              <w:left w:val="single" w:sz="4" w:space="0" w:color="auto"/>
              <w:bottom w:val="single" w:sz="18" w:space="0" w:color="7F7F7F"/>
            </w:tcBorders>
            <w:shd w:val="clear" w:color="auto" w:fill="auto"/>
            <w:vAlign w:val="bottom"/>
          </w:tcPr>
          <w:p w:rsidR="00AE5156" w:rsidRPr="00C600BB" w:rsidRDefault="00AE5156" w:rsidP="00AE5156">
            <w:pPr>
              <w:spacing w:before="0" w:line="240" w:lineRule="auto"/>
              <w:ind w:left="-109"/>
              <w:jc w:val="right"/>
              <w:rPr>
                <w:rFonts w:ascii="Times New Roman" w:hAnsi="Times New Roman"/>
                <w:color w:val="000000"/>
                <w:sz w:val="20"/>
                <w:szCs w:val="20"/>
              </w:rPr>
            </w:pPr>
            <w:r w:rsidRPr="00C600BB">
              <w:rPr>
                <w:rFonts w:ascii="Times New Roman" w:hAnsi="Times New Roman"/>
                <w:color w:val="000000"/>
                <w:sz w:val="20"/>
                <w:szCs w:val="20"/>
              </w:rPr>
              <w:t>7.84</w:t>
            </w:r>
          </w:p>
        </w:tc>
      </w:tr>
    </w:tbl>
    <w:p w:rsidR="00764943" w:rsidRDefault="00764943" w:rsidP="00764943">
      <w:pPr>
        <w:ind w:left="0"/>
        <w:rPr>
          <w:rFonts w:ascii="Times New Roman" w:hAnsi="Times New Roman"/>
          <w:sz w:val="24"/>
          <w:szCs w:val="24"/>
        </w:rPr>
      </w:pPr>
    </w:p>
    <w:p w:rsidR="00764943" w:rsidRDefault="00764943" w:rsidP="00764943">
      <w:pPr>
        <w:spacing w:before="0"/>
        <w:ind w:left="0"/>
        <w:rPr>
          <w:rFonts w:ascii="Times New Roman" w:hAnsi="Times New Roman"/>
          <w:sz w:val="24"/>
          <w:szCs w:val="24"/>
        </w:rPr>
      </w:pPr>
      <w:r>
        <w:rPr>
          <w:rFonts w:ascii="Times New Roman" w:hAnsi="Times New Roman"/>
          <w:sz w:val="24"/>
          <w:szCs w:val="24"/>
        </w:rPr>
        <w:t>relevant parts of the general equilibrium model.  In the particular case of real GDP, our guiding back-of-the envelope framework is the aggregate production function:</w:t>
      </w:r>
    </w:p>
    <w:p w:rsidR="00764943" w:rsidRDefault="00764943" w:rsidP="00764943">
      <w:pPr>
        <w:tabs>
          <w:tab w:val="left" w:pos="567"/>
          <w:tab w:val="right" w:pos="8789"/>
        </w:tabs>
        <w:ind w:left="0"/>
        <w:rPr>
          <w:rFonts w:ascii="Times New Roman" w:hAnsi="Times New Roman"/>
          <w:sz w:val="24"/>
          <w:szCs w:val="24"/>
        </w:rPr>
      </w:pPr>
      <w:r>
        <w:rPr>
          <w:rFonts w:ascii="Times New Roman" w:hAnsi="Times New Roman"/>
          <w:sz w:val="24"/>
          <w:szCs w:val="24"/>
        </w:rPr>
        <w:tab/>
      </w:r>
      <w:r w:rsidRPr="00B74373">
        <w:rPr>
          <w:rFonts w:ascii="Times New Roman" w:hAnsi="Times New Roman"/>
          <w:position w:val="-14"/>
          <w:sz w:val="24"/>
          <w:szCs w:val="24"/>
        </w:rPr>
        <w:object w:dxaOrig="5420" w:dyaOrig="400">
          <v:shape id="_x0000_i1026" type="#_x0000_t75" style="width:270.75pt;height:19.5pt" o:ole="">
            <v:imagedata r:id="rId10" o:title=""/>
          </v:shape>
          <o:OLEObject Type="Embed" ProgID="Equation.DSMT4" ShapeID="_x0000_i1026" DrawAspect="Content" ObjectID="_1774671647" r:id="rId11"/>
        </w:object>
      </w:r>
      <w:r>
        <w:rPr>
          <w:rFonts w:ascii="Times New Roman" w:hAnsi="Times New Roman"/>
          <w:sz w:val="24"/>
          <w:szCs w:val="24"/>
        </w:rPr>
        <w:t xml:space="preserve"> </w:t>
      </w:r>
      <w:r>
        <w:rPr>
          <w:rFonts w:ascii="Times New Roman" w:hAnsi="Times New Roman"/>
          <w:sz w:val="24"/>
          <w:szCs w:val="24"/>
        </w:rPr>
        <w:tab/>
        <w:t>(4.1)</w:t>
      </w:r>
    </w:p>
    <w:p w:rsidR="00764943" w:rsidRDefault="00764943" w:rsidP="00764943">
      <w:pPr>
        <w:tabs>
          <w:tab w:val="left" w:pos="567"/>
          <w:tab w:val="right" w:pos="8789"/>
        </w:tabs>
        <w:spacing w:before="0"/>
        <w:ind w:left="0"/>
        <w:rPr>
          <w:rFonts w:ascii="Times New Roman" w:hAnsi="Times New Roman"/>
          <w:sz w:val="24"/>
          <w:szCs w:val="24"/>
        </w:rPr>
      </w:pPr>
      <w:r>
        <w:rPr>
          <w:rFonts w:ascii="Times New Roman" w:hAnsi="Times New Roman"/>
          <w:sz w:val="24"/>
          <w:szCs w:val="24"/>
        </w:rPr>
        <w:t>where</w:t>
      </w:r>
    </w:p>
    <w:p w:rsidR="00764943" w:rsidRDefault="00764943" w:rsidP="00764943">
      <w:pPr>
        <w:tabs>
          <w:tab w:val="left" w:pos="567"/>
          <w:tab w:val="right" w:pos="8789"/>
        </w:tabs>
        <w:spacing w:before="0"/>
        <w:ind w:left="284"/>
        <w:rPr>
          <w:rFonts w:ascii="Times New Roman" w:hAnsi="Times New Roman"/>
          <w:sz w:val="24"/>
          <w:szCs w:val="24"/>
        </w:rPr>
      </w:pPr>
      <w:r>
        <w:rPr>
          <w:rFonts w:ascii="Times New Roman" w:hAnsi="Times New Roman"/>
          <w:sz w:val="24"/>
          <w:szCs w:val="24"/>
        </w:rPr>
        <w:t>RealGDP(r) is real GDP in r;</w:t>
      </w:r>
    </w:p>
    <w:p w:rsidR="00E20B9E" w:rsidRDefault="00E20B9E" w:rsidP="00AE5156">
      <w:pPr>
        <w:tabs>
          <w:tab w:val="left" w:pos="567"/>
          <w:tab w:val="right" w:pos="8789"/>
        </w:tabs>
        <w:ind w:left="284"/>
        <w:rPr>
          <w:rFonts w:ascii="Times New Roman" w:hAnsi="Times New Roman"/>
          <w:sz w:val="24"/>
          <w:szCs w:val="24"/>
        </w:rPr>
      </w:pPr>
      <w:r>
        <w:rPr>
          <w:rFonts w:ascii="Times New Roman" w:hAnsi="Times New Roman"/>
          <w:sz w:val="24"/>
          <w:szCs w:val="24"/>
        </w:rPr>
        <w:t>A(r) is primary-factor-saving technology in region r; and</w:t>
      </w:r>
    </w:p>
    <w:p w:rsidR="00E20B9E" w:rsidRDefault="00E20B9E" w:rsidP="00E20B9E">
      <w:pPr>
        <w:tabs>
          <w:tab w:val="left" w:pos="567"/>
          <w:tab w:val="right" w:pos="8789"/>
        </w:tabs>
        <w:spacing w:before="0"/>
        <w:ind w:left="284"/>
        <w:rPr>
          <w:rFonts w:ascii="Times New Roman" w:hAnsi="Times New Roman"/>
          <w:sz w:val="24"/>
          <w:szCs w:val="24"/>
        </w:rPr>
      </w:pPr>
      <w:r>
        <w:rPr>
          <w:rFonts w:ascii="Times New Roman" w:hAnsi="Times New Roman"/>
          <w:sz w:val="24"/>
          <w:szCs w:val="24"/>
        </w:rPr>
        <w:t xml:space="preserve">L(r), K(r), Land(r) and NatRes(r) are the inputs to production in region r of labour, capital land and natural resources.  </w:t>
      </w:r>
    </w:p>
    <w:p w:rsidR="00E20B9E" w:rsidRDefault="00E20B9E" w:rsidP="00E20B9E">
      <w:pPr>
        <w:tabs>
          <w:tab w:val="left" w:pos="567"/>
          <w:tab w:val="right" w:pos="8789"/>
        </w:tabs>
        <w:spacing w:before="0"/>
        <w:ind w:left="0"/>
        <w:rPr>
          <w:rFonts w:ascii="Times New Roman" w:hAnsi="Times New Roman"/>
          <w:sz w:val="24"/>
          <w:szCs w:val="24"/>
        </w:rPr>
      </w:pPr>
      <w:r>
        <w:rPr>
          <w:rFonts w:ascii="Times New Roman" w:hAnsi="Times New Roman"/>
          <w:sz w:val="24"/>
          <w:szCs w:val="24"/>
        </w:rPr>
        <w:t>At this stage in the transition from the standard long-run closure to the 2014-19 historical closure, employment and the use of land and natural resources are exogenous [see point (b) in section 3].  Capital in each region is tied down by our assumptions for relative actual rates of return and accumulated global saving</w:t>
      </w:r>
      <w:r w:rsidR="0098401D">
        <w:rPr>
          <w:rFonts w:ascii="Times New Roman" w:hAnsi="Times New Roman"/>
          <w:sz w:val="24"/>
          <w:szCs w:val="24"/>
        </w:rPr>
        <w:t>s</w:t>
      </w:r>
      <w:r>
        <w:rPr>
          <w:rFonts w:ascii="Times New Roman" w:hAnsi="Times New Roman"/>
          <w:sz w:val="24"/>
          <w:szCs w:val="24"/>
        </w:rPr>
        <w:t xml:space="preserve"> from start-of-2014 to start-of-2019 [points (e) - (g)].  Thus, with exogenization of RealGDP(r), our model can generate a solution for primary-factor productivity growth in each region, afereg(r) [the percentage change in A(r) from equation (4.1)].  This is not our final estimate of afereg(r).  As further information is introduced into the historical simulation, afereg(r) remains endogenous so that our estimate of it is continuously refined.  </w:t>
      </w:r>
    </w:p>
    <w:p w:rsidR="00961920" w:rsidRDefault="00961920" w:rsidP="00961920">
      <w:pPr>
        <w:ind w:left="0"/>
        <w:rPr>
          <w:rFonts w:ascii="Times New Roman" w:hAnsi="Times New Roman"/>
          <w:sz w:val="24"/>
          <w:szCs w:val="24"/>
        </w:rPr>
      </w:pPr>
      <w:r>
        <w:rPr>
          <w:rFonts w:ascii="Times New Roman" w:hAnsi="Times New Roman"/>
          <w:i/>
          <w:sz w:val="24"/>
          <w:szCs w:val="24"/>
        </w:rPr>
        <w:t>Panel 2: regional capital stocks.</w:t>
      </w:r>
      <w:r>
        <w:rPr>
          <w:rFonts w:ascii="Times New Roman" w:hAnsi="Times New Roman"/>
          <w:sz w:val="24"/>
          <w:szCs w:val="24"/>
        </w:rPr>
        <w:t xml:space="preserve">  Now we introduce data from the Penn </w:t>
      </w:r>
      <w:r w:rsidR="008C7C45">
        <w:rPr>
          <w:rFonts w:ascii="Times New Roman" w:hAnsi="Times New Roman"/>
          <w:sz w:val="24"/>
          <w:szCs w:val="24"/>
        </w:rPr>
        <w:t>W</w:t>
      </w:r>
      <w:r>
        <w:rPr>
          <w:rFonts w:ascii="Times New Roman" w:hAnsi="Times New Roman"/>
          <w:sz w:val="24"/>
          <w:szCs w:val="24"/>
        </w:rPr>
        <w:t xml:space="preserve">orld </w:t>
      </w:r>
      <w:r w:rsidR="008C7C45">
        <w:rPr>
          <w:rFonts w:ascii="Times New Roman" w:hAnsi="Times New Roman"/>
          <w:sz w:val="24"/>
          <w:szCs w:val="24"/>
        </w:rPr>
        <w:t>T</w:t>
      </w:r>
      <w:r>
        <w:rPr>
          <w:rFonts w:ascii="Times New Roman" w:hAnsi="Times New Roman"/>
          <w:sz w:val="24"/>
          <w:szCs w:val="24"/>
        </w:rPr>
        <w:t>ables on movements between start-of-2014 and start-of-2019 in capital stocks by region (measured by real capital services).  These data are shown in Table 4.2.  We make an endogenous scalar adjustment so that global growth in capital from start-of-2014 to start-of-2019 is compatible with simulated accumulated global savings over this period in accordance with points (</w:t>
      </w:r>
      <w:r w:rsidR="00B45824">
        <w:rPr>
          <w:rFonts w:ascii="Times New Roman" w:hAnsi="Times New Roman"/>
          <w:sz w:val="24"/>
          <w:szCs w:val="24"/>
        </w:rPr>
        <w:t>f</w:t>
      </w:r>
      <w:r>
        <w:rPr>
          <w:rFonts w:ascii="Times New Roman" w:hAnsi="Times New Roman"/>
          <w:sz w:val="24"/>
          <w:szCs w:val="24"/>
        </w:rPr>
        <w:t>) and (</w:t>
      </w:r>
      <w:r w:rsidR="00B45824">
        <w:rPr>
          <w:rFonts w:ascii="Times New Roman" w:hAnsi="Times New Roman"/>
          <w:sz w:val="24"/>
          <w:szCs w:val="24"/>
        </w:rPr>
        <w:t>g</w:t>
      </w:r>
      <w:r>
        <w:rPr>
          <w:rFonts w:ascii="Times New Roman" w:hAnsi="Times New Roman"/>
          <w:sz w:val="24"/>
          <w:szCs w:val="24"/>
        </w:rPr>
        <w:t>).  The scalar adjustment is achieved by endogenizing the variable shift_kb which occurs in the model equation:</w:t>
      </w:r>
    </w:p>
    <w:p w:rsidR="00961920" w:rsidRDefault="00961920" w:rsidP="00961920">
      <w:pPr>
        <w:ind w:left="0"/>
        <w:rPr>
          <w:rFonts w:ascii="Times New Roman" w:hAnsi="Times New Roman"/>
          <w:sz w:val="24"/>
          <w:szCs w:val="24"/>
        </w:rPr>
      </w:pPr>
    </w:p>
    <w:p w:rsidR="00961920" w:rsidRDefault="00961920" w:rsidP="00961920">
      <w:pPr>
        <w:tabs>
          <w:tab w:val="left" w:pos="851"/>
          <w:tab w:val="right" w:pos="8789"/>
        </w:tabs>
        <w:ind w:left="0"/>
        <w:rPr>
          <w:rFonts w:ascii="Times New Roman" w:hAnsi="Times New Roman"/>
          <w:sz w:val="24"/>
          <w:szCs w:val="24"/>
        </w:rPr>
      </w:pPr>
      <w:r>
        <w:rPr>
          <w:rFonts w:ascii="Times New Roman" w:hAnsi="Times New Roman"/>
          <w:sz w:val="24"/>
          <w:szCs w:val="24"/>
        </w:rPr>
        <w:tab/>
      </w:r>
      <w:r w:rsidRPr="00E12F6F">
        <w:rPr>
          <w:rFonts w:ascii="Times New Roman" w:hAnsi="Times New Roman"/>
          <w:position w:val="-10"/>
          <w:sz w:val="24"/>
          <w:szCs w:val="24"/>
        </w:rPr>
        <w:object w:dxaOrig="2940" w:dyaOrig="320">
          <v:shape id="_x0000_i1027" type="#_x0000_t75" style="width:147pt;height:15.75pt" o:ole="">
            <v:imagedata r:id="rId12" o:title=""/>
          </v:shape>
          <o:OLEObject Type="Embed" ProgID="Equation.DSMT4" ShapeID="_x0000_i1027" DrawAspect="Content" ObjectID="_1774671648" r:id="rId13"/>
        </w:object>
      </w:r>
      <w:r>
        <w:rPr>
          <w:rFonts w:ascii="Times New Roman" w:hAnsi="Times New Roman"/>
          <w:sz w:val="24"/>
          <w:szCs w:val="24"/>
        </w:rPr>
        <w:t xml:space="preserve"> </w:t>
      </w:r>
      <w:r w:rsidR="00B45824">
        <w:rPr>
          <w:rFonts w:ascii="Times New Roman" w:hAnsi="Times New Roman"/>
          <w:sz w:val="24"/>
          <w:szCs w:val="24"/>
        </w:rPr>
        <w:t xml:space="preserve">   for all r</w:t>
      </w:r>
      <w:r w:rsidR="00B45824">
        <w:rPr>
          <w:rFonts w:ascii="Times New Roman" w:hAnsi="Times New Roman"/>
          <w:sz w:val="24"/>
          <w:szCs w:val="24"/>
        </w:rPr>
        <w:sym w:font="Symbol" w:char="F0CE"/>
      </w:r>
      <w:r w:rsidR="00B45824">
        <w:rPr>
          <w:rFonts w:ascii="Times New Roman" w:hAnsi="Times New Roman"/>
          <w:sz w:val="24"/>
          <w:szCs w:val="24"/>
        </w:rPr>
        <w:t xml:space="preserve">  Reg</w:t>
      </w:r>
      <w:r>
        <w:rPr>
          <w:rFonts w:ascii="Times New Roman" w:hAnsi="Times New Roman"/>
          <w:sz w:val="24"/>
          <w:szCs w:val="24"/>
        </w:rPr>
        <w:tab/>
        <w:t>(4.2)</w:t>
      </w:r>
    </w:p>
    <w:p w:rsidR="00961920" w:rsidRDefault="00961920" w:rsidP="00961920">
      <w:pPr>
        <w:tabs>
          <w:tab w:val="left" w:pos="567"/>
          <w:tab w:val="right" w:pos="8789"/>
        </w:tabs>
        <w:spacing w:before="0"/>
        <w:ind w:left="0"/>
        <w:rPr>
          <w:rFonts w:ascii="Times New Roman" w:hAnsi="Times New Roman"/>
          <w:sz w:val="24"/>
          <w:szCs w:val="24"/>
        </w:rPr>
      </w:pPr>
      <w:r>
        <w:rPr>
          <w:rFonts w:ascii="Times New Roman" w:hAnsi="Times New Roman"/>
          <w:sz w:val="24"/>
          <w:szCs w:val="24"/>
        </w:rPr>
        <w:t>where</w:t>
      </w:r>
    </w:p>
    <w:p w:rsidR="00961920" w:rsidRDefault="00961920" w:rsidP="00961920">
      <w:pPr>
        <w:tabs>
          <w:tab w:val="left" w:pos="567"/>
          <w:tab w:val="right" w:pos="8789"/>
        </w:tabs>
        <w:spacing w:before="0"/>
        <w:ind w:left="284"/>
        <w:rPr>
          <w:rFonts w:ascii="Times New Roman" w:hAnsi="Times New Roman"/>
          <w:sz w:val="24"/>
          <w:szCs w:val="24"/>
        </w:rPr>
      </w:pPr>
      <w:r>
        <w:rPr>
          <w:rFonts w:ascii="Times New Roman" w:hAnsi="Times New Roman"/>
          <w:sz w:val="24"/>
          <w:szCs w:val="24"/>
        </w:rPr>
        <w:lastRenderedPageBreak/>
        <w:t xml:space="preserve">kb(r) is simulated percentage growth in </w:t>
      </w:r>
      <w:r w:rsidR="00B45824">
        <w:rPr>
          <w:rFonts w:ascii="Times New Roman" w:hAnsi="Times New Roman"/>
          <w:sz w:val="24"/>
          <w:szCs w:val="24"/>
        </w:rPr>
        <w:t xml:space="preserve">start-of-year </w:t>
      </w:r>
      <w:r>
        <w:rPr>
          <w:rFonts w:ascii="Times New Roman" w:hAnsi="Times New Roman"/>
          <w:sz w:val="24"/>
          <w:szCs w:val="24"/>
        </w:rPr>
        <w:t>capital stock for region r from start-of-2014 to start-of-2019;</w:t>
      </w:r>
    </w:p>
    <w:p w:rsidR="004E1D52" w:rsidRPr="00C600BB" w:rsidRDefault="00961920" w:rsidP="00961920">
      <w:pPr>
        <w:tabs>
          <w:tab w:val="left" w:pos="567"/>
          <w:tab w:val="right" w:pos="8789"/>
        </w:tabs>
        <w:spacing w:before="0"/>
        <w:ind w:left="284"/>
        <w:rPr>
          <w:rFonts w:ascii="Times New Roman" w:hAnsi="Times New Roman"/>
          <w:b/>
          <w:i/>
          <w:color w:val="000000"/>
          <w:sz w:val="24"/>
          <w:szCs w:val="24"/>
        </w:rPr>
      </w:pPr>
      <w:r>
        <w:rPr>
          <w:rFonts w:ascii="Times New Roman" w:hAnsi="Times New Roman"/>
          <w:sz w:val="24"/>
          <w:szCs w:val="24"/>
        </w:rPr>
        <w:t>kb_obs(r) is the observed percentage growth in capital stock for region r derived from the Penn data; and</w:t>
      </w:r>
    </w:p>
    <w:p w:rsidR="00DF5970" w:rsidRDefault="00DF5970" w:rsidP="00DF5970">
      <w:pPr>
        <w:tabs>
          <w:tab w:val="left" w:pos="567"/>
          <w:tab w:val="right" w:pos="8789"/>
        </w:tabs>
        <w:spacing w:before="0"/>
        <w:ind w:left="284"/>
        <w:rPr>
          <w:rFonts w:ascii="Times New Roman" w:hAnsi="Times New Roman"/>
          <w:sz w:val="24"/>
          <w:szCs w:val="24"/>
        </w:rPr>
      </w:pPr>
      <w:r>
        <w:rPr>
          <w:rFonts w:ascii="Times New Roman" w:hAnsi="Times New Roman"/>
          <w:sz w:val="24"/>
          <w:szCs w:val="24"/>
        </w:rPr>
        <w:t xml:space="preserve">shift_kb is a global shift variable that adjusts the simulated results for all regions by an equal percentage.   </w:t>
      </w:r>
    </w:p>
    <w:p w:rsidR="00DF5970" w:rsidRDefault="00DF5970" w:rsidP="00DF5970">
      <w:pPr>
        <w:tabs>
          <w:tab w:val="left" w:pos="567"/>
          <w:tab w:val="right" w:pos="8789"/>
        </w:tabs>
        <w:spacing w:before="0"/>
        <w:ind w:left="0"/>
        <w:rPr>
          <w:rFonts w:ascii="Times New Roman" w:hAnsi="Times New Roman"/>
          <w:sz w:val="24"/>
          <w:szCs w:val="24"/>
        </w:rPr>
      </w:pPr>
      <w:r>
        <w:rPr>
          <w:rFonts w:ascii="Times New Roman" w:hAnsi="Times New Roman"/>
          <w:sz w:val="24"/>
          <w:szCs w:val="24"/>
        </w:rPr>
        <w:t>Fortunately, the scalar adjustment was small, indicating a high degree of compatibility between simulated accumulated global saving</w:t>
      </w:r>
      <w:r w:rsidR="0098401D">
        <w:rPr>
          <w:rFonts w:ascii="Times New Roman" w:hAnsi="Times New Roman"/>
          <w:sz w:val="24"/>
          <w:szCs w:val="24"/>
        </w:rPr>
        <w:t>s</w:t>
      </w:r>
      <w:r>
        <w:rPr>
          <w:rFonts w:ascii="Times New Roman" w:hAnsi="Times New Roman"/>
          <w:sz w:val="24"/>
          <w:szCs w:val="24"/>
        </w:rPr>
        <w:t xml:space="preserve"> and the Penn capital data.   </w:t>
      </w:r>
    </w:p>
    <w:p w:rsidR="00DF5970" w:rsidRDefault="00DF5970" w:rsidP="00DF5970">
      <w:pPr>
        <w:tabs>
          <w:tab w:val="left" w:pos="567"/>
          <w:tab w:val="right" w:pos="8789"/>
        </w:tabs>
        <w:ind w:left="0"/>
        <w:rPr>
          <w:rFonts w:ascii="Times New Roman" w:hAnsi="Times New Roman"/>
          <w:sz w:val="24"/>
          <w:szCs w:val="24"/>
        </w:rPr>
      </w:pPr>
      <w:r>
        <w:rPr>
          <w:rFonts w:ascii="Times New Roman" w:hAnsi="Times New Roman"/>
          <w:sz w:val="24"/>
          <w:szCs w:val="24"/>
        </w:rPr>
        <w:t xml:space="preserve">With start-of-year capital stocks </w:t>
      </w:r>
      <w:r w:rsidR="00F17B83">
        <w:rPr>
          <w:rFonts w:ascii="Times New Roman" w:hAnsi="Times New Roman"/>
          <w:sz w:val="24"/>
          <w:szCs w:val="24"/>
        </w:rPr>
        <w:t xml:space="preserve">by region </w:t>
      </w:r>
      <w:r>
        <w:rPr>
          <w:rFonts w:ascii="Times New Roman" w:hAnsi="Times New Roman"/>
          <w:sz w:val="24"/>
          <w:szCs w:val="24"/>
        </w:rPr>
        <w:t>for 201</w:t>
      </w:r>
      <w:r w:rsidR="00F8309E">
        <w:rPr>
          <w:rFonts w:ascii="Times New Roman" w:hAnsi="Times New Roman"/>
          <w:sz w:val="24"/>
          <w:szCs w:val="24"/>
        </w:rPr>
        <w:t xml:space="preserve">9 </w:t>
      </w:r>
      <w:r>
        <w:rPr>
          <w:rFonts w:ascii="Times New Roman" w:hAnsi="Times New Roman"/>
          <w:sz w:val="24"/>
          <w:szCs w:val="24"/>
        </w:rPr>
        <w:t>now in place, we must free up rates of return so that they can reflect the scarcity of capital in each region.  We do this via the equation:</w:t>
      </w:r>
    </w:p>
    <w:p w:rsidR="00DF5970" w:rsidRPr="00A24B85" w:rsidRDefault="00DF5970" w:rsidP="00DF5970">
      <w:pPr>
        <w:tabs>
          <w:tab w:val="left" w:pos="851"/>
          <w:tab w:val="right" w:pos="8789"/>
        </w:tabs>
        <w:ind w:left="0"/>
      </w:pPr>
      <w:r w:rsidRPr="00A24B85">
        <w:tab/>
      </w:r>
      <w:r w:rsidR="00F17B83" w:rsidRPr="00F17B83">
        <w:rPr>
          <w:position w:val="-10"/>
        </w:rPr>
        <w:object w:dxaOrig="5940" w:dyaOrig="320">
          <v:shape id="_x0000_i1028" type="#_x0000_t75" style="width:295.5pt;height:15.75pt" o:ole="">
            <v:imagedata r:id="rId14" o:title=""/>
          </v:shape>
          <o:OLEObject Type="Embed" ProgID="Equation.DSMT4" ShapeID="_x0000_i1028" DrawAspect="Content" ObjectID="_1774671649" r:id="rId15"/>
        </w:object>
      </w:r>
      <w:r w:rsidR="00F17B83">
        <w:t xml:space="preserve"> </w:t>
      </w:r>
      <w:r w:rsidRPr="00A24B85">
        <w:t xml:space="preserve"> </w:t>
      </w:r>
      <w:r w:rsidRPr="00A24B85">
        <w:tab/>
      </w:r>
      <w:r w:rsidRPr="00133D98">
        <w:rPr>
          <w:rFonts w:ascii="Times New Roman" w:hAnsi="Times New Roman"/>
          <w:sz w:val="24"/>
        </w:rPr>
        <w:t>(</w:t>
      </w:r>
      <w:r w:rsidR="007E5B96">
        <w:rPr>
          <w:rFonts w:ascii="Times New Roman" w:hAnsi="Times New Roman"/>
          <w:sz w:val="24"/>
        </w:rPr>
        <w:t>4</w:t>
      </w:r>
      <w:r w:rsidRPr="00133D98">
        <w:rPr>
          <w:rFonts w:ascii="Times New Roman" w:hAnsi="Times New Roman"/>
          <w:sz w:val="24"/>
        </w:rPr>
        <w:t>.3)</w:t>
      </w:r>
    </w:p>
    <w:p w:rsidR="00DF5970" w:rsidRDefault="00DF5970" w:rsidP="00DF5970">
      <w:pPr>
        <w:tabs>
          <w:tab w:val="left" w:pos="567"/>
          <w:tab w:val="right" w:pos="8789"/>
        </w:tabs>
        <w:spacing w:before="0"/>
        <w:ind w:left="0"/>
        <w:rPr>
          <w:rFonts w:ascii="Times New Roman" w:hAnsi="Times New Roman"/>
          <w:sz w:val="24"/>
          <w:szCs w:val="24"/>
        </w:rPr>
      </w:pPr>
      <w:r>
        <w:rPr>
          <w:rFonts w:ascii="Times New Roman" w:hAnsi="Times New Roman"/>
          <w:sz w:val="24"/>
          <w:szCs w:val="24"/>
        </w:rPr>
        <w:t>where</w:t>
      </w:r>
    </w:p>
    <w:p w:rsidR="00DF5970" w:rsidRDefault="00DF5970" w:rsidP="00DF5970">
      <w:pPr>
        <w:tabs>
          <w:tab w:val="left" w:pos="567"/>
          <w:tab w:val="right" w:pos="8789"/>
        </w:tabs>
        <w:spacing w:before="0"/>
        <w:ind w:left="284"/>
        <w:rPr>
          <w:rFonts w:ascii="Times New Roman" w:hAnsi="Times New Roman"/>
          <w:sz w:val="24"/>
          <w:szCs w:val="24"/>
        </w:rPr>
      </w:pPr>
      <w:r>
        <w:rPr>
          <w:rFonts w:ascii="Times New Roman" w:hAnsi="Times New Roman"/>
          <w:sz w:val="24"/>
          <w:szCs w:val="24"/>
        </w:rPr>
        <w:t>rorc</w:t>
      </w:r>
      <w:r w:rsidR="00F17B83">
        <w:rPr>
          <w:rFonts w:ascii="Times New Roman" w:hAnsi="Times New Roman"/>
          <w:sz w:val="24"/>
          <w:szCs w:val="24"/>
        </w:rPr>
        <w:t>_i</w:t>
      </w:r>
      <w:r>
        <w:rPr>
          <w:rFonts w:ascii="Times New Roman" w:hAnsi="Times New Roman"/>
          <w:sz w:val="24"/>
          <w:szCs w:val="24"/>
        </w:rPr>
        <w:t>(</w:t>
      </w:r>
      <w:r w:rsidR="00F17B83">
        <w:rPr>
          <w:rFonts w:ascii="Times New Roman" w:hAnsi="Times New Roman"/>
          <w:sz w:val="24"/>
          <w:szCs w:val="24"/>
        </w:rPr>
        <w:t>j</w:t>
      </w:r>
      <w:r w:rsidR="00E6785D">
        <w:rPr>
          <w:rFonts w:ascii="Times New Roman" w:hAnsi="Times New Roman"/>
          <w:sz w:val="24"/>
          <w:szCs w:val="24"/>
        </w:rPr>
        <w:t>,</w:t>
      </w:r>
      <w:r>
        <w:rPr>
          <w:rFonts w:ascii="Times New Roman" w:hAnsi="Times New Roman"/>
          <w:sz w:val="24"/>
          <w:szCs w:val="24"/>
        </w:rPr>
        <w:t xml:space="preserve">r) is the simulated percentage change in the actual rate of return in </w:t>
      </w:r>
      <w:r w:rsidR="00F17B83">
        <w:rPr>
          <w:rFonts w:ascii="Times New Roman" w:hAnsi="Times New Roman"/>
          <w:sz w:val="24"/>
          <w:szCs w:val="24"/>
        </w:rPr>
        <w:t xml:space="preserve">industry j in </w:t>
      </w:r>
      <w:r>
        <w:rPr>
          <w:rFonts w:ascii="Times New Roman" w:hAnsi="Times New Roman"/>
          <w:sz w:val="24"/>
          <w:szCs w:val="24"/>
        </w:rPr>
        <w:t>region r between 20</w:t>
      </w:r>
      <w:r w:rsidR="00F8309E">
        <w:rPr>
          <w:rFonts w:ascii="Times New Roman" w:hAnsi="Times New Roman"/>
          <w:sz w:val="24"/>
          <w:szCs w:val="24"/>
        </w:rPr>
        <w:t>1</w:t>
      </w:r>
      <w:r>
        <w:rPr>
          <w:rFonts w:ascii="Times New Roman" w:hAnsi="Times New Roman"/>
          <w:sz w:val="24"/>
          <w:szCs w:val="24"/>
        </w:rPr>
        <w:t>4 and 201</w:t>
      </w:r>
      <w:r w:rsidR="00F8309E">
        <w:rPr>
          <w:rFonts w:ascii="Times New Roman" w:hAnsi="Times New Roman"/>
          <w:sz w:val="24"/>
          <w:szCs w:val="24"/>
        </w:rPr>
        <w:t>9</w:t>
      </w:r>
      <w:r>
        <w:rPr>
          <w:rFonts w:ascii="Times New Roman" w:hAnsi="Times New Roman"/>
          <w:sz w:val="24"/>
          <w:szCs w:val="24"/>
        </w:rPr>
        <w:t>; and</w:t>
      </w:r>
    </w:p>
    <w:p w:rsidR="00DF5970" w:rsidRDefault="00DF5970" w:rsidP="00DF5970">
      <w:pPr>
        <w:tabs>
          <w:tab w:val="left" w:pos="567"/>
          <w:tab w:val="right" w:pos="8789"/>
        </w:tabs>
        <w:spacing w:before="0"/>
        <w:ind w:left="284"/>
        <w:rPr>
          <w:rFonts w:ascii="Times New Roman" w:hAnsi="Times New Roman"/>
          <w:sz w:val="24"/>
          <w:szCs w:val="24"/>
        </w:rPr>
      </w:pPr>
      <w:r>
        <w:rPr>
          <w:rFonts w:ascii="Times New Roman" w:hAnsi="Times New Roman"/>
          <w:sz w:val="24"/>
          <w:szCs w:val="24"/>
        </w:rPr>
        <w:t>f_ror</w:t>
      </w:r>
      <w:r w:rsidR="00F8309E">
        <w:rPr>
          <w:rFonts w:ascii="Times New Roman" w:hAnsi="Times New Roman"/>
          <w:sz w:val="24"/>
          <w:szCs w:val="24"/>
        </w:rPr>
        <w:t>c</w:t>
      </w:r>
      <w:r>
        <w:rPr>
          <w:rFonts w:ascii="Times New Roman" w:hAnsi="Times New Roman"/>
          <w:sz w:val="24"/>
          <w:szCs w:val="24"/>
        </w:rPr>
        <w:t xml:space="preserve">(r) and ff_rorc are shift variables. </w:t>
      </w:r>
    </w:p>
    <w:p w:rsidR="00DF5970" w:rsidRDefault="00DF5970" w:rsidP="00DF5970">
      <w:pPr>
        <w:tabs>
          <w:tab w:val="left" w:pos="567"/>
          <w:tab w:val="right" w:pos="8789"/>
        </w:tabs>
        <w:spacing w:before="0"/>
        <w:ind w:left="0"/>
        <w:rPr>
          <w:rFonts w:ascii="Times New Roman" w:hAnsi="Times New Roman"/>
          <w:sz w:val="24"/>
          <w:szCs w:val="24"/>
        </w:rPr>
      </w:pPr>
      <w:r>
        <w:rPr>
          <w:rFonts w:ascii="Times New Roman" w:hAnsi="Times New Roman"/>
          <w:sz w:val="24"/>
          <w:szCs w:val="24"/>
        </w:rPr>
        <w:t>In the standard long-run closure, f_rorc(r) is exogenous and ff_rorc is endogenous.  In accordance with points (</w:t>
      </w:r>
      <w:r w:rsidR="000A75BA">
        <w:rPr>
          <w:rFonts w:ascii="Times New Roman" w:hAnsi="Times New Roman"/>
          <w:sz w:val="24"/>
          <w:szCs w:val="24"/>
        </w:rPr>
        <w:t>e</w:t>
      </w:r>
      <w:r>
        <w:rPr>
          <w:rFonts w:ascii="Times New Roman" w:hAnsi="Times New Roman"/>
          <w:sz w:val="24"/>
          <w:szCs w:val="24"/>
        </w:rPr>
        <w:t>) and (</w:t>
      </w:r>
      <w:r w:rsidR="000A75BA">
        <w:rPr>
          <w:rFonts w:ascii="Times New Roman" w:hAnsi="Times New Roman"/>
          <w:sz w:val="24"/>
          <w:szCs w:val="24"/>
        </w:rPr>
        <w:t>f</w:t>
      </w:r>
      <w:r>
        <w:rPr>
          <w:rFonts w:ascii="Times New Roman" w:hAnsi="Times New Roman"/>
          <w:sz w:val="24"/>
          <w:szCs w:val="24"/>
        </w:rPr>
        <w:t>), this treatment of the shift variables</w:t>
      </w:r>
      <w:r w:rsidR="00703477">
        <w:rPr>
          <w:rFonts w:ascii="Times New Roman" w:hAnsi="Times New Roman"/>
          <w:sz w:val="24"/>
          <w:szCs w:val="24"/>
        </w:rPr>
        <w:t xml:space="preserve"> means that rates of return move endogenously by the same percentage in all industries in all regions.  </w:t>
      </w:r>
      <w:r>
        <w:rPr>
          <w:rFonts w:ascii="Times New Roman" w:hAnsi="Times New Roman"/>
          <w:sz w:val="24"/>
          <w:szCs w:val="24"/>
        </w:rPr>
        <w:t xml:space="preserve">In the </w:t>
      </w:r>
      <w:r w:rsidR="00F8309E">
        <w:rPr>
          <w:rFonts w:ascii="Times New Roman" w:hAnsi="Times New Roman"/>
          <w:sz w:val="24"/>
          <w:szCs w:val="24"/>
        </w:rPr>
        <w:t xml:space="preserve">2014-2019 </w:t>
      </w:r>
      <w:r>
        <w:rPr>
          <w:rFonts w:ascii="Times New Roman" w:hAnsi="Times New Roman"/>
          <w:sz w:val="24"/>
          <w:szCs w:val="24"/>
        </w:rPr>
        <w:t>historical closure, we endogenize f_rorc(r) and exogeniz</w:t>
      </w:r>
      <w:r w:rsidR="00703477">
        <w:rPr>
          <w:rFonts w:ascii="Times New Roman" w:hAnsi="Times New Roman"/>
          <w:sz w:val="24"/>
          <w:szCs w:val="24"/>
        </w:rPr>
        <w:t>e</w:t>
      </w:r>
      <w:r>
        <w:rPr>
          <w:rFonts w:ascii="Times New Roman" w:hAnsi="Times New Roman"/>
          <w:sz w:val="24"/>
          <w:szCs w:val="24"/>
        </w:rPr>
        <w:t xml:space="preserve"> ff_rorc.  </w:t>
      </w:r>
      <w:r w:rsidR="00703477">
        <w:rPr>
          <w:rFonts w:ascii="Times New Roman" w:hAnsi="Times New Roman"/>
          <w:sz w:val="24"/>
          <w:szCs w:val="24"/>
        </w:rPr>
        <w:t xml:space="preserve">This allows rates of return to vary across regions, but not across industries within a region. </w:t>
      </w:r>
    </w:p>
    <w:p w:rsidR="00DF5970" w:rsidRDefault="00DF5970" w:rsidP="00DF5970">
      <w:pPr>
        <w:tabs>
          <w:tab w:val="left" w:pos="567"/>
          <w:tab w:val="right" w:pos="8789"/>
        </w:tabs>
        <w:ind w:left="0"/>
        <w:rPr>
          <w:rFonts w:ascii="Times New Roman" w:hAnsi="Times New Roman"/>
          <w:sz w:val="24"/>
          <w:szCs w:val="24"/>
        </w:rPr>
      </w:pPr>
      <w:r>
        <w:rPr>
          <w:rFonts w:ascii="Times New Roman" w:hAnsi="Times New Roman"/>
          <w:i/>
          <w:sz w:val="24"/>
          <w:szCs w:val="24"/>
        </w:rPr>
        <w:t xml:space="preserve">Panel </w:t>
      </w:r>
      <w:r w:rsidR="00F8309E">
        <w:rPr>
          <w:rFonts w:ascii="Times New Roman" w:hAnsi="Times New Roman"/>
          <w:i/>
          <w:sz w:val="24"/>
          <w:szCs w:val="24"/>
        </w:rPr>
        <w:t>3</w:t>
      </w:r>
      <w:r>
        <w:rPr>
          <w:rFonts w:ascii="Times New Roman" w:hAnsi="Times New Roman"/>
          <w:i/>
          <w:sz w:val="24"/>
          <w:szCs w:val="24"/>
        </w:rPr>
        <w:t>: employment</w:t>
      </w:r>
      <w:r w:rsidR="00390E2A">
        <w:rPr>
          <w:rFonts w:ascii="Times New Roman" w:hAnsi="Times New Roman"/>
          <w:i/>
          <w:sz w:val="24"/>
          <w:szCs w:val="24"/>
        </w:rPr>
        <w:t xml:space="preserve"> and population</w:t>
      </w:r>
      <w:r>
        <w:rPr>
          <w:rFonts w:ascii="Times New Roman" w:hAnsi="Times New Roman"/>
          <w:i/>
          <w:sz w:val="24"/>
          <w:szCs w:val="24"/>
        </w:rPr>
        <w:t>.</w:t>
      </w:r>
      <w:r>
        <w:rPr>
          <w:rFonts w:ascii="Times New Roman" w:hAnsi="Times New Roman"/>
          <w:sz w:val="24"/>
          <w:szCs w:val="24"/>
        </w:rPr>
        <w:t xml:space="preserve">  Employment </w:t>
      </w:r>
      <w:r w:rsidR="00390E2A">
        <w:rPr>
          <w:rFonts w:ascii="Times New Roman" w:hAnsi="Times New Roman"/>
          <w:sz w:val="24"/>
          <w:szCs w:val="24"/>
        </w:rPr>
        <w:t xml:space="preserve">and population </w:t>
      </w:r>
      <w:r>
        <w:rPr>
          <w:rFonts w:ascii="Times New Roman" w:hAnsi="Times New Roman"/>
          <w:sz w:val="24"/>
          <w:szCs w:val="24"/>
        </w:rPr>
        <w:t xml:space="preserve">in each region </w:t>
      </w:r>
      <w:r w:rsidR="00390E2A">
        <w:rPr>
          <w:rFonts w:ascii="Times New Roman" w:hAnsi="Times New Roman"/>
          <w:sz w:val="24"/>
          <w:szCs w:val="24"/>
        </w:rPr>
        <w:t>are</w:t>
      </w:r>
      <w:r>
        <w:rPr>
          <w:rFonts w:ascii="Times New Roman" w:hAnsi="Times New Roman"/>
          <w:sz w:val="24"/>
          <w:szCs w:val="24"/>
        </w:rPr>
        <w:t xml:space="preserve"> exogenous in the standard closure.  Consequently, introduction of data on growth</w:t>
      </w:r>
      <w:r w:rsidR="00390E2A">
        <w:rPr>
          <w:rFonts w:ascii="Times New Roman" w:hAnsi="Times New Roman"/>
          <w:sz w:val="24"/>
          <w:szCs w:val="24"/>
        </w:rPr>
        <w:t xml:space="preserve"> in these variables </w:t>
      </w:r>
      <w:r>
        <w:rPr>
          <w:rFonts w:ascii="Times New Roman" w:hAnsi="Times New Roman"/>
          <w:sz w:val="24"/>
          <w:szCs w:val="24"/>
        </w:rPr>
        <w:t>between 20</w:t>
      </w:r>
      <w:r w:rsidR="00F8309E">
        <w:rPr>
          <w:rFonts w:ascii="Times New Roman" w:hAnsi="Times New Roman"/>
          <w:sz w:val="24"/>
          <w:szCs w:val="24"/>
        </w:rPr>
        <w:t>1</w:t>
      </w:r>
      <w:r>
        <w:rPr>
          <w:rFonts w:ascii="Times New Roman" w:hAnsi="Times New Roman"/>
          <w:sz w:val="24"/>
          <w:szCs w:val="24"/>
        </w:rPr>
        <w:t>4 and 201</w:t>
      </w:r>
      <w:r w:rsidR="00F8309E">
        <w:rPr>
          <w:rFonts w:ascii="Times New Roman" w:hAnsi="Times New Roman"/>
          <w:sz w:val="24"/>
          <w:szCs w:val="24"/>
        </w:rPr>
        <w:t>9</w:t>
      </w:r>
      <w:r>
        <w:rPr>
          <w:rFonts w:ascii="Times New Roman" w:hAnsi="Times New Roman"/>
          <w:sz w:val="24"/>
          <w:szCs w:val="24"/>
        </w:rPr>
        <w:t xml:space="preserve"> does not require closure swap</w:t>
      </w:r>
      <w:r w:rsidR="00390E2A">
        <w:rPr>
          <w:rFonts w:ascii="Times New Roman" w:hAnsi="Times New Roman"/>
          <w:sz w:val="24"/>
          <w:szCs w:val="24"/>
        </w:rPr>
        <w:t>s</w:t>
      </w:r>
      <w:r>
        <w:rPr>
          <w:rFonts w:ascii="Times New Roman" w:hAnsi="Times New Roman"/>
          <w:sz w:val="24"/>
          <w:szCs w:val="24"/>
        </w:rPr>
        <w:t xml:space="preserve">.  As indicated in Table </w:t>
      </w:r>
      <w:r w:rsidR="007E5B96">
        <w:rPr>
          <w:rFonts w:ascii="Times New Roman" w:hAnsi="Times New Roman"/>
          <w:sz w:val="24"/>
          <w:szCs w:val="24"/>
        </w:rPr>
        <w:t>4</w:t>
      </w:r>
      <w:r>
        <w:rPr>
          <w:rFonts w:ascii="Times New Roman" w:hAnsi="Times New Roman"/>
          <w:sz w:val="24"/>
          <w:szCs w:val="24"/>
        </w:rPr>
        <w:t xml:space="preserve">.1 [column 4, panel </w:t>
      </w:r>
      <w:r w:rsidR="00F8309E">
        <w:rPr>
          <w:rFonts w:ascii="Times New Roman" w:hAnsi="Times New Roman"/>
          <w:sz w:val="24"/>
          <w:szCs w:val="24"/>
        </w:rPr>
        <w:t>3</w:t>
      </w:r>
      <w:r>
        <w:rPr>
          <w:rFonts w:ascii="Times New Roman" w:hAnsi="Times New Roman"/>
          <w:sz w:val="24"/>
          <w:szCs w:val="24"/>
        </w:rPr>
        <w:t xml:space="preserve">], in the </w:t>
      </w:r>
      <w:r w:rsidR="00F8309E">
        <w:rPr>
          <w:rFonts w:ascii="Times New Roman" w:hAnsi="Times New Roman"/>
          <w:sz w:val="24"/>
          <w:szCs w:val="24"/>
        </w:rPr>
        <w:t xml:space="preserve">2014-19 </w:t>
      </w:r>
      <w:r>
        <w:rPr>
          <w:rFonts w:ascii="Times New Roman" w:hAnsi="Times New Roman"/>
          <w:sz w:val="24"/>
          <w:szCs w:val="24"/>
        </w:rPr>
        <w:t xml:space="preserve">historical simulation we shock </w:t>
      </w:r>
      <w:r w:rsidR="00390E2A">
        <w:rPr>
          <w:rFonts w:ascii="Times New Roman" w:hAnsi="Times New Roman"/>
          <w:sz w:val="24"/>
          <w:szCs w:val="24"/>
        </w:rPr>
        <w:t xml:space="preserve">these variables with </w:t>
      </w:r>
      <w:r>
        <w:rPr>
          <w:rFonts w:ascii="Times New Roman" w:hAnsi="Times New Roman"/>
          <w:sz w:val="24"/>
          <w:szCs w:val="24"/>
        </w:rPr>
        <w:t>percentage movements between 20</w:t>
      </w:r>
      <w:r w:rsidR="00F8309E">
        <w:rPr>
          <w:rFonts w:ascii="Times New Roman" w:hAnsi="Times New Roman"/>
          <w:sz w:val="24"/>
          <w:szCs w:val="24"/>
        </w:rPr>
        <w:t>1</w:t>
      </w:r>
      <w:r>
        <w:rPr>
          <w:rFonts w:ascii="Times New Roman" w:hAnsi="Times New Roman"/>
          <w:sz w:val="24"/>
          <w:szCs w:val="24"/>
        </w:rPr>
        <w:t>4 and 201</w:t>
      </w:r>
      <w:r w:rsidR="00F8309E">
        <w:rPr>
          <w:rFonts w:ascii="Times New Roman" w:hAnsi="Times New Roman"/>
          <w:sz w:val="24"/>
          <w:szCs w:val="24"/>
        </w:rPr>
        <w:t>9</w:t>
      </w:r>
      <w:r>
        <w:rPr>
          <w:rFonts w:ascii="Times New Roman" w:hAnsi="Times New Roman"/>
          <w:sz w:val="24"/>
          <w:szCs w:val="24"/>
        </w:rPr>
        <w:t xml:space="preserve"> derived from Penn </w:t>
      </w:r>
      <w:r w:rsidR="008C7C45">
        <w:rPr>
          <w:rFonts w:ascii="Times New Roman" w:hAnsi="Times New Roman"/>
          <w:sz w:val="24"/>
          <w:szCs w:val="24"/>
        </w:rPr>
        <w:t>W</w:t>
      </w:r>
      <w:r>
        <w:rPr>
          <w:rFonts w:ascii="Times New Roman" w:hAnsi="Times New Roman"/>
          <w:sz w:val="24"/>
          <w:szCs w:val="24"/>
        </w:rPr>
        <w:t xml:space="preserve">orld </w:t>
      </w:r>
      <w:r w:rsidR="008C7C45">
        <w:rPr>
          <w:rFonts w:ascii="Times New Roman" w:hAnsi="Times New Roman"/>
          <w:sz w:val="24"/>
          <w:szCs w:val="24"/>
        </w:rPr>
        <w:t>T</w:t>
      </w:r>
      <w:r>
        <w:rPr>
          <w:rFonts w:ascii="Times New Roman" w:hAnsi="Times New Roman"/>
          <w:sz w:val="24"/>
          <w:szCs w:val="24"/>
        </w:rPr>
        <w:t xml:space="preserve">ables </w:t>
      </w:r>
      <w:r w:rsidR="00390E2A">
        <w:rPr>
          <w:rFonts w:ascii="Times New Roman" w:hAnsi="Times New Roman"/>
          <w:sz w:val="24"/>
          <w:szCs w:val="24"/>
        </w:rPr>
        <w:t xml:space="preserve">and OECD data.  </w:t>
      </w:r>
      <w:r>
        <w:rPr>
          <w:rFonts w:ascii="Times New Roman" w:hAnsi="Times New Roman"/>
          <w:sz w:val="24"/>
          <w:szCs w:val="24"/>
        </w:rPr>
        <w:t xml:space="preserve">The shocks are in Table </w:t>
      </w:r>
      <w:r w:rsidR="007E5B96">
        <w:rPr>
          <w:rFonts w:ascii="Times New Roman" w:hAnsi="Times New Roman"/>
          <w:sz w:val="24"/>
          <w:szCs w:val="24"/>
        </w:rPr>
        <w:t>4</w:t>
      </w:r>
      <w:r>
        <w:rPr>
          <w:rFonts w:ascii="Times New Roman" w:hAnsi="Times New Roman"/>
          <w:sz w:val="24"/>
          <w:szCs w:val="24"/>
        </w:rPr>
        <w:t xml:space="preserve">.2.   </w:t>
      </w:r>
    </w:p>
    <w:p w:rsidR="00DF5970" w:rsidRDefault="00DF5970" w:rsidP="00DF5970">
      <w:pPr>
        <w:ind w:left="0"/>
        <w:rPr>
          <w:rFonts w:ascii="Times New Roman" w:hAnsi="Times New Roman"/>
          <w:sz w:val="24"/>
          <w:szCs w:val="24"/>
        </w:rPr>
      </w:pPr>
      <w:r w:rsidRPr="0069585E">
        <w:rPr>
          <w:rFonts w:ascii="Times New Roman" w:hAnsi="Times New Roman"/>
          <w:i/>
          <w:sz w:val="24"/>
          <w:szCs w:val="24"/>
        </w:rPr>
        <w:t xml:space="preserve">Panel </w:t>
      </w:r>
      <w:r w:rsidR="00F8309E">
        <w:rPr>
          <w:rFonts w:ascii="Times New Roman" w:hAnsi="Times New Roman"/>
          <w:i/>
          <w:sz w:val="24"/>
          <w:szCs w:val="24"/>
        </w:rPr>
        <w:t>4</w:t>
      </w:r>
      <w:r>
        <w:rPr>
          <w:rFonts w:ascii="Times New Roman" w:hAnsi="Times New Roman"/>
          <w:i/>
          <w:sz w:val="24"/>
          <w:szCs w:val="24"/>
        </w:rPr>
        <w:t>: land</w:t>
      </w:r>
      <w:r w:rsidRPr="0069585E">
        <w:rPr>
          <w:rFonts w:ascii="Times New Roman" w:hAnsi="Times New Roman"/>
          <w:i/>
          <w:sz w:val="24"/>
          <w:szCs w:val="24"/>
        </w:rPr>
        <w:t>.</w:t>
      </w:r>
      <w:r w:rsidRPr="0069585E">
        <w:rPr>
          <w:rFonts w:ascii="Times New Roman" w:hAnsi="Times New Roman"/>
          <w:sz w:val="24"/>
          <w:szCs w:val="24"/>
        </w:rPr>
        <w:t xml:space="preserve">  </w:t>
      </w:r>
      <w:r>
        <w:rPr>
          <w:rFonts w:ascii="Times New Roman" w:hAnsi="Times New Roman"/>
          <w:sz w:val="24"/>
          <w:szCs w:val="24"/>
        </w:rPr>
        <w:t xml:space="preserve">In the GTAP model, land is used as an input to agriculture.  While the model allows for endogenous reallocation of land between agricultural industries, the economy-wide availability is normally exogenous.  We adopt this treatment in the standard long-run closure and also in the </w:t>
      </w:r>
      <w:r w:rsidR="00F8309E">
        <w:rPr>
          <w:rFonts w:ascii="Times New Roman" w:hAnsi="Times New Roman"/>
          <w:sz w:val="24"/>
          <w:szCs w:val="24"/>
        </w:rPr>
        <w:t xml:space="preserve">2014-19 </w:t>
      </w:r>
      <w:r>
        <w:rPr>
          <w:rFonts w:ascii="Times New Roman" w:hAnsi="Times New Roman"/>
          <w:sz w:val="24"/>
          <w:szCs w:val="24"/>
        </w:rPr>
        <w:t xml:space="preserve">historical closure.  In the </w:t>
      </w:r>
      <w:r w:rsidR="00F8309E">
        <w:rPr>
          <w:rFonts w:ascii="Times New Roman" w:hAnsi="Times New Roman"/>
          <w:sz w:val="24"/>
          <w:szCs w:val="24"/>
        </w:rPr>
        <w:t>2014-19</w:t>
      </w:r>
      <w:r>
        <w:rPr>
          <w:rFonts w:ascii="Times New Roman" w:hAnsi="Times New Roman"/>
          <w:sz w:val="24"/>
          <w:szCs w:val="24"/>
        </w:rPr>
        <w:t xml:space="preserve"> simulation, we assume no change in land-availability by region between 20</w:t>
      </w:r>
      <w:r w:rsidR="00F8309E">
        <w:rPr>
          <w:rFonts w:ascii="Times New Roman" w:hAnsi="Times New Roman"/>
          <w:sz w:val="24"/>
          <w:szCs w:val="24"/>
        </w:rPr>
        <w:t>1</w:t>
      </w:r>
      <w:r>
        <w:rPr>
          <w:rFonts w:ascii="Times New Roman" w:hAnsi="Times New Roman"/>
          <w:sz w:val="24"/>
          <w:szCs w:val="24"/>
        </w:rPr>
        <w:t>4 and 201</w:t>
      </w:r>
      <w:r w:rsidR="00F8309E">
        <w:rPr>
          <w:rFonts w:ascii="Times New Roman" w:hAnsi="Times New Roman"/>
          <w:sz w:val="24"/>
          <w:szCs w:val="24"/>
        </w:rPr>
        <w:t>9</w:t>
      </w:r>
      <w:r>
        <w:rPr>
          <w:rFonts w:ascii="Times New Roman" w:hAnsi="Times New Roman"/>
          <w:sz w:val="24"/>
          <w:szCs w:val="24"/>
        </w:rPr>
        <w:t xml:space="preserve">.  </w:t>
      </w:r>
    </w:p>
    <w:p w:rsidR="00DF5970" w:rsidRDefault="00DF5970" w:rsidP="00DF5970">
      <w:pPr>
        <w:ind w:left="0"/>
        <w:rPr>
          <w:rFonts w:ascii="Times New Roman" w:hAnsi="Times New Roman"/>
          <w:sz w:val="24"/>
          <w:szCs w:val="24"/>
        </w:rPr>
      </w:pPr>
      <w:r w:rsidRPr="0069585E">
        <w:rPr>
          <w:rFonts w:ascii="Times New Roman" w:hAnsi="Times New Roman"/>
          <w:i/>
          <w:sz w:val="24"/>
          <w:szCs w:val="24"/>
        </w:rPr>
        <w:t xml:space="preserve">Panel </w:t>
      </w:r>
      <w:r w:rsidR="00206568">
        <w:rPr>
          <w:rFonts w:ascii="Times New Roman" w:hAnsi="Times New Roman"/>
          <w:i/>
          <w:sz w:val="24"/>
          <w:szCs w:val="24"/>
        </w:rPr>
        <w:t>5</w:t>
      </w:r>
      <w:r>
        <w:rPr>
          <w:rFonts w:ascii="Times New Roman" w:hAnsi="Times New Roman"/>
          <w:i/>
          <w:sz w:val="24"/>
          <w:szCs w:val="24"/>
        </w:rPr>
        <w:t>: natural resources</w:t>
      </w:r>
      <w:r w:rsidRPr="0069585E">
        <w:rPr>
          <w:rFonts w:ascii="Times New Roman" w:hAnsi="Times New Roman"/>
          <w:i/>
          <w:sz w:val="24"/>
          <w:szCs w:val="24"/>
        </w:rPr>
        <w:t>.</w:t>
      </w:r>
      <w:r w:rsidRPr="0069585E">
        <w:rPr>
          <w:rFonts w:ascii="Times New Roman" w:hAnsi="Times New Roman"/>
          <w:sz w:val="24"/>
          <w:szCs w:val="24"/>
        </w:rPr>
        <w:t xml:space="preserve">  </w:t>
      </w:r>
      <w:r>
        <w:rPr>
          <w:rFonts w:ascii="Times New Roman" w:hAnsi="Times New Roman"/>
          <w:sz w:val="24"/>
          <w:szCs w:val="24"/>
        </w:rPr>
        <w:t>The GTAP database for 20</w:t>
      </w:r>
      <w:r w:rsidR="00206568">
        <w:rPr>
          <w:rFonts w:ascii="Times New Roman" w:hAnsi="Times New Roman"/>
          <w:sz w:val="24"/>
          <w:szCs w:val="24"/>
        </w:rPr>
        <w:t>1</w:t>
      </w:r>
      <w:r>
        <w:rPr>
          <w:rFonts w:ascii="Times New Roman" w:hAnsi="Times New Roman"/>
          <w:sz w:val="24"/>
          <w:szCs w:val="24"/>
        </w:rPr>
        <w:t xml:space="preserve">4 shows that </w:t>
      </w:r>
      <w:r w:rsidR="00206568">
        <w:rPr>
          <w:rFonts w:ascii="Times New Roman" w:hAnsi="Times New Roman"/>
          <w:sz w:val="24"/>
          <w:szCs w:val="24"/>
        </w:rPr>
        <w:t>about</w:t>
      </w:r>
      <w:r>
        <w:rPr>
          <w:rFonts w:ascii="Times New Roman" w:hAnsi="Times New Roman"/>
          <w:sz w:val="24"/>
          <w:szCs w:val="24"/>
        </w:rPr>
        <w:t xml:space="preserve"> 80 per cent of the returns to natural resources are in the </w:t>
      </w:r>
      <w:r w:rsidR="00206568">
        <w:rPr>
          <w:rFonts w:ascii="Times New Roman" w:hAnsi="Times New Roman"/>
          <w:sz w:val="24"/>
          <w:szCs w:val="24"/>
        </w:rPr>
        <w:t xml:space="preserve">coal, </w:t>
      </w:r>
      <w:r>
        <w:rPr>
          <w:rFonts w:ascii="Times New Roman" w:hAnsi="Times New Roman"/>
          <w:sz w:val="24"/>
          <w:szCs w:val="24"/>
        </w:rPr>
        <w:t>oil</w:t>
      </w:r>
      <w:r w:rsidR="00206568">
        <w:rPr>
          <w:rFonts w:ascii="Times New Roman" w:hAnsi="Times New Roman"/>
          <w:sz w:val="24"/>
          <w:szCs w:val="24"/>
        </w:rPr>
        <w:t xml:space="preserve"> and </w:t>
      </w:r>
      <w:r>
        <w:rPr>
          <w:rFonts w:ascii="Times New Roman" w:hAnsi="Times New Roman"/>
          <w:sz w:val="24"/>
          <w:szCs w:val="24"/>
        </w:rPr>
        <w:t xml:space="preserve">gas industries.  In the standard long-run closure, the treatment of natural resources is similar to that of land.  In the closure for our </w:t>
      </w:r>
      <w:r w:rsidR="00206568">
        <w:rPr>
          <w:rFonts w:ascii="Times New Roman" w:hAnsi="Times New Roman"/>
          <w:sz w:val="24"/>
          <w:szCs w:val="24"/>
        </w:rPr>
        <w:t xml:space="preserve">2014-19 </w:t>
      </w:r>
      <w:r>
        <w:rPr>
          <w:rFonts w:ascii="Times New Roman" w:hAnsi="Times New Roman"/>
          <w:sz w:val="24"/>
          <w:szCs w:val="24"/>
        </w:rPr>
        <w:t>historical simulation, we treat</w:t>
      </w:r>
      <w:r w:rsidR="00334AEC">
        <w:rPr>
          <w:rFonts w:ascii="Times New Roman" w:hAnsi="Times New Roman"/>
          <w:sz w:val="24"/>
          <w:szCs w:val="24"/>
        </w:rPr>
        <w:t>ed</w:t>
      </w:r>
      <w:r>
        <w:rPr>
          <w:rFonts w:ascii="Times New Roman" w:hAnsi="Times New Roman"/>
          <w:sz w:val="24"/>
          <w:szCs w:val="24"/>
        </w:rPr>
        <w:t xml:space="preserve"> natural resources as elastically supplied at exogenously given user prices.  This required endogenization of the supply of natural resources, qo(natres,r), in each region and exogenization of the rental or user price, pm(natres,r).  With this treatment, we assume that the intensity with which natural resources are used in the production of </w:t>
      </w:r>
      <w:r w:rsidR="00206568">
        <w:rPr>
          <w:rFonts w:ascii="Times New Roman" w:hAnsi="Times New Roman"/>
          <w:sz w:val="24"/>
          <w:szCs w:val="24"/>
        </w:rPr>
        <w:t xml:space="preserve">coal, </w:t>
      </w:r>
      <w:r>
        <w:rPr>
          <w:rFonts w:ascii="Times New Roman" w:hAnsi="Times New Roman"/>
          <w:sz w:val="24"/>
          <w:szCs w:val="24"/>
        </w:rPr>
        <w:t>oil</w:t>
      </w:r>
      <w:r w:rsidR="00206568">
        <w:rPr>
          <w:rFonts w:ascii="Times New Roman" w:hAnsi="Times New Roman"/>
          <w:sz w:val="24"/>
          <w:szCs w:val="24"/>
        </w:rPr>
        <w:t xml:space="preserve"> and</w:t>
      </w:r>
      <w:r>
        <w:rPr>
          <w:rFonts w:ascii="Times New Roman" w:hAnsi="Times New Roman"/>
          <w:sz w:val="24"/>
          <w:szCs w:val="24"/>
        </w:rPr>
        <w:t xml:space="preserve"> gas adjusts to demand conditions.  The shock that we apply to the rental price of natural resources in each region, </w:t>
      </w:r>
      <w:r w:rsidR="008A5F7B">
        <w:rPr>
          <w:rFonts w:ascii="Times New Roman" w:hAnsi="Times New Roman"/>
          <w:sz w:val="24"/>
          <w:szCs w:val="24"/>
        </w:rPr>
        <w:t>-5.26</w:t>
      </w:r>
      <w:r>
        <w:rPr>
          <w:rFonts w:ascii="Times New Roman" w:hAnsi="Times New Roman"/>
          <w:sz w:val="24"/>
          <w:szCs w:val="24"/>
        </w:rPr>
        <w:t xml:space="preserve"> per cent, reflects the </w:t>
      </w:r>
      <w:r w:rsidR="008A5F7B">
        <w:rPr>
          <w:rFonts w:ascii="Times New Roman" w:hAnsi="Times New Roman"/>
          <w:sz w:val="24"/>
          <w:szCs w:val="24"/>
        </w:rPr>
        <w:t>change</w:t>
      </w:r>
      <w:r>
        <w:rPr>
          <w:rFonts w:ascii="Times New Roman" w:hAnsi="Times New Roman"/>
          <w:sz w:val="24"/>
          <w:szCs w:val="24"/>
        </w:rPr>
        <w:t xml:space="preserve"> between 20</w:t>
      </w:r>
      <w:r w:rsidR="00206568">
        <w:rPr>
          <w:rFonts w:ascii="Times New Roman" w:hAnsi="Times New Roman"/>
          <w:sz w:val="24"/>
          <w:szCs w:val="24"/>
        </w:rPr>
        <w:t>1</w:t>
      </w:r>
      <w:r>
        <w:rPr>
          <w:rFonts w:ascii="Times New Roman" w:hAnsi="Times New Roman"/>
          <w:sz w:val="24"/>
          <w:szCs w:val="24"/>
        </w:rPr>
        <w:t>4 and 201</w:t>
      </w:r>
      <w:r w:rsidR="00206568">
        <w:rPr>
          <w:rFonts w:ascii="Times New Roman" w:hAnsi="Times New Roman"/>
          <w:sz w:val="24"/>
          <w:szCs w:val="24"/>
        </w:rPr>
        <w:t>9</w:t>
      </w:r>
      <w:r>
        <w:rPr>
          <w:rFonts w:ascii="Times New Roman" w:hAnsi="Times New Roman"/>
          <w:sz w:val="24"/>
          <w:szCs w:val="24"/>
        </w:rPr>
        <w:t xml:space="preserve"> in the average $US price of global GDP.  However, this shock is of little importance.  As will be apparent in later steps in the development of the </w:t>
      </w:r>
      <w:r w:rsidR="008A5F7B">
        <w:rPr>
          <w:rFonts w:ascii="Times New Roman" w:hAnsi="Times New Roman"/>
          <w:sz w:val="24"/>
          <w:szCs w:val="24"/>
        </w:rPr>
        <w:t xml:space="preserve">2014-19 </w:t>
      </w:r>
      <w:r>
        <w:rPr>
          <w:rFonts w:ascii="Times New Roman" w:hAnsi="Times New Roman"/>
          <w:sz w:val="24"/>
          <w:szCs w:val="24"/>
        </w:rPr>
        <w:t xml:space="preserve">historical closure, we introduce data on movements in prices of </w:t>
      </w:r>
      <w:r w:rsidR="008A5F7B">
        <w:rPr>
          <w:rFonts w:ascii="Times New Roman" w:hAnsi="Times New Roman"/>
          <w:sz w:val="24"/>
          <w:szCs w:val="24"/>
        </w:rPr>
        <w:t>coal, oil and gas</w:t>
      </w:r>
      <w:r>
        <w:rPr>
          <w:rFonts w:ascii="Times New Roman" w:hAnsi="Times New Roman"/>
          <w:sz w:val="24"/>
          <w:szCs w:val="24"/>
        </w:rPr>
        <w:t xml:space="preserve">.  </w:t>
      </w:r>
      <w:r>
        <w:rPr>
          <w:rFonts w:ascii="Times New Roman" w:hAnsi="Times New Roman"/>
          <w:sz w:val="24"/>
          <w:szCs w:val="24"/>
        </w:rPr>
        <w:lastRenderedPageBreak/>
        <w:t xml:space="preserve">These over-rule the </w:t>
      </w:r>
      <w:r w:rsidR="008A5F7B">
        <w:rPr>
          <w:rFonts w:ascii="Times New Roman" w:hAnsi="Times New Roman"/>
          <w:sz w:val="24"/>
          <w:szCs w:val="24"/>
        </w:rPr>
        <w:t>-5.26</w:t>
      </w:r>
      <w:r>
        <w:rPr>
          <w:rFonts w:ascii="Times New Roman" w:hAnsi="Times New Roman"/>
          <w:sz w:val="24"/>
          <w:szCs w:val="24"/>
        </w:rPr>
        <w:t xml:space="preserve"> per cent assumption in the determination of the prices of these energy commodities and endogenize profitability per unit of their production.  </w:t>
      </w:r>
    </w:p>
    <w:p w:rsidR="00AE2DE9" w:rsidRDefault="00DF5970" w:rsidP="00AE2DE9">
      <w:pPr>
        <w:ind w:left="0"/>
        <w:rPr>
          <w:rFonts w:ascii="Times New Roman" w:hAnsi="Times New Roman"/>
          <w:sz w:val="24"/>
          <w:szCs w:val="24"/>
        </w:rPr>
      </w:pPr>
      <w:r>
        <w:rPr>
          <w:rFonts w:ascii="Times New Roman" w:hAnsi="Times New Roman"/>
          <w:i/>
          <w:sz w:val="24"/>
          <w:szCs w:val="24"/>
        </w:rPr>
        <w:t xml:space="preserve">Panel </w:t>
      </w:r>
      <w:r w:rsidR="008A5F7B">
        <w:rPr>
          <w:rFonts w:ascii="Times New Roman" w:hAnsi="Times New Roman"/>
          <w:i/>
          <w:sz w:val="24"/>
          <w:szCs w:val="24"/>
        </w:rPr>
        <w:t>6</w:t>
      </w:r>
      <w:r>
        <w:rPr>
          <w:rFonts w:ascii="Times New Roman" w:hAnsi="Times New Roman"/>
          <w:i/>
          <w:sz w:val="24"/>
          <w:szCs w:val="24"/>
        </w:rPr>
        <w:t xml:space="preserve">: </w:t>
      </w:r>
      <w:r w:rsidR="008A5F7B">
        <w:rPr>
          <w:rFonts w:ascii="Times New Roman" w:hAnsi="Times New Roman"/>
          <w:i/>
          <w:sz w:val="24"/>
          <w:szCs w:val="24"/>
        </w:rPr>
        <w:t>Twist in capital-labour technology.</w:t>
      </w:r>
      <w:r w:rsidR="008B587A">
        <w:rPr>
          <w:rFonts w:ascii="Times New Roman" w:hAnsi="Times New Roman"/>
          <w:i/>
          <w:sz w:val="24"/>
          <w:szCs w:val="24"/>
        </w:rPr>
        <w:t xml:space="preserve">  </w:t>
      </w:r>
      <w:r w:rsidR="008B587A">
        <w:rPr>
          <w:rFonts w:ascii="Times New Roman" w:hAnsi="Times New Roman"/>
          <w:sz w:val="24"/>
          <w:szCs w:val="24"/>
        </w:rPr>
        <w:t xml:space="preserve">Table </w:t>
      </w:r>
      <w:r w:rsidR="007E5B96">
        <w:rPr>
          <w:rFonts w:ascii="Times New Roman" w:hAnsi="Times New Roman"/>
          <w:sz w:val="24"/>
          <w:szCs w:val="24"/>
        </w:rPr>
        <w:t>4</w:t>
      </w:r>
      <w:r w:rsidR="008B587A">
        <w:rPr>
          <w:rFonts w:ascii="Times New Roman" w:hAnsi="Times New Roman"/>
          <w:sz w:val="24"/>
          <w:szCs w:val="24"/>
        </w:rPr>
        <w:t xml:space="preserve">.2 shows </w:t>
      </w:r>
      <w:r w:rsidR="004B6CF8">
        <w:rPr>
          <w:rFonts w:ascii="Times New Roman" w:hAnsi="Times New Roman"/>
          <w:sz w:val="24"/>
          <w:szCs w:val="24"/>
        </w:rPr>
        <w:t>very large increases in capital/labour ratios in all regions between 2014 and 2019.  For example, the K/L ratio for Chin</w:t>
      </w:r>
      <w:r w:rsidR="00BA789C">
        <w:rPr>
          <w:rFonts w:ascii="Times New Roman" w:hAnsi="Times New Roman"/>
          <w:sz w:val="24"/>
          <w:szCs w:val="24"/>
        </w:rPr>
        <w:t>a increased by 54.90 per cent [</w:t>
      </w:r>
      <w:r w:rsidR="004B6CF8">
        <w:rPr>
          <w:rFonts w:ascii="Times New Roman" w:hAnsi="Times New Roman"/>
          <w:sz w:val="24"/>
          <w:szCs w:val="24"/>
        </w:rPr>
        <w:t xml:space="preserve">= 100*((1.5457)/(1-0.0021)-1)].  </w:t>
      </w:r>
      <w:r w:rsidR="00334AEC">
        <w:rPr>
          <w:rFonts w:ascii="Times New Roman" w:hAnsi="Times New Roman"/>
          <w:sz w:val="24"/>
          <w:szCs w:val="24"/>
        </w:rPr>
        <w:t>We also</w:t>
      </w:r>
      <w:r w:rsidR="004B6CF8">
        <w:rPr>
          <w:rFonts w:ascii="Times New Roman" w:hAnsi="Times New Roman"/>
          <w:sz w:val="24"/>
          <w:szCs w:val="24"/>
        </w:rPr>
        <w:t xml:space="preserve"> observed very large K/L increases in our historical simulation for 2004-14 (Dixon and Rimmer, 2023</w:t>
      </w:r>
      <w:r w:rsidR="00BA789C">
        <w:rPr>
          <w:rFonts w:ascii="Times New Roman" w:hAnsi="Times New Roman"/>
          <w:sz w:val="24"/>
          <w:szCs w:val="24"/>
        </w:rPr>
        <w:t>a</w:t>
      </w:r>
      <w:r w:rsidR="004B6CF8">
        <w:rPr>
          <w:rFonts w:ascii="Times New Roman" w:hAnsi="Times New Roman"/>
          <w:sz w:val="24"/>
          <w:szCs w:val="24"/>
        </w:rPr>
        <w:t>)</w:t>
      </w:r>
      <w:r w:rsidR="00672B50">
        <w:rPr>
          <w:rFonts w:ascii="Times New Roman" w:hAnsi="Times New Roman"/>
          <w:sz w:val="24"/>
          <w:szCs w:val="24"/>
        </w:rPr>
        <w:t xml:space="preserve">.  </w:t>
      </w:r>
      <w:r w:rsidR="00334AEC">
        <w:rPr>
          <w:rFonts w:ascii="Times New Roman" w:hAnsi="Times New Roman"/>
          <w:sz w:val="24"/>
          <w:szCs w:val="24"/>
        </w:rPr>
        <w:t>Large</w:t>
      </w:r>
      <w:r w:rsidR="00672B50">
        <w:rPr>
          <w:rFonts w:ascii="Times New Roman" w:hAnsi="Times New Roman"/>
          <w:sz w:val="24"/>
          <w:szCs w:val="24"/>
        </w:rPr>
        <w:t xml:space="preserve"> K/L increases suggest that technical change must be biased in favour of using capital.  In our 2004-14 simulation</w:t>
      </w:r>
      <w:r w:rsidR="00BA789C">
        <w:rPr>
          <w:rFonts w:ascii="Times New Roman" w:hAnsi="Times New Roman"/>
          <w:sz w:val="24"/>
          <w:szCs w:val="24"/>
        </w:rPr>
        <w:t>,</w:t>
      </w:r>
      <w:r w:rsidR="00672B50">
        <w:rPr>
          <w:rFonts w:ascii="Times New Roman" w:hAnsi="Times New Roman"/>
          <w:sz w:val="24"/>
          <w:szCs w:val="24"/>
        </w:rPr>
        <w:t xml:space="preserve"> we estimated the bias for each region by introducing data on the earnings of capital and labour.  For 2014-19</w:t>
      </w:r>
      <w:r w:rsidR="00BA789C">
        <w:rPr>
          <w:rFonts w:ascii="Times New Roman" w:hAnsi="Times New Roman"/>
          <w:sz w:val="24"/>
          <w:szCs w:val="24"/>
        </w:rPr>
        <w:t>,</w:t>
      </w:r>
      <w:r w:rsidR="00672B50">
        <w:rPr>
          <w:rFonts w:ascii="Times New Roman" w:hAnsi="Times New Roman"/>
          <w:sz w:val="24"/>
          <w:szCs w:val="24"/>
        </w:rPr>
        <w:t xml:space="preserve"> we do not have earnings data.  In these circumstances</w:t>
      </w:r>
      <w:r w:rsidR="00AE2DE9">
        <w:rPr>
          <w:rFonts w:ascii="Times New Roman" w:hAnsi="Times New Roman"/>
          <w:sz w:val="24"/>
          <w:szCs w:val="24"/>
        </w:rPr>
        <w:t>,</w:t>
      </w:r>
      <w:r w:rsidR="00672B50">
        <w:rPr>
          <w:rFonts w:ascii="Times New Roman" w:hAnsi="Times New Roman"/>
          <w:sz w:val="24"/>
          <w:szCs w:val="24"/>
        </w:rPr>
        <w:t xml:space="preserve"> we introduce capital-using technology bias by extrapolating the bias for each region estimated for 2004-14.  </w:t>
      </w:r>
      <w:r w:rsidR="00AE2DE9">
        <w:rPr>
          <w:rFonts w:ascii="Times New Roman" w:hAnsi="Times New Roman"/>
          <w:sz w:val="24"/>
          <w:szCs w:val="24"/>
        </w:rPr>
        <w:t>We did this by applying shocks, extrapolated from 2004-14, to the variable twistKL(r) for all r.</w:t>
      </w:r>
    </w:p>
    <w:p w:rsidR="008A5F7B" w:rsidRPr="008B587A" w:rsidRDefault="008B587A" w:rsidP="00AE2DE9">
      <w:pPr>
        <w:ind w:left="0"/>
        <w:rPr>
          <w:rFonts w:ascii="Times New Roman" w:hAnsi="Times New Roman"/>
          <w:sz w:val="24"/>
          <w:szCs w:val="24"/>
        </w:rPr>
      </w:pPr>
      <w:r>
        <w:rPr>
          <w:rFonts w:ascii="Times New Roman" w:hAnsi="Times New Roman"/>
          <w:sz w:val="24"/>
          <w:szCs w:val="24"/>
        </w:rPr>
        <w:t xml:space="preserve">A movement in </w:t>
      </w:r>
      <w:r w:rsidR="00AE2DE9">
        <w:rPr>
          <w:rFonts w:ascii="Times New Roman" w:hAnsi="Times New Roman"/>
          <w:sz w:val="24"/>
          <w:szCs w:val="24"/>
        </w:rPr>
        <w:t xml:space="preserve">twistKL(r) </w:t>
      </w:r>
      <w:r>
        <w:rPr>
          <w:rFonts w:ascii="Times New Roman" w:hAnsi="Times New Roman"/>
          <w:sz w:val="24"/>
          <w:szCs w:val="24"/>
        </w:rPr>
        <w:t xml:space="preserve">of </w:t>
      </w:r>
      <w:r w:rsidRPr="00782479">
        <w:rPr>
          <w:rFonts w:ascii="Times New Roman" w:hAnsi="Times New Roman"/>
          <w:i/>
          <w:sz w:val="24"/>
          <w:szCs w:val="24"/>
        </w:rPr>
        <w:t>x</w:t>
      </w:r>
      <w:r>
        <w:rPr>
          <w:rFonts w:ascii="Times New Roman" w:hAnsi="Times New Roman"/>
          <w:sz w:val="24"/>
          <w:szCs w:val="24"/>
        </w:rPr>
        <w:t xml:space="preserve"> per cent </w:t>
      </w:r>
      <w:r w:rsidRPr="00782479">
        <w:rPr>
          <w:rFonts w:ascii="Times New Roman" w:hAnsi="Times New Roman"/>
          <w:sz w:val="24"/>
          <w:szCs w:val="24"/>
        </w:rPr>
        <w:t>cause</w:t>
      </w:r>
      <w:r>
        <w:rPr>
          <w:rFonts w:ascii="Times New Roman" w:hAnsi="Times New Roman"/>
          <w:sz w:val="24"/>
          <w:szCs w:val="24"/>
        </w:rPr>
        <w:t xml:space="preserve">s all industries in region r to increase their capital/labour ratio by </w:t>
      </w:r>
      <w:r>
        <w:rPr>
          <w:rFonts w:ascii="Times New Roman" w:hAnsi="Times New Roman"/>
          <w:i/>
          <w:sz w:val="24"/>
          <w:szCs w:val="24"/>
        </w:rPr>
        <w:t>x</w:t>
      </w:r>
      <w:r>
        <w:rPr>
          <w:rFonts w:ascii="Times New Roman" w:hAnsi="Times New Roman"/>
          <w:sz w:val="24"/>
          <w:szCs w:val="24"/>
        </w:rPr>
        <w:t xml:space="preserve"> per cent beyond what can be explained by movements in the costs of using capital and labour.  </w:t>
      </w:r>
      <w:r w:rsidR="00213A14">
        <w:rPr>
          <w:rFonts w:ascii="Times New Roman" w:hAnsi="Times New Roman"/>
          <w:sz w:val="24"/>
          <w:szCs w:val="24"/>
        </w:rPr>
        <w:t>We made the tech</w:t>
      </w:r>
      <w:r>
        <w:rPr>
          <w:rFonts w:ascii="Times New Roman" w:hAnsi="Times New Roman"/>
          <w:sz w:val="24"/>
          <w:szCs w:val="24"/>
        </w:rPr>
        <w:t xml:space="preserve">nology changes imposed through twistKL(r) cost neutral for </w:t>
      </w:r>
      <w:r w:rsidR="00213A14">
        <w:rPr>
          <w:rFonts w:ascii="Times New Roman" w:hAnsi="Times New Roman"/>
          <w:sz w:val="24"/>
          <w:szCs w:val="24"/>
        </w:rPr>
        <w:t>each industry j in region r:</w:t>
      </w:r>
      <w:r>
        <w:rPr>
          <w:rFonts w:ascii="Times New Roman" w:hAnsi="Times New Roman"/>
          <w:sz w:val="24"/>
          <w:szCs w:val="24"/>
        </w:rPr>
        <w:t xml:space="preserve"> an increase in</w:t>
      </w:r>
      <w:r w:rsidR="00213A14">
        <w:rPr>
          <w:rFonts w:ascii="Times New Roman" w:hAnsi="Times New Roman"/>
          <w:sz w:val="24"/>
          <w:szCs w:val="24"/>
        </w:rPr>
        <w:t xml:space="preserve"> (j,r)’s use of </w:t>
      </w:r>
      <w:r>
        <w:rPr>
          <w:rFonts w:ascii="Times New Roman" w:hAnsi="Times New Roman"/>
          <w:sz w:val="24"/>
          <w:szCs w:val="24"/>
        </w:rPr>
        <w:t xml:space="preserve">K is offset by a compensating reduction in </w:t>
      </w:r>
      <w:r w:rsidR="00213A14">
        <w:rPr>
          <w:rFonts w:ascii="Times New Roman" w:hAnsi="Times New Roman"/>
          <w:sz w:val="24"/>
          <w:szCs w:val="24"/>
        </w:rPr>
        <w:t xml:space="preserve">its use of </w:t>
      </w:r>
      <w:r>
        <w:rPr>
          <w:rFonts w:ascii="Times New Roman" w:hAnsi="Times New Roman"/>
          <w:sz w:val="24"/>
          <w:szCs w:val="24"/>
        </w:rPr>
        <w:t>L.  By adopting cost-neutral technology changes, we avoid indeterminacy between the roles of the technology changes in this panel and the technology changes introduced to absorb real GDP data in panel 1.</w:t>
      </w:r>
      <w:r w:rsidR="004B6CF8">
        <w:rPr>
          <w:rFonts w:ascii="Times New Roman" w:hAnsi="Times New Roman"/>
          <w:sz w:val="24"/>
          <w:szCs w:val="24"/>
        </w:rPr>
        <w:t xml:space="preserve">  </w:t>
      </w:r>
      <w:r w:rsidR="00AE2DE9">
        <w:rPr>
          <w:rFonts w:ascii="Times New Roman" w:hAnsi="Times New Roman"/>
          <w:sz w:val="24"/>
          <w:szCs w:val="24"/>
        </w:rPr>
        <w:t xml:space="preserve"> </w:t>
      </w:r>
    </w:p>
    <w:p w:rsidR="008A5F7B" w:rsidRPr="00AE2DE9" w:rsidRDefault="00AE2DE9" w:rsidP="00DF5970">
      <w:pPr>
        <w:ind w:left="0"/>
        <w:rPr>
          <w:rFonts w:ascii="Times New Roman" w:hAnsi="Times New Roman"/>
          <w:sz w:val="24"/>
          <w:szCs w:val="24"/>
        </w:rPr>
      </w:pPr>
      <w:r>
        <w:rPr>
          <w:rFonts w:ascii="Times New Roman" w:hAnsi="Times New Roman"/>
          <w:sz w:val="24"/>
          <w:szCs w:val="24"/>
        </w:rPr>
        <w:t xml:space="preserve">In the absence of the twistKL shocks, our 2014-19 simulation would have implied unrealistic movements in factor prices.  As we found in our 2004-14 simulation, twists towards capital (positive movements in twistKL) were required in the 2014-19 simulation </w:t>
      </w:r>
      <w:r w:rsidR="00696FBD">
        <w:rPr>
          <w:rFonts w:ascii="Times New Roman" w:hAnsi="Times New Roman"/>
          <w:sz w:val="24"/>
          <w:szCs w:val="24"/>
        </w:rPr>
        <w:t xml:space="preserve">for most regions to prevent collapse in the rental price of capital and correspondingly unrealistically large increases in real wage rates.  </w:t>
      </w:r>
    </w:p>
    <w:p w:rsidR="00397885" w:rsidRDefault="00397885" w:rsidP="000D7ADF">
      <w:pPr>
        <w:ind w:left="0"/>
        <w:rPr>
          <w:rFonts w:ascii="Times New Roman" w:hAnsi="Times New Roman"/>
          <w:i/>
          <w:sz w:val="24"/>
          <w:szCs w:val="24"/>
        </w:rPr>
      </w:pPr>
      <w:r w:rsidRPr="00397885">
        <w:rPr>
          <w:rFonts w:ascii="Times New Roman" w:hAnsi="Times New Roman"/>
          <w:i/>
          <w:sz w:val="24"/>
          <w:szCs w:val="24"/>
        </w:rPr>
        <w:t>Overview of Part 1</w:t>
      </w:r>
    </w:p>
    <w:p w:rsidR="00566C2A" w:rsidRDefault="00397885" w:rsidP="00397885">
      <w:pPr>
        <w:ind w:left="0"/>
        <w:rPr>
          <w:rFonts w:ascii="Times New Roman" w:hAnsi="Times New Roman"/>
          <w:sz w:val="24"/>
          <w:szCs w:val="24"/>
        </w:rPr>
      </w:pPr>
      <w:r>
        <w:rPr>
          <w:rFonts w:ascii="Times New Roman" w:hAnsi="Times New Roman"/>
          <w:sz w:val="24"/>
          <w:szCs w:val="24"/>
        </w:rPr>
        <w:t xml:space="preserve">The data inputs and closure swaps to the end of panel 6 complete, to a large extent, the estimation of the contribution to GDP of technical change.  This is indicated by the similarity of the </w:t>
      </w:r>
      <w:r w:rsidR="00566C2A">
        <w:rPr>
          <w:rFonts w:ascii="Times New Roman" w:hAnsi="Times New Roman"/>
          <w:sz w:val="24"/>
          <w:szCs w:val="24"/>
        </w:rPr>
        <w:t>first</w:t>
      </w:r>
      <w:r>
        <w:rPr>
          <w:rFonts w:ascii="Times New Roman" w:hAnsi="Times New Roman"/>
          <w:sz w:val="24"/>
          <w:szCs w:val="24"/>
        </w:rPr>
        <w:t xml:space="preserve"> two columns of Table </w:t>
      </w:r>
      <w:r w:rsidR="00BA789C">
        <w:rPr>
          <w:rFonts w:ascii="Times New Roman" w:hAnsi="Times New Roman"/>
          <w:sz w:val="24"/>
          <w:szCs w:val="24"/>
        </w:rPr>
        <w:t>4</w:t>
      </w:r>
      <w:r>
        <w:rPr>
          <w:rFonts w:ascii="Times New Roman" w:hAnsi="Times New Roman"/>
          <w:sz w:val="24"/>
          <w:szCs w:val="24"/>
        </w:rPr>
        <w:t>.</w:t>
      </w:r>
      <w:r w:rsidR="00566C2A">
        <w:rPr>
          <w:rFonts w:ascii="Times New Roman" w:hAnsi="Times New Roman"/>
          <w:sz w:val="24"/>
          <w:szCs w:val="24"/>
        </w:rPr>
        <w:t>3</w:t>
      </w:r>
      <w:r>
        <w:rPr>
          <w:rFonts w:ascii="Times New Roman" w:hAnsi="Times New Roman"/>
          <w:sz w:val="24"/>
          <w:szCs w:val="24"/>
        </w:rPr>
        <w:t xml:space="preserve">.  These show the technology contributions after </w:t>
      </w:r>
      <w:r w:rsidR="00334AEC" w:rsidRPr="00AE5156">
        <w:rPr>
          <w:rFonts w:ascii="Times New Roman" w:hAnsi="Times New Roman"/>
          <w:sz w:val="24"/>
          <w:szCs w:val="24"/>
        </w:rPr>
        <w:t xml:space="preserve">implementation of </w:t>
      </w:r>
      <w:r w:rsidRPr="00AE5156">
        <w:rPr>
          <w:rFonts w:ascii="Times New Roman" w:hAnsi="Times New Roman"/>
          <w:sz w:val="24"/>
          <w:szCs w:val="24"/>
        </w:rPr>
        <w:t xml:space="preserve">panel </w:t>
      </w:r>
      <w:r w:rsidR="00566C2A" w:rsidRPr="00AE5156">
        <w:rPr>
          <w:rFonts w:ascii="Times New Roman" w:hAnsi="Times New Roman"/>
          <w:sz w:val="24"/>
          <w:szCs w:val="24"/>
        </w:rPr>
        <w:t>6</w:t>
      </w:r>
      <w:r w:rsidRPr="00AE5156">
        <w:rPr>
          <w:rFonts w:ascii="Times New Roman" w:hAnsi="Times New Roman"/>
          <w:sz w:val="24"/>
          <w:szCs w:val="24"/>
        </w:rPr>
        <w:t xml:space="preserve">, and the final estimated contributions at the end of panel </w:t>
      </w:r>
      <w:r w:rsidR="00C00B97" w:rsidRPr="00AE5156">
        <w:rPr>
          <w:rFonts w:ascii="Times New Roman" w:hAnsi="Times New Roman"/>
          <w:sz w:val="24"/>
          <w:szCs w:val="24"/>
        </w:rPr>
        <w:t>1</w:t>
      </w:r>
      <w:r w:rsidR="00297A09" w:rsidRPr="00AE5156">
        <w:rPr>
          <w:rFonts w:ascii="Times New Roman" w:hAnsi="Times New Roman"/>
          <w:sz w:val="24"/>
          <w:szCs w:val="24"/>
        </w:rPr>
        <w:t>9</w:t>
      </w:r>
      <w:r w:rsidRPr="00AE5156">
        <w:rPr>
          <w:rFonts w:ascii="Times New Roman" w:hAnsi="Times New Roman"/>
          <w:sz w:val="24"/>
          <w:szCs w:val="24"/>
        </w:rPr>
        <w:t xml:space="preserve">.  </w:t>
      </w:r>
      <w:r w:rsidR="00566C2A" w:rsidRPr="00AE5156">
        <w:rPr>
          <w:rFonts w:ascii="Times New Roman" w:hAnsi="Times New Roman"/>
          <w:sz w:val="24"/>
          <w:szCs w:val="24"/>
        </w:rPr>
        <w:t xml:space="preserve">As we move from panel 6 to panel </w:t>
      </w:r>
      <w:r w:rsidR="00C00B97" w:rsidRPr="00AE5156">
        <w:rPr>
          <w:rFonts w:ascii="Times New Roman" w:hAnsi="Times New Roman"/>
          <w:sz w:val="24"/>
          <w:szCs w:val="24"/>
        </w:rPr>
        <w:t>1</w:t>
      </w:r>
      <w:r w:rsidR="00297A09" w:rsidRPr="00AE5156">
        <w:rPr>
          <w:rFonts w:ascii="Times New Roman" w:hAnsi="Times New Roman"/>
          <w:sz w:val="24"/>
          <w:szCs w:val="24"/>
        </w:rPr>
        <w:t>9</w:t>
      </w:r>
      <w:r w:rsidR="00566C2A" w:rsidRPr="00AE5156">
        <w:rPr>
          <w:rFonts w:ascii="Times New Roman" w:hAnsi="Times New Roman"/>
          <w:sz w:val="24"/>
          <w:szCs w:val="24"/>
        </w:rPr>
        <w:t>, real GDP and the major factor inputs don’t change leaving the technology</w:t>
      </w:r>
      <w:r w:rsidR="00566C2A">
        <w:rPr>
          <w:rFonts w:ascii="Times New Roman" w:hAnsi="Times New Roman"/>
          <w:sz w:val="24"/>
          <w:szCs w:val="24"/>
        </w:rPr>
        <w:t xml:space="preserve"> contribution approximately unchanged.  An exception is Saudi Arabia.  As explained in the discussion of panel </w:t>
      </w:r>
      <w:r w:rsidR="00334AEC">
        <w:rPr>
          <w:rFonts w:ascii="Times New Roman" w:hAnsi="Times New Roman"/>
          <w:sz w:val="24"/>
          <w:szCs w:val="24"/>
        </w:rPr>
        <w:t>5</w:t>
      </w:r>
      <w:r w:rsidR="00566C2A">
        <w:rPr>
          <w:rFonts w:ascii="Times New Roman" w:hAnsi="Times New Roman"/>
          <w:sz w:val="24"/>
          <w:szCs w:val="24"/>
        </w:rPr>
        <w:t xml:space="preserve">, </w:t>
      </w:r>
      <w:r w:rsidR="00DD5F6B">
        <w:rPr>
          <w:rFonts w:ascii="Times New Roman" w:hAnsi="Times New Roman"/>
          <w:sz w:val="24"/>
          <w:szCs w:val="24"/>
        </w:rPr>
        <w:t xml:space="preserve">natural resource inputs are endogenous.  They change when we introduce data in Part 3 on output of oil and other fossil fuels.  This is important for Saudi Arabia for which there is a large contribution to GDP from the input of natural resources. </w:t>
      </w:r>
    </w:p>
    <w:p w:rsidR="00F25AA9" w:rsidRDefault="000E783C" w:rsidP="000E783C">
      <w:pPr>
        <w:ind w:left="0"/>
        <w:rPr>
          <w:rFonts w:ascii="Times New Roman" w:hAnsi="Times New Roman"/>
          <w:sz w:val="24"/>
          <w:szCs w:val="24"/>
        </w:rPr>
      </w:pPr>
      <w:r w:rsidRPr="000E783C">
        <w:rPr>
          <w:rFonts w:ascii="Times New Roman" w:hAnsi="Times New Roman"/>
          <w:sz w:val="24"/>
          <w:szCs w:val="24"/>
        </w:rPr>
        <w:t>The 3</w:t>
      </w:r>
      <w:r w:rsidRPr="000E783C">
        <w:rPr>
          <w:rFonts w:ascii="Times New Roman" w:hAnsi="Times New Roman"/>
          <w:sz w:val="24"/>
          <w:szCs w:val="24"/>
          <w:vertAlign w:val="superscript"/>
        </w:rPr>
        <w:t>rd</w:t>
      </w:r>
      <w:r w:rsidRPr="000E783C">
        <w:rPr>
          <w:rFonts w:ascii="Times New Roman" w:hAnsi="Times New Roman"/>
          <w:sz w:val="24"/>
          <w:szCs w:val="24"/>
        </w:rPr>
        <w:t xml:space="preserve"> and 4</w:t>
      </w:r>
      <w:r w:rsidRPr="000E783C">
        <w:rPr>
          <w:rFonts w:ascii="Times New Roman" w:hAnsi="Times New Roman"/>
          <w:sz w:val="24"/>
          <w:szCs w:val="24"/>
          <w:vertAlign w:val="superscript"/>
        </w:rPr>
        <w:t>th</w:t>
      </w:r>
      <w:r w:rsidRPr="000E783C">
        <w:rPr>
          <w:rFonts w:ascii="Times New Roman" w:hAnsi="Times New Roman"/>
          <w:sz w:val="24"/>
          <w:szCs w:val="24"/>
        </w:rPr>
        <w:t xml:space="preserve"> columns in Table </w:t>
      </w:r>
      <w:r w:rsidR="00BA789C">
        <w:rPr>
          <w:rFonts w:ascii="Times New Roman" w:hAnsi="Times New Roman"/>
          <w:sz w:val="24"/>
          <w:szCs w:val="24"/>
        </w:rPr>
        <w:t>4</w:t>
      </w:r>
      <w:r w:rsidRPr="000E783C">
        <w:rPr>
          <w:rFonts w:ascii="Times New Roman" w:hAnsi="Times New Roman"/>
          <w:sz w:val="24"/>
          <w:szCs w:val="24"/>
        </w:rPr>
        <w:t xml:space="preserve">.3 </w:t>
      </w:r>
      <w:r>
        <w:rPr>
          <w:rFonts w:ascii="Times New Roman" w:hAnsi="Times New Roman"/>
          <w:sz w:val="24"/>
          <w:szCs w:val="24"/>
        </w:rPr>
        <w:t xml:space="preserve">show percentage changes in wage rates deflated by consumer prices.  With </w:t>
      </w:r>
      <w:r w:rsidRPr="000E783C">
        <w:rPr>
          <w:rFonts w:ascii="Times New Roman" w:hAnsi="Times New Roman"/>
          <w:sz w:val="24"/>
          <w:szCs w:val="24"/>
        </w:rPr>
        <w:t xml:space="preserve">factor inputs and technologies including K/L biases largely fixed by the end of panel 6, </w:t>
      </w:r>
      <w:r>
        <w:rPr>
          <w:rFonts w:ascii="Times New Roman" w:hAnsi="Times New Roman"/>
          <w:sz w:val="24"/>
          <w:szCs w:val="24"/>
        </w:rPr>
        <w:t xml:space="preserve">we expected to see little movement in these real wage rates beyond </w:t>
      </w:r>
      <w:r w:rsidR="006950C4">
        <w:rPr>
          <w:rFonts w:ascii="Times New Roman" w:hAnsi="Times New Roman"/>
          <w:sz w:val="24"/>
          <w:szCs w:val="24"/>
        </w:rPr>
        <w:t>panel 6</w:t>
      </w:r>
      <w:r>
        <w:rPr>
          <w:rFonts w:ascii="Times New Roman" w:hAnsi="Times New Roman"/>
          <w:sz w:val="24"/>
          <w:szCs w:val="24"/>
        </w:rPr>
        <w:t xml:space="preserve">.  This expectation </w:t>
      </w:r>
      <w:r w:rsidR="00F25AA9">
        <w:rPr>
          <w:rFonts w:ascii="Times New Roman" w:hAnsi="Times New Roman"/>
          <w:sz w:val="24"/>
          <w:szCs w:val="24"/>
        </w:rPr>
        <w:t>was</w:t>
      </w:r>
      <w:r>
        <w:rPr>
          <w:rFonts w:ascii="Times New Roman" w:hAnsi="Times New Roman"/>
          <w:sz w:val="24"/>
          <w:szCs w:val="24"/>
        </w:rPr>
        <w:t xml:space="preserve"> fulfilled</w:t>
      </w:r>
      <w:r w:rsidR="00F25AA9">
        <w:rPr>
          <w:rFonts w:ascii="Times New Roman" w:hAnsi="Times New Roman"/>
          <w:sz w:val="24"/>
          <w:szCs w:val="24"/>
        </w:rPr>
        <w:t xml:space="preserve"> only approximately</w:t>
      </w:r>
      <w:r>
        <w:rPr>
          <w:rFonts w:ascii="Times New Roman" w:hAnsi="Times New Roman"/>
          <w:sz w:val="24"/>
          <w:szCs w:val="24"/>
        </w:rPr>
        <w:t xml:space="preserve">.  Simulated real wage movements are affected by the introduction in later </w:t>
      </w:r>
      <w:r w:rsidR="006744DB">
        <w:rPr>
          <w:rFonts w:ascii="Times New Roman" w:hAnsi="Times New Roman"/>
          <w:sz w:val="24"/>
          <w:szCs w:val="24"/>
        </w:rPr>
        <w:t>p</w:t>
      </w:r>
      <w:r>
        <w:rPr>
          <w:rFonts w:ascii="Times New Roman" w:hAnsi="Times New Roman"/>
          <w:sz w:val="24"/>
          <w:szCs w:val="24"/>
        </w:rPr>
        <w:t xml:space="preserve">arts </w:t>
      </w:r>
      <w:r w:rsidR="006744DB">
        <w:rPr>
          <w:rFonts w:ascii="Times New Roman" w:hAnsi="Times New Roman"/>
          <w:sz w:val="24"/>
          <w:szCs w:val="24"/>
        </w:rPr>
        <w:t>of Table 4.</w:t>
      </w:r>
      <w:r w:rsidR="00AE5156">
        <w:rPr>
          <w:rFonts w:ascii="Times New Roman" w:hAnsi="Times New Roman"/>
          <w:sz w:val="24"/>
          <w:szCs w:val="24"/>
        </w:rPr>
        <w:t>1</w:t>
      </w:r>
      <w:r w:rsidR="006744DB">
        <w:rPr>
          <w:rFonts w:ascii="Times New Roman" w:hAnsi="Times New Roman"/>
          <w:sz w:val="24"/>
          <w:szCs w:val="24"/>
        </w:rPr>
        <w:t xml:space="preserve"> </w:t>
      </w:r>
      <w:r>
        <w:rPr>
          <w:rFonts w:ascii="Times New Roman" w:hAnsi="Times New Roman"/>
          <w:sz w:val="24"/>
          <w:szCs w:val="24"/>
        </w:rPr>
        <w:t>of data on movements in energy variables and in the prices of consumer goods</w:t>
      </w:r>
      <w:r w:rsidR="00F25AA9">
        <w:rPr>
          <w:rFonts w:ascii="Times New Roman" w:hAnsi="Times New Roman"/>
          <w:sz w:val="24"/>
          <w:szCs w:val="24"/>
        </w:rPr>
        <w:t xml:space="preserve"> (the deflator used for real wages) relative to the prices of other components of GDP.  Similarly, introduction of these data affect simulated movements in rates of return on capital.  This is shown by the comparison </w:t>
      </w:r>
      <w:r w:rsidR="001F3191">
        <w:rPr>
          <w:rFonts w:ascii="Times New Roman" w:hAnsi="Times New Roman"/>
          <w:sz w:val="24"/>
          <w:szCs w:val="24"/>
        </w:rPr>
        <w:t>of</w:t>
      </w:r>
      <w:r w:rsidR="00F25AA9">
        <w:rPr>
          <w:rFonts w:ascii="Times New Roman" w:hAnsi="Times New Roman"/>
          <w:sz w:val="24"/>
          <w:szCs w:val="24"/>
        </w:rPr>
        <w:t xml:space="preserve"> the 5</w:t>
      </w:r>
      <w:r w:rsidR="00F25AA9" w:rsidRPr="00F25AA9">
        <w:rPr>
          <w:rFonts w:ascii="Times New Roman" w:hAnsi="Times New Roman"/>
          <w:sz w:val="24"/>
          <w:szCs w:val="24"/>
          <w:vertAlign w:val="superscript"/>
        </w:rPr>
        <w:t>th</w:t>
      </w:r>
      <w:r w:rsidR="00F25AA9">
        <w:rPr>
          <w:rFonts w:ascii="Times New Roman" w:hAnsi="Times New Roman"/>
          <w:sz w:val="24"/>
          <w:szCs w:val="24"/>
        </w:rPr>
        <w:t xml:space="preserve"> and 6</w:t>
      </w:r>
      <w:r w:rsidR="00F25AA9" w:rsidRPr="00F25AA9">
        <w:rPr>
          <w:rFonts w:ascii="Times New Roman" w:hAnsi="Times New Roman"/>
          <w:sz w:val="24"/>
          <w:szCs w:val="24"/>
          <w:vertAlign w:val="superscript"/>
        </w:rPr>
        <w:t>th</w:t>
      </w:r>
      <w:r w:rsidR="00F25AA9">
        <w:rPr>
          <w:rFonts w:ascii="Times New Roman" w:hAnsi="Times New Roman"/>
          <w:sz w:val="24"/>
          <w:szCs w:val="24"/>
        </w:rPr>
        <w:t xml:space="preserve"> columns of Table </w:t>
      </w:r>
      <w:r w:rsidR="006744DB">
        <w:rPr>
          <w:rFonts w:ascii="Times New Roman" w:hAnsi="Times New Roman"/>
          <w:sz w:val="24"/>
          <w:szCs w:val="24"/>
        </w:rPr>
        <w:t>4</w:t>
      </w:r>
      <w:r w:rsidR="00F25AA9">
        <w:rPr>
          <w:rFonts w:ascii="Times New Roman" w:hAnsi="Times New Roman"/>
          <w:sz w:val="24"/>
          <w:szCs w:val="24"/>
        </w:rPr>
        <w:t xml:space="preserve">.3.  </w:t>
      </w:r>
    </w:p>
    <w:p w:rsidR="00AE5156" w:rsidRPr="00C600BB" w:rsidRDefault="00AE5156" w:rsidP="00AE5156">
      <w:pPr>
        <w:ind w:left="0"/>
        <w:jc w:val="center"/>
        <w:rPr>
          <w:rFonts w:ascii="Times New Roman" w:hAnsi="Times New Roman"/>
          <w:b/>
          <w:i/>
          <w:color w:val="000000"/>
          <w:sz w:val="24"/>
          <w:szCs w:val="24"/>
        </w:rPr>
      </w:pPr>
      <w:r w:rsidRPr="00C600BB">
        <w:rPr>
          <w:rFonts w:ascii="Times New Roman" w:hAnsi="Times New Roman"/>
          <w:b/>
          <w:i/>
          <w:color w:val="000000"/>
          <w:sz w:val="24"/>
          <w:szCs w:val="24"/>
        </w:rPr>
        <w:lastRenderedPageBreak/>
        <w:t xml:space="preserve">Table 4.3.  Percentage growth between 2014 and 2019: simulation results after Part 1 (panels 1-6) compared with final results </w:t>
      </w:r>
      <w:r w:rsidR="001F4B89">
        <w:rPr>
          <w:rFonts w:ascii="Times New Roman" w:hAnsi="Times New Roman"/>
          <w:b/>
          <w:i/>
          <w:color w:val="000000"/>
          <w:sz w:val="24"/>
          <w:szCs w:val="24"/>
        </w:rPr>
        <w:t xml:space="preserve"> </w:t>
      </w:r>
    </w:p>
    <w:tbl>
      <w:tblPr>
        <w:tblW w:w="8758" w:type="dxa"/>
        <w:tblLook w:val="04A0" w:firstRow="1" w:lastRow="0" w:firstColumn="1" w:lastColumn="0" w:noHBand="0" w:noVBand="1"/>
      </w:tblPr>
      <w:tblGrid>
        <w:gridCol w:w="1701"/>
        <w:gridCol w:w="1065"/>
        <w:gridCol w:w="1129"/>
        <w:gridCol w:w="1095"/>
        <w:gridCol w:w="1192"/>
        <w:gridCol w:w="1341"/>
        <w:gridCol w:w="1235"/>
      </w:tblGrid>
      <w:tr w:rsidR="00AE5156" w:rsidRPr="00C600BB" w:rsidTr="00AE5156">
        <w:tc>
          <w:tcPr>
            <w:tcW w:w="1701" w:type="dxa"/>
            <w:tcBorders>
              <w:top w:val="single" w:sz="18" w:space="0" w:color="7F7F7F"/>
              <w:right w:val="single" w:sz="18" w:space="0" w:color="7F7F7F"/>
            </w:tcBorders>
            <w:shd w:val="clear" w:color="auto" w:fill="auto"/>
            <w:vAlign w:val="bottom"/>
          </w:tcPr>
          <w:p w:rsidR="00AE5156" w:rsidRPr="00C600BB" w:rsidRDefault="00AE5156" w:rsidP="00AE5156">
            <w:pPr>
              <w:spacing w:before="0" w:line="240" w:lineRule="auto"/>
              <w:rPr>
                <w:rFonts w:ascii="Times New Roman" w:hAnsi="Times New Roman"/>
                <w:sz w:val="20"/>
                <w:szCs w:val="20"/>
              </w:rPr>
            </w:pPr>
          </w:p>
        </w:tc>
        <w:tc>
          <w:tcPr>
            <w:tcW w:w="2194" w:type="dxa"/>
            <w:gridSpan w:val="2"/>
            <w:tcBorders>
              <w:top w:val="single" w:sz="18" w:space="0" w:color="7F7F7F"/>
              <w:left w:val="single" w:sz="18" w:space="0" w:color="7F7F7F"/>
              <w:right w:val="single" w:sz="18" w:space="0" w:color="7F7F7F"/>
            </w:tcBorders>
            <w:shd w:val="clear" w:color="auto" w:fill="auto"/>
          </w:tcPr>
          <w:p w:rsidR="00AE5156" w:rsidRPr="00C600BB" w:rsidRDefault="00AE5156" w:rsidP="00AE5156">
            <w:pPr>
              <w:spacing w:before="0" w:after="40" w:line="240" w:lineRule="auto"/>
              <w:jc w:val="center"/>
              <w:rPr>
                <w:rFonts w:ascii="Times New Roman" w:hAnsi="Times New Roman"/>
                <w:color w:val="000000"/>
                <w:sz w:val="20"/>
                <w:szCs w:val="20"/>
              </w:rPr>
            </w:pPr>
            <w:r w:rsidRPr="00C600BB">
              <w:rPr>
                <w:rFonts w:ascii="Times New Roman" w:hAnsi="Times New Roman"/>
                <w:color w:val="000000"/>
                <w:sz w:val="20"/>
                <w:szCs w:val="20"/>
              </w:rPr>
              <w:t>Contributions of tech change to GDP (cont_tech)</w:t>
            </w:r>
          </w:p>
        </w:tc>
        <w:tc>
          <w:tcPr>
            <w:tcW w:w="2287" w:type="dxa"/>
            <w:gridSpan w:val="2"/>
            <w:tcBorders>
              <w:top w:val="single" w:sz="18" w:space="0" w:color="7F7F7F"/>
              <w:left w:val="single" w:sz="18" w:space="0" w:color="7F7F7F"/>
              <w:right w:val="single" w:sz="18" w:space="0" w:color="7F7F7F"/>
            </w:tcBorders>
            <w:shd w:val="clear" w:color="auto" w:fill="auto"/>
          </w:tcPr>
          <w:p w:rsidR="00AE5156" w:rsidRPr="00C600BB" w:rsidRDefault="00AE5156" w:rsidP="00AE5156">
            <w:pPr>
              <w:spacing w:before="0" w:after="40" w:line="240" w:lineRule="auto"/>
              <w:jc w:val="center"/>
              <w:rPr>
                <w:rFonts w:ascii="Times New Roman" w:hAnsi="Times New Roman"/>
                <w:color w:val="000000"/>
                <w:sz w:val="20"/>
                <w:szCs w:val="20"/>
              </w:rPr>
            </w:pPr>
            <w:r w:rsidRPr="00C600BB">
              <w:rPr>
                <w:rFonts w:ascii="Times New Roman" w:hAnsi="Times New Roman"/>
                <w:color w:val="000000"/>
                <w:sz w:val="20"/>
                <w:szCs w:val="20"/>
              </w:rPr>
              <w:t xml:space="preserve">Real wage rate </w:t>
            </w:r>
          </w:p>
          <w:p w:rsidR="00AE5156" w:rsidRPr="00C600BB" w:rsidRDefault="00AE5156" w:rsidP="00AE5156">
            <w:pPr>
              <w:spacing w:before="0" w:after="40" w:line="240" w:lineRule="auto"/>
              <w:jc w:val="center"/>
              <w:rPr>
                <w:rFonts w:ascii="Times New Roman" w:hAnsi="Times New Roman"/>
                <w:color w:val="000000"/>
                <w:sz w:val="20"/>
                <w:szCs w:val="20"/>
              </w:rPr>
            </w:pPr>
            <w:r w:rsidRPr="00C600BB">
              <w:rPr>
                <w:rFonts w:ascii="Times New Roman" w:hAnsi="Times New Roman"/>
                <w:color w:val="000000"/>
                <w:sz w:val="20"/>
                <w:szCs w:val="20"/>
              </w:rPr>
              <w:t>(realwager)</w:t>
            </w:r>
          </w:p>
        </w:tc>
        <w:tc>
          <w:tcPr>
            <w:tcW w:w="2576" w:type="dxa"/>
            <w:gridSpan w:val="2"/>
            <w:tcBorders>
              <w:top w:val="single" w:sz="18" w:space="0" w:color="7F7F7F"/>
              <w:left w:val="single" w:sz="18" w:space="0" w:color="7F7F7F"/>
            </w:tcBorders>
            <w:shd w:val="clear" w:color="auto" w:fill="auto"/>
          </w:tcPr>
          <w:p w:rsidR="00AE5156" w:rsidRPr="00C600BB" w:rsidRDefault="00AE5156" w:rsidP="00AE5156">
            <w:pPr>
              <w:spacing w:before="0" w:after="40" w:line="240" w:lineRule="auto"/>
              <w:ind w:left="-32"/>
              <w:jc w:val="center"/>
              <w:rPr>
                <w:rFonts w:ascii="Times New Roman" w:hAnsi="Times New Roman"/>
                <w:color w:val="000000"/>
                <w:sz w:val="20"/>
                <w:szCs w:val="20"/>
              </w:rPr>
            </w:pPr>
            <w:r w:rsidRPr="00C600BB">
              <w:rPr>
                <w:rFonts w:ascii="Times New Roman" w:hAnsi="Times New Roman"/>
                <w:color w:val="000000"/>
                <w:sz w:val="20"/>
                <w:szCs w:val="20"/>
              </w:rPr>
              <w:t xml:space="preserve">Actual rate of return </w:t>
            </w:r>
          </w:p>
          <w:p w:rsidR="00AE5156" w:rsidRPr="00C600BB" w:rsidRDefault="00AE5156" w:rsidP="00AE5156">
            <w:pPr>
              <w:spacing w:before="0" w:after="40" w:line="240" w:lineRule="auto"/>
              <w:ind w:left="-32"/>
              <w:jc w:val="center"/>
              <w:rPr>
                <w:rFonts w:ascii="Times New Roman" w:hAnsi="Times New Roman"/>
                <w:color w:val="000000"/>
                <w:sz w:val="20"/>
                <w:szCs w:val="20"/>
              </w:rPr>
            </w:pPr>
            <w:r w:rsidRPr="00C600BB">
              <w:rPr>
                <w:rFonts w:ascii="Times New Roman" w:hAnsi="Times New Roman"/>
                <w:color w:val="000000"/>
                <w:sz w:val="20"/>
                <w:szCs w:val="20"/>
              </w:rPr>
              <w:t>(rorc)</w:t>
            </w:r>
          </w:p>
        </w:tc>
      </w:tr>
      <w:tr w:rsidR="00AE5156" w:rsidRPr="00C600BB" w:rsidTr="00AE5156">
        <w:tc>
          <w:tcPr>
            <w:tcW w:w="1701" w:type="dxa"/>
            <w:tcBorders>
              <w:bottom w:val="single" w:sz="18" w:space="0" w:color="7F7F7F"/>
              <w:right w:val="single" w:sz="18" w:space="0" w:color="7F7F7F"/>
            </w:tcBorders>
            <w:shd w:val="clear" w:color="auto" w:fill="auto"/>
            <w:vAlign w:val="bottom"/>
          </w:tcPr>
          <w:p w:rsidR="00AE5156" w:rsidRPr="00C600BB" w:rsidRDefault="00AE5156" w:rsidP="00AE5156">
            <w:pPr>
              <w:spacing w:before="0" w:line="240" w:lineRule="auto"/>
              <w:rPr>
                <w:rFonts w:ascii="Times New Roman" w:hAnsi="Times New Roman"/>
                <w:sz w:val="20"/>
                <w:szCs w:val="20"/>
              </w:rPr>
            </w:pPr>
          </w:p>
        </w:tc>
        <w:tc>
          <w:tcPr>
            <w:tcW w:w="1065" w:type="dxa"/>
            <w:tcBorders>
              <w:left w:val="single" w:sz="18" w:space="0" w:color="7F7F7F"/>
              <w:bottom w:val="single" w:sz="18" w:space="0" w:color="7F7F7F"/>
              <w:right w:val="single" w:sz="4" w:space="0" w:color="auto"/>
            </w:tcBorders>
            <w:shd w:val="clear" w:color="auto" w:fill="auto"/>
          </w:tcPr>
          <w:p w:rsidR="00AE5156" w:rsidRPr="00C600BB" w:rsidRDefault="00AE5156" w:rsidP="00AE5156">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Panels 1- 6</w:t>
            </w:r>
          </w:p>
        </w:tc>
        <w:tc>
          <w:tcPr>
            <w:tcW w:w="1129" w:type="dxa"/>
            <w:tcBorders>
              <w:left w:val="single" w:sz="4" w:space="0" w:color="auto"/>
              <w:bottom w:val="single" w:sz="18" w:space="0" w:color="7F7F7F"/>
              <w:right w:val="single" w:sz="18" w:space="0" w:color="7F7F7F"/>
            </w:tcBorders>
            <w:shd w:val="clear" w:color="auto" w:fill="auto"/>
          </w:tcPr>
          <w:p w:rsidR="00AE5156" w:rsidRPr="00C600BB" w:rsidRDefault="00AE5156" w:rsidP="00AE5156">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Final</w:t>
            </w:r>
          </w:p>
        </w:tc>
        <w:tc>
          <w:tcPr>
            <w:tcW w:w="1095" w:type="dxa"/>
            <w:tcBorders>
              <w:left w:val="single" w:sz="18" w:space="0" w:color="7F7F7F"/>
              <w:bottom w:val="single" w:sz="18" w:space="0" w:color="7F7F7F"/>
              <w:right w:val="single" w:sz="4" w:space="0" w:color="auto"/>
            </w:tcBorders>
            <w:shd w:val="clear" w:color="auto" w:fill="auto"/>
          </w:tcPr>
          <w:p w:rsidR="00AE5156" w:rsidRPr="00C600BB" w:rsidRDefault="00AE5156" w:rsidP="00AE5156">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Panels 1- 6</w:t>
            </w:r>
          </w:p>
        </w:tc>
        <w:tc>
          <w:tcPr>
            <w:tcW w:w="1192" w:type="dxa"/>
            <w:tcBorders>
              <w:left w:val="single" w:sz="4" w:space="0" w:color="auto"/>
              <w:bottom w:val="single" w:sz="18" w:space="0" w:color="7F7F7F"/>
              <w:right w:val="single" w:sz="18" w:space="0" w:color="7F7F7F"/>
            </w:tcBorders>
            <w:shd w:val="clear" w:color="auto" w:fill="auto"/>
          </w:tcPr>
          <w:p w:rsidR="00AE5156" w:rsidRPr="00C600BB" w:rsidRDefault="00AE5156" w:rsidP="00AE5156">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Final</w:t>
            </w:r>
          </w:p>
        </w:tc>
        <w:tc>
          <w:tcPr>
            <w:tcW w:w="1341" w:type="dxa"/>
            <w:tcBorders>
              <w:left w:val="single" w:sz="18" w:space="0" w:color="7F7F7F"/>
              <w:bottom w:val="single" w:sz="18" w:space="0" w:color="7F7F7F"/>
              <w:right w:val="single" w:sz="4" w:space="0" w:color="auto"/>
            </w:tcBorders>
            <w:shd w:val="clear" w:color="auto" w:fill="auto"/>
          </w:tcPr>
          <w:p w:rsidR="00AE5156" w:rsidRPr="00C600BB" w:rsidRDefault="00AE5156" w:rsidP="00AE5156">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Panels 1- 6</w:t>
            </w:r>
          </w:p>
        </w:tc>
        <w:tc>
          <w:tcPr>
            <w:tcW w:w="1235" w:type="dxa"/>
            <w:tcBorders>
              <w:left w:val="single" w:sz="4" w:space="0" w:color="auto"/>
              <w:bottom w:val="single" w:sz="18" w:space="0" w:color="7F7F7F"/>
            </w:tcBorders>
            <w:shd w:val="clear" w:color="auto" w:fill="auto"/>
          </w:tcPr>
          <w:p w:rsidR="00AE5156" w:rsidRPr="00C600BB" w:rsidRDefault="00AE5156" w:rsidP="00AE5156">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Final</w:t>
            </w:r>
          </w:p>
        </w:tc>
      </w:tr>
      <w:tr w:rsidR="00186836" w:rsidRPr="00C600BB" w:rsidTr="00AE5156">
        <w:tc>
          <w:tcPr>
            <w:tcW w:w="1701" w:type="dxa"/>
            <w:tcBorders>
              <w:top w:val="single" w:sz="18" w:space="0" w:color="7F7F7F"/>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1 USA</w:t>
            </w:r>
          </w:p>
        </w:tc>
        <w:tc>
          <w:tcPr>
            <w:tcW w:w="1065" w:type="dxa"/>
            <w:tcBorders>
              <w:top w:val="single" w:sz="18" w:space="0" w:color="7F7F7F"/>
              <w:left w:val="single" w:sz="18" w:space="0" w:color="7F7F7F"/>
              <w:right w:val="single" w:sz="4" w:space="0" w:color="auto"/>
            </w:tcBorders>
            <w:shd w:val="clear" w:color="auto" w:fill="auto"/>
            <w:vAlign w:val="bottom"/>
          </w:tcPr>
          <w:p w:rsidR="00186836" w:rsidRPr="00186836" w:rsidRDefault="00186836" w:rsidP="00186836">
            <w:pPr>
              <w:spacing w:before="0" w:line="240" w:lineRule="auto"/>
              <w:ind w:left="0"/>
              <w:jc w:val="right"/>
              <w:rPr>
                <w:rFonts w:ascii="Times New Roman" w:hAnsi="Times New Roman"/>
                <w:color w:val="000000"/>
                <w:sz w:val="18"/>
                <w:szCs w:val="18"/>
                <w:lang w:eastAsia="en-AU"/>
              </w:rPr>
            </w:pPr>
            <w:r w:rsidRPr="00186836">
              <w:rPr>
                <w:rFonts w:ascii="Times New Roman" w:hAnsi="Times New Roman"/>
                <w:color w:val="000000"/>
                <w:sz w:val="18"/>
                <w:szCs w:val="18"/>
              </w:rPr>
              <w:t>6.50</w:t>
            </w:r>
          </w:p>
        </w:tc>
        <w:tc>
          <w:tcPr>
            <w:tcW w:w="1129" w:type="dxa"/>
            <w:tcBorders>
              <w:top w:val="single" w:sz="18" w:space="0" w:color="7F7F7F"/>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5.69</w:t>
            </w:r>
          </w:p>
        </w:tc>
        <w:tc>
          <w:tcPr>
            <w:tcW w:w="1095" w:type="dxa"/>
            <w:tcBorders>
              <w:top w:val="single" w:sz="18" w:space="0" w:color="7F7F7F"/>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12.29</w:t>
            </w:r>
          </w:p>
        </w:tc>
        <w:tc>
          <w:tcPr>
            <w:tcW w:w="1192" w:type="dxa"/>
            <w:tcBorders>
              <w:top w:val="single" w:sz="18" w:space="0" w:color="7F7F7F"/>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15.40</w:t>
            </w:r>
          </w:p>
        </w:tc>
        <w:tc>
          <w:tcPr>
            <w:tcW w:w="1341" w:type="dxa"/>
            <w:tcBorders>
              <w:top w:val="single" w:sz="18" w:space="0" w:color="7F7F7F"/>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-3.97</w:t>
            </w:r>
          </w:p>
        </w:tc>
        <w:tc>
          <w:tcPr>
            <w:tcW w:w="1235" w:type="dxa"/>
            <w:tcBorders>
              <w:top w:val="single" w:sz="18" w:space="0" w:color="7F7F7F"/>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-2.43</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2 Canada</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2.66</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1.91</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7.48</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6.84</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-0.65</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-7.08</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3 Mexico</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0.05</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-0.25</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8.57</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16.19</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-11.26</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-22.75</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4 China</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11.16</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9.60</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47.05</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49.43</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-25.98</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-32.07</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5 Japan</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3.49</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2.94</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10.24</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16.13</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-1.80</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-10.00</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6 SKorea</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3.39</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2.45</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17.54</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23.57</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-10.21</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-16.47</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7 India</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13.95</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11.78</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35.67</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37.50</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-11.62</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0.51</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8 France</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3.52</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2.65</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12.30</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15.36</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-6.22</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-10.72</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9 Germany</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2.75</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2.06</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11.62</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16.66</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-5.20</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-16.78</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10 UK</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3.32</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2.58</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13.94</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18.52</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-10.10</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-22.04</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11 RoEU</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8.05</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6.55</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19.73</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23.09</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1.90</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-2.30</w:t>
            </w:r>
          </w:p>
        </w:tc>
      </w:tr>
      <w:tr w:rsidR="00186836" w:rsidRPr="00C600BB" w:rsidTr="00AE5156">
        <w:tc>
          <w:tcPr>
            <w:tcW w:w="1701" w:type="dxa"/>
            <w:tcBorders>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12 SaudiArabia</w:t>
            </w:r>
          </w:p>
        </w:tc>
        <w:tc>
          <w:tcPr>
            <w:tcW w:w="106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-5.02</w:t>
            </w:r>
          </w:p>
        </w:tc>
        <w:tc>
          <w:tcPr>
            <w:tcW w:w="1129"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-12.99</w:t>
            </w:r>
          </w:p>
        </w:tc>
        <w:tc>
          <w:tcPr>
            <w:tcW w:w="1095"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-3.23</w:t>
            </w:r>
          </w:p>
        </w:tc>
        <w:tc>
          <w:tcPr>
            <w:tcW w:w="1192" w:type="dxa"/>
            <w:tcBorders>
              <w:left w:val="single" w:sz="4" w:space="0" w:color="auto"/>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0.30</w:t>
            </w:r>
          </w:p>
        </w:tc>
        <w:tc>
          <w:tcPr>
            <w:tcW w:w="1341" w:type="dxa"/>
            <w:tcBorders>
              <w:left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-18.29</w:t>
            </w:r>
          </w:p>
        </w:tc>
        <w:tc>
          <w:tcPr>
            <w:tcW w:w="1235" w:type="dxa"/>
            <w:tcBorders>
              <w:left w:val="single" w:sz="4" w:space="0" w:color="auto"/>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-9.11</w:t>
            </w:r>
          </w:p>
        </w:tc>
      </w:tr>
      <w:tr w:rsidR="00186836" w:rsidRPr="00C600BB" w:rsidTr="00AE5156">
        <w:tc>
          <w:tcPr>
            <w:tcW w:w="1701" w:type="dxa"/>
            <w:tcBorders>
              <w:bottom w:val="single" w:sz="18" w:space="0" w:color="7F7F7F"/>
              <w:right w:val="single" w:sz="18" w:space="0" w:color="7F7F7F"/>
            </w:tcBorders>
            <w:shd w:val="clear" w:color="auto" w:fill="auto"/>
            <w:vAlign w:val="bottom"/>
          </w:tcPr>
          <w:p w:rsidR="00186836" w:rsidRPr="00C600BB" w:rsidRDefault="00186836" w:rsidP="00186836">
            <w:pPr>
              <w:spacing w:before="0"/>
              <w:ind w:left="0"/>
              <w:rPr>
                <w:rFonts w:ascii="Times New Roman" w:hAnsi="Times New Roman"/>
                <w:color w:val="000000"/>
                <w:sz w:val="20"/>
                <w:szCs w:val="20"/>
              </w:rPr>
            </w:pPr>
            <w:r w:rsidRPr="00C600BB">
              <w:rPr>
                <w:rFonts w:ascii="Times New Roman" w:hAnsi="Times New Roman"/>
                <w:color w:val="000000"/>
                <w:sz w:val="20"/>
                <w:szCs w:val="20"/>
              </w:rPr>
              <w:t>13 RoW</w:t>
            </w:r>
          </w:p>
        </w:tc>
        <w:tc>
          <w:tcPr>
            <w:tcW w:w="1065" w:type="dxa"/>
            <w:tcBorders>
              <w:left w:val="single" w:sz="18" w:space="0" w:color="7F7F7F"/>
              <w:bottom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2.50</w:t>
            </w:r>
          </w:p>
        </w:tc>
        <w:tc>
          <w:tcPr>
            <w:tcW w:w="1129" w:type="dxa"/>
            <w:tcBorders>
              <w:left w:val="single" w:sz="4" w:space="0" w:color="auto"/>
              <w:bottom w:val="single" w:sz="18" w:space="0" w:color="7F7F7F"/>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3.13</w:t>
            </w:r>
          </w:p>
        </w:tc>
        <w:tc>
          <w:tcPr>
            <w:tcW w:w="1095" w:type="dxa"/>
            <w:tcBorders>
              <w:left w:val="single" w:sz="18" w:space="0" w:color="7F7F7F"/>
              <w:bottom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12.32</w:t>
            </w:r>
          </w:p>
        </w:tc>
        <w:tc>
          <w:tcPr>
            <w:tcW w:w="1192" w:type="dxa"/>
            <w:tcBorders>
              <w:left w:val="single" w:sz="4" w:space="0" w:color="auto"/>
              <w:bottom w:val="single" w:sz="18" w:space="0" w:color="7F7F7F"/>
              <w:right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19.17</w:t>
            </w:r>
          </w:p>
        </w:tc>
        <w:tc>
          <w:tcPr>
            <w:tcW w:w="1341" w:type="dxa"/>
            <w:tcBorders>
              <w:left w:val="single" w:sz="18" w:space="0" w:color="7F7F7F"/>
              <w:bottom w:val="single" w:sz="18" w:space="0" w:color="7F7F7F"/>
              <w:right w:val="single" w:sz="4" w:space="0" w:color="auto"/>
            </w:tcBorders>
            <w:shd w:val="clear" w:color="auto" w:fill="auto"/>
            <w:vAlign w:val="bottom"/>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-8.51</w:t>
            </w:r>
          </w:p>
        </w:tc>
        <w:tc>
          <w:tcPr>
            <w:tcW w:w="1235" w:type="dxa"/>
            <w:tcBorders>
              <w:left w:val="single" w:sz="4" w:space="0" w:color="auto"/>
              <w:bottom w:val="single" w:sz="18" w:space="0" w:color="7F7F7F"/>
            </w:tcBorders>
            <w:shd w:val="clear" w:color="auto" w:fill="auto"/>
            <w:vAlign w:val="center"/>
          </w:tcPr>
          <w:p w:rsidR="00186836" w:rsidRPr="00186836" w:rsidRDefault="00186836" w:rsidP="00186836">
            <w:pPr>
              <w:spacing w:before="0" w:line="240" w:lineRule="auto"/>
              <w:jc w:val="right"/>
              <w:rPr>
                <w:rFonts w:ascii="Times New Roman" w:hAnsi="Times New Roman"/>
                <w:color w:val="000000"/>
                <w:sz w:val="18"/>
                <w:szCs w:val="18"/>
              </w:rPr>
            </w:pPr>
            <w:r w:rsidRPr="00186836">
              <w:rPr>
                <w:rFonts w:ascii="Times New Roman" w:hAnsi="Times New Roman"/>
                <w:color w:val="000000"/>
                <w:sz w:val="18"/>
                <w:szCs w:val="18"/>
              </w:rPr>
              <w:t>-14.06</w:t>
            </w:r>
          </w:p>
        </w:tc>
      </w:tr>
    </w:tbl>
    <w:p w:rsidR="00AE5156" w:rsidRDefault="00AE5156" w:rsidP="004E1D52">
      <w:pPr>
        <w:ind w:left="0"/>
        <w:rPr>
          <w:rFonts w:ascii="Times New Roman" w:hAnsi="Times New Roman"/>
          <w:sz w:val="24"/>
          <w:szCs w:val="24"/>
        </w:rPr>
      </w:pPr>
    </w:p>
    <w:p w:rsidR="00764943" w:rsidRPr="00961920" w:rsidRDefault="00764943" w:rsidP="00764943">
      <w:pPr>
        <w:ind w:left="0"/>
        <w:rPr>
          <w:rFonts w:ascii="Times New Roman" w:hAnsi="Times New Roman"/>
          <w:i/>
          <w:sz w:val="24"/>
          <w:szCs w:val="24"/>
        </w:rPr>
      </w:pPr>
      <w:r w:rsidRPr="00961920">
        <w:rPr>
          <w:rFonts w:ascii="Times New Roman" w:hAnsi="Times New Roman"/>
          <w:i/>
          <w:sz w:val="24"/>
          <w:szCs w:val="24"/>
        </w:rPr>
        <w:t>Part 2a of Table 4.1:  Real GDP from the expenditure side (C, G, I and M, with X as a residual)</w:t>
      </w:r>
    </w:p>
    <w:p w:rsidR="004E1D52" w:rsidRDefault="00764943" w:rsidP="00764943">
      <w:pPr>
        <w:ind w:left="0"/>
        <w:rPr>
          <w:rFonts w:ascii="Times New Roman" w:hAnsi="Times New Roman"/>
          <w:sz w:val="24"/>
          <w:szCs w:val="24"/>
        </w:rPr>
      </w:pPr>
      <w:r>
        <w:rPr>
          <w:rFonts w:ascii="Times New Roman" w:hAnsi="Times New Roman"/>
          <w:i/>
          <w:sz w:val="24"/>
          <w:szCs w:val="24"/>
        </w:rPr>
        <w:t>Panels 7 and 8: real private and public consumption.</w:t>
      </w:r>
      <w:r>
        <w:rPr>
          <w:rFonts w:ascii="Times New Roman" w:hAnsi="Times New Roman"/>
          <w:sz w:val="24"/>
          <w:szCs w:val="24"/>
        </w:rPr>
        <w:t xml:space="preserve">  In the standard long-run closure, these variables are linked to net national income [point (c) in section 3].  We break these links in the 2014-19 simulations by endogenizing the private and public consumption propensities.  </w:t>
      </w:r>
      <w:r w:rsidR="004E1D52">
        <w:rPr>
          <w:rFonts w:ascii="Times New Roman" w:hAnsi="Times New Roman"/>
          <w:sz w:val="24"/>
          <w:szCs w:val="24"/>
        </w:rPr>
        <w:t xml:space="preserve">This allows the movements in real private and public consumption to be set exogenously and shocked with their actual movements between 2014 and 2019.  </w:t>
      </w:r>
    </w:p>
    <w:p w:rsidR="004E1D52" w:rsidRPr="00B31400" w:rsidRDefault="004E1D52" w:rsidP="004E1D52">
      <w:pPr>
        <w:ind w:left="0"/>
        <w:rPr>
          <w:rFonts w:ascii="Times New Roman" w:hAnsi="Times New Roman"/>
          <w:sz w:val="24"/>
          <w:szCs w:val="24"/>
        </w:rPr>
      </w:pPr>
      <w:r w:rsidRPr="006744DB">
        <w:rPr>
          <w:rFonts w:ascii="Times New Roman" w:hAnsi="Times New Roman"/>
          <w:i/>
          <w:sz w:val="24"/>
          <w:szCs w:val="24"/>
        </w:rPr>
        <w:t>Panel 9: real investment.</w:t>
      </w:r>
      <w:r w:rsidRPr="006744DB">
        <w:rPr>
          <w:rFonts w:ascii="Times New Roman" w:hAnsi="Times New Roman"/>
          <w:sz w:val="24"/>
          <w:szCs w:val="24"/>
        </w:rPr>
        <w:t xml:space="preserve">  The starting point for explaining how we introduced data on</w:t>
      </w:r>
      <w:r>
        <w:rPr>
          <w:rFonts w:ascii="Times New Roman" w:hAnsi="Times New Roman"/>
          <w:sz w:val="24"/>
          <w:szCs w:val="24"/>
        </w:rPr>
        <w:t xml:space="preserve"> movements in real investment expenditure into the 2014-19 historical simulation is the </w:t>
      </w:r>
      <w:r w:rsidRPr="00B31400">
        <w:rPr>
          <w:rFonts w:ascii="Times New Roman" w:hAnsi="Times New Roman"/>
          <w:sz w:val="24"/>
          <w:szCs w:val="24"/>
        </w:rPr>
        <w:t xml:space="preserve">equation: </w:t>
      </w:r>
    </w:p>
    <w:p w:rsidR="007A1031" w:rsidRPr="007A1031" w:rsidRDefault="007A1031" w:rsidP="007A1031">
      <w:pPr>
        <w:tabs>
          <w:tab w:val="left" w:pos="851"/>
          <w:tab w:val="right" w:pos="8931"/>
        </w:tabs>
        <w:ind w:left="0"/>
        <w:rPr>
          <w:rFonts w:ascii="Times New Roman" w:hAnsi="Times New Roman"/>
          <w:sz w:val="24"/>
          <w:szCs w:val="24"/>
        </w:rPr>
      </w:pPr>
      <w:r w:rsidRPr="002F09C8">
        <w:rPr>
          <w:rFonts w:ascii="Times New Roman" w:hAnsi="Times New Roman"/>
          <w:sz w:val="24"/>
          <w:szCs w:val="24"/>
        </w:rPr>
        <w:tab/>
      </w:r>
      <w:r w:rsidR="00D77877" w:rsidRPr="007A1031">
        <w:rPr>
          <w:rFonts w:ascii="Times New Roman" w:hAnsi="Times New Roman"/>
          <w:position w:val="-10"/>
          <w:sz w:val="24"/>
          <w:szCs w:val="24"/>
        </w:rPr>
        <w:object w:dxaOrig="3780" w:dyaOrig="320">
          <v:shape id="_x0000_i1029" type="#_x0000_t75" style="width:189.75pt;height:15.75pt" o:ole="">
            <v:imagedata r:id="rId16" o:title=""/>
          </v:shape>
          <o:OLEObject Type="Embed" ProgID="Equation.DSMT4" ShapeID="_x0000_i1029" DrawAspect="Content" ObjectID="_1774671650" r:id="rId17"/>
        </w:object>
      </w:r>
      <w:r w:rsidRPr="007A1031">
        <w:rPr>
          <w:rFonts w:ascii="Times New Roman" w:hAnsi="Times New Roman"/>
          <w:sz w:val="24"/>
          <w:szCs w:val="24"/>
        </w:rPr>
        <w:t xml:space="preserve">     for all r   </w:t>
      </w:r>
      <w:r w:rsidRPr="007A1031">
        <w:rPr>
          <w:rFonts w:ascii="Times New Roman" w:hAnsi="Times New Roman"/>
          <w:sz w:val="24"/>
          <w:szCs w:val="24"/>
        </w:rPr>
        <w:tab/>
        <w:t>(4.4)</w:t>
      </w:r>
    </w:p>
    <w:p w:rsidR="007A1031" w:rsidRDefault="007A1031" w:rsidP="007A1031">
      <w:pPr>
        <w:ind w:left="0"/>
        <w:rPr>
          <w:rFonts w:ascii="Times New Roman" w:hAnsi="Times New Roman"/>
          <w:sz w:val="24"/>
          <w:szCs w:val="24"/>
        </w:rPr>
      </w:pPr>
      <w:r w:rsidRPr="007A1031">
        <w:rPr>
          <w:rFonts w:ascii="Times New Roman" w:hAnsi="Times New Roman"/>
          <w:sz w:val="24"/>
          <w:szCs w:val="24"/>
        </w:rPr>
        <w:t>In this equation</w:t>
      </w:r>
    </w:p>
    <w:p w:rsidR="00FB4639" w:rsidRDefault="007A1031" w:rsidP="00FB4639">
      <w:pPr>
        <w:spacing w:before="0"/>
        <w:ind w:left="284"/>
        <w:rPr>
          <w:rFonts w:ascii="Times New Roman" w:hAnsi="Times New Roman"/>
          <w:sz w:val="24"/>
          <w:szCs w:val="24"/>
        </w:rPr>
      </w:pPr>
      <w:r>
        <w:rPr>
          <w:rFonts w:ascii="Times New Roman" w:hAnsi="Times New Roman"/>
          <w:sz w:val="24"/>
          <w:szCs w:val="24"/>
        </w:rPr>
        <w:t xml:space="preserve">ke(r) </w:t>
      </w:r>
      <w:r w:rsidR="00FB4639">
        <w:rPr>
          <w:rFonts w:ascii="Times New Roman" w:hAnsi="Times New Roman"/>
          <w:sz w:val="24"/>
          <w:szCs w:val="24"/>
        </w:rPr>
        <w:t>is</w:t>
      </w:r>
      <w:r>
        <w:rPr>
          <w:rFonts w:ascii="Times New Roman" w:hAnsi="Times New Roman"/>
          <w:sz w:val="24"/>
          <w:szCs w:val="24"/>
        </w:rPr>
        <w:t xml:space="preserve"> </w:t>
      </w:r>
      <w:r w:rsidR="00FB4639">
        <w:rPr>
          <w:rFonts w:ascii="Times New Roman" w:hAnsi="Times New Roman"/>
          <w:sz w:val="24"/>
          <w:szCs w:val="24"/>
        </w:rPr>
        <w:t xml:space="preserve">the </w:t>
      </w:r>
      <w:r>
        <w:rPr>
          <w:rFonts w:ascii="Times New Roman" w:hAnsi="Times New Roman"/>
          <w:sz w:val="24"/>
          <w:szCs w:val="24"/>
        </w:rPr>
        <w:t xml:space="preserve">percentage </w:t>
      </w:r>
      <w:r w:rsidR="00FB4639">
        <w:rPr>
          <w:rFonts w:ascii="Times New Roman" w:hAnsi="Times New Roman"/>
          <w:sz w:val="24"/>
          <w:szCs w:val="24"/>
        </w:rPr>
        <w:t>growth</w:t>
      </w:r>
      <w:r>
        <w:rPr>
          <w:rFonts w:ascii="Times New Roman" w:hAnsi="Times New Roman"/>
          <w:sz w:val="24"/>
          <w:szCs w:val="24"/>
        </w:rPr>
        <w:t xml:space="preserve"> in </w:t>
      </w:r>
      <w:r w:rsidR="00FB4639">
        <w:rPr>
          <w:rFonts w:ascii="Times New Roman" w:hAnsi="Times New Roman"/>
          <w:sz w:val="24"/>
          <w:szCs w:val="24"/>
        </w:rPr>
        <w:t xml:space="preserve">region r’s </w:t>
      </w:r>
      <w:r>
        <w:rPr>
          <w:rFonts w:ascii="Times New Roman" w:hAnsi="Times New Roman"/>
          <w:sz w:val="24"/>
          <w:szCs w:val="24"/>
        </w:rPr>
        <w:t>end-of-year capital</w:t>
      </w:r>
      <w:r w:rsidR="00FB4639">
        <w:rPr>
          <w:rFonts w:ascii="Times New Roman" w:hAnsi="Times New Roman"/>
          <w:sz w:val="24"/>
          <w:szCs w:val="24"/>
        </w:rPr>
        <w:t>.  In our 2014-19 simulation this is growth from end of 2014 to end of 2019.</w:t>
      </w:r>
    </w:p>
    <w:p w:rsidR="00FB4639" w:rsidRDefault="00FB4639" w:rsidP="00FB4639">
      <w:pPr>
        <w:spacing w:before="0"/>
        <w:ind w:left="284"/>
        <w:rPr>
          <w:rFonts w:ascii="Times New Roman" w:hAnsi="Times New Roman"/>
          <w:sz w:val="24"/>
          <w:szCs w:val="24"/>
        </w:rPr>
      </w:pPr>
      <w:r>
        <w:rPr>
          <w:rFonts w:ascii="Times New Roman" w:hAnsi="Times New Roman"/>
          <w:sz w:val="24"/>
          <w:szCs w:val="24"/>
        </w:rPr>
        <w:t>kb(r) is the percentage growth in region r’s start-of-year year capital, growth from start of 2014 to start of 2019.</w:t>
      </w:r>
    </w:p>
    <w:p w:rsidR="00FB4639" w:rsidRDefault="00FB4639" w:rsidP="00FB4639">
      <w:pPr>
        <w:spacing w:before="0"/>
        <w:ind w:left="284"/>
        <w:rPr>
          <w:rFonts w:ascii="Times New Roman" w:hAnsi="Times New Roman"/>
          <w:sz w:val="24"/>
          <w:szCs w:val="24"/>
        </w:rPr>
      </w:pPr>
      <w:r>
        <w:rPr>
          <w:rFonts w:ascii="Times New Roman" w:hAnsi="Times New Roman"/>
          <w:sz w:val="24"/>
          <w:szCs w:val="24"/>
        </w:rPr>
        <w:t>g(r) is an exogenous variable introducing forward-looking expectations.  As explained in Appendix 3, g(r) is determined in an iterative process</w:t>
      </w:r>
      <w:r w:rsidR="00A84FFC">
        <w:rPr>
          <w:rFonts w:ascii="Times New Roman" w:hAnsi="Times New Roman"/>
          <w:sz w:val="24"/>
          <w:szCs w:val="24"/>
        </w:rPr>
        <w:t>.  It</w:t>
      </w:r>
      <w:r>
        <w:rPr>
          <w:rFonts w:ascii="Times New Roman" w:hAnsi="Times New Roman"/>
          <w:sz w:val="24"/>
          <w:szCs w:val="24"/>
        </w:rPr>
        <w:t xml:space="preserve"> represents average annual capital growth </w:t>
      </w:r>
      <w:r w:rsidR="00A84FFC">
        <w:rPr>
          <w:rFonts w:ascii="Times New Roman" w:hAnsi="Times New Roman"/>
          <w:sz w:val="24"/>
          <w:szCs w:val="24"/>
        </w:rPr>
        <w:t xml:space="preserve">in region r in the next period.  In the 2014-19 simulation, this is average annual capital growth from the start of 2019 to the start of 2030.  </w:t>
      </w:r>
    </w:p>
    <w:p w:rsidR="00A84FFC" w:rsidRDefault="00A84FFC" w:rsidP="00FB4639">
      <w:pPr>
        <w:spacing w:before="0"/>
        <w:ind w:left="284"/>
        <w:rPr>
          <w:rFonts w:ascii="Times New Roman" w:hAnsi="Times New Roman"/>
          <w:sz w:val="24"/>
          <w:szCs w:val="24"/>
        </w:rPr>
      </w:pPr>
      <w:r>
        <w:rPr>
          <w:rFonts w:ascii="Times New Roman" w:hAnsi="Times New Roman"/>
          <w:sz w:val="24"/>
          <w:szCs w:val="24"/>
        </w:rPr>
        <w:t>f</w:t>
      </w:r>
      <w:r w:rsidR="00D82C1B">
        <w:rPr>
          <w:rFonts w:ascii="Times New Roman" w:hAnsi="Times New Roman"/>
          <w:sz w:val="24"/>
          <w:szCs w:val="24"/>
        </w:rPr>
        <w:t xml:space="preserve">f_ke </w:t>
      </w:r>
      <w:r>
        <w:rPr>
          <w:rFonts w:ascii="Times New Roman" w:hAnsi="Times New Roman"/>
          <w:sz w:val="24"/>
          <w:szCs w:val="24"/>
        </w:rPr>
        <w:t>and f_</w:t>
      </w:r>
      <w:r w:rsidR="00D82C1B">
        <w:rPr>
          <w:rFonts w:ascii="Times New Roman" w:hAnsi="Times New Roman"/>
          <w:sz w:val="24"/>
          <w:szCs w:val="24"/>
        </w:rPr>
        <w:t>ke</w:t>
      </w:r>
      <w:r>
        <w:rPr>
          <w:rFonts w:ascii="Times New Roman" w:hAnsi="Times New Roman"/>
          <w:sz w:val="24"/>
          <w:szCs w:val="24"/>
        </w:rPr>
        <w:t xml:space="preserve">(r) are shift variables.  </w:t>
      </w:r>
    </w:p>
    <w:p w:rsidR="00A84FFC" w:rsidRDefault="00A84FFC" w:rsidP="00E20B9E">
      <w:pPr>
        <w:ind w:left="0"/>
        <w:rPr>
          <w:rFonts w:ascii="Times New Roman" w:hAnsi="Times New Roman"/>
          <w:sz w:val="24"/>
          <w:szCs w:val="24"/>
        </w:rPr>
      </w:pPr>
      <w:r>
        <w:rPr>
          <w:rFonts w:ascii="Times New Roman" w:hAnsi="Times New Roman"/>
          <w:sz w:val="24"/>
          <w:szCs w:val="24"/>
        </w:rPr>
        <w:t>The LHS of (4.4)</w:t>
      </w:r>
      <w:r w:rsidR="004E60CB">
        <w:rPr>
          <w:rFonts w:ascii="Times New Roman" w:hAnsi="Times New Roman"/>
          <w:sz w:val="24"/>
          <w:szCs w:val="24"/>
        </w:rPr>
        <w:t xml:space="preserve"> is the percentage change in the ratio of r’s end-of-year capital to start-of-year capital.  In the 2014-19 simulation, this ties down the percentage change in investment in r, the level in 2019 compared with the level in 2014.  In the standard long-run closure</w:t>
      </w:r>
      <w:r w:rsidR="00D82C1B">
        <w:rPr>
          <w:rFonts w:ascii="Times New Roman" w:hAnsi="Times New Roman"/>
          <w:sz w:val="24"/>
          <w:szCs w:val="24"/>
        </w:rPr>
        <w:t>,</w:t>
      </w:r>
      <w:r w:rsidR="004E60CB">
        <w:rPr>
          <w:rFonts w:ascii="Times New Roman" w:hAnsi="Times New Roman"/>
          <w:sz w:val="24"/>
          <w:szCs w:val="24"/>
        </w:rPr>
        <w:t xml:space="preserve"> f_</w:t>
      </w:r>
      <w:r w:rsidR="00D82C1B">
        <w:rPr>
          <w:rFonts w:ascii="Times New Roman" w:hAnsi="Times New Roman"/>
          <w:sz w:val="24"/>
          <w:szCs w:val="24"/>
        </w:rPr>
        <w:t>ke</w:t>
      </w:r>
      <w:r w:rsidR="004E60CB">
        <w:rPr>
          <w:rFonts w:ascii="Times New Roman" w:hAnsi="Times New Roman"/>
          <w:sz w:val="24"/>
          <w:szCs w:val="24"/>
        </w:rPr>
        <w:t>(r) is exogenous and unshocked, and the scalar variable f</w:t>
      </w:r>
      <w:r w:rsidR="00D82C1B">
        <w:rPr>
          <w:rFonts w:ascii="Times New Roman" w:hAnsi="Times New Roman"/>
          <w:sz w:val="24"/>
          <w:szCs w:val="24"/>
        </w:rPr>
        <w:t>f_ke</w:t>
      </w:r>
      <w:r w:rsidR="004E60CB">
        <w:rPr>
          <w:rFonts w:ascii="Times New Roman" w:hAnsi="Times New Roman"/>
          <w:sz w:val="24"/>
          <w:szCs w:val="24"/>
        </w:rPr>
        <w:t xml:space="preserve"> is endogenous.  With this set up, growth in investment in region r is determined by future expectations of capital </w:t>
      </w:r>
      <w:r w:rsidR="004E60CB">
        <w:rPr>
          <w:rFonts w:ascii="Times New Roman" w:hAnsi="Times New Roman"/>
          <w:sz w:val="24"/>
          <w:szCs w:val="24"/>
        </w:rPr>
        <w:lastRenderedPageBreak/>
        <w:t>growth encapsulated in the shock to g(r).  The endogenous variable f</w:t>
      </w:r>
      <w:r w:rsidR="00D82C1B">
        <w:rPr>
          <w:rFonts w:ascii="Times New Roman" w:hAnsi="Times New Roman"/>
          <w:sz w:val="24"/>
          <w:szCs w:val="24"/>
        </w:rPr>
        <w:t>f_ke</w:t>
      </w:r>
      <w:r w:rsidR="004E60CB">
        <w:rPr>
          <w:rFonts w:ascii="Times New Roman" w:hAnsi="Times New Roman"/>
          <w:sz w:val="24"/>
          <w:szCs w:val="24"/>
        </w:rPr>
        <w:t xml:space="preserve"> moves in a way that reconciles global investment (in 2019) with global saving (in 2019). </w:t>
      </w:r>
    </w:p>
    <w:p w:rsidR="00B31400" w:rsidRPr="00B31400" w:rsidRDefault="00B31400" w:rsidP="00B31400">
      <w:pPr>
        <w:ind w:left="0"/>
        <w:rPr>
          <w:rFonts w:ascii="Times New Roman" w:hAnsi="Times New Roman"/>
          <w:sz w:val="24"/>
          <w:szCs w:val="24"/>
        </w:rPr>
      </w:pPr>
      <w:r w:rsidRPr="00B31400">
        <w:rPr>
          <w:rFonts w:ascii="Times New Roman" w:hAnsi="Times New Roman"/>
          <w:sz w:val="24"/>
          <w:szCs w:val="24"/>
        </w:rPr>
        <w:t xml:space="preserve">In the </w:t>
      </w:r>
      <w:r w:rsidR="00E71393">
        <w:rPr>
          <w:rFonts w:ascii="Times New Roman" w:hAnsi="Times New Roman"/>
          <w:sz w:val="24"/>
          <w:szCs w:val="24"/>
        </w:rPr>
        <w:t xml:space="preserve">2014-19 </w:t>
      </w:r>
      <w:r w:rsidRPr="00B31400">
        <w:rPr>
          <w:rFonts w:ascii="Times New Roman" w:hAnsi="Times New Roman"/>
          <w:sz w:val="24"/>
          <w:szCs w:val="24"/>
        </w:rPr>
        <w:t xml:space="preserve">historical simulation, we endogenized </w:t>
      </w:r>
      <w:r w:rsidR="00D82C1B">
        <w:rPr>
          <w:rFonts w:ascii="Times New Roman" w:hAnsi="Times New Roman"/>
          <w:sz w:val="24"/>
          <w:szCs w:val="24"/>
        </w:rPr>
        <w:t>f_ke</w:t>
      </w:r>
      <w:r w:rsidRPr="00B31400">
        <w:rPr>
          <w:rFonts w:ascii="Times New Roman" w:hAnsi="Times New Roman"/>
          <w:sz w:val="24"/>
          <w:szCs w:val="24"/>
        </w:rPr>
        <w:t xml:space="preserve">(r) and exogenized </w:t>
      </w:r>
      <w:r w:rsidR="00D82C1B">
        <w:rPr>
          <w:rFonts w:ascii="Times New Roman" w:hAnsi="Times New Roman"/>
          <w:sz w:val="24"/>
          <w:szCs w:val="24"/>
        </w:rPr>
        <w:t>ff_ke</w:t>
      </w:r>
      <w:r w:rsidRPr="00B31400">
        <w:rPr>
          <w:rFonts w:ascii="Times New Roman" w:hAnsi="Times New Roman"/>
          <w:sz w:val="24"/>
          <w:szCs w:val="24"/>
        </w:rPr>
        <w:t xml:space="preserve">.  This left </w:t>
      </w:r>
      <w:r w:rsidR="00D82C1B">
        <w:rPr>
          <w:rFonts w:ascii="Times New Roman" w:hAnsi="Times New Roman"/>
          <w:sz w:val="24"/>
          <w:szCs w:val="24"/>
        </w:rPr>
        <w:t>f_ke</w:t>
      </w:r>
      <w:r w:rsidR="00D82C1B" w:rsidRPr="00B31400">
        <w:rPr>
          <w:rFonts w:ascii="Times New Roman" w:hAnsi="Times New Roman"/>
          <w:sz w:val="24"/>
          <w:szCs w:val="24"/>
        </w:rPr>
        <w:t xml:space="preserve">(r) </w:t>
      </w:r>
      <w:r w:rsidRPr="00B31400">
        <w:rPr>
          <w:rFonts w:ascii="Times New Roman" w:hAnsi="Times New Roman"/>
          <w:sz w:val="24"/>
          <w:szCs w:val="24"/>
        </w:rPr>
        <w:t>free</w:t>
      </w:r>
      <w:r w:rsidR="00D82C1B">
        <w:rPr>
          <w:rFonts w:ascii="Times New Roman" w:hAnsi="Times New Roman"/>
          <w:sz w:val="24"/>
          <w:szCs w:val="24"/>
        </w:rPr>
        <w:t xml:space="preserve"> to adjust in a way that moved </w:t>
      </w:r>
      <w:r w:rsidR="006950C4">
        <w:rPr>
          <w:rFonts w:ascii="Times New Roman" w:hAnsi="Times New Roman"/>
          <w:sz w:val="24"/>
          <w:szCs w:val="24"/>
        </w:rPr>
        <w:t>r’s</w:t>
      </w:r>
      <w:r w:rsidR="00BA175F">
        <w:rPr>
          <w:rFonts w:ascii="Times New Roman" w:hAnsi="Times New Roman"/>
          <w:sz w:val="24"/>
          <w:szCs w:val="24"/>
        </w:rPr>
        <w:t xml:space="preserve"> </w:t>
      </w:r>
      <w:r w:rsidR="006950C4">
        <w:rPr>
          <w:rFonts w:ascii="Times New Roman" w:hAnsi="Times New Roman"/>
          <w:sz w:val="24"/>
          <w:szCs w:val="24"/>
        </w:rPr>
        <w:t>end-of-year/</w:t>
      </w:r>
      <w:r w:rsidR="00BA175F">
        <w:rPr>
          <w:rFonts w:ascii="Times New Roman" w:hAnsi="Times New Roman"/>
          <w:sz w:val="24"/>
          <w:szCs w:val="24"/>
        </w:rPr>
        <w:t xml:space="preserve">start-of-year capital </w:t>
      </w:r>
      <w:r w:rsidR="006950C4">
        <w:rPr>
          <w:rFonts w:ascii="Times New Roman" w:hAnsi="Times New Roman"/>
          <w:sz w:val="24"/>
          <w:szCs w:val="24"/>
        </w:rPr>
        <w:t xml:space="preserve">ratio </w:t>
      </w:r>
      <w:r w:rsidR="00BA175F">
        <w:rPr>
          <w:rFonts w:ascii="Times New Roman" w:hAnsi="Times New Roman"/>
          <w:sz w:val="24"/>
          <w:szCs w:val="24"/>
        </w:rPr>
        <w:t>to</w:t>
      </w:r>
      <w:r w:rsidRPr="00B31400">
        <w:rPr>
          <w:rFonts w:ascii="Times New Roman" w:hAnsi="Times New Roman"/>
          <w:sz w:val="24"/>
          <w:szCs w:val="24"/>
        </w:rPr>
        <w:t xml:space="preserve"> </w:t>
      </w:r>
      <w:r w:rsidR="00BA175F">
        <w:rPr>
          <w:rFonts w:ascii="Times New Roman" w:hAnsi="Times New Roman"/>
          <w:sz w:val="24"/>
          <w:szCs w:val="24"/>
        </w:rPr>
        <w:t xml:space="preserve">the </w:t>
      </w:r>
      <w:r w:rsidRPr="00B31400">
        <w:rPr>
          <w:rFonts w:ascii="Times New Roman" w:hAnsi="Times New Roman"/>
          <w:sz w:val="24"/>
          <w:szCs w:val="24"/>
        </w:rPr>
        <w:t xml:space="preserve">level compatible with </w:t>
      </w:r>
      <w:r w:rsidR="00BA175F">
        <w:rPr>
          <w:rFonts w:ascii="Times New Roman" w:hAnsi="Times New Roman"/>
          <w:sz w:val="24"/>
          <w:szCs w:val="24"/>
        </w:rPr>
        <w:t xml:space="preserve">the </w:t>
      </w:r>
      <w:r w:rsidRPr="00B31400">
        <w:rPr>
          <w:rFonts w:ascii="Times New Roman" w:hAnsi="Times New Roman"/>
          <w:sz w:val="24"/>
          <w:szCs w:val="24"/>
        </w:rPr>
        <w:t>observed</w:t>
      </w:r>
      <w:r w:rsidR="00BA175F">
        <w:rPr>
          <w:rFonts w:ascii="Times New Roman" w:hAnsi="Times New Roman"/>
          <w:sz w:val="24"/>
          <w:szCs w:val="24"/>
        </w:rPr>
        <w:t xml:space="preserve"> change in</w:t>
      </w:r>
      <w:r w:rsidRPr="00B31400">
        <w:rPr>
          <w:rFonts w:ascii="Times New Roman" w:hAnsi="Times New Roman"/>
          <w:sz w:val="24"/>
          <w:szCs w:val="24"/>
        </w:rPr>
        <w:t xml:space="preserve"> investment expenditure for r</w:t>
      </w:r>
      <w:r w:rsidR="00BA175F">
        <w:rPr>
          <w:rFonts w:ascii="Times New Roman" w:hAnsi="Times New Roman"/>
          <w:sz w:val="24"/>
          <w:szCs w:val="24"/>
        </w:rPr>
        <w:t>.</w:t>
      </w:r>
      <w:r w:rsidRPr="00B31400">
        <w:rPr>
          <w:rFonts w:ascii="Times New Roman" w:hAnsi="Times New Roman"/>
          <w:sz w:val="24"/>
          <w:szCs w:val="24"/>
        </w:rPr>
        <w:t xml:space="preserve"> </w:t>
      </w:r>
    </w:p>
    <w:p w:rsidR="00B31400" w:rsidRPr="00B31400" w:rsidRDefault="00B31400" w:rsidP="00B31400">
      <w:pPr>
        <w:ind w:left="0"/>
        <w:rPr>
          <w:rFonts w:ascii="Times New Roman" w:hAnsi="Times New Roman"/>
          <w:sz w:val="24"/>
          <w:szCs w:val="24"/>
        </w:rPr>
      </w:pPr>
      <w:r w:rsidRPr="00B31400">
        <w:rPr>
          <w:rFonts w:ascii="Times New Roman" w:hAnsi="Times New Roman"/>
          <w:sz w:val="24"/>
          <w:szCs w:val="24"/>
        </w:rPr>
        <w:t xml:space="preserve">The variables </w:t>
      </w:r>
      <w:r w:rsidR="00BA175F">
        <w:rPr>
          <w:rFonts w:ascii="Times New Roman" w:hAnsi="Times New Roman"/>
          <w:sz w:val="24"/>
          <w:szCs w:val="24"/>
        </w:rPr>
        <w:t>ff_ke and f_ke(r) h</w:t>
      </w:r>
      <w:r w:rsidRPr="00B31400">
        <w:rPr>
          <w:rFonts w:ascii="Times New Roman" w:hAnsi="Times New Roman"/>
          <w:sz w:val="24"/>
          <w:szCs w:val="24"/>
        </w:rPr>
        <w:t>ave no role in any equation apart from (</w:t>
      </w:r>
      <w:r w:rsidR="00BA175F">
        <w:rPr>
          <w:rFonts w:ascii="Times New Roman" w:hAnsi="Times New Roman"/>
          <w:sz w:val="24"/>
          <w:szCs w:val="24"/>
        </w:rPr>
        <w:t>4</w:t>
      </w:r>
      <w:r w:rsidRPr="00B31400">
        <w:rPr>
          <w:rFonts w:ascii="Times New Roman" w:hAnsi="Times New Roman"/>
          <w:sz w:val="24"/>
          <w:szCs w:val="24"/>
        </w:rPr>
        <w:t>.</w:t>
      </w:r>
      <w:r w:rsidR="00E71393">
        <w:rPr>
          <w:rFonts w:ascii="Times New Roman" w:hAnsi="Times New Roman"/>
          <w:sz w:val="24"/>
          <w:szCs w:val="24"/>
        </w:rPr>
        <w:t>4</w:t>
      </w:r>
      <w:r w:rsidRPr="00B31400">
        <w:rPr>
          <w:rFonts w:ascii="Times New Roman" w:hAnsi="Times New Roman"/>
          <w:sz w:val="24"/>
          <w:szCs w:val="24"/>
        </w:rPr>
        <w:t xml:space="preserve">).  Consequently, by using endogenous movements in the </w:t>
      </w:r>
      <w:r w:rsidR="00BA175F">
        <w:rPr>
          <w:rFonts w:ascii="Times New Roman" w:hAnsi="Times New Roman"/>
          <w:sz w:val="24"/>
          <w:szCs w:val="24"/>
        </w:rPr>
        <w:t>f_ke(r)</w:t>
      </w:r>
      <w:r w:rsidRPr="00B31400">
        <w:rPr>
          <w:rFonts w:ascii="Times New Roman" w:hAnsi="Times New Roman"/>
          <w:sz w:val="24"/>
          <w:szCs w:val="24"/>
        </w:rPr>
        <w:t xml:space="preserve">s to accommodate observed investment </w:t>
      </w:r>
      <w:r w:rsidR="00BA175F">
        <w:rPr>
          <w:rFonts w:ascii="Times New Roman" w:hAnsi="Times New Roman"/>
          <w:sz w:val="24"/>
          <w:szCs w:val="24"/>
        </w:rPr>
        <w:t>movement</w:t>
      </w:r>
      <w:r w:rsidR="006950C4">
        <w:rPr>
          <w:rFonts w:ascii="Times New Roman" w:hAnsi="Times New Roman"/>
          <w:sz w:val="24"/>
          <w:szCs w:val="24"/>
        </w:rPr>
        <w:t>s</w:t>
      </w:r>
      <w:r w:rsidRPr="00B31400">
        <w:rPr>
          <w:rFonts w:ascii="Times New Roman" w:hAnsi="Times New Roman"/>
          <w:sz w:val="24"/>
          <w:szCs w:val="24"/>
        </w:rPr>
        <w:t xml:space="preserve">, we had no choice but to exogenize </w:t>
      </w:r>
      <w:r w:rsidR="00BA175F">
        <w:rPr>
          <w:rFonts w:ascii="Times New Roman" w:hAnsi="Times New Roman"/>
          <w:sz w:val="24"/>
          <w:szCs w:val="24"/>
        </w:rPr>
        <w:t>ff_ke</w:t>
      </w:r>
      <w:r w:rsidRPr="00B31400">
        <w:rPr>
          <w:rFonts w:ascii="Times New Roman" w:hAnsi="Times New Roman"/>
          <w:sz w:val="24"/>
          <w:szCs w:val="24"/>
        </w:rPr>
        <w:t xml:space="preserve">.  Otherwise there would be an indeterminacy in endogenously determining the values of </w:t>
      </w:r>
      <w:r w:rsidR="00BA175F">
        <w:rPr>
          <w:rFonts w:ascii="Times New Roman" w:hAnsi="Times New Roman"/>
          <w:sz w:val="24"/>
          <w:szCs w:val="24"/>
        </w:rPr>
        <w:t>ff_ke</w:t>
      </w:r>
      <w:r w:rsidRPr="00B31400">
        <w:rPr>
          <w:rFonts w:ascii="Times New Roman" w:hAnsi="Times New Roman"/>
          <w:sz w:val="24"/>
          <w:szCs w:val="24"/>
        </w:rPr>
        <w:t xml:space="preserve"> and the </w:t>
      </w:r>
      <w:r w:rsidR="00BA175F">
        <w:rPr>
          <w:rFonts w:ascii="Times New Roman" w:hAnsi="Times New Roman"/>
          <w:sz w:val="24"/>
          <w:szCs w:val="24"/>
        </w:rPr>
        <w:t>f_ke(r)</w:t>
      </w:r>
      <w:r w:rsidR="00BA175F" w:rsidRPr="00B31400">
        <w:rPr>
          <w:rFonts w:ascii="Times New Roman" w:hAnsi="Times New Roman"/>
          <w:sz w:val="24"/>
          <w:szCs w:val="24"/>
        </w:rPr>
        <w:t>s</w:t>
      </w:r>
      <w:r w:rsidRPr="00B31400">
        <w:rPr>
          <w:rFonts w:ascii="Times New Roman" w:hAnsi="Times New Roman"/>
          <w:sz w:val="24"/>
          <w:szCs w:val="24"/>
        </w:rPr>
        <w:t xml:space="preserve">.  For whatever solution we found for the model, another solution could be found by </w:t>
      </w:r>
      <w:r w:rsidR="00BA175F">
        <w:rPr>
          <w:rFonts w:ascii="Times New Roman" w:hAnsi="Times New Roman"/>
          <w:sz w:val="24"/>
          <w:szCs w:val="24"/>
        </w:rPr>
        <w:t xml:space="preserve">adding </w:t>
      </w:r>
      <w:r w:rsidR="00BA175F" w:rsidRPr="00BA175F">
        <w:rPr>
          <w:rFonts w:ascii="Times New Roman" w:hAnsi="Times New Roman"/>
          <w:i/>
          <w:sz w:val="24"/>
          <w:szCs w:val="24"/>
        </w:rPr>
        <w:t>x</w:t>
      </w:r>
      <w:r w:rsidR="00BA175F">
        <w:rPr>
          <w:rFonts w:ascii="Times New Roman" w:hAnsi="Times New Roman"/>
          <w:sz w:val="24"/>
          <w:szCs w:val="24"/>
        </w:rPr>
        <w:t xml:space="preserve"> to ff_ke</w:t>
      </w:r>
      <w:r w:rsidRPr="00B31400">
        <w:rPr>
          <w:rFonts w:ascii="Times New Roman" w:hAnsi="Times New Roman"/>
          <w:sz w:val="24"/>
          <w:szCs w:val="24"/>
        </w:rPr>
        <w:t xml:space="preserve"> and </w:t>
      </w:r>
      <w:r w:rsidR="00BA175F">
        <w:rPr>
          <w:rFonts w:ascii="Times New Roman" w:hAnsi="Times New Roman"/>
          <w:sz w:val="24"/>
          <w:szCs w:val="24"/>
        </w:rPr>
        <w:t xml:space="preserve">subtracting </w:t>
      </w:r>
      <w:r w:rsidR="00BA175F" w:rsidRPr="00BA175F">
        <w:rPr>
          <w:rFonts w:ascii="Times New Roman" w:hAnsi="Times New Roman"/>
          <w:i/>
          <w:sz w:val="24"/>
          <w:szCs w:val="24"/>
        </w:rPr>
        <w:t>x</w:t>
      </w:r>
      <w:r w:rsidR="00BA175F">
        <w:rPr>
          <w:rFonts w:ascii="Times New Roman" w:hAnsi="Times New Roman"/>
          <w:sz w:val="24"/>
          <w:szCs w:val="24"/>
        </w:rPr>
        <w:t xml:space="preserve"> from </w:t>
      </w:r>
      <w:r w:rsidRPr="00B31400">
        <w:rPr>
          <w:rFonts w:ascii="Times New Roman" w:hAnsi="Times New Roman"/>
          <w:sz w:val="24"/>
          <w:szCs w:val="24"/>
        </w:rPr>
        <w:t xml:space="preserve">each of the </w:t>
      </w:r>
      <w:r w:rsidR="00BA175F">
        <w:rPr>
          <w:rFonts w:ascii="Times New Roman" w:hAnsi="Times New Roman"/>
          <w:sz w:val="24"/>
          <w:szCs w:val="24"/>
        </w:rPr>
        <w:t>f_ke(r)</w:t>
      </w:r>
      <w:r w:rsidR="00BA175F" w:rsidRPr="00B31400">
        <w:rPr>
          <w:rFonts w:ascii="Times New Roman" w:hAnsi="Times New Roman"/>
          <w:sz w:val="24"/>
          <w:szCs w:val="24"/>
        </w:rPr>
        <w:t>s</w:t>
      </w:r>
      <w:r w:rsidR="006950C4">
        <w:rPr>
          <w:rFonts w:ascii="Times New Roman" w:hAnsi="Times New Roman"/>
          <w:sz w:val="24"/>
          <w:szCs w:val="24"/>
        </w:rPr>
        <w:t xml:space="preserve">. </w:t>
      </w:r>
      <w:r w:rsidRPr="00B31400">
        <w:rPr>
          <w:rFonts w:ascii="Times New Roman" w:hAnsi="Times New Roman"/>
          <w:sz w:val="24"/>
          <w:szCs w:val="24"/>
        </w:rPr>
        <w:t xml:space="preserve"> However, exogenizing </w:t>
      </w:r>
      <w:r w:rsidR="00BA175F">
        <w:rPr>
          <w:rFonts w:ascii="Times New Roman" w:hAnsi="Times New Roman"/>
          <w:sz w:val="24"/>
          <w:szCs w:val="24"/>
        </w:rPr>
        <w:t>ff_ke</w:t>
      </w:r>
      <w:r w:rsidRPr="00B31400">
        <w:rPr>
          <w:rFonts w:ascii="Times New Roman" w:hAnsi="Times New Roman"/>
          <w:sz w:val="24"/>
          <w:szCs w:val="24"/>
        </w:rPr>
        <w:t xml:space="preserve"> left us with a puzzling problem.  </w:t>
      </w:r>
      <w:r w:rsidR="00BA175F">
        <w:rPr>
          <w:rFonts w:ascii="Times New Roman" w:hAnsi="Times New Roman"/>
          <w:sz w:val="24"/>
          <w:szCs w:val="24"/>
        </w:rPr>
        <w:t xml:space="preserve"> </w:t>
      </w:r>
    </w:p>
    <w:p w:rsidR="005C0C7E" w:rsidRDefault="00B31400" w:rsidP="00B31400">
      <w:pPr>
        <w:ind w:left="0"/>
        <w:rPr>
          <w:rFonts w:ascii="Times New Roman" w:hAnsi="Times New Roman"/>
          <w:sz w:val="24"/>
          <w:szCs w:val="24"/>
        </w:rPr>
      </w:pPr>
      <w:r w:rsidRPr="00B31400">
        <w:rPr>
          <w:rFonts w:ascii="Times New Roman" w:hAnsi="Times New Roman"/>
          <w:sz w:val="24"/>
          <w:szCs w:val="24"/>
        </w:rPr>
        <w:t xml:space="preserve">When we exogenize </w:t>
      </w:r>
      <w:r w:rsidR="00BA175F">
        <w:rPr>
          <w:rFonts w:ascii="Times New Roman" w:hAnsi="Times New Roman"/>
          <w:sz w:val="24"/>
          <w:szCs w:val="24"/>
        </w:rPr>
        <w:t>ff_ke</w:t>
      </w:r>
      <w:r w:rsidRPr="00B31400">
        <w:rPr>
          <w:rFonts w:ascii="Times New Roman" w:hAnsi="Times New Roman"/>
          <w:sz w:val="24"/>
          <w:szCs w:val="24"/>
        </w:rPr>
        <w:t xml:space="preserve">, what is the corresponding endogenization?  </w:t>
      </w:r>
    </w:p>
    <w:p w:rsidR="00B31400" w:rsidRPr="00B31400" w:rsidRDefault="00B31400" w:rsidP="00B31400">
      <w:pPr>
        <w:ind w:left="0"/>
        <w:rPr>
          <w:rFonts w:ascii="Times New Roman" w:hAnsi="Times New Roman"/>
          <w:sz w:val="24"/>
          <w:szCs w:val="24"/>
        </w:rPr>
      </w:pPr>
      <w:r w:rsidRPr="00B31400">
        <w:rPr>
          <w:rFonts w:ascii="Times New Roman" w:hAnsi="Times New Roman"/>
          <w:sz w:val="24"/>
          <w:szCs w:val="24"/>
        </w:rPr>
        <w:t>The answer can be found in the identity:</w:t>
      </w:r>
    </w:p>
    <w:p w:rsidR="00B31400" w:rsidRPr="00B31400" w:rsidRDefault="00AF3229" w:rsidP="00C71CB7">
      <w:pPr>
        <w:tabs>
          <w:tab w:val="left" w:pos="851"/>
          <w:tab w:val="right" w:pos="8789"/>
        </w:tabs>
        <w:ind w:left="284"/>
        <w:rPr>
          <w:rFonts w:ascii="Times New Roman" w:hAnsi="Times New Roman"/>
          <w:sz w:val="24"/>
          <w:szCs w:val="24"/>
        </w:rPr>
      </w:pPr>
      <w:r w:rsidRPr="00B31400">
        <w:rPr>
          <w:rFonts w:ascii="Times New Roman" w:hAnsi="Times New Roman"/>
          <w:position w:val="-26"/>
          <w:sz w:val="24"/>
          <w:szCs w:val="24"/>
        </w:rPr>
        <w:object w:dxaOrig="6800" w:dyaOrig="499">
          <v:shape id="_x0000_i1030" type="#_x0000_t75" style="width:340.5pt;height:24.75pt" o:ole="">
            <v:imagedata r:id="rId18" o:title=""/>
          </v:shape>
          <o:OLEObject Type="Embed" ProgID="Equation.DSMT4" ShapeID="_x0000_i1030" DrawAspect="Content" ObjectID="_1774671651" r:id="rId19"/>
        </w:object>
      </w:r>
      <w:r w:rsidR="00601D21">
        <w:rPr>
          <w:rFonts w:ascii="Times New Roman" w:hAnsi="Times New Roman"/>
          <w:sz w:val="24"/>
          <w:szCs w:val="24"/>
        </w:rPr>
        <w:tab/>
      </w:r>
      <w:r w:rsidR="00B31400" w:rsidRPr="00B31400">
        <w:rPr>
          <w:rFonts w:ascii="Times New Roman" w:hAnsi="Times New Roman"/>
          <w:sz w:val="24"/>
          <w:szCs w:val="24"/>
        </w:rPr>
        <w:t>(</w:t>
      </w:r>
      <w:r w:rsidR="00BA175F">
        <w:rPr>
          <w:rFonts w:ascii="Times New Roman" w:hAnsi="Times New Roman"/>
          <w:sz w:val="24"/>
          <w:szCs w:val="24"/>
        </w:rPr>
        <w:t>4</w:t>
      </w:r>
      <w:r w:rsidR="00B31400" w:rsidRPr="00B31400">
        <w:rPr>
          <w:rFonts w:ascii="Times New Roman" w:hAnsi="Times New Roman"/>
          <w:sz w:val="24"/>
          <w:szCs w:val="24"/>
        </w:rPr>
        <w:t>.</w:t>
      </w:r>
      <w:r w:rsidR="00601D21">
        <w:rPr>
          <w:rFonts w:ascii="Times New Roman" w:hAnsi="Times New Roman"/>
          <w:sz w:val="24"/>
          <w:szCs w:val="24"/>
        </w:rPr>
        <w:t>5</w:t>
      </w:r>
      <w:r w:rsidR="00B31400" w:rsidRPr="00B31400">
        <w:rPr>
          <w:rFonts w:ascii="Times New Roman" w:hAnsi="Times New Roman"/>
          <w:sz w:val="24"/>
          <w:szCs w:val="24"/>
        </w:rPr>
        <w:t>)</w:t>
      </w:r>
    </w:p>
    <w:p w:rsidR="00044956" w:rsidRDefault="00044956" w:rsidP="00B31400">
      <w:pPr>
        <w:ind w:left="0"/>
        <w:rPr>
          <w:rFonts w:ascii="Times New Roman" w:hAnsi="Times New Roman"/>
          <w:sz w:val="24"/>
          <w:szCs w:val="24"/>
        </w:rPr>
      </w:pPr>
      <w:r>
        <w:rPr>
          <w:rFonts w:ascii="Times New Roman" w:hAnsi="Times New Roman"/>
          <w:sz w:val="24"/>
          <w:szCs w:val="24"/>
        </w:rPr>
        <w:t>In (</w:t>
      </w:r>
      <w:r w:rsidR="00BA175F">
        <w:rPr>
          <w:rFonts w:ascii="Times New Roman" w:hAnsi="Times New Roman"/>
          <w:sz w:val="24"/>
          <w:szCs w:val="24"/>
        </w:rPr>
        <w:t>4</w:t>
      </w:r>
      <w:r>
        <w:rPr>
          <w:rFonts w:ascii="Times New Roman" w:hAnsi="Times New Roman"/>
          <w:sz w:val="24"/>
          <w:szCs w:val="24"/>
        </w:rPr>
        <w:t>.5) the LHS is the percentage change in world real GDP calculated as a weighted average of the percentage changes in the real GDPs of the regions.  The weights, S</w:t>
      </w:r>
      <w:r>
        <w:rPr>
          <w:rFonts w:ascii="Times New Roman" w:hAnsi="Times New Roman"/>
          <w:sz w:val="24"/>
          <w:szCs w:val="24"/>
          <w:vertAlign w:val="subscript"/>
        </w:rPr>
        <w:t>gdp</w:t>
      </w:r>
      <w:r>
        <w:rPr>
          <w:rFonts w:ascii="Times New Roman" w:hAnsi="Times New Roman"/>
          <w:sz w:val="24"/>
          <w:szCs w:val="24"/>
        </w:rPr>
        <w:t xml:space="preserve">(r), are regional shares in world GDP.  </w:t>
      </w:r>
    </w:p>
    <w:p w:rsidR="00044956" w:rsidRDefault="00601D21" w:rsidP="00B31400">
      <w:pPr>
        <w:ind w:left="0"/>
        <w:rPr>
          <w:rFonts w:ascii="Times New Roman" w:hAnsi="Times New Roman"/>
          <w:sz w:val="24"/>
          <w:szCs w:val="24"/>
        </w:rPr>
      </w:pPr>
      <w:r w:rsidRPr="00B31400">
        <w:rPr>
          <w:rFonts w:ascii="Times New Roman" w:hAnsi="Times New Roman"/>
          <w:sz w:val="24"/>
          <w:szCs w:val="24"/>
        </w:rPr>
        <w:t>The RHS</w:t>
      </w:r>
      <w:r>
        <w:rPr>
          <w:rFonts w:ascii="Times New Roman" w:hAnsi="Times New Roman"/>
          <w:sz w:val="24"/>
          <w:szCs w:val="24"/>
        </w:rPr>
        <w:t xml:space="preserve"> of (</w:t>
      </w:r>
      <w:r w:rsidR="00BA175F">
        <w:rPr>
          <w:rFonts w:ascii="Times New Roman" w:hAnsi="Times New Roman"/>
          <w:sz w:val="24"/>
          <w:szCs w:val="24"/>
        </w:rPr>
        <w:t>4</w:t>
      </w:r>
      <w:r>
        <w:rPr>
          <w:rFonts w:ascii="Times New Roman" w:hAnsi="Times New Roman"/>
          <w:sz w:val="24"/>
          <w:szCs w:val="24"/>
        </w:rPr>
        <w:t>.5)</w:t>
      </w:r>
      <w:r w:rsidRPr="00B31400">
        <w:rPr>
          <w:rFonts w:ascii="Times New Roman" w:hAnsi="Times New Roman"/>
          <w:sz w:val="24"/>
          <w:szCs w:val="24"/>
        </w:rPr>
        <w:t xml:space="preserve"> is</w:t>
      </w:r>
      <w:r w:rsidR="00044956">
        <w:rPr>
          <w:rFonts w:ascii="Times New Roman" w:hAnsi="Times New Roman"/>
          <w:sz w:val="24"/>
          <w:szCs w:val="24"/>
        </w:rPr>
        <w:t xml:space="preserve"> the percentage change in world real GDP calculated as a </w:t>
      </w:r>
      <w:r w:rsidR="006E07BB">
        <w:rPr>
          <w:rFonts w:ascii="Times New Roman" w:hAnsi="Times New Roman"/>
          <w:sz w:val="24"/>
          <w:szCs w:val="24"/>
        </w:rPr>
        <w:t xml:space="preserve">weighted </w:t>
      </w:r>
      <w:r w:rsidRPr="00B31400">
        <w:rPr>
          <w:rFonts w:ascii="Times New Roman" w:hAnsi="Times New Roman"/>
          <w:sz w:val="24"/>
          <w:szCs w:val="24"/>
        </w:rPr>
        <w:t xml:space="preserve">sum over all regions in </w:t>
      </w:r>
      <w:r>
        <w:rPr>
          <w:rFonts w:ascii="Times New Roman" w:hAnsi="Times New Roman"/>
          <w:sz w:val="24"/>
          <w:szCs w:val="24"/>
        </w:rPr>
        <w:t>the percentage changes in real</w:t>
      </w:r>
      <w:r w:rsidRPr="00B31400">
        <w:rPr>
          <w:rFonts w:ascii="Times New Roman" w:hAnsi="Times New Roman"/>
          <w:sz w:val="24"/>
          <w:szCs w:val="24"/>
        </w:rPr>
        <w:t xml:space="preserve"> private consumption, </w:t>
      </w:r>
      <w:r>
        <w:rPr>
          <w:rFonts w:ascii="Times New Roman" w:hAnsi="Times New Roman"/>
          <w:sz w:val="24"/>
          <w:szCs w:val="24"/>
        </w:rPr>
        <w:t xml:space="preserve">real </w:t>
      </w:r>
      <w:r w:rsidRPr="00B31400">
        <w:rPr>
          <w:rFonts w:ascii="Times New Roman" w:hAnsi="Times New Roman"/>
          <w:sz w:val="24"/>
          <w:szCs w:val="24"/>
        </w:rPr>
        <w:t xml:space="preserve">government consumption and </w:t>
      </w:r>
      <w:r>
        <w:rPr>
          <w:rFonts w:ascii="Times New Roman" w:hAnsi="Times New Roman"/>
          <w:sz w:val="24"/>
          <w:szCs w:val="24"/>
        </w:rPr>
        <w:t xml:space="preserve">real </w:t>
      </w:r>
      <w:r w:rsidRPr="00B31400">
        <w:rPr>
          <w:rFonts w:ascii="Times New Roman" w:hAnsi="Times New Roman"/>
          <w:sz w:val="24"/>
          <w:szCs w:val="24"/>
        </w:rPr>
        <w:t xml:space="preserve">investment.  </w:t>
      </w:r>
      <w:r w:rsidR="006E07BB">
        <w:rPr>
          <w:rFonts w:ascii="Times New Roman" w:hAnsi="Times New Roman"/>
          <w:sz w:val="24"/>
          <w:szCs w:val="24"/>
        </w:rPr>
        <w:t>The weights, S</w:t>
      </w:r>
      <w:r w:rsidR="006E07BB">
        <w:rPr>
          <w:rFonts w:ascii="Times New Roman" w:hAnsi="Times New Roman"/>
          <w:sz w:val="24"/>
          <w:szCs w:val="24"/>
          <w:vertAlign w:val="subscript"/>
        </w:rPr>
        <w:t>c</w:t>
      </w:r>
      <w:r w:rsidR="006E07BB">
        <w:rPr>
          <w:rFonts w:ascii="Times New Roman" w:hAnsi="Times New Roman"/>
          <w:sz w:val="24"/>
          <w:szCs w:val="24"/>
        </w:rPr>
        <w:t>(r), S</w:t>
      </w:r>
      <w:r w:rsidR="006E07BB" w:rsidRPr="006E07BB">
        <w:rPr>
          <w:rFonts w:ascii="Times New Roman" w:hAnsi="Times New Roman"/>
          <w:sz w:val="24"/>
          <w:szCs w:val="24"/>
          <w:vertAlign w:val="subscript"/>
        </w:rPr>
        <w:t>g</w:t>
      </w:r>
      <w:r w:rsidR="006E07BB">
        <w:rPr>
          <w:rFonts w:ascii="Times New Roman" w:hAnsi="Times New Roman"/>
          <w:sz w:val="24"/>
          <w:szCs w:val="24"/>
        </w:rPr>
        <w:t>(r), and S</w:t>
      </w:r>
      <w:r w:rsidR="006E07BB">
        <w:rPr>
          <w:rFonts w:ascii="Times New Roman" w:hAnsi="Times New Roman"/>
          <w:sz w:val="24"/>
          <w:szCs w:val="24"/>
          <w:vertAlign w:val="subscript"/>
        </w:rPr>
        <w:t>i</w:t>
      </w:r>
      <w:r w:rsidR="006E07BB">
        <w:rPr>
          <w:rFonts w:ascii="Times New Roman" w:hAnsi="Times New Roman"/>
          <w:sz w:val="24"/>
          <w:szCs w:val="24"/>
        </w:rPr>
        <w:t>(r), are the shares in world GDP of private consumption, government consumption and investment</w:t>
      </w:r>
      <w:r w:rsidR="00AF3229">
        <w:rPr>
          <w:rFonts w:ascii="Times New Roman" w:hAnsi="Times New Roman"/>
          <w:sz w:val="24"/>
          <w:szCs w:val="24"/>
        </w:rPr>
        <w:t xml:space="preserve"> in region r</w:t>
      </w:r>
      <w:r w:rsidR="006E07BB">
        <w:rPr>
          <w:rFonts w:ascii="Times New Roman" w:hAnsi="Times New Roman"/>
          <w:sz w:val="24"/>
          <w:szCs w:val="24"/>
        </w:rPr>
        <w:t xml:space="preserve">.  </w:t>
      </w:r>
      <w:r w:rsidR="00044956">
        <w:rPr>
          <w:rFonts w:ascii="Times New Roman" w:hAnsi="Times New Roman"/>
          <w:sz w:val="24"/>
          <w:szCs w:val="24"/>
        </w:rPr>
        <w:t>In calculating world real GDP this way</w:t>
      </w:r>
      <w:r w:rsidR="00614276">
        <w:rPr>
          <w:rFonts w:ascii="Times New Roman" w:hAnsi="Times New Roman"/>
          <w:sz w:val="24"/>
          <w:szCs w:val="24"/>
        </w:rPr>
        <w:t>,</w:t>
      </w:r>
      <w:r w:rsidR="00044956">
        <w:rPr>
          <w:rFonts w:ascii="Times New Roman" w:hAnsi="Times New Roman"/>
          <w:sz w:val="24"/>
          <w:szCs w:val="24"/>
        </w:rPr>
        <w:t xml:space="preserve"> we use that fact that world exports must add up to world imports.  </w:t>
      </w:r>
    </w:p>
    <w:p w:rsidR="00601D21" w:rsidRDefault="00AF3229" w:rsidP="00B31400">
      <w:pPr>
        <w:ind w:left="0"/>
        <w:rPr>
          <w:rFonts w:ascii="Times New Roman" w:hAnsi="Times New Roman"/>
          <w:sz w:val="24"/>
          <w:szCs w:val="24"/>
        </w:rPr>
      </w:pPr>
      <w:r>
        <w:rPr>
          <w:rFonts w:ascii="Times New Roman" w:hAnsi="Times New Roman"/>
          <w:sz w:val="24"/>
          <w:szCs w:val="24"/>
        </w:rPr>
        <w:t>With t</w:t>
      </w:r>
      <w:r w:rsidR="00601D21" w:rsidRPr="00B31400">
        <w:rPr>
          <w:rFonts w:ascii="Times New Roman" w:hAnsi="Times New Roman"/>
          <w:sz w:val="24"/>
          <w:szCs w:val="24"/>
        </w:rPr>
        <w:t xml:space="preserve">he data introduced in panels </w:t>
      </w:r>
      <w:r>
        <w:rPr>
          <w:rFonts w:ascii="Times New Roman" w:hAnsi="Times New Roman"/>
          <w:sz w:val="24"/>
          <w:szCs w:val="24"/>
        </w:rPr>
        <w:t xml:space="preserve">7 and </w:t>
      </w:r>
      <w:r w:rsidR="00601D21" w:rsidRPr="00B31400">
        <w:rPr>
          <w:rFonts w:ascii="Times New Roman" w:hAnsi="Times New Roman"/>
          <w:sz w:val="24"/>
          <w:szCs w:val="24"/>
        </w:rPr>
        <w:t>8</w:t>
      </w:r>
      <w:r>
        <w:rPr>
          <w:rFonts w:ascii="Times New Roman" w:hAnsi="Times New Roman"/>
          <w:sz w:val="24"/>
          <w:szCs w:val="24"/>
        </w:rPr>
        <w:t xml:space="preserve"> </w:t>
      </w:r>
      <w:r w:rsidR="00601D21" w:rsidRPr="00B31400">
        <w:rPr>
          <w:rFonts w:ascii="Times New Roman" w:hAnsi="Times New Roman"/>
          <w:sz w:val="24"/>
          <w:szCs w:val="24"/>
        </w:rPr>
        <w:t xml:space="preserve">and </w:t>
      </w:r>
      <w:r>
        <w:rPr>
          <w:rFonts w:ascii="Times New Roman" w:hAnsi="Times New Roman"/>
          <w:sz w:val="24"/>
          <w:szCs w:val="24"/>
        </w:rPr>
        <w:t xml:space="preserve">in this panel, </w:t>
      </w:r>
      <w:r w:rsidR="00601D21" w:rsidRPr="00B31400">
        <w:rPr>
          <w:rFonts w:ascii="Times New Roman" w:hAnsi="Times New Roman"/>
          <w:sz w:val="24"/>
          <w:szCs w:val="24"/>
        </w:rPr>
        <w:t>the RHS of (</w:t>
      </w:r>
      <w:r w:rsidR="00614276">
        <w:rPr>
          <w:rFonts w:ascii="Times New Roman" w:hAnsi="Times New Roman"/>
          <w:sz w:val="24"/>
          <w:szCs w:val="24"/>
        </w:rPr>
        <w:t>4</w:t>
      </w:r>
      <w:r w:rsidR="00601D21" w:rsidRPr="00B31400">
        <w:rPr>
          <w:rFonts w:ascii="Times New Roman" w:hAnsi="Times New Roman"/>
          <w:sz w:val="24"/>
          <w:szCs w:val="24"/>
        </w:rPr>
        <w:t>.</w:t>
      </w:r>
      <w:r>
        <w:rPr>
          <w:rFonts w:ascii="Times New Roman" w:hAnsi="Times New Roman"/>
          <w:sz w:val="24"/>
          <w:szCs w:val="24"/>
        </w:rPr>
        <w:t>5</w:t>
      </w:r>
      <w:r w:rsidR="00601D21" w:rsidRPr="00B31400">
        <w:rPr>
          <w:rFonts w:ascii="Times New Roman" w:hAnsi="Times New Roman"/>
          <w:sz w:val="24"/>
          <w:szCs w:val="24"/>
        </w:rPr>
        <w:t xml:space="preserve">) is known.  </w:t>
      </w:r>
      <w:r w:rsidR="001F3191">
        <w:rPr>
          <w:rFonts w:ascii="Times New Roman" w:hAnsi="Times New Roman"/>
          <w:sz w:val="24"/>
          <w:szCs w:val="24"/>
        </w:rPr>
        <w:t>With</w:t>
      </w:r>
      <w:r w:rsidR="00C71CB7">
        <w:rPr>
          <w:rFonts w:ascii="Times New Roman" w:hAnsi="Times New Roman"/>
          <w:sz w:val="24"/>
          <w:szCs w:val="24"/>
        </w:rPr>
        <w:t xml:space="preserve"> the introduction of the GDP data in panel 1, the LHS is known.  Consequently, to avoid over determination, we must backtrack and free up a scalar variable relevant to (</w:t>
      </w:r>
      <w:r w:rsidR="00614276">
        <w:rPr>
          <w:rFonts w:ascii="Times New Roman" w:hAnsi="Times New Roman"/>
          <w:sz w:val="24"/>
          <w:szCs w:val="24"/>
        </w:rPr>
        <w:t>4</w:t>
      </w:r>
      <w:r w:rsidR="00C71CB7">
        <w:rPr>
          <w:rFonts w:ascii="Times New Roman" w:hAnsi="Times New Roman"/>
          <w:sz w:val="24"/>
          <w:szCs w:val="24"/>
        </w:rPr>
        <w:t xml:space="preserve">.5) to be determined endogenously.  To do this we added the equation </w:t>
      </w:r>
    </w:p>
    <w:p w:rsidR="00BB3E3C" w:rsidRPr="00B31400" w:rsidRDefault="00BB3E3C" w:rsidP="00BB3E3C">
      <w:pPr>
        <w:tabs>
          <w:tab w:val="left" w:pos="851"/>
          <w:tab w:val="right" w:pos="8789"/>
        </w:tabs>
        <w:ind w:left="284"/>
        <w:rPr>
          <w:rFonts w:ascii="Times New Roman" w:hAnsi="Times New Roman"/>
          <w:sz w:val="24"/>
          <w:szCs w:val="24"/>
        </w:rPr>
      </w:pPr>
      <w:r w:rsidRPr="00BB3E3C">
        <w:rPr>
          <w:rFonts w:ascii="Times New Roman" w:hAnsi="Times New Roman"/>
          <w:position w:val="-10"/>
          <w:sz w:val="24"/>
          <w:szCs w:val="24"/>
        </w:rPr>
        <w:object w:dxaOrig="5660" w:dyaOrig="320">
          <v:shape id="_x0000_i1031" type="#_x0000_t75" style="width:283.5pt;height:15.75pt" o:ole="">
            <v:imagedata r:id="rId20" o:title=""/>
          </v:shape>
          <o:OLEObject Type="Embed" ProgID="Equation.DSMT4" ShapeID="_x0000_i1031" DrawAspect="Content" ObjectID="_1774671652" r:id="rId21"/>
        </w:object>
      </w:r>
      <w:r>
        <w:rPr>
          <w:rFonts w:ascii="Times New Roman" w:hAnsi="Times New Roman"/>
          <w:sz w:val="24"/>
          <w:szCs w:val="24"/>
        </w:rPr>
        <w:tab/>
      </w:r>
      <w:r w:rsidRPr="00B31400">
        <w:rPr>
          <w:rFonts w:ascii="Times New Roman" w:hAnsi="Times New Roman"/>
          <w:sz w:val="24"/>
          <w:szCs w:val="24"/>
        </w:rPr>
        <w:t>(</w:t>
      </w:r>
      <w:r w:rsidR="00614276">
        <w:rPr>
          <w:rFonts w:ascii="Times New Roman" w:hAnsi="Times New Roman"/>
          <w:sz w:val="24"/>
          <w:szCs w:val="24"/>
        </w:rPr>
        <w:t>4</w:t>
      </w:r>
      <w:r w:rsidRPr="00B31400">
        <w:rPr>
          <w:rFonts w:ascii="Times New Roman" w:hAnsi="Times New Roman"/>
          <w:sz w:val="24"/>
          <w:szCs w:val="24"/>
        </w:rPr>
        <w:t>.</w:t>
      </w:r>
      <w:r>
        <w:rPr>
          <w:rFonts w:ascii="Times New Roman" w:hAnsi="Times New Roman"/>
          <w:sz w:val="24"/>
          <w:szCs w:val="24"/>
        </w:rPr>
        <w:t>6</w:t>
      </w:r>
      <w:r w:rsidRPr="00B31400">
        <w:rPr>
          <w:rFonts w:ascii="Times New Roman" w:hAnsi="Times New Roman"/>
          <w:sz w:val="24"/>
          <w:szCs w:val="24"/>
        </w:rPr>
        <w:t>)</w:t>
      </w:r>
    </w:p>
    <w:p w:rsidR="00BB3E3C" w:rsidRDefault="00BB3E3C" w:rsidP="00B31400">
      <w:pPr>
        <w:ind w:left="0"/>
        <w:rPr>
          <w:rFonts w:ascii="Times New Roman" w:hAnsi="Times New Roman"/>
          <w:sz w:val="24"/>
          <w:szCs w:val="24"/>
        </w:rPr>
      </w:pPr>
      <w:r>
        <w:rPr>
          <w:rFonts w:ascii="Times New Roman" w:hAnsi="Times New Roman"/>
          <w:sz w:val="24"/>
          <w:szCs w:val="24"/>
        </w:rPr>
        <w:t>We can think of the two shift variables on the RHS of (</w:t>
      </w:r>
      <w:r w:rsidR="00614276">
        <w:rPr>
          <w:rFonts w:ascii="Times New Roman" w:hAnsi="Times New Roman"/>
          <w:sz w:val="24"/>
          <w:szCs w:val="24"/>
        </w:rPr>
        <w:t>4</w:t>
      </w:r>
      <w:r>
        <w:rPr>
          <w:rFonts w:ascii="Times New Roman" w:hAnsi="Times New Roman"/>
          <w:sz w:val="24"/>
          <w:szCs w:val="24"/>
        </w:rPr>
        <w:t xml:space="preserve">.6) as being exogenous and unshocked through panels 1 to 8 in Table </w:t>
      </w:r>
      <w:r w:rsidR="00614276">
        <w:rPr>
          <w:rFonts w:ascii="Times New Roman" w:hAnsi="Times New Roman"/>
          <w:sz w:val="24"/>
          <w:szCs w:val="24"/>
        </w:rPr>
        <w:t>4</w:t>
      </w:r>
      <w:r>
        <w:rPr>
          <w:rFonts w:ascii="Times New Roman" w:hAnsi="Times New Roman"/>
          <w:sz w:val="24"/>
          <w:szCs w:val="24"/>
        </w:rPr>
        <w:t>.1.  Thus</w:t>
      </w:r>
      <w:r w:rsidR="00614276">
        <w:rPr>
          <w:rFonts w:ascii="Times New Roman" w:hAnsi="Times New Roman"/>
          <w:sz w:val="24"/>
          <w:szCs w:val="24"/>
        </w:rPr>
        <w:t>,</w:t>
      </w:r>
      <w:r>
        <w:rPr>
          <w:rFonts w:ascii="Times New Roman" w:hAnsi="Times New Roman"/>
          <w:sz w:val="24"/>
          <w:szCs w:val="24"/>
        </w:rPr>
        <w:t xml:space="preserve"> the shocks to qgdp_obs(r) introduced in panel 1 simply set the movements in real GDP in each region.  Now, we endogenize the scalar shifter, f_gdp_obs.  This introduces a uniform adjustment across the </w:t>
      </w:r>
      <w:r w:rsidR="00264FCF">
        <w:rPr>
          <w:rFonts w:ascii="Times New Roman" w:hAnsi="Times New Roman"/>
          <w:sz w:val="24"/>
          <w:szCs w:val="24"/>
        </w:rPr>
        <w:t>GDP observations, allowing equation (</w:t>
      </w:r>
      <w:r w:rsidR="00614276">
        <w:rPr>
          <w:rFonts w:ascii="Times New Roman" w:hAnsi="Times New Roman"/>
          <w:sz w:val="24"/>
          <w:szCs w:val="24"/>
        </w:rPr>
        <w:t>4</w:t>
      </w:r>
      <w:r w:rsidR="00264FCF">
        <w:rPr>
          <w:rFonts w:ascii="Times New Roman" w:hAnsi="Times New Roman"/>
          <w:sz w:val="24"/>
          <w:szCs w:val="24"/>
        </w:rPr>
        <w:t xml:space="preserve">.5) to be satisfied.  </w:t>
      </w:r>
      <w:r w:rsidR="00E2240F">
        <w:rPr>
          <w:rFonts w:ascii="Times New Roman" w:hAnsi="Times New Roman"/>
          <w:sz w:val="24"/>
          <w:szCs w:val="24"/>
        </w:rPr>
        <w:t>In our simulation</w:t>
      </w:r>
      <w:r w:rsidR="001F3191">
        <w:rPr>
          <w:rFonts w:ascii="Times New Roman" w:hAnsi="Times New Roman"/>
          <w:sz w:val="24"/>
          <w:szCs w:val="24"/>
        </w:rPr>
        <w:t>,</w:t>
      </w:r>
      <w:r w:rsidR="00E2240F">
        <w:rPr>
          <w:rFonts w:ascii="Times New Roman" w:hAnsi="Times New Roman"/>
          <w:sz w:val="24"/>
          <w:szCs w:val="24"/>
        </w:rPr>
        <w:t xml:space="preserve"> the result for f_gdp_obs was very small</w:t>
      </w:r>
      <w:r w:rsidR="00FA5FE4">
        <w:rPr>
          <w:rFonts w:ascii="Times New Roman" w:hAnsi="Times New Roman"/>
          <w:sz w:val="24"/>
          <w:szCs w:val="24"/>
        </w:rPr>
        <w:t xml:space="preserve">.  This indicates that there was almost no </w:t>
      </w:r>
      <w:r w:rsidR="00E2240F">
        <w:rPr>
          <w:rFonts w:ascii="Times New Roman" w:hAnsi="Times New Roman"/>
          <w:sz w:val="24"/>
          <w:szCs w:val="24"/>
        </w:rPr>
        <w:t xml:space="preserve">tension between </w:t>
      </w:r>
      <w:r w:rsidR="00FA5FE4">
        <w:rPr>
          <w:rFonts w:ascii="Times New Roman" w:hAnsi="Times New Roman"/>
          <w:sz w:val="24"/>
          <w:szCs w:val="24"/>
        </w:rPr>
        <w:t>the OECD da</w:t>
      </w:r>
      <w:r w:rsidR="001F3191">
        <w:rPr>
          <w:rFonts w:ascii="Times New Roman" w:hAnsi="Times New Roman"/>
          <w:sz w:val="24"/>
          <w:szCs w:val="24"/>
        </w:rPr>
        <w:t>ta on movements in regional GDP</w:t>
      </w:r>
      <w:r w:rsidR="00FA5FE4">
        <w:rPr>
          <w:rFonts w:ascii="Times New Roman" w:hAnsi="Times New Roman"/>
          <w:sz w:val="24"/>
          <w:szCs w:val="24"/>
        </w:rPr>
        <w:t>, C, I and G</w:t>
      </w:r>
      <w:r w:rsidR="00E2240F">
        <w:rPr>
          <w:rFonts w:ascii="Times New Roman" w:hAnsi="Times New Roman"/>
          <w:sz w:val="24"/>
          <w:szCs w:val="24"/>
        </w:rPr>
        <w:t xml:space="preserve"> </w:t>
      </w:r>
      <w:r w:rsidR="00FA5FE4">
        <w:rPr>
          <w:rFonts w:ascii="Times New Roman" w:hAnsi="Times New Roman"/>
          <w:sz w:val="24"/>
          <w:szCs w:val="24"/>
        </w:rPr>
        <w:t>and the GTAP shares used to aggregate these movements to the world level in equation (</w:t>
      </w:r>
      <w:r w:rsidR="00614276">
        <w:rPr>
          <w:rFonts w:ascii="Times New Roman" w:hAnsi="Times New Roman"/>
          <w:sz w:val="24"/>
          <w:szCs w:val="24"/>
        </w:rPr>
        <w:t>4</w:t>
      </w:r>
      <w:r w:rsidR="00FA5FE4">
        <w:rPr>
          <w:rFonts w:ascii="Times New Roman" w:hAnsi="Times New Roman"/>
          <w:sz w:val="24"/>
          <w:szCs w:val="24"/>
        </w:rPr>
        <w:t>.5).</w:t>
      </w:r>
    </w:p>
    <w:p w:rsidR="00264FCF" w:rsidRDefault="00264FCF" w:rsidP="00D77877">
      <w:pPr>
        <w:ind w:left="0"/>
        <w:rPr>
          <w:rFonts w:ascii="Times New Roman" w:hAnsi="Times New Roman"/>
          <w:sz w:val="24"/>
          <w:szCs w:val="24"/>
        </w:rPr>
      </w:pPr>
      <w:r>
        <w:rPr>
          <w:rFonts w:ascii="Times New Roman" w:hAnsi="Times New Roman"/>
          <w:i/>
          <w:sz w:val="24"/>
          <w:szCs w:val="24"/>
        </w:rPr>
        <w:t>Panel 10: imports.</w:t>
      </w:r>
      <w:r>
        <w:rPr>
          <w:rFonts w:ascii="Times New Roman" w:hAnsi="Times New Roman"/>
          <w:sz w:val="24"/>
          <w:szCs w:val="24"/>
        </w:rPr>
        <w:t xml:space="preserve">  To accommodate observations of percentage movements in aggregate imports for each region [impvol(r)], we added import-domestic twist variables to GTAP’s Armington specification of choice between domestic and imported varieties.  With this addition, we obtained equations of the form: </w:t>
      </w:r>
    </w:p>
    <w:p w:rsidR="00264FCF" w:rsidRDefault="00264FCF" w:rsidP="00D77877">
      <w:pPr>
        <w:tabs>
          <w:tab w:val="left" w:pos="851"/>
          <w:tab w:val="right" w:pos="8789"/>
        </w:tabs>
        <w:ind w:left="0"/>
        <w:rPr>
          <w:rFonts w:ascii="Times New Roman" w:hAnsi="Times New Roman"/>
          <w:sz w:val="24"/>
          <w:szCs w:val="24"/>
        </w:rPr>
      </w:pPr>
      <w:r>
        <w:rPr>
          <w:rFonts w:ascii="Times New Roman" w:hAnsi="Times New Roman"/>
          <w:sz w:val="24"/>
          <w:szCs w:val="24"/>
        </w:rPr>
        <w:lastRenderedPageBreak/>
        <w:tab/>
      </w:r>
      <w:r w:rsidR="003A6919" w:rsidRPr="00A818FD">
        <w:rPr>
          <w:rFonts w:ascii="Times New Roman" w:hAnsi="Times New Roman"/>
          <w:position w:val="-12"/>
          <w:sz w:val="24"/>
          <w:szCs w:val="24"/>
        </w:rPr>
        <w:object w:dxaOrig="6140" w:dyaOrig="360">
          <v:shape id="_x0000_i1032" type="#_x0000_t75" style="width:307.5pt;height:19.5pt" o:ole="">
            <v:imagedata r:id="rId22" o:title=""/>
          </v:shape>
          <o:OLEObject Type="Embed" ProgID="Equation.DSMT4" ShapeID="_x0000_i1032" DrawAspect="Content" ObjectID="_1774671653" r:id="rId23"/>
        </w:object>
      </w:r>
      <w:r>
        <w:rPr>
          <w:rFonts w:ascii="Times New Roman" w:hAnsi="Times New Roman"/>
          <w:sz w:val="24"/>
          <w:szCs w:val="24"/>
        </w:rPr>
        <w:t xml:space="preserve"> </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w:t>
      </w:r>
      <w:r w:rsidR="00A818FD">
        <w:rPr>
          <w:rFonts w:ascii="Times New Roman" w:hAnsi="Times New Roman"/>
          <w:sz w:val="24"/>
          <w:szCs w:val="24"/>
        </w:rPr>
        <w:t>7</w:t>
      </w:r>
      <w:r>
        <w:rPr>
          <w:rFonts w:ascii="Times New Roman" w:hAnsi="Times New Roman"/>
          <w:sz w:val="24"/>
          <w:szCs w:val="24"/>
        </w:rPr>
        <w:t>)</w:t>
      </w:r>
    </w:p>
    <w:p w:rsidR="00264FCF" w:rsidRDefault="00264FCF" w:rsidP="00D77877">
      <w:pPr>
        <w:tabs>
          <w:tab w:val="left" w:pos="851"/>
          <w:tab w:val="right" w:pos="8789"/>
        </w:tabs>
        <w:ind w:left="0"/>
        <w:rPr>
          <w:rFonts w:ascii="Times New Roman" w:hAnsi="Times New Roman"/>
          <w:sz w:val="24"/>
          <w:szCs w:val="24"/>
        </w:rPr>
      </w:pPr>
      <w:r>
        <w:rPr>
          <w:rFonts w:ascii="Times New Roman" w:hAnsi="Times New Roman"/>
          <w:sz w:val="24"/>
          <w:szCs w:val="24"/>
        </w:rPr>
        <w:tab/>
      </w:r>
      <w:r w:rsidR="003A6919" w:rsidRPr="00A818FD">
        <w:rPr>
          <w:rFonts w:ascii="Times New Roman" w:hAnsi="Times New Roman"/>
          <w:position w:val="-12"/>
          <w:sz w:val="24"/>
          <w:szCs w:val="24"/>
        </w:rPr>
        <w:object w:dxaOrig="6120" w:dyaOrig="360">
          <v:shape id="_x0000_i1033" type="#_x0000_t75" style="width:306pt;height:19.5pt" o:ole="">
            <v:imagedata r:id="rId24" o:title=""/>
          </v:shape>
          <o:OLEObject Type="Embed" ProgID="Equation.DSMT4" ShapeID="_x0000_i1033" DrawAspect="Content" ObjectID="_1774671654" r:id="rId25"/>
        </w:object>
      </w:r>
      <w:r>
        <w:rPr>
          <w:rFonts w:ascii="Times New Roman" w:hAnsi="Times New Roman"/>
          <w:sz w:val="24"/>
          <w:szCs w:val="24"/>
        </w:rPr>
        <w:t xml:space="preserve"> </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w:t>
      </w:r>
      <w:r w:rsidR="00A818FD">
        <w:rPr>
          <w:rFonts w:ascii="Times New Roman" w:hAnsi="Times New Roman"/>
          <w:sz w:val="24"/>
          <w:szCs w:val="24"/>
        </w:rPr>
        <w:t>8</w:t>
      </w:r>
      <w:r>
        <w:rPr>
          <w:rFonts w:ascii="Times New Roman" w:hAnsi="Times New Roman"/>
          <w:sz w:val="24"/>
          <w:szCs w:val="24"/>
        </w:rPr>
        <w:t>)</w:t>
      </w:r>
    </w:p>
    <w:p w:rsidR="00264FCF" w:rsidRDefault="00264FCF" w:rsidP="00D77877">
      <w:pPr>
        <w:ind w:left="0"/>
      </w:pPr>
      <w:r w:rsidRPr="009A0A9C">
        <w:rPr>
          <w:rFonts w:ascii="Times New Roman" w:hAnsi="Times New Roman"/>
          <w:sz w:val="24"/>
          <w:szCs w:val="24"/>
        </w:rPr>
        <w:t>where</w:t>
      </w:r>
    </w:p>
    <w:p w:rsidR="00264FCF" w:rsidRDefault="00264FCF" w:rsidP="00264FCF">
      <w:pPr>
        <w:spacing w:before="0"/>
        <w:ind w:left="284"/>
        <w:rPr>
          <w:rFonts w:ascii="Times New Roman" w:hAnsi="Times New Roman"/>
          <w:sz w:val="24"/>
          <w:szCs w:val="24"/>
        </w:rPr>
      </w:pPr>
      <w:r>
        <w:rPr>
          <w:rFonts w:ascii="Times New Roman" w:hAnsi="Times New Roman"/>
          <w:sz w:val="24"/>
          <w:szCs w:val="24"/>
        </w:rPr>
        <w:t>qm</w:t>
      </w:r>
      <w:r w:rsidR="00A818FD">
        <w:rPr>
          <w:rFonts w:ascii="Times New Roman" w:hAnsi="Times New Roman"/>
          <w:sz w:val="24"/>
          <w:szCs w:val="24"/>
          <w:vertAlign w:val="subscript"/>
        </w:rPr>
        <w:t>a</w:t>
      </w:r>
      <w:r>
        <w:rPr>
          <w:rFonts w:ascii="Times New Roman" w:hAnsi="Times New Roman"/>
          <w:sz w:val="24"/>
          <w:szCs w:val="24"/>
        </w:rPr>
        <w:t>(j,r) and qd</w:t>
      </w:r>
      <w:r w:rsidR="00A818FD">
        <w:rPr>
          <w:rFonts w:ascii="Times New Roman" w:hAnsi="Times New Roman"/>
          <w:sz w:val="24"/>
          <w:szCs w:val="24"/>
          <w:vertAlign w:val="subscript"/>
        </w:rPr>
        <w:t>a</w:t>
      </w:r>
      <w:r>
        <w:rPr>
          <w:rFonts w:ascii="Times New Roman" w:hAnsi="Times New Roman"/>
          <w:sz w:val="24"/>
          <w:szCs w:val="24"/>
        </w:rPr>
        <w:t xml:space="preserve">(j,r) are the percentage changes in </w:t>
      </w:r>
      <w:r w:rsidR="00A818FD">
        <w:rPr>
          <w:rFonts w:ascii="Times New Roman" w:hAnsi="Times New Roman"/>
          <w:sz w:val="24"/>
          <w:szCs w:val="24"/>
        </w:rPr>
        <w:t>use</w:t>
      </w:r>
      <w:r>
        <w:rPr>
          <w:rFonts w:ascii="Times New Roman" w:hAnsi="Times New Roman"/>
          <w:sz w:val="24"/>
          <w:szCs w:val="24"/>
        </w:rPr>
        <w:t xml:space="preserve"> </w:t>
      </w:r>
      <w:r w:rsidR="00A818FD">
        <w:rPr>
          <w:rFonts w:ascii="Times New Roman" w:hAnsi="Times New Roman"/>
          <w:sz w:val="24"/>
          <w:szCs w:val="24"/>
        </w:rPr>
        <w:t xml:space="preserve">by agent a (households, government and firms) </w:t>
      </w:r>
      <w:r>
        <w:rPr>
          <w:rFonts w:ascii="Times New Roman" w:hAnsi="Times New Roman"/>
          <w:sz w:val="24"/>
          <w:szCs w:val="24"/>
        </w:rPr>
        <w:t>of imported and domestic commodity j in region r;</w:t>
      </w:r>
    </w:p>
    <w:p w:rsidR="00264FCF" w:rsidRDefault="00264FCF" w:rsidP="00264FCF">
      <w:pPr>
        <w:spacing w:before="0"/>
        <w:ind w:left="284"/>
        <w:rPr>
          <w:rFonts w:ascii="Times New Roman" w:hAnsi="Times New Roman"/>
          <w:sz w:val="24"/>
          <w:szCs w:val="24"/>
        </w:rPr>
      </w:pPr>
      <w:r>
        <w:rPr>
          <w:rFonts w:ascii="Times New Roman" w:hAnsi="Times New Roman"/>
          <w:sz w:val="24"/>
          <w:szCs w:val="24"/>
        </w:rPr>
        <w:t>q</w:t>
      </w:r>
      <w:r w:rsidR="00A818FD">
        <w:rPr>
          <w:rFonts w:ascii="Times New Roman" w:hAnsi="Times New Roman"/>
          <w:sz w:val="24"/>
          <w:szCs w:val="24"/>
          <w:vertAlign w:val="subscript"/>
        </w:rPr>
        <w:t>a</w:t>
      </w:r>
      <w:r>
        <w:rPr>
          <w:rFonts w:ascii="Times New Roman" w:hAnsi="Times New Roman"/>
          <w:sz w:val="24"/>
          <w:szCs w:val="24"/>
        </w:rPr>
        <w:t xml:space="preserve">(j,r) is the percentage change in </w:t>
      </w:r>
      <w:r w:rsidR="00A818FD">
        <w:rPr>
          <w:rFonts w:ascii="Times New Roman" w:hAnsi="Times New Roman"/>
          <w:sz w:val="24"/>
          <w:szCs w:val="24"/>
        </w:rPr>
        <w:t>use</w:t>
      </w:r>
      <w:r w:rsidR="00A818FD" w:rsidRPr="00A818FD">
        <w:rPr>
          <w:rFonts w:ascii="Times New Roman" w:hAnsi="Times New Roman"/>
          <w:sz w:val="24"/>
          <w:szCs w:val="24"/>
        </w:rPr>
        <w:t xml:space="preserve"> </w:t>
      </w:r>
      <w:r w:rsidR="00A818FD">
        <w:rPr>
          <w:rFonts w:ascii="Times New Roman" w:hAnsi="Times New Roman"/>
          <w:sz w:val="24"/>
          <w:szCs w:val="24"/>
        </w:rPr>
        <w:t>by agent a</w:t>
      </w:r>
      <w:r>
        <w:rPr>
          <w:rFonts w:ascii="Times New Roman" w:hAnsi="Times New Roman"/>
          <w:sz w:val="24"/>
          <w:szCs w:val="24"/>
        </w:rPr>
        <w:t xml:space="preserve"> of composite j in region r;</w:t>
      </w:r>
    </w:p>
    <w:p w:rsidR="00264FCF" w:rsidRDefault="00264FCF" w:rsidP="00264FCF">
      <w:pPr>
        <w:spacing w:before="0"/>
        <w:ind w:left="284"/>
        <w:rPr>
          <w:rFonts w:ascii="Times New Roman" w:hAnsi="Times New Roman"/>
          <w:sz w:val="24"/>
          <w:szCs w:val="24"/>
        </w:rPr>
      </w:pPr>
      <w:r>
        <w:rPr>
          <w:rFonts w:ascii="Times New Roman" w:hAnsi="Times New Roman"/>
          <w:sz w:val="24"/>
          <w:szCs w:val="24"/>
        </w:rPr>
        <w:t>the terms in the brackets provide the usual GTAP specifications of price-induced import/domestic substitution;</w:t>
      </w:r>
      <w:r w:rsidR="00A818FD">
        <w:rPr>
          <w:rFonts w:ascii="Times New Roman" w:hAnsi="Times New Roman"/>
          <w:sz w:val="24"/>
          <w:szCs w:val="24"/>
        </w:rPr>
        <w:t xml:space="preserve"> </w:t>
      </w:r>
    </w:p>
    <w:p w:rsidR="00264FCF" w:rsidRDefault="00264FCF" w:rsidP="00264FCF">
      <w:pPr>
        <w:spacing w:before="0"/>
        <w:ind w:left="284"/>
        <w:rPr>
          <w:rFonts w:ascii="Times New Roman" w:hAnsi="Times New Roman"/>
          <w:sz w:val="24"/>
          <w:szCs w:val="24"/>
        </w:rPr>
      </w:pPr>
      <w:r>
        <w:rPr>
          <w:rFonts w:ascii="Times New Roman" w:hAnsi="Times New Roman"/>
          <w:sz w:val="24"/>
          <w:szCs w:val="24"/>
        </w:rPr>
        <w:t>twist_src</w:t>
      </w:r>
      <w:r w:rsidR="003A6919">
        <w:rPr>
          <w:rFonts w:ascii="Times New Roman" w:hAnsi="Times New Roman"/>
          <w:sz w:val="24"/>
          <w:szCs w:val="24"/>
        </w:rPr>
        <w:t>_i</w:t>
      </w:r>
      <w:r>
        <w:rPr>
          <w:rFonts w:ascii="Times New Roman" w:hAnsi="Times New Roman"/>
          <w:sz w:val="24"/>
          <w:szCs w:val="24"/>
        </w:rPr>
        <w:t>(r) is a preference variable allowing shifts in import/domestic ratios beyond those that can be explained by price movements; and</w:t>
      </w:r>
    </w:p>
    <w:p w:rsidR="00264FCF" w:rsidRDefault="00264FCF" w:rsidP="00264FCF">
      <w:pPr>
        <w:spacing w:before="0"/>
        <w:ind w:left="284"/>
        <w:rPr>
          <w:rFonts w:ascii="Times New Roman" w:hAnsi="Times New Roman"/>
          <w:sz w:val="24"/>
          <w:szCs w:val="24"/>
        </w:rPr>
      </w:pPr>
      <w:r>
        <w:rPr>
          <w:rFonts w:ascii="Times New Roman" w:hAnsi="Times New Roman"/>
          <w:sz w:val="24"/>
          <w:szCs w:val="24"/>
        </w:rPr>
        <w:t>SHRM</w:t>
      </w:r>
      <w:r w:rsidR="00A818FD">
        <w:rPr>
          <w:rFonts w:ascii="Times New Roman" w:hAnsi="Times New Roman"/>
          <w:sz w:val="24"/>
          <w:szCs w:val="24"/>
          <w:vertAlign w:val="subscript"/>
        </w:rPr>
        <w:t>a</w:t>
      </w:r>
      <w:r>
        <w:rPr>
          <w:rFonts w:ascii="Times New Roman" w:hAnsi="Times New Roman"/>
          <w:sz w:val="24"/>
          <w:szCs w:val="24"/>
        </w:rPr>
        <w:t>(j,r) and SHRD</w:t>
      </w:r>
      <w:r w:rsidR="00A818FD">
        <w:rPr>
          <w:rFonts w:ascii="Times New Roman" w:hAnsi="Times New Roman"/>
          <w:sz w:val="24"/>
          <w:szCs w:val="24"/>
          <w:vertAlign w:val="subscript"/>
        </w:rPr>
        <w:t>a</w:t>
      </w:r>
      <w:r>
        <w:rPr>
          <w:rFonts w:ascii="Times New Roman" w:hAnsi="Times New Roman"/>
          <w:sz w:val="24"/>
          <w:szCs w:val="24"/>
        </w:rPr>
        <w:t>(j,r) are the share</w:t>
      </w:r>
      <w:r w:rsidR="00A818FD">
        <w:rPr>
          <w:rFonts w:ascii="Times New Roman" w:hAnsi="Times New Roman"/>
          <w:sz w:val="24"/>
          <w:szCs w:val="24"/>
        </w:rPr>
        <w:t>s</w:t>
      </w:r>
      <w:r>
        <w:rPr>
          <w:rFonts w:ascii="Times New Roman" w:hAnsi="Times New Roman"/>
          <w:sz w:val="24"/>
          <w:szCs w:val="24"/>
        </w:rPr>
        <w:t xml:space="preserve"> of imported and domestic j </w:t>
      </w:r>
      <w:r w:rsidR="00A818FD">
        <w:rPr>
          <w:rFonts w:ascii="Times New Roman" w:hAnsi="Times New Roman"/>
          <w:sz w:val="24"/>
          <w:szCs w:val="24"/>
        </w:rPr>
        <w:t>in</w:t>
      </w:r>
      <w:r>
        <w:rPr>
          <w:rFonts w:ascii="Times New Roman" w:hAnsi="Times New Roman"/>
          <w:sz w:val="24"/>
          <w:szCs w:val="24"/>
        </w:rPr>
        <w:t xml:space="preserve"> expenditure </w:t>
      </w:r>
      <w:r w:rsidR="00A818FD">
        <w:rPr>
          <w:rFonts w:ascii="Times New Roman" w:hAnsi="Times New Roman"/>
          <w:sz w:val="24"/>
          <w:szCs w:val="24"/>
        </w:rPr>
        <w:t xml:space="preserve">by agent a </w:t>
      </w:r>
      <w:r>
        <w:rPr>
          <w:rFonts w:ascii="Times New Roman" w:hAnsi="Times New Roman"/>
          <w:sz w:val="24"/>
          <w:szCs w:val="24"/>
        </w:rPr>
        <w:t>on composite j in r.</w:t>
      </w:r>
    </w:p>
    <w:p w:rsidR="00264FCF" w:rsidRDefault="00264FCF" w:rsidP="00264FCF">
      <w:pPr>
        <w:ind w:left="0"/>
        <w:rPr>
          <w:rFonts w:ascii="Times New Roman" w:hAnsi="Times New Roman"/>
          <w:sz w:val="24"/>
          <w:szCs w:val="24"/>
        </w:rPr>
      </w:pPr>
      <w:r>
        <w:rPr>
          <w:rFonts w:ascii="Times New Roman" w:hAnsi="Times New Roman"/>
          <w:sz w:val="24"/>
          <w:szCs w:val="24"/>
        </w:rPr>
        <w:t xml:space="preserve">In </w:t>
      </w:r>
      <w:r w:rsidR="006950C4">
        <w:rPr>
          <w:rFonts w:ascii="Times New Roman" w:hAnsi="Times New Roman"/>
          <w:sz w:val="24"/>
          <w:szCs w:val="24"/>
        </w:rPr>
        <w:t>the</w:t>
      </w:r>
      <w:r>
        <w:rPr>
          <w:rFonts w:ascii="Times New Roman" w:hAnsi="Times New Roman"/>
          <w:sz w:val="24"/>
          <w:szCs w:val="24"/>
        </w:rPr>
        <w:t xml:space="preserve"> standard long-run </w:t>
      </w:r>
      <w:r w:rsidR="006950C4">
        <w:rPr>
          <w:rFonts w:ascii="Times New Roman" w:hAnsi="Times New Roman"/>
          <w:sz w:val="24"/>
          <w:szCs w:val="24"/>
        </w:rPr>
        <w:t>closure</w:t>
      </w:r>
      <w:r>
        <w:rPr>
          <w:rFonts w:ascii="Times New Roman" w:hAnsi="Times New Roman"/>
          <w:sz w:val="24"/>
          <w:szCs w:val="24"/>
        </w:rPr>
        <w:t>, twist_src</w:t>
      </w:r>
      <w:r w:rsidR="003A6919">
        <w:rPr>
          <w:rFonts w:ascii="Times New Roman" w:hAnsi="Times New Roman"/>
          <w:sz w:val="24"/>
          <w:szCs w:val="24"/>
        </w:rPr>
        <w:t>_i</w:t>
      </w:r>
      <w:r>
        <w:rPr>
          <w:rFonts w:ascii="Times New Roman" w:hAnsi="Times New Roman"/>
          <w:sz w:val="24"/>
          <w:szCs w:val="24"/>
        </w:rPr>
        <w:t xml:space="preserve">(r) is exogenous.  In our </w:t>
      </w:r>
      <w:r w:rsidR="000D4256">
        <w:rPr>
          <w:rFonts w:ascii="Times New Roman" w:hAnsi="Times New Roman"/>
          <w:sz w:val="24"/>
          <w:szCs w:val="24"/>
        </w:rPr>
        <w:t xml:space="preserve">2014-19 </w:t>
      </w:r>
      <w:r>
        <w:rPr>
          <w:rFonts w:ascii="Times New Roman" w:hAnsi="Times New Roman"/>
          <w:sz w:val="24"/>
          <w:szCs w:val="24"/>
        </w:rPr>
        <w:t xml:space="preserve">historical simulation, we accommodate observed movements in the </w:t>
      </w:r>
      <w:r w:rsidR="000D4256">
        <w:rPr>
          <w:rFonts w:ascii="Times New Roman" w:hAnsi="Times New Roman"/>
          <w:sz w:val="24"/>
          <w:szCs w:val="24"/>
        </w:rPr>
        <w:t>quantities o</w:t>
      </w:r>
      <w:r>
        <w:rPr>
          <w:rFonts w:ascii="Times New Roman" w:hAnsi="Times New Roman"/>
          <w:sz w:val="24"/>
          <w:szCs w:val="24"/>
        </w:rPr>
        <w:t>f import</w:t>
      </w:r>
      <w:r w:rsidR="000D4256">
        <w:rPr>
          <w:rFonts w:ascii="Times New Roman" w:hAnsi="Times New Roman"/>
          <w:sz w:val="24"/>
          <w:szCs w:val="24"/>
        </w:rPr>
        <w:t>s</w:t>
      </w:r>
      <w:r>
        <w:rPr>
          <w:rFonts w:ascii="Times New Roman" w:hAnsi="Times New Roman"/>
          <w:sz w:val="24"/>
          <w:szCs w:val="24"/>
        </w:rPr>
        <w:t xml:space="preserve"> by allowing adjustments in the simulated quantities through endogenous movements in twist_src</w:t>
      </w:r>
      <w:r w:rsidR="003A6919">
        <w:rPr>
          <w:rFonts w:ascii="Times New Roman" w:hAnsi="Times New Roman"/>
          <w:sz w:val="24"/>
          <w:szCs w:val="24"/>
        </w:rPr>
        <w:t>_i</w:t>
      </w:r>
      <w:r>
        <w:rPr>
          <w:rFonts w:ascii="Times New Roman" w:hAnsi="Times New Roman"/>
          <w:sz w:val="24"/>
          <w:szCs w:val="24"/>
        </w:rPr>
        <w:t xml:space="preserve">(r).    </w:t>
      </w:r>
    </w:p>
    <w:p w:rsidR="00264FCF" w:rsidRDefault="00264FCF" w:rsidP="00264FCF">
      <w:pPr>
        <w:ind w:left="0"/>
        <w:rPr>
          <w:rFonts w:ascii="Times New Roman" w:hAnsi="Times New Roman"/>
          <w:sz w:val="24"/>
          <w:szCs w:val="24"/>
        </w:rPr>
      </w:pPr>
      <w:r>
        <w:rPr>
          <w:rFonts w:ascii="Times New Roman" w:hAnsi="Times New Roman"/>
          <w:sz w:val="24"/>
          <w:szCs w:val="24"/>
        </w:rPr>
        <w:t>The share coefficients attached to the twist terms in (</w:t>
      </w:r>
      <w:r w:rsidR="00D77877">
        <w:rPr>
          <w:rFonts w:ascii="Times New Roman" w:hAnsi="Times New Roman"/>
          <w:sz w:val="24"/>
          <w:szCs w:val="24"/>
        </w:rPr>
        <w:t>4</w:t>
      </w:r>
      <w:r>
        <w:rPr>
          <w:rFonts w:ascii="Times New Roman" w:hAnsi="Times New Roman"/>
          <w:sz w:val="24"/>
          <w:szCs w:val="24"/>
        </w:rPr>
        <w:t>.</w:t>
      </w:r>
      <w:r w:rsidR="000D4256">
        <w:rPr>
          <w:rFonts w:ascii="Times New Roman" w:hAnsi="Times New Roman"/>
          <w:sz w:val="24"/>
          <w:szCs w:val="24"/>
        </w:rPr>
        <w:t>7</w:t>
      </w:r>
      <w:r>
        <w:rPr>
          <w:rFonts w:ascii="Times New Roman" w:hAnsi="Times New Roman"/>
          <w:sz w:val="24"/>
          <w:szCs w:val="24"/>
        </w:rPr>
        <w:t>) and (</w:t>
      </w:r>
      <w:r w:rsidR="00D77877">
        <w:rPr>
          <w:rFonts w:ascii="Times New Roman" w:hAnsi="Times New Roman"/>
          <w:sz w:val="24"/>
          <w:szCs w:val="24"/>
        </w:rPr>
        <w:t>4</w:t>
      </w:r>
      <w:r>
        <w:rPr>
          <w:rFonts w:ascii="Times New Roman" w:hAnsi="Times New Roman"/>
          <w:sz w:val="24"/>
          <w:szCs w:val="24"/>
        </w:rPr>
        <w:t>.</w:t>
      </w:r>
      <w:r w:rsidR="000D4256">
        <w:rPr>
          <w:rFonts w:ascii="Times New Roman" w:hAnsi="Times New Roman"/>
          <w:sz w:val="24"/>
          <w:szCs w:val="24"/>
        </w:rPr>
        <w:t>8</w:t>
      </w:r>
      <w:r>
        <w:rPr>
          <w:rFonts w:ascii="Times New Roman" w:hAnsi="Times New Roman"/>
          <w:sz w:val="24"/>
          <w:szCs w:val="24"/>
        </w:rPr>
        <w:t xml:space="preserve">) preserve the condition that the share-weighted average of the percentage changes in </w:t>
      </w:r>
      <w:r w:rsidR="000D4256">
        <w:rPr>
          <w:rFonts w:ascii="Times New Roman" w:hAnsi="Times New Roman"/>
          <w:sz w:val="24"/>
          <w:szCs w:val="24"/>
        </w:rPr>
        <w:t>the use</w:t>
      </w:r>
      <w:r>
        <w:rPr>
          <w:rFonts w:ascii="Times New Roman" w:hAnsi="Times New Roman"/>
          <w:sz w:val="24"/>
          <w:szCs w:val="24"/>
        </w:rPr>
        <w:t xml:space="preserve"> of imported and domestic commodity j in region r </w:t>
      </w:r>
      <w:r w:rsidR="000D4256">
        <w:rPr>
          <w:rFonts w:ascii="Times New Roman" w:hAnsi="Times New Roman"/>
          <w:sz w:val="24"/>
          <w:szCs w:val="24"/>
        </w:rPr>
        <w:t xml:space="preserve">by agent a </w:t>
      </w:r>
      <w:r>
        <w:rPr>
          <w:rFonts w:ascii="Times New Roman" w:hAnsi="Times New Roman"/>
          <w:sz w:val="24"/>
          <w:szCs w:val="24"/>
        </w:rPr>
        <w:t xml:space="preserve">equals the percentage change in the </w:t>
      </w:r>
      <w:r w:rsidR="000D4256">
        <w:rPr>
          <w:rFonts w:ascii="Times New Roman" w:hAnsi="Times New Roman"/>
          <w:sz w:val="24"/>
          <w:szCs w:val="24"/>
        </w:rPr>
        <w:t>use</w:t>
      </w:r>
      <w:r>
        <w:rPr>
          <w:rFonts w:ascii="Times New Roman" w:hAnsi="Times New Roman"/>
          <w:sz w:val="24"/>
          <w:szCs w:val="24"/>
        </w:rPr>
        <w:t xml:space="preserve"> of composite j in region r</w:t>
      </w:r>
      <w:r w:rsidR="000D4256">
        <w:rPr>
          <w:rFonts w:ascii="Times New Roman" w:hAnsi="Times New Roman"/>
          <w:sz w:val="24"/>
          <w:szCs w:val="24"/>
        </w:rPr>
        <w:t xml:space="preserve"> by agent a</w:t>
      </w:r>
      <w:r>
        <w:rPr>
          <w:rFonts w:ascii="Times New Roman" w:hAnsi="Times New Roman"/>
          <w:sz w:val="24"/>
          <w:szCs w:val="24"/>
        </w:rPr>
        <w:t xml:space="preserve">. </w:t>
      </w:r>
    </w:p>
    <w:p w:rsidR="000D4256" w:rsidRPr="00961920" w:rsidRDefault="000D4256" w:rsidP="000D4256">
      <w:pPr>
        <w:spacing w:before="60" w:after="60"/>
        <w:ind w:left="23"/>
        <w:rPr>
          <w:rFonts w:ascii="Times New Roman" w:hAnsi="Times New Roman"/>
          <w:sz w:val="24"/>
          <w:szCs w:val="24"/>
        </w:rPr>
      </w:pPr>
      <w:r w:rsidRPr="00961920">
        <w:rPr>
          <w:rFonts w:ascii="Times New Roman" w:hAnsi="Times New Roman"/>
          <w:i/>
          <w:sz w:val="24"/>
          <w:szCs w:val="24"/>
        </w:rPr>
        <w:t>Part 2b</w:t>
      </w:r>
      <w:r w:rsidR="00961920" w:rsidRPr="00961920">
        <w:rPr>
          <w:rFonts w:ascii="Times New Roman" w:hAnsi="Times New Roman"/>
          <w:i/>
          <w:sz w:val="24"/>
          <w:szCs w:val="24"/>
        </w:rPr>
        <w:t xml:space="preserve"> of Table 4.1</w:t>
      </w:r>
      <w:r w:rsidRPr="00961920">
        <w:rPr>
          <w:rFonts w:ascii="Times New Roman" w:hAnsi="Times New Roman"/>
          <w:i/>
          <w:sz w:val="24"/>
          <w:szCs w:val="24"/>
        </w:rPr>
        <w:t>:  Introducing shocks for exports, making real GDP in each region the residual rather than exports</w:t>
      </w:r>
    </w:p>
    <w:p w:rsidR="00945BF1" w:rsidRDefault="00E2240F" w:rsidP="00DF5970">
      <w:pPr>
        <w:ind w:left="0"/>
        <w:rPr>
          <w:rFonts w:ascii="Times New Roman" w:hAnsi="Times New Roman"/>
          <w:sz w:val="24"/>
          <w:szCs w:val="24"/>
        </w:rPr>
      </w:pPr>
      <w:r>
        <w:rPr>
          <w:rFonts w:ascii="Times New Roman" w:hAnsi="Times New Roman"/>
          <w:i/>
          <w:sz w:val="24"/>
          <w:szCs w:val="24"/>
        </w:rPr>
        <w:t>Panel 11: exports.</w:t>
      </w:r>
      <w:r>
        <w:rPr>
          <w:rFonts w:ascii="Times New Roman" w:hAnsi="Times New Roman"/>
          <w:sz w:val="24"/>
          <w:szCs w:val="24"/>
        </w:rPr>
        <w:t xml:space="preserve"> </w:t>
      </w:r>
      <w:r w:rsidR="00C22721">
        <w:rPr>
          <w:rFonts w:ascii="Times New Roman" w:hAnsi="Times New Roman"/>
          <w:sz w:val="24"/>
          <w:szCs w:val="24"/>
        </w:rPr>
        <w:t xml:space="preserve"> In panel 1 we used OECD income-side estimates of movements in real GDP.  These were slightly modified in panel 9.  </w:t>
      </w:r>
      <w:r>
        <w:rPr>
          <w:rFonts w:ascii="Times New Roman" w:hAnsi="Times New Roman"/>
          <w:sz w:val="24"/>
          <w:szCs w:val="24"/>
        </w:rPr>
        <w:t xml:space="preserve">With the completion of the first 10 panels, simulated exports in each region are determined as a residual: GDP </w:t>
      </w:r>
      <w:r w:rsidRPr="00E2240F">
        <w:rPr>
          <w:rFonts w:ascii="Times New Roman" w:hAnsi="Times New Roman"/>
          <w:i/>
          <w:sz w:val="24"/>
          <w:szCs w:val="24"/>
        </w:rPr>
        <w:t>less</w:t>
      </w:r>
      <w:r>
        <w:rPr>
          <w:rFonts w:ascii="Times New Roman" w:hAnsi="Times New Roman"/>
          <w:sz w:val="24"/>
          <w:szCs w:val="24"/>
        </w:rPr>
        <w:t xml:space="preserve"> C, G, I </w:t>
      </w:r>
      <w:r w:rsidRPr="00E2240F">
        <w:rPr>
          <w:rFonts w:ascii="Times New Roman" w:hAnsi="Times New Roman"/>
          <w:i/>
          <w:sz w:val="24"/>
          <w:szCs w:val="24"/>
        </w:rPr>
        <w:t>plus</w:t>
      </w:r>
      <w:r w:rsidR="00C22721">
        <w:rPr>
          <w:rFonts w:ascii="Times New Roman" w:hAnsi="Times New Roman"/>
          <w:sz w:val="24"/>
          <w:szCs w:val="24"/>
        </w:rPr>
        <w:t xml:space="preserve"> M.  T</w:t>
      </w:r>
      <w:r>
        <w:rPr>
          <w:rFonts w:ascii="Times New Roman" w:hAnsi="Times New Roman"/>
          <w:sz w:val="24"/>
          <w:szCs w:val="24"/>
        </w:rPr>
        <w:t>his means that simulated exports</w:t>
      </w:r>
      <w:r w:rsidR="007D266E">
        <w:rPr>
          <w:rFonts w:ascii="Times New Roman" w:hAnsi="Times New Roman"/>
          <w:sz w:val="24"/>
          <w:szCs w:val="24"/>
        </w:rPr>
        <w:t xml:space="preserve">, a relatively small component of GDP, </w:t>
      </w:r>
      <w:r>
        <w:rPr>
          <w:rFonts w:ascii="Times New Roman" w:hAnsi="Times New Roman"/>
          <w:sz w:val="24"/>
          <w:szCs w:val="24"/>
        </w:rPr>
        <w:t xml:space="preserve">reflect </w:t>
      </w:r>
      <w:r w:rsidR="00FA5FE4">
        <w:rPr>
          <w:rFonts w:ascii="Times New Roman" w:hAnsi="Times New Roman"/>
          <w:sz w:val="24"/>
          <w:szCs w:val="24"/>
        </w:rPr>
        <w:t xml:space="preserve">not only </w:t>
      </w:r>
      <w:r w:rsidR="005D4ACF">
        <w:rPr>
          <w:rFonts w:ascii="Times New Roman" w:hAnsi="Times New Roman"/>
          <w:sz w:val="24"/>
          <w:szCs w:val="24"/>
        </w:rPr>
        <w:t xml:space="preserve">OECD </w:t>
      </w:r>
      <w:r w:rsidR="00FA5FE4">
        <w:rPr>
          <w:rFonts w:ascii="Times New Roman" w:hAnsi="Times New Roman"/>
          <w:sz w:val="24"/>
          <w:szCs w:val="24"/>
        </w:rPr>
        <w:t xml:space="preserve">observed exports, but also </w:t>
      </w:r>
      <w:r>
        <w:rPr>
          <w:rFonts w:ascii="Times New Roman" w:hAnsi="Times New Roman"/>
          <w:sz w:val="24"/>
          <w:szCs w:val="24"/>
        </w:rPr>
        <w:t xml:space="preserve">statistical discrepancies </w:t>
      </w:r>
      <w:r w:rsidR="00FA5FE4">
        <w:rPr>
          <w:rFonts w:ascii="Times New Roman" w:hAnsi="Times New Roman"/>
          <w:sz w:val="24"/>
          <w:szCs w:val="24"/>
        </w:rPr>
        <w:t xml:space="preserve">at the regional level between </w:t>
      </w:r>
      <w:r w:rsidR="005D4ACF">
        <w:rPr>
          <w:rFonts w:ascii="Times New Roman" w:hAnsi="Times New Roman"/>
          <w:sz w:val="24"/>
          <w:szCs w:val="24"/>
        </w:rPr>
        <w:t xml:space="preserve">OECD </w:t>
      </w:r>
      <w:r w:rsidR="00C22721">
        <w:rPr>
          <w:rFonts w:ascii="Times New Roman" w:hAnsi="Times New Roman"/>
          <w:sz w:val="24"/>
          <w:szCs w:val="24"/>
        </w:rPr>
        <w:t xml:space="preserve">income-side </w:t>
      </w:r>
      <w:r w:rsidR="00FA5FE4">
        <w:rPr>
          <w:rFonts w:ascii="Times New Roman" w:hAnsi="Times New Roman"/>
          <w:sz w:val="24"/>
          <w:szCs w:val="24"/>
        </w:rPr>
        <w:t xml:space="preserve">GDP movements </w:t>
      </w:r>
      <w:r w:rsidR="00C22721">
        <w:rPr>
          <w:rFonts w:ascii="Times New Roman" w:hAnsi="Times New Roman"/>
          <w:sz w:val="24"/>
          <w:szCs w:val="24"/>
        </w:rPr>
        <w:t xml:space="preserve">and expenditure-side movements.  </w:t>
      </w:r>
    </w:p>
    <w:p w:rsidR="00B2106C" w:rsidRDefault="00C22721" w:rsidP="00DF5970">
      <w:pPr>
        <w:ind w:left="0"/>
        <w:rPr>
          <w:rFonts w:ascii="Times New Roman" w:hAnsi="Times New Roman"/>
          <w:sz w:val="24"/>
          <w:szCs w:val="24"/>
        </w:rPr>
      </w:pPr>
      <w:r>
        <w:rPr>
          <w:rFonts w:ascii="Times New Roman" w:hAnsi="Times New Roman"/>
          <w:sz w:val="24"/>
          <w:szCs w:val="24"/>
        </w:rPr>
        <w:t xml:space="preserve">In this panel we over-rule the </w:t>
      </w:r>
      <w:r w:rsidR="00945BF1">
        <w:rPr>
          <w:rFonts w:ascii="Times New Roman" w:hAnsi="Times New Roman"/>
          <w:sz w:val="24"/>
          <w:szCs w:val="24"/>
        </w:rPr>
        <w:t xml:space="preserve">residually determined </w:t>
      </w:r>
      <w:r>
        <w:rPr>
          <w:rFonts w:ascii="Times New Roman" w:hAnsi="Times New Roman"/>
          <w:sz w:val="24"/>
          <w:szCs w:val="24"/>
        </w:rPr>
        <w:t>export movements</w:t>
      </w:r>
      <w:r w:rsidR="00945BF1">
        <w:rPr>
          <w:rFonts w:ascii="Times New Roman" w:hAnsi="Times New Roman"/>
          <w:sz w:val="24"/>
          <w:szCs w:val="24"/>
        </w:rPr>
        <w:t xml:space="preserve">.  We </w:t>
      </w:r>
      <w:r>
        <w:rPr>
          <w:rFonts w:ascii="Times New Roman" w:hAnsi="Times New Roman"/>
          <w:sz w:val="24"/>
          <w:szCs w:val="24"/>
        </w:rPr>
        <w:t>replace them with the observed movements</w:t>
      </w:r>
      <w:r w:rsidR="00945BF1">
        <w:rPr>
          <w:rFonts w:ascii="Times New Roman" w:hAnsi="Times New Roman"/>
          <w:sz w:val="24"/>
          <w:szCs w:val="24"/>
        </w:rPr>
        <w:t xml:space="preserve"> [expvol_obs(r)]</w:t>
      </w:r>
      <w:r w:rsidR="00294BC3">
        <w:rPr>
          <w:rFonts w:ascii="Times New Roman" w:hAnsi="Times New Roman"/>
          <w:sz w:val="24"/>
          <w:szCs w:val="24"/>
        </w:rPr>
        <w:t xml:space="preserve"> from the OECD</w:t>
      </w:r>
      <w:r>
        <w:rPr>
          <w:rFonts w:ascii="Times New Roman" w:hAnsi="Times New Roman"/>
          <w:sz w:val="24"/>
          <w:szCs w:val="24"/>
        </w:rPr>
        <w:t xml:space="preserve">.  </w:t>
      </w:r>
      <w:r w:rsidR="00945BF1">
        <w:rPr>
          <w:rFonts w:ascii="Times New Roman" w:hAnsi="Times New Roman"/>
          <w:sz w:val="24"/>
          <w:szCs w:val="24"/>
        </w:rPr>
        <w:t xml:space="preserve">With C, I, G, X and M now given, </w:t>
      </w:r>
      <w:r w:rsidR="00B2106C">
        <w:rPr>
          <w:rFonts w:ascii="Times New Roman" w:hAnsi="Times New Roman"/>
          <w:sz w:val="24"/>
          <w:szCs w:val="24"/>
        </w:rPr>
        <w:t xml:space="preserve">we must endogenize </w:t>
      </w:r>
      <w:r w:rsidR="00945BF1">
        <w:rPr>
          <w:rFonts w:ascii="Times New Roman" w:hAnsi="Times New Roman"/>
          <w:sz w:val="24"/>
          <w:szCs w:val="24"/>
        </w:rPr>
        <w:t xml:space="preserve">GDP movements </w:t>
      </w:r>
      <w:r w:rsidR="00B2106C">
        <w:rPr>
          <w:rFonts w:ascii="Times New Roman" w:hAnsi="Times New Roman"/>
          <w:sz w:val="24"/>
          <w:szCs w:val="24"/>
        </w:rPr>
        <w:t>in each region</w:t>
      </w:r>
      <w:r w:rsidR="00945BF1">
        <w:rPr>
          <w:rFonts w:ascii="Times New Roman" w:hAnsi="Times New Roman"/>
          <w:sz w:val="24"/>
          <w:szCs w:val="24"/>
        </w:rPr>
        <w:t xml:space="preserve">.  As can be seen in </w:t>
      </w:r>
      <w:r w:rsidR="001F3191">
        <w:rPr>
          <w:rFonts w:ascii="Times New Roman" w:hAnsi="Times New Roman"/>
          <w:sz w:val="24"/>
          <w:szCs w:val="24"/>
        </w:rPr>
        <w:t>p</w:t>
      </w:r>
      <w:r w:rsidR="00945BF1">
        <w:rPr>
          <w:rFonts w:ascii="Times New Roman" w:hAnsi="Times New Roman"/>
          <w:sz w:val="24"/>
          <w:szCs w:val="24"/>
        </w:rPr>
        <w:t>anel 11, we do this by endogenizing the vector shifter in (</w:t>
      </w:r>
      <w:r w:rsidR="00D77877">
        <w:rPr>
          <w:rFonts w:ascii="Times New Roman" w:hAnsi="Times New Roman"/>
          <w:sz w:val="24"/>
          <w:szCs w:val="24"/>
        </w:rPr>
        <w:t>4</w:t>
      </w:r>
      <w:r w:rsidR="00945BF1">
        <w:rPr>
          <w:rFonts w:ascii="Times New Roman" w:hAnsi="Times New Roman"/>
          <w:sz w:val="24"/>
          <w:szCs w:val="24"/>
        </w:rPr>
        <w:t>.6) and exogenizing the scalar shift</w:t>
      </w:r>
      <w:r w:rsidR="001F3191">
        <w:rPr>
          <w:rFonts w:ascii="Times New Roman" w:hAnsi="Times New Roman"/>
          <w:sz w:val="24"/>
          <w:szCs w:val="24"/>
        </w:rPr>
        <w:t>er</w:t>
      </w:r>
      <w:r w:rsidR="00945BF1">
        <w:rPr>
          <w:rFonts w:ascii="Times New Roman" w:hAnsi="Times New Roman"/>
          <w:sz w:val="24"/>
          <w:szCs w:val="24"/>
        </w:rPr>
        <w:t xml:space="preserve">.  </w:t>
      </w:r>
      <w:r w:rsidR="00B2106C">
        <w:rPr>
          <w:rFonts w:ascii="Times New Roman" w:hAnsi="Times New Roman"/>
          <w:sz w:val="24"/>
          <w:szCs w:val="24"/>
        </w:rPr>
        <w:t xml:space="preserve">In effect, we switch to the expenditure-side OECD measure of GDP.  </w:t>
      </w:r>
    </w:p>
    <w:p w:rsidR="00083458" w:rsidRDefault="00945BF1" w:rsidP="00DF5970">
      <w:pPr>
        <w:ind w:left="0"/>
        <w:rPr>
          <w:rFonts w:ascii="Times New Roman" w:hAnsi="Times New Roman"/>
          <w:sz w:val="24"/>
          <w:szCs w:val="24"/>
        </w:rPr>
      </w:pPr>
      <w:r>
        <w:rPr>
          <w:rFonts w:ascii="Times New Roman" w:hAnsi="Times New Roman"/>
          <w:sz w:val="24"/>
          <w:szCs w:val="24"/>
        </w:rPr>
        <w:t>But when w</w:t>
      </w:r>
      <w:r w:rsidR="00B2106C">
        <w:rPr>
          <w:rFonts w:ascii="Times New Roman" w:hAnsi="Times New Roman"/>
          <w:sz w:val="24"/>
          <w:szCs w:val="24"/>
        </w:rPr>
        <w:t xml:space="preserve">e exogenize the scalar shifter [f_qgdp_obs] </w:t>
      </w:r>
      <w:r>
        <w:rPr>
          <w:rFonts w:ascii="Times New Roman" w:hAnsi="Times New Roman"/>
          <w:sz w:val="24"/>
          <w:szCs w:val="24"/>
        </w:rPr>
        <w:t>what should we endogenize?  The answer is</w:t>
      </w:r>
      <w:r w:rsidR="00197CDC">
        <w:rPr>
          <w:rFonts w:ascii="Times New Roman" w:hAnsi="Times New Roman"/>
          <w:sz w:val="24"/>
          <w:szCs w:val="24"/>
        </w:rPr>
        <w:t xml:space="preserve"> that </w:t>
      </w:r>
      <w:r>
        <w:rPr>
          <w:rFonts w:ascii="Times New Roman" w:hAnsi="Times New Roman"/>
          <w:sz w:val="24"/>
          <w:szCs w:val="24"/>
        </w:rPr>
        <w:t xml:space="preserve">we must introduce a scalar adjustment of the export observations across all regions to allow world exports to equal world imports.  </w:t>
      </w:r>
      <w:r w:rsidR="00B2106C">
        <w:rPr>
          <w:rFonts w:ascii="Times New Roman" w:hAnsi="Times New Roman"/>
          <w:sz w:val="24"/>
          <w:szCs w:val="24"/>
        </w:rPr>
        <w:t>This is the variable f_expvol_obs</w:t>
      </w:r>
      <w:r w:rsidR="00AE5156">
        <w:rPr>
          <w:rFonts w:ascii="Times New Roman" w:hAnsi="Times New Roman"/>
          <w:sz w:val="24"/>
          <w:szCs w:val="24"/>
        </w:rPr>
        <w:t xml:space="preserve"> shown in column 5 of panel 11.</w:t>
      </w:r>
      <w:r w:rsidR="00B2106C">
        <w:rPr>
          <w:rFonts w:ascii="Times New Roman" w:hAnsi="Times New Roman"/>
          <w:sz w:val="24"/>
          <w:szCs w:val="24"/>
        </w:rPr>
        <w:t xml:space="preserve">  Fortunately</w:t>
      </w:r>
      <w:r w:rsidR="006950C4">
        <w:rPr>
          <w:rFonts w:ascii="Times New Roman" w:hAnsi="Times New Roman"/>
          <w:sz w:val="24"/>
          <w:szCs w:val="24"/>
        </w:rPr>
        <w:t>,</w:t>
      </w:r>
      <w:r w:rsidR="00B2106C">
        <w:rPr>
          <w:rFonts w:ascii="Times New Roman" w:hAnsi="Times New Roman"/>
          <w:sz w:val="24"/>
          <w:szCs w:val="24"/>
        </w:rPr>
        <w:t xml:space="preserve"> our result for this variable was small.  </w:t>
      </w:r>
    </w:p>
    <w:p w:rsidR="007D266E" w:rsidRPr="00961920" w:rsidRDefault="007D266E" w:rsidP="00DF5970">
      <w:pPr>
        <w:ind w:left="0"/>
        <w:rPr>
          <w:rFonts w:ascii="Times New Roman" w:hAnsi="Times New Roman"/>
          <w:i/>
          <w:sz w:val="24"/>
          <w:szCs w:val="24"/>
        </w:rPr>
      </w:pPr>
      <w:r w:rsidRPr="00961920">
        <w:rPr>
          <w:rFonts w:ascii="Times New Roman" w:hAnsi="Times New Roman"/>
          <w:i/>
          <w:sz w:val="24"/>
          <w:szCs w:val="24"/>
        </w:rPr>
        <w:t>Part 3</w:t>
      </w:r>
      <w:r w:rsidR="00961920" w:rsidRPr="00961920">
        <w:rPr>
          <w:rFonts w:ascii="Times New Roman" w:hAnsi="Times New Roman"/>
          <w:i/>
          <w:sz w:val="24"/>
          <w:szCs w:val="24"/>
        </w:rPr>
        <w:t xml:space="preserve"> of Table 4.1</w:t>
      </w:r>
      <w:r w:rsidRPr="00961920">
        <w:rPr>
          <w:rFonts w:ascii="Times New Roman" w:hAnsi="Times New Roman"/>
          <w:i/>
          <w:sz w:val="24"/>
          <w:szCs w:val="24"/>
        </w:rPr>
        <w:t>:  World prices and quantities for fossil fuels</w:t>
      </w:r>
    </w:p>
    <w:p w:rsidR="007D266E" w:rsidRDefault="007D266E" w:rsidP="00DF5970">
      <w:pPr>
        <w:ind w:left="0"/>
        <w:rPr>
          <w:rFonts w:ascii="Times New Roman" w:hAnsi="Times New Roman"/>
          <w:sz w:val="24"/>
          <w:szCs w:val="24"/>
        </w:rPr>
      </w:pPr>
      <w:r w:rsidRPr="007D266E">
        <w:rPr>
          <w:rFonts w:ascii="Times New Roman" w:hAnsi="Times New Roman"/>
          <w:i/>
          <w:sz w:val="24"/>
          <w:szCs w:val="24"/>
        </w:rPr>
        <w:t>Panel 1</w:t>
      </w:r>
      <w:r>
        <w:rPr>
          <w:rFonts w:ascii="Times New Roman" w:hAnsi="Times New Roman"/>
          <w:i/>
          <w:sz w:val="24"/>
          <w:szCs w:val="24"/>
        </w:rPr>
        <w:t>2</w:t>
      </w:r>
      <w:r w:rsidRPr="007D266E">
        <w:rPr>
          <w:rFonts w:ascii="Times New Roman" w:hAnsi="Times New Roman"/>
          <w:i/>
          <w:sz w:val="24"/>
          <w:szCs w:val="24"/>
        </w:rPr>
        <w:t xml:space="preserve">: </w:t>
      </w:r>
      <w:r w:rsidR="00154143">
        <w:rPr>
          <w:rFonts w:ascii="Times New Roman" w:hAnsi="Times New Roman"/>
          <w:i/>
          <w:sz w:val="24"/>
          <w:szCs w:val="24"/>
        </w:rPr>
        <w:t>world quantities of fossil fuels</w:t>
      </w:r>
      <w:r w:rsidRPr="007D266E">
        <w:rPr>
          <w:rFonts w:ascii="Times New Roman" w:hAnsi="Times New Roman"/>
          <w:i/>
          <w:sz w:val="24"/>
          <w:szCs w:val="24"/>
        </w:rPr>
        <w:t>.</w:t>
      </w:r>
      <w:r w:rsidRPr="007D266E">
        <w:rPr>
          <w:rFonts w:ascii="Times New Roman" w:hAnsi="Times New Roman"/>
          <w:sz w:val="24"/>
          <w:szCs w:val="24"/>
        </w:rPr>
        <w:t xml:space="preserve">  </w:t>
      </w:r>
      <w:r w:rsidR="00604C60">
        <w:rPr>
          <w:rFonts w:ascii="Times New Roman" w:hAnsi="Times New Roman"/>
          <w:sz w:val="24"/>
          <w:szCs w:val="24"/>
        </w:rPr>
        <w:t xml:space="preserve">In this panel we bring in data on percentage movements in world output of coal, oil and gas.  In the notation used in Table </w:t>
      </w:r>
      <w:r w:rsidR="00D77877">
        <w:rPr>
          <w:rFonts w:ascii="Times New Roman" w:hAnsi="Times New Roman"/>
          <w:sz w:val="24"/>
          <w:szCs w:val="24"/>
        </w:rPr>
        <w:t>4</w:t>
      </w:r>
      <w:r w:rsidR="00604C60">
        <w:rPr>
          <w:rFonts w:ascii="Times New Roman" w:hAnsi="Times New Roman"/>
          <w:sz w:val="24"/>
          <w:szCs w:val="24"/>
        </w:rPr>
        <w:t xml:space="preserve">.1, these are the commodities in the set Foss.  </w:t>
      </w:r>
    </w:p>
    <w:p w:rsidR="00604C60" w:rsidRDefault="00604C60" w:rsidP="00DF5970">
      <w:pPr>
        <w:ind w:left="0"/>
        <w:rPr>
          <w:rFonts w:ascii="Times New Roman" w:hAnsi="Times New Roman"/>
          <w:sz w:val="24"/>
          <w:szCs w:val="24"/>
        </w:rPr>
      </w:pPr>
      <w:r>
        <w:rPr>
          <w:rFonts w:ascii="Times New Roman" w:hAnsi="Times New Roman"/>
          <w:sz w:val="24"/>
          <w:szCs w:val="24"/>
        </w:rPr>
        <w:lastRenderedPageBreak/>
        <w:t xml:space="preserve">Most of the demand for these commodities is intermediate, mainly in the Petroleum &amp; coal products and Electricity industries.  Consequently, we will explain how we modified the GTAP specification of intermediate demands to absorb data on world outputs of coal, oil and gas.  </w:t>
      </w:r>
      <w:r w:rsidR="00294BC3">
        <w:rPr>
          <w:rFonts w:ascii="Times New Roman" w:hAnsi="Times New Roman"/>
          <w:sz w:val="24"/>
          <w:szCs w:val="24"/>
        </w:rPr>
        <w:t>We</w:t>
      </w:r>
      <w:r>
        <w:rPr>
          <w:rFonts w:ascii="Times New Roman" w:hAnsi="Times New Roman"/>
          <w:sz w:val="24"/>
          <w:szCs w:val="24"/>
        </w:rPr>
        <w:t xml:space="preserve"> made similar modifications to the specifications of demands by households and governments.    </w:t>
      </w:r>
    </w:p>
    <w:p w:rsidR="00337A81" w:rsidRDefault="00337A81" w:rsidP="00DF5970">
      <w:pPr>
        <w:ind w:left="0"/>
        <w:rPr>
          <w:rFonts w:ascii="Times New Roman" w:hAnsi="Times New Roman"/>
          <w:sz w:val="24"/>
          <w:szCs w:val="24"/>
        </w:rPr>
      </w:pPr>
      <w:r>
        <w:rPr>
          <w:rFonts w:ascii="Times New Roman" w:hAnsi="Times New Roman"/>
          <w:sz w:val="24"/>
          <w:szCs w:val="24"/>
        </w:rPr>
        <w:t>The key equations in our explanation are:</w:t>
      </w:r>
    </w:p>
    <w:p w:rsidR="00337A81" w:rsidRDefault="00337A81" w:rsidP="00337A81">
      <w:pPr>
        <w:tabs>
          <w:tab w:val="left" w:pos="851"/>
          <w:tab w:val="right" w:pos="8789"/>
        </w:tabs>
        <w:ind w:left="0"/>
        <w:rPr>
          <w:rFonts w:ascii="Times New Roman" w:hAnsi="Times New Roman"/>
          <w:sz w:val="24"/>
          <w:szCs w:val="24"/>
        </w:rPr>
      </w:pPr>
      <w:r>
        <w:rPr>
          <w:rFonts w:ascii="Times New Roman" w:hAnsi="Times New Roman"/>
          <w:sz w:val="24"/>
          <w:szCs w:val="24"/>
        </w:rPr>
        <w:tab/>
      </w:r>
      <w:r w:rsidR="00CF582E" w:rsidRPr="00A818FD">
        <w:rPr>
          <w:rFonts w:ascii="Times New Roman" w:hAnsi="Times New Roman"/>
          <w:position w:val="-12"/>
          <w:sz w:val="24"/>
          <w:szCs w:val="24"/>
        </w:rPr>
        <w:object w:dxaOrig="7140" w:dyaOrig="360">
          <v:shape id="_x0000_i1034" type="#_x0000_t75" style="width:357pt;height:19.5pt" o:ole="">
            <v:imagedata r:id="rId26" o:title=""/>
          </v:shape>
          <o:OLEObject Type="Embed" ProgID="Equation.DSMT4" ShapeID="_x0000_i1034" DrawAspect="Content" ObjectID="_1774671655" r:id="rId27"/>
        </w:object>
      </w:r>
      <w:r>
        <w:rPr>
          <w:rFonts w:ascii="Times New Roman" w:hAnsi="Times New Roman"/>
          <w:sz w:val="24"/>
          <w:szCs w:val="24"/>
        </w:rPr>
        <w:t xml:space="preserve"> </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.9)</w:t>
      </w:r>
    </w:p>
    <w:p w:rsidR="00337A81" w:rsidRDefault="00CF582E" w:rsidP="00337A81">
      <w:pPr>
        <w:tabs>
          <w:tab w:val="right" w:pos="8931"/>
        </w:tabs>
        <w:ind w:left="0"/>
        <w:rPr>
          <w:rFonts w:ascii="Times New Roman" w:hAnsi="Times New Roman"/>
          <w:sz w:val="24"/>
          <w:szCs w:val="24"/>
        </w:rPr>
      </w:pPr>
      <w:r w:rsidRPr="00DA383E">
        <w:rPr>
          <w:rFonts w:ascii="Times New Roman" w:hAnsi="Times New Roman"/>
          <w:position w:val="-14"/>
          <w:sz w:val="24"/>
          <w:szCs w:val="24"/>
        </w:rPr>
        <w:object w:dxaOrig="8480" w:dyaOrig="400">
          <v:shape id="_x0000_i1035" type="#_x0000_t75" style="width:425.25pt;height:22.5pt" o:ole="">
            <v:imagedata r:id="rId28" o:title=""/>
          </v:shape>
          <o:OLEObject Type="Embed" ProgID="Equation.DSMT4" ShapeID="_x0000_i1035" DrawAspect="Content" ObjectID="_1774671656" r:id="rId29"/>
        </w:object>
      </w:r>
      <w:r w:rsidR="00337A81">
        <w:rPr>
          <w:rFonts w:ascii="Times New Roman" w:hAnsi="Times New Roman"/>
          <w:sz w:val="24"/>
          <w:szCs w:val="24"/>
        </w:rPr>
        <w:t xml:space="preserve"> </w:t>
      </w:r>
    </w:p>
    <w:p w:rsidR="00337A81" w:rsidRPr="00B511F2" w:rsidRDefault="00337A81" w:rsidP="00337A81">
      <w:pPr>
        <w:tabs>
          <w:tab w:val="left" w:pos="5529"/>
          <w:tab w:val="right" w:pos="8789"/>
        </w:tabs>
        <w:ind w:left="0"/>
      </w:pPr>
      <w:r>
        <w:rPr>
          <w:rFonts w:ascii="Times New Roman" w:hAnsi="Times New Roman"/>
          <w:sz w:val="24"/>
          <w:szCs w:val="24"/>
        </w:rPr>
        <w:tab/>
        <w:t xml:space="preserve"> for j</w:t>
      </w:r>
      <w:r>
        <w:rPr>
          <w:rFonts w:ascii="Times New Roman" w:hAnsi="Times New Roman"/>
          <w:sz w:val="24"/>
          <w:szCs w:val="24"/>
        </w:rPr>
        <w:sym w:font="Symbol" w:char="F0CE"/>
      </w:r>
      <w:r>
        <w:rPr>
          <w:rFonts w:ascii="Times New Roman" w:hAnsi="Times New Roman"/>
          <w:sz w:val="24"/>
          <w:szCs w:val="24"/>
        </w:rPr>
        <w:t>Ind, r</w:t>
      </w:r>
      <w:r>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.10)</w:t>
      </w:r>
    </w:p>
    <w:p w:rsidR="004C12A3" w:rsidRDefault="00C37F33" w:rsidP="00DF5970">
      <w:pPr>
        <w:ind w:left="0"/>
        <w:rPr>
          <w:rFonts w:ascii="Times New Roman" w:hAnsi="Times New Roman"/>
          <w:sz w:val="24"/>
          <w:szCs w:val="24"/>
        </w:rPr>
      </w:pPr>
      <w:r>
        <w:rPr>
          <w:rFonts w:ascii="Times New Roman" w:hAnsi="Times New Roman"/>
          <w:sz w:val="24"/>
          <w:szCs w:val="24"/>
        </w:rPr>
        <w:t>Equation (</w:t>
      </w:r>
      <w:r w:rsidR="00D77877">
        <w:rPr>
          <w:rFonts w:ascii="Times New Roman" w:hAnsi="Times New Roman"/>
          <w:sz w:val="24"/>
          <w:szCs w:val="24"/>
        </w:rPr>
        <w:t>4</w:t>
      </w:r>
      <w:r>
        <w:rPr>
          <w:rFonts w:ascii="Times New Roman" w:hAnsi="Times New Roman"/>
          <w:sz w:val="24"/>
          <w:szCs w:val="24"/>
        </w:rPr>
        <w:t xml:space="preserve">.9) is a stylized version of the GTAP equation for demand by industry j in region r for input c (includes both intermediate and primary factors), but with two additional </w:t>
      </w:r>
      <w:r w:rsidR="00AC0E6D">
        <w:rPr>
          <w:rFonts w:ascii="Times New Roman" w:hAnsi="Times New Roman"/>
          <w:sz w:val="24"/>
          <w:szCs w:val="24"/>
        </w:rPr>
        <w:t xml:space="preserve">technology </w:t>
      </w:r>
      <w:r>
        <w:rPr>
          <w:rFonts w:ascii="Times New Roman" w:hAnsi="Times New Roman"/>
          <w:sz w:val="24"/>
          <w:szCs w:val="24"/>
        </w:rPr>
        <w:t xml:space="preserve">terms.  The first of these additional terms, wldout_sh(c), can be used to introduce a uniform percentage change in demand for input c by all industries j in all regions r.  </w:t>
      </w:r>
      <w:r w:rsidR="00D55F80">
        <w:rPr>
          <w:rFonts w:ascii="Times New Roman" w:hAnsi="Times New Roman"/>
          <w:sz w:val="24"/>
          <w:szCs w:val="24"/>
        </w:rPr>
        <w:t>A positive value for wldout_sh(c) means that indust</w:t>
      </w:r>
      <w:r w:rsidR="00CF582E">
        <w:rPr>
          <w:rFonts w:ascii="Times New Roman" w:hAnsi="Times New Roman"/>
          <w:sz w:val="24"/>
          <w:szCs w:val="24"/>
        </w:rPr>
        <w:t>r</w:t>
      </w:r>
      <w:r w:rsidR="00D55F80">
        <w:rPr>
          <w:rFonts w:ascii="Times New Roman" w:hAnsi="Times New Roman"/>
          <w:sz w:val="24"/>
          <w:szCs w:val="24"/>
        </w:rPr>
        <w:t xml:space="preserve">ies use more of commodity c per unit of output (corresponds to a technological deterioration).  </w:t>
      </w:r>
      <w:r w:rsidR="004C12A3">
        <w:rPr>
          <w:rFonts w:ascii="Times New Roman" w:hAnsi="Times New Roman"/>
          <w:sz w:val="24"/>
          <w:szCs w:val="24"/>
        </w:rPr>
        <w:t>In the second term, FOSS(c)</w:t>
      </w:r>
      <w:r w:rsidR="00AC0E6D">
        <w:rPr>
          <w:rFonts w:ascii="Times New Roman" w:hAnsi="Times New Roman"/>
          <w:sz w:val="24"/>
          <w:szCs w:val="24"/>
        </w:rPr>
        <w:t xml:space="preserve"> is a parameter with value zero for c</w:t>
      </w:r>
      <w:r w:rsidR="00AC0E6D">
        <w:rPr>
          <w:rFonts w:ascii="Times New Roman" w:hAnsi="Times New Roman"/>
          <w:sz w:val="24"/>
          <w:szCs w:val="24"/>
        </w:rPr>
        <w:sym w:font="Symbol" w:char="F0CE"/>
      </w:r>
      <w:r w:rsidR="00AC0E6D">
        <w:rPr>
          <w:rFonts w:ascii="Times New Roman" w:hAnsi="Times New Roman"/>
          <w:sz w:val="24"/>
          <w:szCs w:val="24"/>
        </w:rPr>
        <w:t>Foss and one for c</w:t>
      </w:r>
      <w:r w:rsidR="00AC0E6D">
        <w:rPr>
          <w:rFonts w:ascii="Times New Roman" w:hAnsi="Times New Roman"/>
          <w:sz w:val="24"/>
          <w:szCs w:val="24"/>
        </w:rPr>
        <w:sym w:font="Symbol" w:char="F0CE"/>
      </w:r>
      <w:r w:rsidR="00AC0E6D">
        <w:rPr>
          <w:rFonts w:ascii="Times New Roman" w:hAnsi="Times New Roman"/>
          <w:sz w:val="24"/>
          <w:szCs w:val="24"/>
        </w:rPr>
        <w:t xml:space="preserve">NonFoss.  The variable a_neut(j,r) can be used to introduce a uniform percentage change across all inputs to industry j in region r  excluding coal, oil and gas.  </w:t>
      </w:r>
      <w:r w:rsidR="00CF582E">
        <w:rPr>
          <w:rFonts w:ascii="Times New Roman" w:hAnsi="Times New Roman"/>
          <w:sz w:val="24"/>
          <w:szCs w:val="24"/>
        </w:rPr>
        <w:t xml:space="preserve">A positive value for a_neut(j,r) means that industry j uses less inputs per unit of output (corresponds to a technological improvement).  </w:t>
      </w:r>
      <w:r w:rsidR="00AC0E6D">
        <w:rPr>
          <w:rFonts w:ascii="Times New Roman" w:hAnsi="Times New Roman"/>
          <w:sz w:val="24"/>
          <w:szCs w:val="24"/>
        </w:rPr>
        <w:t xml:space="preserve"> </w:t>
      </w:r>
      <w:r w:rsidR="00CF582E">
        <w:rPr>
          <w:rFonts w:ascii="Times New Roman" w:hAnsi="Times New Roman"/>
          <w:sz w:val="24"/>
          <w:szCs w:val="24"/>
        </w:rPr>
        <w:t xml:space="preserve"> </w:t>
      </w:r>
      <w:r w:rsidR="00AC0E6D">
        <w:rPr>
          <w:rFonts w:ascii="Times New Roman" w:hAnsi="Times New Roman"/>
          <w:sz w:val="24"/>
          <w:szCs w:val="24"/>
        </w:rPr>
        <w:t xml:space="preserve"> </w:t>
      </w:r>
    </w:p>
    <w:p w:rsidR="00AC0E6D" w:rsidRDefault="00AC0E6D" w:rsidP="00DF5970">
      <w:pPr>
        <w:ind w:left="0"/>
        <w:rPr>
          <w:rFonts w:ascii="Times New Roman" w:hAnsi="Times New Roman"/>
          <w:sz w:val="24"/>
          <w:szCs w:val="24"/>
        </w:rPr>
      </w:pPr>
      <w:r>
        <w:rPr>
          <w:rFonts w:ascii="Times New Roman" w:hAnsi="Times New Roman"/>
          <w:sz w:val="24"/>
          <w:szCs w:val="24"/>
        </w:rPr>
        <w:t>In equation (</w:t>
      </w:r>
      <w:r w:rsidR="00D77877">
        <w:rPr>
          <w:rFonts w:ascii="Times New Roman" w:hAnsi="Times New Roman"/>
          <w:sz w:val="24"/>
          <w:szCs w:val="24"/>
        </w:rPr>
        <w:t>4</w:t>
      </w:r>
      <w:r>
        <w:rPr>
          <w:rFonts w:ascii="Times New Roman" w:hAnsi="Times New Roman"/>
          <w:sz w:val="24"/>
          <w:szCs w:val="24"/>
        </w:rPr>
        <w:t>.10), SC(c,j,r) is the share of cost</w:t>
      </w:r>
      <w:r w:rsidR="00326ED2">
        <w:rPr>
          <w:rFonts w:ascii="Times New Roman" w:hAnsi="Times New Roman"/>
          <w:sz w:val="24"/>
          <w:szCs w:val="24"/>
        </w:rPr>
        <w:t>s</w:t>
      </w:r>
      <w:r>
        <w:rPr>
          <w:rFonts w:ascii="Times New Roman" w:hAnsi="Times New Roman"/>
          <w:sz w:val="24"/>
          <w:szCs w:val="24"/>
        </w:rPr>
        <w:t xml:space="preserve"> in industry j in region r accounted for by inputs of c (includes intermediates and primary factors)</w:t>
      </w:r>
      <w:r w:rsidR="00326ED2">
        <w:rPr>
          <w:rFonts w:ascii="Times New Roman" w:hAnsi="Times New Roman"/>
          <w:sz w:val="24"/>
          <w:szCs w:val="24"/>
        </w:rPr>
        <w:t>.  Thus the LHS of (</w:t>
      </w:r>
      <w:r w:rsidR="00D77877">
        <w:rPr>
          <w:rFonts w:ascii="Times New Roman" w:hAnsi="Times New Roman"/>
          <w:sz w:val="24"/>
          <w:szCs w:val="24"/>
        </w:rPr>
        <w:t>4</w:t>
      </w:r>
      <w:r w:rsidR="00326ED2">
        <w:rPr>
          <w:rFonts w:ascii="Times New Roman" w:hAnsi="Times New Roman"/>
          <w:sz w:val="24"/>
          <w:szCs w:val="24"/>
        </w:rPr>
        <w:t xml:space="preserve">.10) is the percentage </w:t>
      </w:r>
      <w:r w:rsidR="00CF582E">
        <w:rPr>
          <w:rFonts w:ascii="Times New Roman" w:hAnsi="Times New Roman"/>
          <w:sz w:val="24"/>
          <w:szCs w:val="24"/>
        </w:rPr>
        <w:t>reduction in</w:t>
      </w:r>
      <w:r w:rsidR="00326ED2">
        <w:rPr>
          <w:rFonts w:ascii="Times New Roman" w:hAnsi="Times New Roman"/>
          <w:sz w:val="24"/>
          <w:szCs w:val="24"/>
        </w:rPr>
        <w:t xml:space="preserve"> j,r’s costs </w:t>
      </w:r>
      <w:r w:rsidR="00CF582E">
        <w:rPr>
          <w:rFonts w:ascii="Times New Roman" w:hAnsi="Times New Roman"/>
          <w:sz w:val="24"/>
          <w:szCs w:val="24"/>
        </w:rPr>
        <w:t>from</w:t>
      </w:r>
      <w:r w:rsidR="00326ED2">
        <w:rPr>
          <w:rFonts w:ascii="Times New Roman" w:hAnsi="Times New Roman"/>
          <w:sz w:val="24"/>
          <w:szCs w:val="24"/>
        </w:rPr>
        <w:t xml:space="preserve"> </w:t>
      </w:r>
      <w:r w:rsidR="00CF582E">
        <w:rPr>
          <w:rFonts w:ascii="Times New Roman" w:hAnsi="Times New Roman"/>
          <w:sz w:val="24"/>
          <w:szCs w:val="24"/>
        </w:rPr>
        <w:t xml:space="preserve">the </w:t>
      </w:r>
      <w:r w:rsidR="00326ED2">
        <w:rPr>
          <w:rFonts w:ascii="Times New Roman" w:hAnsi="Times New Roman"/>
          <w:sz w:val="24"/>
          <w:szCs w:val="24"/>
        </w:rPr>
        <w:t>movement in a_neut(j,r).  The first term on the RHS is the effect on j,r’s cost</w:t>
      </w:r>
      <w:r w:rsidR="00CF582E">
        <w:rPr>
          <w:rFonts w:ascii="Times New Roman" w:hAnsi="Times New Roman"/>
          <w:sz w:val="24"/>
          <w:szCs w:val="24"/>
        </w:rPr>
        <w:t>s</w:t>
      </w:r>
      <w:r w:rsidR="00326ED2">
        <w:rPr>
          <w:rFonts w:ascii="Times New Roman" w:hAnsi="Times New Roman"/>
          <w:sz w:val="24"/>
          <w:szCs w:val="24"/>
        </w:rPr>
        <w:t xml:space="preserve"> of movements in wldout_sh(c) for c</w:t>
      </w:r>
      <w:r w:rsidR="00326ED2">
        <w:rPr>
          <w:rFonts w:ascii="Times New Roman" w:hAnsi="Times New Roman"/>
          <w:sz w:val="24"/>
          <w:szCs w:val="24"/>
        </w:rPr>
        <w:sym w:font="Symbol" w:char="F0CE"/>
      </w:r>
      <w:r w:rsidR="00326ED2">
        <w:rPr>
          <w:rFonts w:ascii="Times New Roman" w:hAnsi="Times New Roman"/>
          <w:sz w:val="24"/>
          <w:szCs w:val="24"/>
        </w:rPr>
        <w:t xml:space="preserve">Foss.  The second term on the RHS is a shift variable.  </w:t>
      </w:r>
    </w:p>
    <w:p w:rsidR="00772DA3" w:rsidRDefault="00326ED2" w:rsidP="00DF5970">
      <w:pPr>
        <w:ind w:left="0"/>
        <w:rPr>
          <w:rFonts w:ascii="Times New Roman" w:hAnsi="Times New Roman"/>
          <w:sz w:val="24"/>
          <w:szCs w:val="24"/>
        </w:rPr>
      </w:pPr>
      <w:r>
        <w:rPr>
          <w:rFonts w:ascii="Times New Roman" w:hAnsi="Times New Roman"/>
          <w:sz w:val="24"/>
          <w:szCs w:val="24"/>
        </w:rPr>
        <w:t>In the standard closure, wldout_sh(c)</w:t>
      </w:r>
      <w:r w:rsidR="00772DA3">
        <w:rPr>
          <w:rFonts w:ascii="Times New Roman" w:hAnsi="Times New Roman"/>
          <w:sz w:val="24"/>
          <w:szCs w:val="24"/>
        </w:rPr>
        <w:t xml:space="preserve"> and a_neut(j,r) are</w:t>
      </w:r>
      <w:r>
        <w:rPr>
          <w:rFonts w:ascii="Times New Roman" w:hAnsi="Times New Roman"/>
          <w:sz w:val="24"/>
          <w:szCs w:val="24"/>
        </w:rPr>
        <w:t xml:space="preserve"> exogenous and unshocked.  </w:t>
      </w:r>
      <w:r w:rsidR="00772DA3">
        <w:rPr>
          <w:rFonts w:ascii="Times New Roman" w:hAnsi="Times New Roman"/>
          <w:sz w:val="24"/>
          <w:szCs w:val="24"/>
        </w:rPr>
        <w:t xml:space="preserve">f_neut(j,t) is endogenously determined at zero.  As indicated in panel 12 of Table </w:t>
      </w:r>
      <w:r w:rsidR="00D77877">
        <w:rPr>
          <w:rFonts w:ascii="Times New Roman" w:hAnsi="Times New Roman"/>
          <w:sz w:val="24"/>
          <w:szCs w:val="24"/>
        </w:rPr>
        <w:t>4</w:t>
      </w:r>
      <w:r w:rsidR="00772DA3">
        <w:rPr>
          <w:rFonts w:ascii="Times New Roman" w:hAnsi="Times New Roman"/>
          <w:sz w:val="24"/>
          <w:szCs w:val="24"/>
        </w:rPr>
        <w:t>.1, we ma</w:t>
      </w:r>
      <w:r w:rsidR="00197CDC">
        <w:rPr>
          <w:rFonts w:ascii="Times New Roman" w:hAnsi="Times New Roman"/>
          <w:sz w:val="24"/>
          <w:szCs w:val="24"/>
        </w:rPr>
        <w:t>d</w:t>
      </w:r>
      <w:r w:rsidR="00772DA3">
        <w:rPr>
          <w:rFonts w:ascii="Times New Roman" w:hAnsi="Times New Roman"/>
          <w:sz w:val="24"/>
          <w:szCs w:val="24"/>
        </w:rPr>
        <w:t xml:space="preserve">e two closure changes to accommodate </w:t>
      </w:r>
      <w:r w:rsidR="00197CDC">
        <w:rPr>
          <w:rFonts w:ascii="Times New Roman" w:hAnsi="Times New Roman"/>
          <w:sz w:val="24"/>
          <w:szCs w:val="24"/>
        </w:rPr>
        <w:t xml:space="preserve">the </w:t>
      </w:r>
      <w:r w:rsidR="00772DA3">
        <w:rPr>
          <w:rFonts w:ascii="Times New Roman" w:hAnsi="Times New Roman"/>
          <w:sz w:val="24"/>
          <w:szCs w:val="24"/>
        </w:rPr>
        <w:t xml:space="preserve">introduction of data on world outputs of coal, oil and gas.  </w:t>
      </w:r>
    </w:p>
    <w:p w:rsidR="00772DA3" w:rsidRDefault="00772DA3" w:rsidP="00DF5970">
      <w:pPr>
        <w:ind w:left="0"/>
        <w:rPr>
          <w:rFonts w:ascii="Times New Roman" w:hAnsi="Times New Roman"/>
          <w:sz w:val="24"/>
          <w:szCs w:val="24"/>
        </w:rPr>
      </w:pPr>
      <w:r>
        <w:rPr>
          <w:rFonts w:ascii="Times New Roman" w:hAnsi="Times New Roman"/>
          <w:sz w:val="24"/>
          <w:szCs w:val="24"/>
        </w:rPr>
        <w:t>First, we exogenize</w:t>
      </w:r>
      <w:r w:rsidR="00197CDC">
        <w:rPr>
          <w:rFonts w:ascii="Times New Roman" w:hAnsi="Times New Roman"/>
          <w:sz w:val="24"/>
          <w:szCs w:val="24"/>
        </w:rPr>
        <w:t>d</w:t>
      </w:r>
      <w:r>
        <w:rPr>
          <w:rFonts w:ascii="Times New Roman" w:hAnsi="Times New Roman"/>
          <w:sz w:val="24"/>
          <w:szCs w:val="24"/>
        </w:rPr>
        <w:t xml:space="preserve"> the percentage movements in the outputs of these commodities [qworld(foss)] and endogenize</w:t>
      </w:r>
      <w:r w:rsidR="00197CDC">
        <w:rPr>
          <w:rFonts w:ascii="Times New Roman" w:hAnsi="Times New Roman"/>
          <w:sz w:val="24"/>
          <w:szCs w:val="24"/>
        </w:rPr>
        <w:t>d</w:t>
      </w:r>
      <w:r>
        <w:rPr>
          <w:rFonts w:ascii="Times New Roman" w:hAnsi="Times New Roman"/>
          <w:sz w:val="24"/>
          <w:szCs w:val="24"/>
        </w:rPr>
        <w:t xml:space="preserve"> the technology variable wldout_sh(Foss).  Thus</w:t>
      </w:r>
      <w:r w:rsidR="000A10D0">
        <w:rPr>
          <w:rFonts w:ascii="Times New Roman" w:hAnsi="Times New Roman"/>
          <w:sz w:val="24"/>
          <w:szCs w:val="24"/>
        </w:rPr>
        <w:t>,</w:t>
      </w:r>
      <w:r>
        <w:rPr>
          <w:rFonts w:ascii="Times New Roman" w:hAnsi="Times New Roman"/>
          <w:sz w:val="24"/>
          <w:szCs w:val="24"/>
        </w:rPr>
        <w:t xml:space="preserve"> we accommodate the observations on world outputs by allowing world-wide shifts in the demands for coal, oil and gas. </w:t>
      </w:r>
    </w:p>
    <w:p w:rsidR="00326ED2" w:rsidRDefault="00772DA3" w:rsidP="00DF5970">
      <w:pPr>
        <w:ind w:left="0"/>
        <w:rPr>
          <w:rFonts w:ascii="Times New Roman" w:hAnsi="Times New Roman"/>
          <w:sz w:val="24"/>
          <w:szCs w:val="24"/>
        </w:rPr>
      </w:pPr>
      <w:r>
        <w:rPr>
          <w:rFonts w:ascii="Times New Roman" w:hAnsi="Times New Roman"/>
          <w:sz w:val="24"/>
          <w:szCs w:val="24"/>
        </w:rPr>
        <w:t>Second, we exogenize</w:t>
      </w:r>
      <w:r w:rsidR="00197CDC">
        <w:rPr>
          <w:rFonts w:ascii="Times New Roman" w:hAnsi="Times New Roman"/>
          <w:sz w:val="24"/>
          <w:szCs w:val="24"/>
        </w:rPr>
        <w:t>d</w:t>
      </w:r>
      <w:r>
        <w:rPr>
          <w:rFonts w:ascii="Times New Roman" w:hAnsi="Times New Roman"/>
          <w:sz w:val="24"/>
          <w:szCs w:val="24"/>
        </w:rPr>
        <w:t xml:space="preserve"> f_neut(j,r) and endogenize</w:t>
      </w:r>
      <w:r w:rsidR="00197CDC">
        <w:rPr>
          <w:rFonts w:ascii="Times New Roman" w:hAnsi="Times New Roman"/>
          <w:sz w:val="24"/>
          <w:szCs w:val="24"/>
        </w:rPr>
        <w:t>d</w:t>
      </w:r>
      <w:r>
        <w:rPr>
          <w:rFonts w:ascii="Times New Roman" w:hAnsi="Times New Roman"/>
          <w:sz w:val="24"/>
          <w:szCs w:val="24"/>
        </w:rPr>
        <w:t xml:space="preserve"> the technology variable a_neut(j,r).  This ha</w:t>
      </w:r>
      <w:r w:rsidR="00197CDC">
        <w:rPr>
          <w:rFonts w:ascii="Times New Roman" w:hAnsi="Times New Roman"/>
          <w:sz w:val="24"/>
          <w:szCs w:val="24"/>
        </w:rPr>
        <w:t>d</w:t>
      </w:r>
      <w:r>
        <w:rPr>
          <w:rFonts w:ascii="Times New Roman" w:hAnsi="Times New Roman"/>
          <w:sz w:val="24"/>
          <w:szCs w:val="24"/>
        </w:rPr>
        <w:t xml:space="preserve"> the effect of cost-neutralizing </w:t>
      </w:r>
      <w:r w:rsidR="00197CDC">
        <w:rPr>
          <w:rFonts w:ascii="Times New Roman" w:hAnsi="Times New Roman"/>
          <w:sz w:val="24"/>
          <w:szCs w:val="24"/>
        </w:rPr>
        <w:t xml:space="preserve">the </w:t>
      </w:r>
      <w:r>
        <w:rPr>
          <w:rFonts w:ascii="Times New Roman" w:hAnsi="Times New Roman"/>
          <w:sz w:val="24"/>
          <w:szCs w:val="24"/>
        </w:rPr>
        <w:t>fossil</w:t>
      </w:r>
      <w:r w:rsidR="00197CDC">
        <w:rPr>
          <w:rFonts w:ascii="Times New Roman" w:hAnsi="Times New Roman"/>
          <w:sz w:val="24"/>
          <w:szCs w:val="24"/>
        </w:rPr>
        <w:t>-</w:t>
      </w:r>
      <w:r>
        <w:rPr>
          <w:rFonts w:ascii="Times New Roman" w:hAnsi="Times New Roman"/>
          <w:sz w:val="24"/>
          <w:szCs w:val="24"/>
        </w:rPr>
        <w:t xml:space="preserve">fuel technology </w:t>
      </w:r>
      <w:r w:rsidR="00197CDC">
        <w:rPr>
          <w:rFonts w:ascii="Times New Roman" w:hAnsi="Times New Roman"/>
          <w:sz w:val="24"/>
          <w:szCs w:val="24"/>
        </w:rPr>
        <w:t xml:space="preserve">variables </w:t>
      </w:r>
      <w:r>
        <w:rPr>
          <w:rFonts w:ascii="Times New Roman" w:hAnsi="Times New Roman"/>
          <w:sz w:val="24"/>
          <w:szCs w:val="24"/>
        </w:rPr>
        <w:t>wldout_sh(Foss) for fossil-fuel using industries.  Thus, for example, if wldout_sh(coal) is negative</w:t>
      </w:r>
      <w:r w:rsidR="00E87316">
        <w:rPr>
          <w:rFonts w:ascii="Times New Roman" w:hAnsi="Times New Roman"/>
          <w:sz w:val="24"/>
          <w:szCs w:val="24"/>
        </w:rPr>
        <w:t>,</w:t>
      </w:r>
      <w:r>
        <w:rPr>
          <w:rFonts w:ascii="Times New Roman" w:hAnsi="Times New Roman"/>
          <w:sz w:val="24"/>
          <w:szCs w:val="24"/>
        </w:rPr>
        <w:t xml:space="preserve"> indicating </w:t>
      </w:r>
      <w:r w:rsidR="00E87316">
        <w:rPr>
          <w:rFonts w:ascii="Times New Roman" w:hAnsi="Times New Roman"/>
          <w:sz w:val="24"/>
          <w:szCs w:val="24"/>
        </w:rPr>
        <w:t>a reduction in the use of coal per unit of output in coal-using industries, then we assume that the coal-related cost savings are offset by increase</w:t>
      </w:r>
      <w:r w:rsidR="00CF582E">
        <w:rPr>
          <w:rFonts w:ascii="Times New Roman" w:hAnsi="Times New Roman"/>
          <w:sz w:val="24"/>
          <w:szCs w:val="24"/>
        </w:rPr>
        <w:t>s</w:t>
      </w:r>
      <w:r w:rsidR="00E87316">
        <w:rPr>
          <w:rFonts w:ascii="Times New Roman" w:hAnsi="Times New Roman"/>
          <w:sz w:val="24"/>
          <w:szCs w:val="24"/>
        </w:rPr>
        <w:t xml:space="preserve"> in the use of all non-fossil inputs.    </w:t>
      </w:r>
      <w:r>
        <w:rPr>
          <w:rFonts w:ascii="Times New Roman" w:hAnsi="Times New Roman"/>
          <w:sz w:val="24"/>
          <w:szCs w:val="24"/>
        </w:rPr>
        <w:t xml:space="preserve">   </w:t>
      </w:r>
    </w:p>
    <w:p w:rsidR="00AD7A35" w:rsidRDefault="0081199E" w:rsidP="0081199E">
      <w:pPr>
        <w:ind w:left="0"/>
        <w:rPr>
          <w:rFonts w:ascii="Times New Roman" w:hAnsi="Times New Roman"/>
          <w:sz w:val="24"/>
          <w:szCs w:val="24"/>
        </w:rPr>
      </w:pPr>
      <w:r w:rsidRPr="007D266E">
        <w:rPr>
          <w:rFonts w:ascii="Times New Roman" w:hAnsi="Times New Roman"/>
          <w:i/>
          <w:sz w:val="24"/>
          <w:szCs w:val="24"/>
        </w:rPr>
        <w:t>Panel 1</w:t>
      </w:r>
      <w:r>
        <w:rPr>
          <w:rFonts w:ascii="Times New Roman" w:hAnsi="Times New Roman"/>
          <w:i/>
          <w:sz w:val="24"/>
          <w:szCs w:val="24"/>
        </w:rPr>
        <w:t>3</w:t>
      </w:r>
      <w:r w:rsidRPr="007D266E">
        <w:rPr>
          <w:rFonts w:ascii="Times New Roman" w:hAnsi="Times New Roman"/>
          <w:i/>
          <w:sz w:val="24"/>
          <w:szCs w:val="24"/>
        </w:rPr>
        <w:t>:</w:t>
      </w:r>
      <w:r>
        <w:rPr>
          <w:rFonts w:ascii="Times New Roman" w:hAnsi="Times New Roman"/>
          <w:i/>
          <w:sz w:val="24"/>
          <w:szCs w:val="24"/>
        </w:rPr>
        <w:t xml:space="preserve"> world prices of fossil fuels</w:t>
      </w:r>
      <w:r w:rsidRPr="007D266E">
        <w:rPr>
          <w:rFonts w:ascii="Times New Roman" w:hAnsi="Times New Roman"/>
          <w:i/>
          <w:sz w:val="24"/>
          <w:szCs w:val="24"/>
        </w:rPr>
        <w:t>.</w:t>
      </w:r>
      <w:r w:rsidRPr="007D266E">
        <w:rPr>
          <w:rFonts w:ascii="Times New Roman" w:hAnsi="Times New Roman"/>
          <w:sz w:val="24"/>
          <w:szCs w:val="24"/>
        </w:rPr>
        <w:t xml:space="preserve">  </w:t>
      </w:r>
      <w:r>
        <w:rPr>
          <w:rFonts w:ascii="Times New Roman" w:hAnsi="Times New Roman"/>
          <w:sz w:val="24"/>
          <w:szCs w:val="24"/>
        </w:rPr>
        <w:t xml:space="preserve">In this panel, we </w:t>
      </w:r>
      <w:r w:rsidR="00AD7A35">
        <w:rPr>
          <w:rFonts w:ascii="Times New Roman" w:hAnsi="Times New Roman"/>
          <w:sz w:val="24"/>
          <w:szCs w:val="24"/>
        </w:rPr>
        <w:t xml:space="preserve">perform </w:t>
      </w:r>
      <w:r>
        <w:rPr>
          <w:rFonts w:ascii="Times New Roman" w:hAnsi="Times New Roman"/>
          <w:sz w:val="24"/>
          <w:szCs w:val="24"/>
        </w:rPr>
        <w:t>closure changes</w:t>
      </w:r>
      <w:r w:rsidR="00CA0E18">
        <w:rPr>
          <w:rFonts w:ascii="Times New Roman" w:hAnsi="Times New Roman"/>
          <w:sz w:val="24"/>
          <w:szCs w:val="24"/>
        </w:rPr>
        <w:t xml:space="preserve"> that allow us to </w:t>
      </w:r>
      <w:r w:rsidR="00AD7A35">
        <w:rPr>
          <w:rFonts w:ascii="Times New Roman" w:hAnsi="Times New Roman"/>
          <w:sz w:val="24"/>
          <w:szCs w:val="24"/>
        </w:rPr>
        <w:t>move</w:t>
      </w:r>
      <w:r w:rsidR="00CA0E18">
        <w:rPr>
          <w:rFonts w:ascii="Times New Roman" w:hAnsi="Times New Roman"/>
          <w:sz w:val="24"/>
          <w:szCs w:val="24"/>
        </w:rPr>
        <w:t xml:space="preserve"> the price of each fossil fuel in each region </w:t>
      </w:r>
      <w:r w:rsidR="00AD7A35">
        <w:rPr>
          <w:rFonts w:ascii="Times New Roman" w:hAnsi="Times New Roman"/>
          <w:sz w:val="24"/>
          <w:szCs w:val="24"/>
        </w:rPr>
        <w:t xml:space="preserve">in line with the movement in the </w:t>
      </w:r>
      <w:r w:rsidR="00CA0E18">
        <w:rPr>
          <w:rFonts w:ascii="Times New Roman" w:hAnsi="Times New Roman"/>
          <w:sz w:val="24"/>
          <w:szCs w:val="24"/>
        </w:rPr>
        <w:t>world price</w:t>
      </w:r>
      <w:r>
        <w:rPr>
          <w:rFonts w:ascii="Times New Roman" w:hAnsi="Times New Roman"/>
          <w:sz w:val="24"/>
          <w:szCs w:val="24"/>
        </w:rPr>
        <w:t xml:space="preserve">.  </w:t>
      </w:r>
      <w:r w:rsidR="00AD7A35">
        <w:rPr>
          <w:rFonts w:ascii="Times New Roman" w:hAnsi="Times New Roman"/>
          <w:sz w:val="24"/>
          <w:szCs w:val="24"/>
        </w:rPr>
        <w:t>These closure changes can be explained via the model equations</w:t>
      </w:r>
      <w:r w:rsidR="001E5325">
        <w:rPr>
          <w:rFonts w:ascii="Times New Roman" w:hAnsi="Times New Roman"/>
          <w:sz w:val="24"/>
          <w:szCs w:val="24"/>
        </w:rPr>
        <w:t>:</w:t>
      </w:r>
    </w:p>
    <w:p w:rsidR="00AD7A35" w:rsidRDefault="00AD7A35" w:rsidP="00AD7A35">
      <w:pPr>
        <w:tabs>
          <w:tab w:val="left" w:pos="851"/>
          <w:tab w:val="right" w:pos="8789"/>
        </w:tabs>
        <w:ind w:left="0"/>
        <w:rPr>
          <w:rFonts w:ascii="Times New Roman" w:hAnsi="Times New Roman"/>
          <w:sz w:val="24"/>
          <w:szCs w:val="24"/>
        </w:rPr>
      </w:pPr>
      <w:r>
        <w:rPr>
          <w:rFonts w:ascii="Times New Roman" w:hAnsi="Times New Roman"/>
          <w:sz w:val="24"/>
          <w:szCs w:val="24"/>
        </w:rPr>
        <w:tab/>
      </w:r>
      <w:r w:rsidRPr="00AD7A35">
        <w:rPr>
          <w:rFonts w:ascii="Times New Roman" w:hAnsi="Times New Roman"/>
          <w:position w:val="-10"/>
          <w:sz w:val="24"/>
          <w:szCs w:val="24"/>
        </w:rPr>
        <w:object w:dxaOrig="3220" w:dyaOrig="320">
          <v:shape id="_x0000_i1036" type="#_x0000_t75" style="width:159.75pt;height:17.25pt" o:ole="">
            <v:imagedata r:id="rId30" o:title=""/>
          </v:shape>
          <o:OLEObject Type="Embed" ProgID="Equation.DSMT4" ShapeID="_x0000_i1036" DrawAspect="Content" ObjectID="_1774671657" r:id="rId31"/>
        </w:object>
      </w:r>
      <w:r>
        <w:rPr>
          <w:rFonts w:ascii="Times New Roman" w:hAnsi="Times New Roman"/>
          <w:sz w:val="24"/>
          <w:szCs w:val="24"/>
        </w:rPr>
        <w:t xml:space="preserve">   for c</w:t>
      </w:r>
      <w:r>
        <w:rPr>
          <w:rFonts w:ascii="Times New Roman" w:hAnsi="Times New Roman"/>
          <w:sz w:val="24"/>
          <w:szCs w:val="24"/>
        </w:rPr>
        <w:sym w:font="Symbol" w:char="F0CE"/>
      </w:r>
      <w:r>
        <w:rPr>
          <w:rFonts w:ascii="Times New Roman" w:hAnsi="Times New Roman"/>
          <w:sz w:val="24"/>
          <w:szCs w:val="24"/>
        </w:rPr>
        <w:t>Com, r</w:t>
      </w:r>
      <w:r>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.11)</w:t>
      </w:r>
    </w:p>
    <w:p w:rsidR="001E5325" w:rsidRDefault="001E5325" w:rsidP="001E5325">
      <w:pPr>
        <w:tabs>
          <w:tab w:val="left" w:pos="851"/>
          <w:tab w:val="right" w:pos="8789"/>
        </w:tabs>
        <w:ind w:left="0"/>
        <w:rPr>
          <w:rFonts w:ascii="Times New Roman" w:hAnsi="Times New Roman"/>
          <w:sz w:val="24"/>
          <w:szCs w:val="24"/>
        </w:rPr>
      </w:pPr>
      <w:r>
        <w:rPr>
          <w:rFonts w:ascii="Times New Roman" w:hAnsi="Times New Roman"/>
          <w:sz w:val="24"/>
          <w:szCs w:val="24"/>
        </w:rPr>
        <w:lastRenderedPageBreak/>
        <w:tab/>
      </w:r>
      <w:r w:rsidR="00FD047F" w:rsidRPr="00AD7A35">
        <w:rPr>
          <w:rFonts w:ascii="Times New Roman" w:hAnsi="Times New Roman"/>
          <w:position w:val="-28"/>
          <w:sz w:val="24"/>
          <w:szCs w:val="24"/>
        </w:rPr>
        <w:object w:dxaOrig="5300" w:dyaOrig="520">
          <v:shape id="_x0000_i1037" type="#_x0000_t75" style="width:265.5pt;height:29.25pt" o:ole="">
            <v:imagedata r:id="rId32" o:title=""/>
          </v:shape>
          <o:OLEObject Type="Embed" ProgID="Equation.DSMT4" ShapeID="_x0000_i1037" DrawAspect="Content" ObjectID="_1774671658" r:id="rId33"/>
        </w:object>
      </w:r>
      <w:r>
        <w:rPr>
          <w:rFonts w:ascii="Times New Roman" w:hAnsi="Times New Roman"/>
          <w:sz w:val="24"/>
          <w:szCs w:val="24"/>
        </w:rPr>
        <w:t xml:space="preserve">   for c</w:t>
      </w:r>
      <w:r>
        <w:rPr>
          <w:rFonts w:ascii="Times New Roman" w:hAnsi="Times New Roman"/>
          <w:sz w:val="24"/>
          <w:szCs w:val="24"/>
        </w:rPr>
        <w:sym w:font="Symbol" w:char="F0CE"/>
      </w:r>
      <w:r>
        <w:rPr>
          <w:rFonts w:ascii="Times New Roman" w:hAnsi="Times New Roman"/>
          <w:sz w:val="24"/>
          <w:szCs w:val="24"/>
        </w:rPr>
        <w:t>Com</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.12)</w:t>
      </w:r>
    </w:p>
    <w:p w:rsidR="00AD7A35" w:rsidRDefault="00AD7A35" w:rsidP="00AD7A35">
      <w:pPr>
        <w:tabs>
          <w:tab w:val="left" w:pos="851"/>
          <w:tab w:val="right" w:pos="8789"/>
        </w:tabs>
        <w:ind w:left="0"/>
        <w:rPr>
          <w:rFonts w:ascii="Times New Roman" w:hAnsi="Times New Roman"/>
          <w:sz w:val="24"/>
          <w:szCs w:val="24"/>
        </w:rPr>
      </w:pPr>
      <w:r>
        <w:rPr>
          <w:rFonts w:ascii="Times New Roman" w:hAnsi="Times New Roman"/>
          <w:sz w:val="24"/>
          <w:szCs w:val="24"/>
        </w:rPr>
        <w:tab/>
      </w:r>
      <w:r w:rsidR="00065FC5" w:rsidRPr="00AD7A35">
        <w:rPr>
          <w:rFonts w:ascii="Times New Roman" w:hAnsi="Times New Roman"/>
          <w:position w:val="-10"/>
          <w:sz w:val="24"/>
          <w:szCs w:val="24"/>
        </w:rPr>
        <w:object w:dxaOrig="2640" w:dyaOrig="320">
          <v:shape id="_x0000_i1038" type="#_x0000_t75" style="width:131.25pt;height:17.25pt" o:ole="">
            <v:imagedata r:id="rId34" o:title=""/>
          </v:shape>
          <o:OLEObject Type="Embed" ProgID="Equation.DSMT4" ShapeID="_x0000_i1038" DrawAspect="Content" ObjectID="_1774671659" r:id="rId35"/>
        </w:object>
      </w:r>
      <w:r>
        <w:rPr>
          <w:rFonts w:ascii="Times New Roman" w:hAnsi="Times New Roman"/>
          <w:sz w:val="24"/>
          <w:szCs w:val="24"/>
        </w:rPr>
        <w:t xml:space="preserve">   for c</w:t>
      </w:r>
      <w:r>
        <w:rPr>
          <w:rFonts w:ascii="Times New Roman" w:hAnsi="Times New Roman"/>
          <w:sz w:val="24"/>
          <w:szCs w:val="24"/>
        </w:rPr>
        <w:sym w:font="Symbol" w:char="F0CE"/>
      </w:r>
      <w:r>
        <w:rPr>
          <w:rFonts w:ascii="Times New Roman" w:hAnsi="Times New Roman"/>
          <w:sz w:val="24"/>
          <w:szCs w:val="24"/>
        </w:rPr>
        <w:t>Com, r</w:t>
      </w:r>
      <w:r>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.1</w:t>
      </w:r>
      <w:r w:rsidR="001E5325">
        <w:rPr>
          <w:rFonts w:ascii="Times New Roman" w:hAnsi="Times New Roman"/>
          <w:sz w:val="24"/>
          <w:szCs w:val="24"/>
        </w:rPr>
        <w:t>3</w:t>
      </w:r>
      <w:r>
        <w:rPr>
          <w:rFonts w:ascii="Times New Roman" w:hAnsi="Times New Roman"/>
          <w:sz w:val="24"/>
          <w:szCs w:val="24"/>
        </w:rPr>
        <w:t>)</w:t>
      </w:r>
    </w:p>
    <w:p w:rsidR="001E5325" w:rsidRDefault="001E5325" w:rsidP="001E5325">
      <w:pPr>
        <w:tabs>
          <w:tab w:val="left" w:pos="851"/>
          <w:tab w:val="right" w:pos="8789"/>
        </w:tabs>
        <w:ind w:left="0"/>
        <w:rPr>
          <w:rFonts w:ascii="Times New Roman" w:hAnsi="Times New Roman"/>
          <w:sz w:val="24"/>
          <w:szCs w:val="24"/>
        </w:rPr>
      </w:pPr>
      <w:r>
        <w:rPr>
          <w:rFonts w:ascii="Times New Roman" w:hAnsi="Times New Roman"/>
          <w:sz w:val="24"/>
          <w:szCs w:val="24"/>
        </w:rPr>
        <w:tab/>
      </w:r>
      <w:r w:rsidRPr="00AD7A35">
        <w:rPr>
          <w:rFonts w:ascii="Times New Roman" w:hAnsi="Times New Roman"/>
          <w:position w:val="-10"/>
          <w:sz w:val="24"/>
          <w:szCs w:val="24"/>
        </w:rPr>
        <w:object w:dxaOrig="2980" w:dyaOrig="320">
          <v:shape id="_x0000_i1039" type="#_x0000_t75" style="width:148.5pt;height:17.25pt" o:ole="">
            <v:imagedata r:id="rId36" o:title=""/>
          </v:shape>
          <o:OLEObject Type="Embed" ProgID="Equation.DSMT4" ShapeID="_x0000_i1039" DrawAspect="Content" ObjectID="_1774671660" r:id="rId37"/>
        </w:object>
      </w:r>
      <w:r>
        <w:rPr>
          <w:rFonts w:ascii="Times New Roman" w:hAnsi="Times New Roman"/>
          <w:sz w:val="24"/>
          <w:szCs w:val="24"/>
        </w:rPr>
        <w:t xml:space="preserve">   for c</w:t>
      </w:r>
      <w:r>
        <w:rPr>
          <w:rFonts w:ascii="Times New Roman" w:hAnsi="Times New Roman"/>
          <w:sz w:val="24"/>
          <w:szCs w:val="24"/>
        </w:rPr>
        <w:sym w:font="Symbol" w:char="F0CE"/>
      </w:r>
      <w:r>
        <w:rPr>
          <w:rFonts w:ascii="Times New Roman" w:hAnsi="Times New Roman"/>
          <w:sz w:val="24"/>
          <w:szCs w:val="24"/>
        </w:rPr>
        <w:t>Com, r</w:t>
      </w:r>
      <w:r>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w:t>
      </w:r>
      <w:r w:rsidR="00D77877">
        <w:rPr>
          <w:rFonts w:ascii="Times New Roman" w:hAnsi="Times New Roman"/>
          <w:sz w:val="24"/>
          <w:szCs w:val="24"/>
        </w:rPr>
        <w:t>4</w:t>
      </w:r>
      <w:r>
        <w:rPr>
          <w:rFonts w:ascii="Times New Roman" w:hAnsi="Times New Roman"/>
          <w:sz w:val="24"/>
          <w:szCs w:val="24"/>
        </w:rPr>
        <w:t>.14)</w:t>
      </w:r>
    </w:p>
    <w:p w:rsidR="0081199E" w:rsidRDefault="001E5325" w:rsidP="0081199E">
      <w:pPr>
        <w:ind w:left="0"/>
        <w:rPr>
          <w:rFonts w:ascii="Times New Roman" w:hAnsi="Times New Roman"/>
          <w:sz w:val="24"/>
          <w:szCs w:val="24"/>
        </w:rPr>
      </w:pPr>
      <w:r>
        <w:rPr>
          <w:rFonts w:ascii="Times New Roman" w:hAnsi="Times New Roman"/>
          <w:sz w:val="24"/>
          <w:szCs w:val="24"/>
        </w:rPr>
        <w:t xml:space="preserve">In these equations, </w:t>
      </w:r>
    </w:p>
    <w:p w:rsidR="001E5325" w:rsidRDefault="001E5325" w:rsidP="001E5325">
      <w:pPr>
        <w:spacing w:before="0"/>
        <w:ind w:left="284"/>
        <w:rPr>
          <w:rFonts w:ascii="Times New Roman" w:hAnsi="Times New Roman"/>
          <w:sz w:val="24"/>
          <w:szCs w:val="24"/>
        </w:rPr>
      </w:pPr>
      <w:r>
        <w:rPr>
          <w:rFonts w:ascii="Times New Roman" w:hAnsi="Times New Roman"/>
          <w:sz w:val="24"/>
          <w:szCs w:val="24"/>
        </w:rPr>
        <w:t xml:space="preserve">pm(c,r) is the percentage change in the market price (factory-door price) of commodity c in region r.  </w:t>
      </w:r>
    </w:p>
    <w:p w:rsidR="001E5325" w:rsidRDefault="001E5325" w:rsidP="001E5325">
      <w:pPr>
        <w:spacing w:before="0"/>
        <w:ind w:left="284"/>
        <w:rPr>
          <w:rFonts w:ascii="Times New Roman" w:hAnsi="Times New Roman"/>
          <w:sz w:val="24"/>
          <w:szCs w:val="24"/>
        </w:rPr>
      </w:pPr>
      <w:r>
        <w:rPr>
          <w:rFonts w:ascii="Times New Roman" w:hAnsi="Times New Roman"/>
          <w:sz w:val="24"/>
          <w:szCs w:val="24"/>
        </w:rPr>
        <w:t>pworld(c)</w:t>
      </w:r>
      <w:r w:rsidR="00065FC5">
        <w:rPr>
          <w:rFonts w:ascii="Times New Roman" w:hAnsi="Times New Roman"/>
          <w:sz w:val="24"/>
          <w:szCs w:val="24"/>
        </w:rPr>
        <w:t xml:space="preserve"> can usually be interpreted as the world price of c.  If the shifter f</w:t>
      </w:r>
      <w:r w:rsidR="00FD047F">
        <w:rPr>
          <w:rFonts w:ascii="Times New Roman" w:hAnsi="Times New Roman"/>
          <w:sz w:val="24"/>
          <w:szCs w:val="24"/>
        </w:rPr>
        <w:t>f</w:t>
      </w:r>
      <w:r w:rsidR="00065FC5">
        <w:rPr>
          <w:rFonts w:ascii="Times New Roman" w:hAnsi="Times New Roman"/>
          <w:sz w:val="24"/>
          <w:szCs w:val="24"/>
        </w:rPr>
        <w:t>_pworld(c) in (</w:t>
      </w:r>
      <w:r w:rsidR="00D77877">
        <w:rPr>
          <w:rFonts w:ascii="Times New Roman" w:hAnsi="Times New Roman"/>
          <w:sz w:val="24"/>
          <w:szCs w:val="24"/>
        </w:rPr>
        <w:t>4</w:t>
      </w:r>
      <w:r w:rsidR="00065FC5">
        <w:rPr>
          <w:rFonts w:ascii="Times New Roman" w:hAnsi="Times New Roman"/>
          <w:sz w:val="24"/>
          <w:szCs w:val="24"/>
        </w:rPr>
        <w:t>.12) is on zero, then pworld(c) is a weighted average of movements in regional market prices with the weights [S</w:t>
      </w:r>
      <w:r w:rsidR="00065FC5">
        <w:rPr>
          <w:rFonts w:ascii="Times New Roman" w:hAnsi="Times New Roman"/>
          <w:sz w:val="24"/>
          <w:szCs w:val="24"/>
          <w:vertAlign w:val="subscript"/>
        </w:rPr>
        <w:t>wld</w:t>
      </w:r>
      <w:r w:rsidR="00065FC5">
        <w:rPr>
          <w:rFonts w:ascii="Times New Roman" w:hAnsi="Times New Roman"/>
          <w:sz w:val="24"/>
          <w:szCs w:val="24"/>
        </w:rPr>
        <w:t xml:space="preserve">(c,r)]  being the shares of each region in the market value of world output.   </w:t>
      </w:r>
    </w:p>
    <w:p w:rsidR="00294BC3" w:rsidRDefault="00294BC3" w:rsidP="00294BC3">
      <w:pPr>
        <w:spacing w:before="0"/>
        <w:ind w:left="284"/>
        <w:rPr>
          <w:rFonts w:ascii="Times New Roman" w:hAnsi="Times New Roman"/>
          <w:sz w:val="24"/>
          <w:szCs w:val="24"/>
        </w:rPr>
      </w:pPr>
      <w:r>
        <w:rPr>
          <w:rFonts w:ascii="Times New Roman" w:hAnsi="Times New Roman"/>
          <w:sz w:val="24"/>
          <w:szCs w:val="24"/>
        </w:rPr>
        <w:t xml:space="preserve">ff_pm(c,r) is a shifter that can usually be interpreted as the percentage change in the ratio of the market price of c in r to the world price of c.     </w:t>
      </w:r>
    </w:p>
    <w:p w:rsidR="00065FC5" w:rsidRDefault="00065FC5" w:rsidP="001E5325">
      <w:pPr>
        <w:spacing w:before="0"/>
        <w:ind w:left="284"/>
        <w:rPr>
          <w:rFonts w:ascii="Times New Roman" w:hAnsi="Times New Roman"/>
          <w:sz w:val="24"/>
          <w:szCs w:val="24"/>
        </w:rPr>
      </w:pPr>
      <w:r>
        <w:rPr>
          <w:rFonts w:ascii="Times New Roman" w:hAnsi="Times New Roman"/>
          <w:sz w:val="24"/>
          <w:szCs w:val="24"/>
        </w:rPr>
        <w:t>ps(c,r) is, in GTAP jargon, the supply price of commodity c in region r.  This is the percentage change in the cost of inputs per unit of output.</w:t>
      </w:r>
    </w:p>
    <w:p w:rsidR="004F0550" w:rsidRDefault="004F0550" w:rsidP="001E5325">
      <w:pPr>
        <w:spacing w:before="0"/>
        <w:ind w:left="284"/>
        <w:rPr>
          <w:rFonts w:ascii="Times New Roman" w:hAnsi="Times New Roman"/>
          <w:sz w:val="24"/>
          <w:szCs w:val="24"/>
        </w:rPr>
      </w:pPr>
      <w:r>
        <w:rPr>
          <w:rFonts w:ascii="Times New Roman" w:hAnsi="Times New Roman"/>
          <w:sz w:val="24"/>
          <w:szCs w:val="24"/>
        </w:rPr>
        <w:t>to(c,r) is the power of the subsidy applying to the production of c in r.  Thus, (</w:t>
      </w:r>
      <w:r w:rsidR="00D77877">
        <w:rPr>
          <w:rFonts w:ascii="Times New Roman" w:hAnsi="Times New Roman"/>
          <w:sz w:val="24"/>
          <w:szCs w:val="24"/>
        </w:rPr>
        <w:t>4</w:t>
      </w:r>
      <w:r>
        <w:rPr>
          <w:rFonts w:ascii="Times New Roman" w:hAnsi="Times New Roman"/>
          <w:sz w:val="24"/>
          <w:szCs w:val="24"/>
        </w:rPr>
        <w:t xml:space="preserve">.13) imposes the zero profits condition: the market price is costs less production subsidies. to_wld(c) and f_to(c,r) are shifters that can be used to impose uniform changes across regions in the subsidies applying to the production of commodity c and changes </w:t>
      </w:r>
      <w:r w:rsidR="00AE5156">
        <w:rPr>
          <w:rFonts w:ascii="Times New Roman" w:hAnsi="Times New Roman"/>
          <w:sz w:val="24"/>
          <w:szCs w:val="24"/>
        </w:rPr>
        <w:t>specific to</w:t>
      </w:r>
      <w:r>
        <w:rPr>
          <w:rFonts w:ascii="Times New Roman" w:hAnsi="Times New Roman"/>
          <w:sz w:val="24"/>
          <w:szCs w:val="24"/>
        </w:rPr>
        <w:t xml:space="preserve"> particular regions. </w:t>
      </w:r>
    </w:p>
    <w:p w:rsidR="001E5325" w:rsidRDefault="004F0550" w:rsidP="001E5325">
      <w:pPr>
        <w:ind w:left="0"/>
        <w:rPr>
          <w:rFonts w:ascii="Times New Roman" w:hAnsi="Times New Roman"/>
          <w:sz w:val="24"/>
          <w:szCs w:val="24"/>
        </w:rPr>
      </w:pPr>
      <w:r>
        <w:rPr>
          <w:rFonts w:ascii="Times New Roman" w:hAnsi="Times New Roman"/>
          <w:sz w:val="24"/>
          <w:szCs w:val="24"/>
        </w:rPr>
        <w:t>In the standard long-run closure, f</w:t>
      </w:r>
      <w:r w:rsidR="00FD047F">
        <w:rPr>
          <w:rFonts w:ascii="Times New Roman" w:hAnsi="Times New Roman"/>
          <w:sz w:val="24"/>
          <w:szCs w:val="24"/>
        </w:rPr>
        <w:t>f</w:t>
      </w:r>
      <w:r>
        <w:rPr>
          <w:rFonts w:ascii="Times New Roman" w:hAnsi="Times New Roman"/>
          <w:sz w:val="24"/>
          <w:szCs w:val="24"/>
        </w:rPr>
        <w:t>_pworld(c)</w:t>
      </w:r>
      <w:r w:rsidR="00A779D8">
        <w:rPr>
          <w:rFonts w:ascii="Times New Roman" w:hAnsi="Times New Roman"/>
          <w:sz w:val="24"/>
          <w:szCs w:val="24"/>
        </w:rPr>
        <w:t>, to_wld(c) and f_to(c,r) are</w:t>
      </w:r>
      <w:r>
        <w:rPr>
          <w:rFonts w:ascii="Times New Roman" w:hAnsi="Times New Roman"/>
          <w:sz w:val="24"/>
          <w:szCs w:val="24"/>
        </w:rPr>
        <w:t xml:space="preserve"> exogenous.  </w:t>
      </w:r>
      <w:r w:rsidR="00A779D8">
        <w:rPr>
          <w:rFonts w:ascii="Times New Roman" w:hAnsi="Times New Roman"/>
          <w:sz w:val="24"/>
          <w:szCs w:val="24"/>
        </w:rPr>
        <w:t>The other variables in (</w:t>
      </w:r>
      <w:r w:rsidR="00D77877">
        <w:rPr>
          <w:rFonts w:ascii="Times New Roman" w:hAnsi="Times New Roman"/>
          <w:sz w:val="24"/>
          <w:szCs w:val="24"/>
        </w:rPr>
        <w:t>4</w:t>
      </w:r>
      <w:r w:rsidR="00A779D8">
        <w:rPr>
          <w:rFonts w:ascii="Times New Roman" w:hAnsi="Times New Roman"/>
          <w:sz w:val="24"/>
          <w:szCs w:val="24"/>
        </w:rPr>
        <w:t>.11) - (</w:t>
      </w:r>
      <w:r w:rsidR="00D77877">
        <w:rPr>
          <w:rFonts w:ascii="Times New Roman" w:hAnsi="Times New Roman"/>
          <w:sz w:val="24"/>
          <w:szCs w:val="24"/>
        </w:rPr>
        <w:t>4</w:t>
      </w:r>
      <w:r w:rsidR="00A779D8">
        <w:rPr>
          <w:rFonts w:ascii="Times New Roman" w:hAnsi="Times New Roman"/>
          <w:sz w:val="24"/>
          <w:szCs w:val="24"/>
        </w:rPr>
        <w:t>.14) are endogenous.  ps(c,r) is determined by input prices and technology.  pm(c,r) is determined in (</w:t>
      </w:r>
      <w:r w:rsidR="00D77877">
        <w:rPr>
          <w:rFonts w:ascii="Times New Roman" w:hAnsi="Times New Roman"/>
          <w:sz w:val="24"/>
          <w:szCs w:val="24"/>
        </w:rPr>
        <w:t>4</w:t>
      </w:r>
      <w:r w:rsidR="00A779D8">
        <w:rPr>
          <w:rFonts w:ascii="Times New Roman" w:hAnsi="Times New Roman"/>
          <w:sz w:val="24"/>
          <w:szCs w:val="24"/>
        </w:rPr>
        <w:t>.13) by the supply price and subsidy.  The subsidy is determined in (</w:t>
      </w:r>
      <w:r w:rsidR="00D77877">
        <w:rPr>
          <w:rFonts w:ascii="Times New Roman" w:hAnsi="Times New Roman"/>
          <w:sz w:val="24"/>
          <w:szCs w:val="24"/>
        </w:rPr>
        <w:t>4</w:t>
      </w:r>
      <w:r w:rsidR="00A779D8">
        <w:rPr>
          <w:rFonts w:ascii="Times New Roman" w:hAnsi="Times New Roman"/>
          <w:sz w:val="24"/>
          <w:szCs w:val="24"/>
        </w:rPr>
        <w:t>.14) by shift variables.  pworld(c,r) is determined in (</w:t>
      </w:r>
      <w:r w:rsidR="00D77877">
        <w:rPr>
          <w:rFonts w:ascii="Times New Roman" w:hAnsi="Times New Roman"/>
          <w:sz w:val="24"/>
          <w:szCs w:val="24"/>
        </w:rPr>
        <w:t>4</w:t>
      </w:r>
      <w:r w:rsidR="00A779D8">
        <w:rPr>
          <w:rFonts w:ascii="Times New Roman" w:hAnsi="Times New Roman"/>
          <w:sz w:val="24"/>
          <w:szCs w:val="24"/>
        </w:rPr>
        <w:t xml:space="preserve">.12) as an average across regions </w:t>
      </w:r>
      <w:r w:rsidR="004207FA">
        <w:rPr>
          <w:rFonts w:ascii="Times New Roman" w:hAnsi="Times New Roman"/>
          <w:sz w:val="24"/>
          <w:szCs w:val="24"/>
        </w:rPr>
        <w:t>of</w:t>
      </w:r>
      <w:r w:rsidR="00A779D8">
        <w:rPr>
          <w:rFonts w:ascii="Times New Roman" w:hAnsi="Times New Roman"/>
          <w:sz w:val="24"/>
          <w:szCs w:val="24"/>
        </w:rPr>
        <w:t xml:space="preserve"> market prices</w:t>
      </w:r>
      <w:r w:rsidR="001E7569">
        <w:rPr>
          <w:rFonts w:ascii="Times New Roman" w:hAnsi="Times New Roman"/>
          <w:sz w:val="24"/>
          <w:szCs w:val="24"/>
        </w:rPr>
        <w:t>.  ff_pm(c,r) is determined in (</w:t>
      </w:r>
      <w:r w:rsidR="00D77877">
        <w:rPr>
          <w:rFonts w:ascii="Times New Roman" w:hAnsi="Times New Roman"/>
          <w:sz w:val="24"/>
          <w:szCs w:val="24"/>
        </w:rPr>
        <w:t>4</w:t>
      </w:r>
      <w:r w:rsidR="001E7569">
        <w:rPr>
          <w:rFonts w:ascii="Times New Roman" w:hAnsi="Times New Roman"/>
          <w:sz w:val="24"/>
          <w:szCs w:val="24"/>
        </w:rPr>
        <w:t xml:space="preserve">.11) as the movement in the ratio of the market price of c in r to the average price of c across regions.  </w:t>
      </w:r>
      <w:r w:rsidR="00A779D8">
        <w:rPr>
          <w:rFonts w:ascii="Times New Roman" w:hAnsi="Times New Roman"/>
          <w:sz w:val="24"/>
          <w:szCs w:val="24"/>
        </w:rPr>
        <w:t xml:space="preserve">    </w:t>
      </w:r>
    </w:p>
    <w:p w:rsidR="002D4161" w:rsidRDefault="002D4161" w:rsidP="00DE7AB2">
      <w:pPr>
        <w:ind w:left="0"/>
        <w:rPr>
          <w:rFonts w:ascii="Times New Roman" w:hAnsi="Times New Roman"/>
          <w:sz w:val="24"/>
          <w:szCs w:val="24"/>
        </w:rPr>
      </w:pPr>
      <w:r w:rsidRPr="002D4161">
        <w:rPr>
          <w:rFonts w:ascii="Times New Roman" w:hAnsi="Times New Roman"/>
          <w:sz w:val="24"/>
          <w:szCs w:val="24"/>
        </w:rPr>
        <w:t>In the 2014-1</w:t>
      </w:r>
      <w:r w:rsidR="00FD047F">
        <w:rPr>
          <w:rFonts w:ascii="Times New Roman" w:hAnsi="Times New Roman"/>
          <w:sz w:val="24"/>
          <w:szCs w:val="24"/>
        </w:rPr>
        <w:t>9 historical simulation, we:</w:t>
      </w:r>
    </w:p>
    <w:p w:rsidR="00FD047F" w:rsidRDefault="00FD047F" w:rsidP="00576FD7">
      <w:pPr>
        <w:ind w:left="567"/>
        <w:rPr>
          <w:rFonts w:ascii="Times New Roman" w:hAnsi="Times New Roman"/>
          <w:sz w:val="24"/>
          <w:szCs w:val="24"/>
        </w:rPr>
      </w:pPr>
      <w:r>
        <w:rPr>
          <w:rFonts w:ascii="Times New Roman" w:hAnsi="Times New Roman"/>
          <w:sz w:val="24"/>
          <w:szCs w:val="24"/>
        </w:rPr>
        <w:t xml:space="preserve">exogenised pworld(c) for c = coal, oil and gas and applied shocks </w:t>
      </w:r>
      <w:r w:rsidR="004207FA">
        <w:rPr>
          <w:rFonts w:ascii="Times New Roman" w:hAnsi="Times New Roman"/>
          <w:sz w:val="24"/>
          <w:szCs w:val="24"/>
        </w:rPr>
        <w:t>representing</w:t>
      </w:r>
      <w:r>
        <w:rPr>
          <w:rFonts w:ascii="Times New Roman" w:hAnsi="Times New Roman"/>
          <w:sz w:val="24"/>
          <w:szCs w:val="24"/>
        </w:rPr>
        <w:t xml:space="preserve"> observed movements in world prices.  With pworld(c) exogenous, we needed to turn off its determination in (</w:t>
      </w:r>
      <w:r w:rsidR="00D77877">
        <w:rPr>
          <w:rFonts w:ascii="Times New Roman" w:hAnsi="Times New Roman"/>
          <w:sz w:val="24"/>
          <w:szCs w:val="24"/>
        </w:rPr>
        <w:t>4</w:t>
      </w:r>
      <w:r>
        <w:rPr>
          <w:rFonts w:ascii="Times New Roman" w:hAnsi="Times New Roman"/>
          <w:sz w:val="24"/>
          <w:szCs w:val="24"/>
        </w:rPr>
        <w:t xml:space="preserve">.12) by endogenizing ff_pworld(c).  </w:t>
      </w:r>
    </w:p>
    <w:p w:rsidR="00576FD7" w:rsidRDefault="00FD047F" w:rsidP="00576FD7">
      <w:pPr>
        <w:ind w:left="567"/>
        <w:rPr>
          <w:rFonts w:ascii="Times New Roman" w:hAnsi="Times New Roman"/>
          <w:sz w:val="24"/>
          <w:szCs w:val="24"/>
        </w:rPr>
      </w:pPr>
      <w:r>
        <w:rPr>
          <w:rFonts w:ascii="Times New Roman" w:hAnsi="Times New Roman"/>
          <w:sz w:val="24"/>
          <w:szCs w:val="24"/>
        </w:rPr>
        <w:t xml:space="preserve">exogenized ff_pm(c,r) for c = coal, oil and gas and gave zero shocks.  This equated </w:t>
      </w:r>
      <w:r w:rsidR="00576FD7">
        <w:rPr>
          <w:rFonts w:ascii="Times New Roman" w:hAnsi="Times New Roman"/>
          <w:sz w:val="24"/>
          <w:szCs w:val="24"/>
        </w:rPr>
        <w:t xml:space="preserve">movements in the </w:t>
      </w:r>
      <w:r>
        <w:rPr>
          <w:rFonts w:ascii="Times New Roman" w:hAnsi="Times New Roman"/>
          <w:sz w:val="24"/>
          <w:szCs w:val="24"/>
        </w:rPr>
        <w:t xml:space="preserve">market prices of coal, oil and gas across regions </w:t>
      </w:r>
      <w:r w:rsidR="00576FD7">
        <w:rPr>
          <w:rFonts w:ascii="Times New Roman" w:hAnsi="Times New Roman"/>
          <w:sz w:val="24"/>
          <w:szCs w:val="24"/>
        </w:rPr>
        <w:t xml:space="preserve">to movements in </w:t>
      </w:r>
      <w:r>
        <w:rPr>
          <w:rFonts w:ascii="Times New Roman" w:hAnsi="Times New Roman"/>
          <w:sz w:val="24"/>
          <w:szCs w:val="24"/>
        </w:rPr>
        <w:t>world price</w:t>
      </w:r>
      <w:r w:rsidR="00576FD7">
        <w:rPr>
          <w:rFonts w:ascii="Times New Roman" w:hAnsi="Times New Roman"/>
          <w:sz w:val="24"/>
          <w:szCs w:val="24"/>
        </w:rPr>
        <w:t xml:space="preserve">s.  To reconcile market prices determined this way with supply prices and subsidies, we allowed subsidies to adjust via endogenous movements in f_to(c,r) for c = coal, oil and gas.  </w:t>
      </w:r>
      <w:r w:rsidR="00510900">
        <w:rPr>
          <w:rFonts w:ascii="Times New Roman" w:hAnsi="Times New Roman"/>
          <w:sz w:val="24"/>
          <w:szCs w:val="24"/>
        </w:rPr>
        <w:t xml:space="preserve">These are phantom subsidies and can be interpreted as changes in the profitability of production.  </w:t>
      </w:r>
    </w:p>
    <w:p w:rsidR="00FD047F" w:rsidRPr="00961920" w:rsidRDefault="000D6B40" w:rsidP="00FD047F">
      <w:pPr>
        <w:ind w:left="993" w:hanging="993"/>
        <w:rPr>
          <w:rFonts w:ascii="Times New Roman" w:hAnsi="Times New Roman"/>
          <w:sz w:val="24"/>
          <w:szCs w:val="24"/>
        </w:rPr>
      </w:pPr>
      <w:r w:rsidRPr="00961920">
        <w:rPr>
          <w:rFonts w:ascii="Times New Roman" w:hAnsi="Times New Roman"/>
          <w:i/>
          <w:iCs/>
          <w:sz w:val="24"/>
          <w:szCs w:val="24"/>
        </w:rPr>
        <w:t>Part 4</w:t>
      </w:r>
      <w:r w:rsidR="00961920" w:rsidRPr="00961920">
        <w:rPr>
          <w:rFonts w:ascii="Times New Roman" w:hAnsi="Times New Roman"/>
          <w:i/>
          <w:iCs/>
          <w:sz w:val="24"/>
          <w:szCs w:val="24"/>
        </w:rPr>
        <w:t xml:space="preserve"> of Table 4.1</w:t>
      </w:r>
      <w:r w:rsidRPr="00961920">
        <w:rPr>
          <w:rFonts w:ascii="Times New Roman" w:hAnsi="Times New Roman"/>
          <w:i/>
          <w:iCs/>
          <w:sz w:val="24"/>
          <w:szCs w:val="24"/>
        </w:rPr>
        <w:t xml:space="preserve">:  Prices of GDP and selected expenditure components  </w:t>
      </w:r>
    </w:p>
    <w:p w:rsidR="00B67FA9" w:rsidRDefault="00B67FA9" w:rsidP="000D6B40">
      <w:pPr>
        <w:ind w:left="0"/>
        <w:rPr>
          <w:rFonts w:ascii="Times New Roman" w:hAnsi="Times New Roman"/>
          <w:sz w:val="24"/>
          <w:szCs w:val="24"/>
        </w:rPr>
      </w:pPr>
      <w:r>
        <w:rPr>
          <w:rFonts w:ascii="Times New Roman" w:hAnsi="Times New Roman"/>
          <w:i/>
          <w:sz w:val="24"/>
          <w:szCs w:val="24"/>
        </w:rPr>
        <w:t xml:space="preserve">Panel 14: regional price indexes for GDP.  </w:t>
      </w:r>
      <w:r>
        <w:rPr>
          <w:rFonts w:ascii="Times New Roman" w:hAnsi="Times New Roman"/>
          <w:sz w:val="24"/>
          <w:szCs w:val="24"/>
        </w:rPr>
        <w:t xml:space="preserve">OECD data show movements in the price deflator for GDP in all regions.  We bring these movements into the 2014-19 simulation by exogenizing the variable f_pgdp_obs(r) for all r.  This variable connects the simulated movements in GDP deflators with observed movements.  </w:t>
      </w:r>
    </w:p>
    <w:p w:rsidR="00B67FA9" w:rsidRDefault="007866A9" w:rsidP="000D6B40">
      <w:pPr>
        <w:ind w:left="0"/>
        <w:rPr>
          <w:rFonts w:ascii="Times New Roman" w:hAnsi="Times New Roman"/>
          <w:sz w:val="24"/>
          <w:szCs w:val="24"/>
        </w:rPr>
      </w:pPr>
      <w:r>
        <w:rPr>
          <w:rFonts w:ascii="Times New Roman" w:hAnsi="Times New Roman"/>
          <w:sz w:val="24"/>
          <w:szCs w:val="24"/>
        </w:rPr>
        <w:lastRenderedPageBreak/>
        <w:t>In the GTAP model, t</w:t>
      </w:r>
      <w:r w:rsidR="00B67FA9">
        <w:rPr>
          <w:rFonts w:ascii="Times New Roman" w:hAnsi="Times New Roman"/>
          <w:sz w:val="24"/>
          <w:szCs w:val="24"/>
        </w:rPr>
        <w:t xml:space="preserve">he movement in the GDP price deflator for region r reflects its </w:t>
      </w:r>
      <w:r>
        <w:rPr>
          <w:rFonts w:ascii="Times New Roman" w:hAnsi="Times New Roman"/>
          <w:sz w:val="24"/>
          <w:szCs w:val="24"/>
        </w:rPr>
        <w:t xml:space="preserve">real exchange rate or </w:t>
      </w:r>
      <w:r w:rsidR="00B67FA9">
        <w:rPr>
          <w:rFonts w:ascii="Times New Roman" w:hAnsi="Times New Roman"/>
          <w:sz w:val="24"/>
          <w:szCs w:val="24"/>
        </w:rPr>
        <w:t>international competitiveness</w:t>
      </w:r>
      <w:r>
        <w:rPr>
          <w:rFonts w:ascii="Times New Roman" w:hAnsi="Times New Roman"/>
          <w:sz w:val="24"/>
          <w:szCs w:val="24"/>
        </w:rPr>
        <w:t>.</w:t>
      </w:r>
      <w:r w:rsidR="00B67FA9">
        <w:rPr>
          <w:rFonts w:ascii="Times New Roman" w:hAnsi="Times New Roman"/>
          <w:sz w:val="24"/>
          <w:szCs w:val="24"/>
        </w:rPr>
        <w:t xml:space="preserve">  </w:t>
      </w:r>
      <w:r>
        <w:rPr>
          <w:rFonts w:ascii="Times New Roman" w:hAnsi="Times New Roman"/>
          <w:sz w:val="24"/>
          <w:szCs w:val="24"/>
        </w:rPr>
        <w:t xml:space="preserve">An increase in r’s GDP price deflator relative to that of its trade partners is a real appreciation, corresponding to a loss of international competitiveness.  </w:t>
      </w:r>
      <w:r w:rsidR="00CA2F39">
        <w:rPr>
          <w:rFonts w:ascii="Times New Roman" w:hAnsi="Times New Roman"/>
          <w:sz w:val="24"/>
          <w:szCs w:val="24"/>
        </w:rPr>
        <w:t>In panel 11</w:t>
      </w:r>
      <w:r w:rsidR="00294BC3">
        <w:rPr>
          <w:rFonts w:ascii="Times New Roman" w:hAnsi="Times New Roman"/>
          <w:sz w:val="24"/>
          <w:szCs w:val="24"/>
        </w:rPr>
        <w:t>,</w:t>
      </w:r>
      <w:r w:rsidR="00CA2F39">
        <w:rPr>
          <w:rFonts w:ascii="Times New Roman" w:hAnsi="Times New Roman"/>
          <w:sz w:val="24"/>
          <w:szCs w:val="24"/>
        </w:rPr>
        <w:t xml:space="preserve"> we introduced data on movements in the volume of region r’s export</w:t>
      </w:r>
      <w:r w:rsidR="00294BC3">
        <w:rPr>
          <w:rFonts w:ascii="Times New Roman" w:hAnsi="Times New Roman"/>
          <w:sz w:val="24"/>
          <w:szCs w:val="24"/>
        </w:rPr>
        <w:t>s</w:t>
      </w:r>
      <w:r w:rsidR="00CA2F39">
        <w:rPr>
          <w:rFonts w:ascii="Times New Roman" w:hAnsi="Times New Roman"/>
          <w:sz w:val="24"/>
          <w:szCs w:val="24"/>
        </w:rPr>
        <w:t xml:space="preserve">.  </w:t>
      </w:r>
      <w:r w:rsidR="00517D91">
        <w:rPr>
          <w:rFonts w:ascii="Times New Roman" w:hAnsi="Times New Roman"/>
          <w:sz w:val="24"/>
          <w:szCs w:val="24"/>
        </w:rPr>
        <w:t>To</w:t>
      </w:r>
      <w:r w:rsidR="00CA2F39">
        <w:rPr>
          <w:rFonts w:ascii="Times New Roman" w:hAnsi="Times New Roman"/>
          <w:sz w:val="24"/>
          <w:szCs w:val="24"/>
        </w:rPr>
        <w:t xml:space="preserve"> allow </w:t>
      </w:r>
      <w:r w:rsidR="004207FA">
        <w:rPr>
          <w:rFonts w:ascii="Times New Roman" w:hAnsi="Times New Roman"/>
          <w:sz w:val="24"/>
          <w:szCs w:val="24"/>
        </w:rPr>
        <w:t>the</w:t>
      </w:r>
      <w:r w:rsidR="00CA2F39">
        <w:rPr>
          <w:rFonts w:ascii="Times New Roman" w:hAnsi="Times New Roman"/>
          <w:sz w:val="24"/>
          <w:szCs w:val="24"/>
        </w:rPr>
        <w:t xml:space="preserve"> model to explain how region r can export the observed volume at the observed real exchange rate, we endogenize</w:t>
      </w:r>
      <w:r w:rsidR="00517D91">
        <w:rPr>
          <w:rFonts w:ascii="Times New Roman" w:hAnsi="Times New Roman"/>
          <w:sz w:val="24"/>
          <w:szCs w:val="24"/>
        </w:rPr>
        <w:t>d</w:t>
      </w:r>
      <w:r w:rsidR="00CA2F39">
        <w:rPr>
          <w:rFonts w:ascii="Times New Roman" w:hAnsi="Times New Roman"/>
          <w:sz w:val="24"/>
          <w:szCs w:val="24"/>
        </w:rPr>
        <w:t xml:space="preserve"> a preference variable, f3_twistmd(r)</w:t>
      </w:r>
      <w:r w:rsidR="00517D91">
        <w:rPr>
          <w:rFonts w:ascii="Times New Roman" w:hAnsi="Times New Roman"/>
          <w:sz w:val="24"/>
          <w:szCs w:val="24"/>
        </w:rPr>
        <w:t>,</w:t>
      </w:r>
      <w:r w:rsidR="00517D91" w:rsidRPr="00517D91">
        <w:rPr>
          <w:rFonts w:ascii="Times New Roman" w:hAnsi="Times New Roman"/>
          <w:sz w:val="24"/>
          <w:szCs w:val="24"/>
        </w:rPr>
        <w:t xml:space="preserve"> </w:t>
      </w:r>
      <w:r w:rsidR="00517D91">
        <w:rPr>
          <w:rFonts w:ascii="Times New Roman" w:hAnsi="Times New Roman"/>
          <w:sz w:val="24"/>
          <w:szCs w:val="24"/>
        </w:rPr>
        <w:t>by importing agents for commodities from r</w:t>
      </w:r>
      <w:r w:rsidR="00CA2F39">
        <w:rPr>
          <w:rFonts w:ascii="Times New Roman" w:hAnsi="Times New Roman"/>
          <w:sz w:val="24"/>
          <w:szCs w:val="24"/>
        </w:rPr>
        <w:t xml:space="preserve">.  </w:t>
      </w:r>
    </w:p>
    <w:p w:rsidR="00517D91" w:rsidRDefault="00B67FA9" w:rsidP="00B67FA9">
      <w:pPr>
        <w:ind w:left="0"/>
        <w:rPr>
          <w:rFonts w:ascii="Times New Roman" w:hAnsi="Times New Roman"/>
          <w:sz w:val="24"/>
          <w:szCs w:val="24"/>
        </w:rPr>
      </w:pPr>
      <w:r>
        <w:rPr>
          <w:rFonts w:ascii="Times New Roman" w:hAnsi="Times New Roman"/>
          <w:sz w:val="24"/>
          <w:szCs w:val="24"/>
        </w:rPr>
        <w:t xml:space="preserve">Observed rapid growth in exports from region r [a large value for </w:t>
      </w:r>
      <w:r w:rsidR="00517D91">
        <w:rPr>
          <w:rFonts w:ascii="Times New Roman" w:hAnsi="Times New Roman"/>
          <w:sz w:val="24"/>
          <w:szCs w:val="24"/>
        </w:rPr>
        <w:t>expvol_obs</w:t>
      </w:r>
      <w:r>
        <w:rPr>
          <w:rFonts w:ascii="Times New Roman" w:hAnsi="Times New Roman"/>
          <w:sz w:val="24"/>
          <w:szCs w:val="24"/>
        </w:rPr>
        <w:t xml:space="preserve">(r)] </w:t>
      </w:r>
      <w:r w:rsidR="00517D91">
        <w:rPr>
          <w:rFonts w:ascii="Times New Roman" w:hAnsi="Times New Roman"/>
          <w:sz w:val="24"/>
          <w:szCs w:val="24"/>
        </w:rPr>
        <w:t xml:space="preserve">relative to what would be expected on the basis of the real exchange rate movement </w:t>
      </w:r>
      <w:r>
        <w:rPr>
          <w:rFonts w:ascii="Times New Roman" w:hAnsi="Times New Roman"/>
          <w:sz w:val="24"/>
          <w:szCs w:val="24"/>
        </w:rPr>
        <w:t xml:space="preserve">is accommodated by a positive value for </w:t>
      </w:r>
      <w:r w:rsidR="00517D91">
        <w:rPr>
          <w:rFonts w:ascii="Times New Roman" w:hAnsi="Times New Roman"/>
          <w:sz w:val="24"/>
          <w:szCs w:val="24"/>
        </w:rPr>
        <w:t>f3_twistmd(r)</w:t>
      </w:r>
      <w:r>
        <w:rPr>
          <w:rFonts w:ascii="Times New Roman" w:hAnsi="Times New Roman"/>
          <w:sz w:val="24"/>
          <w:szCs w:val="24"/>
        </w:rPr>
        <w:t xml:space="preserve">.  This causes importers in every region to buy more </w:t>
      </w:r>
      <w:r w:rsidR="00D46DA5">
        <w:rPr>
          <w:rFonts w:ascii="Times New Roman" w:hAnsi="Times New Roman"/>
          <w:sz w:val="24"/>
          <w:szCs w:val="24"/>
        </w:rPr>
        <w:t>f</w:t>
      </w:r>
      <w:r>
        <w:rPr>
          <w:rFonts w:ascii="Times New Roman" w:hAnsi="Times New Roman"/>
          <w:sz w:val="24"/>
          <w:szCs w:val="24"/>
        </w:rPr>
        <w:t xml:space="preserve">rom r and less from other regions than can be explained by changes in relative prices.  </w:t>
      </w:r>
    </w:p>
    <w:p w:rsidR="004851C1" w:rsidRDefault="00B67FA9" w:rsidP="000D6B40">
      <w:pPr>
        <w:ind w:left="0"/>
        <w:rPr>
          <w:rFonts w:ascii="Times New Roman" w:hAnsi="Times New Roman"/>
          <w:sz w:val="24"/>
          <w:szCs w:val="24"/>
        </w:rPr>
      </w:pPr>
      <w:r>
        <w:rPr>
          <w:rFonts w:ascii="Times New Roman" w:hAnsi="Times New Roman"/>
          <w:sz w:val="24"/>
          <w:szCs w:val="24"/>
        </w:rPr>
        <w:t>We set the average</w:t>
      </w:r>
      <w:r w:rsidR="00294BC3">
        <w:rPr>
          <w:rFonts w:ascii="Times New Roman" w:hAnsi="Times New Roman"/>
          <w:sz w:val="24"/>
          <w:szCs w:val="24"/>
        </w:rPr>
        <w:t xml:space="preserve"> [</w:t>
      </w:r>
      <w:r>
        <w:rPr>
          <w:rFonts w:ascii="Times New Roman" w:hAnsi="Times New Roman"/>
          <w:sz w:val="24"/>
          <w:szCs w:val="24"/>
        </w:rPr>
        <w:t>f</w:t>
      </w:r>
      <w:r w:rsidR="00517D91">
        <w:rPr>
          <w:rFonts w:ascii="Times New Roman" w:hAnsi="Times New Roman"/>
          <w:sz w:val="24"/>
          <w:szCs w:val="24"/>
        </w:rPr>
        <w:t>3</w:t>
      </w:r>
      <w:r>
        <w:rPr>
          <w:rFonts w:ascii="Times New Roman" w:hAnsi="Times New Roman"/>
          <w:sz w:val="24"/>
          <w:szCs w:val="24"/>
        </w:rPr>
        <w:t>twmd_ave</w:t>
      </w:r>
      <w:r w:rsidR="00294BC3">
        <w:rPr>
          <w:rFonts w:ascii="Times New Roman" w:hAnsi="Times New Roman"/>
          <w:sz w:val="24"/>
          <w:szCs w:val="24"/>
        </w:rPr>
        <w:t>]</w:t>
      </w:r>
      <w:r>
        <w:rPr>
          <w:rFonts w:ascii="Times New Roman" w:hAnsi="Times New Roman"/>
          <w:sz w:val="24"/>
          <w:szCs w:val="24"/>
        </w:rPr>
        <w:t xml:space="preserve"> over the exporting countries of the preference twists [the average of f</w:t>
      </w:r>
      <w:r w:rsidR="00517D91">
        <w:rPr>
          <w:rFonts w:ascii="Times New Roman" w:hAnsi="Times New Roman"/>
          <w:sz w:val="24"/>
          <w:szCs w:val="24"/>
        </w:rPr>
        <w:t>3</w:t>
      </w:r>
      <w:r>
        <w:rPr>
          <w:rFonts w:ascii="Times New Roman" w:hAnsi="Times New Roman"/>
          <w:sz w:val="24"/>
          <w:szCs w:val="24"/>
        </w:rPr>
        <w:t>_twistmd</w:t>
      </w:r>
      <w:r w:rsidR="00517D91">
        <w:rPr>
          <w:rFonts w:ascii="Times New Roman" w:hAnsi="Times New Roman"/>
          <w:sz w:val="24"/>
          <w:szCs w:val="24"/>
        </w:rPr>
        <w:t>(</w:t>
      </w:r>
      <w:r>
        <w:rPr>
          <w:rFonts w:ascii="Times New Roman" w:hAnsi="Times New Roman"/>
          <w:sz w:val="24"/>
          <w:szCs w:val="24"/>
        </w:rPr>
        <w:t>r) over r with export weights] exogenously at zero.  This is because preferences are relative: the twists reco</w:t>
      </w:r>
      <w:r w:rsidR="000A10D0">
        <w:rPr>
          <w:rFonts w:ascii="Times New Roman" w:hAnsi="Times New Roman"/>
          <w:sz w:val="24"/>
          <w:szCs w:val="24"/>
        </w:rPr>
        <w:t>gnize that if preferences world</w:t>
      </w:r>
      <w:r>
        <w:rPr>
          <w:rFonts w:ascii="Times New Roman" w:hAnsi="Times New Roman"/>
          <w:sz w:val="24"/>
          <w:szCs w:val="24"/>
        </w:rPr>
        <w:t xml:space="preserve">wide by importers are moving in favour of some exporting regions, then they must be moving against other exporting regions.  </w:t>
      </w:r>
    </w:p>
    <w:p w:rsidR="00B67FA9" w:rsidRDefault="004851C1" w:rsidP="000D6B40">
      <w:pPr>
        <w:ind w:left="0"/>
        <w:rPr>
          <w:rFonts w:ascii="Times New Roman" w:hAnsi="Times New Roman"/>
          <w:sz w:val="24"/>
          <w:szCs w:val="24"/>
        </w:rPr>
      </w:pPr>
      <w:r>
        <w:rPr>
          <w:rFonts w:ascii="Times New Roman" w:hAnsi="Times New Roman"/>
          <w:sz w:val="24"/>
          <w:szCs w:val="24"/>
        </w:rPr>
        <w:t>With the prices of GDP by region now given and the quantities of GDP also given (via panels 1</w:t>
      </w:r>
      <w:r w:rsidR="004207FA">
        <w:rPr>
          <w:rFonts w:ascii="Times New Roman" w:hAnsi="Times New Roman"/>
          <w:sz w:val="24"/>
          <w:szCs w:val="24"/>
        </w:rPr>
        <w:t>, 9</w:t>
      </w:r>
      <w:r>
        <w:rPr>
          <w:rFonts w:ascii="Times New Roman" w:hAnsi="Times New Roman"/>
          <w:sz w:val="24"/>
          <w:szCs w:val="24"/>
        </w:rPr>
        <w:t xml:space="preserve"> and </w:t>
      </w:r>
      <w:r w:rsidR="004207FA">
        <w:rPr>
          <w:rFonts w:ascii="Times New Roman" w:hAnsi="Times New Roman"/>
          <w:sz w:val="24"/>
          <w:szCs w:val="24"/>
        </w:rPr>
        <w:t>11</w:t>
      </w:r>
      <w:r>
        <w:rPr>
          <w:rFonts w:ascii="Times New Roman" w:hAnsi="Times New Roman"/>
          <w:sz w:val="24"/>
          <w:szCs w:val="24"/>
        </w:rPr>
        <w:t>), we have tied down nominal GDP in each region.  Thus, nominal global GDP is tied down.  Recall from point (</w:t>
      </w:r>
      <w:r w:rsidR="001C0D81">
        <w:rPr>
          <w:rFonts w:ascii="Times New Roman" w:hAnsi="Times New Roman"/>
          <w:sz w:val="24"/>
          <w:szCs w:val="24"/>
        </w:rPr>
        <w:t>i</w:t>
      </w:r>
      <w:r>
        <w:rPr>
          <w:rFonts w:ascii="Times New Roman" w:hAnsi="Times New Roman"/>
          <w:sz w:val="24"/>
          <w:szCs w:val="24"/>
        </w:rPr>
        <w:t xml:space="preserve">) in section </w:t>
      </w:r>
      <w:r w:rsidR="00AD116B">
        <w:rPr>
          <w:rFonts w:ascii="Times New Roman" w:hAnsi="Times New Roman"/>
          <w:sz w:val="24"/>
          <w:szCs w:val="24"/>
        </w:rPr>
        <w:t>3</w:t>
      </w:r>
      <w:r>
        <w:rPr>
          <w:rFonts w:ascii="Times New Roman" w:hAnsi="Times New Roman"/>
          <w:sz w:val="24"/>
          <w:szCs w:val="24"/>
        </w:rPr>
        <w:t xml:space="preserve"> that in the standard long-run closure</w:t>
      </w:r>
      <w:r w:rsidR="00D46DA5">
        <w:rPr>
          <w:rFonts w:ascii="Times New Roman" w:hAnsi="Times New Roman"/>
          <w:sz w:val="24"/>
          <w:szCs w:val="24"/>
        </w:rPr>
        <w:t>,</w:t>
      </w:r>
      <w:r>
        <w:rPr>
          <w:rFonts w:ascii="Times New Roman" w:hAnsi="Times New Roman"/>
          <w:sz w:val="24"/>
          <w:szCs w:val="24"/>
        </w:rPr>
        <w:t xml:space="preserve"> nominal</w:t>
      </w:r>
      <w:r w:rsidR="007866A9">
        <w:rPr>
          <w:rFonts w:ascii="Times New Roman" w:hAnsi="Times New Roman"/>
          <w:sz w:val="24"/>
          <w:szCs w:val="24"/>
        </w:rPr>
        <w:t xml:space="preserve"> global GDP is exogenous, providing the numeraire.  Now, nominal global GDP must be endogenous.  This is achieved in our version of </w:t>
      </w:r>
      <w:r w:rsidR="00D46DA5">
        <w:rPr>
          <w:rFonts w:ascii="Times New Roman" w:hAnsi="Times New Roman"/>
          <w:sz w:val="24"/>
          <w:szCs w:val="24"/>
        </w:rPr>
        <w:t xml:space="preserve">the </w:t>
      </w:r>
      <w:r w:rsidR="007866A9">
        <w:rPr>
          <w:rFonts w:ascii="Times New Roman" w:hAnsi="Times New Roman"/>
          <w:sz w:val="24"/>
          <w:szCs w:val="24"/>
        </w:rPr>
        <w:t>GTAP code by endogenizing the variable f_wgdpg.  This endogenization c</w:t>
      </w:r>
      <w:r w:rsidR="00517D91">
        <w:rPr>
          <w:rFonts w:ascii="Times New Roman" w:hAnsi="Times New Roman"/>
          <w:sz w:val="24"/>
          <w:szCs w:val="24"/>
        </w:rPr>
        <w:t>orrespond</w:t>
      </w:r>
      <w:r w:rsidR="00D46DA5">
        <w:rPr>
          <w:rFonts w:ascii="Times New Roman" w:hAnsi="Times New Roman"/>
          <w:sz w:val="24"/>
          <w:szCs w:val="24"/>
        </w:rPr>
        <w:t>s</w:t>
      </w:r>
      <w:r w:rsidR="00517D91">
        <w:rPr>
          <w:rFonts w:ascii="Times New Roman" w:hAnsi="Times New Roman"/>
          <w:sz w:val="24"/>
          <w:szCs w:val="24"/>
        </w:rPr>
        <w:t xml:space="preserve"> to the exogen</w:t>
      </w:r>
      <w:r w:rsidR="007866A9">
        <w:rPr>
          <w:rFonts w:ascii="Times New Roman" w:hAnsi="Times New Roman"/>
          <w:sz w:val="24"/>
          <w:szCs w:val="24"/>
        </w:rPr>
        <w:t xml:space="preserve">ization of </w:t>
      </w:r>
      <w:r w:rsidR="00517D91">
        <w:rPr>
          <w:rFonts w:ascii="Times New Roman" w:hAnsi="Times New Roman"/>
          <w:sz w:val="24"/>
          <w:szCs w:val="24"/>
        </w:rPr>
        <w:t>f3twmd_ave</w:t>
      </w:r>
      <w:r>
        <w:rPr>
          <w:rFonts w:ascii="Times New Roman" w:hAnsi="Times New Roman"/>
          <w:sz w:val="24"/>
          <w:szCs w:val="24"/>
        </w:rPr>
        <w:t xml:space="preserve">.  </w:t>
      </w:r>
    </w:p>
    <w:p w:rsidR="00510900" w:rsidRDefault="000D6B40" w:rsidP="000D6B40">
      <w:pPr>
        <w:ind w:left="0"/>
        <w:rPr>
          <w:rFonts w:ascii="Times New Roman" w:hAnsi="Times New Roman"/>
          <w:sz w:val="24"/>
          <w:szCs w:val="24"/>
        </w:rPr>
      </w:pPr>
      <w:r>
        <w:rPr>
          <w:rFonts w:ascii="Times New Roman" w:hAnsi="Times New Roman"/>
          <w:i/>
          <w:sz w:val="24"/>
          <w:szCs w:val="24"/>
        </w:rPr>
        <w:t>Panel 1</w:t>
      </w:r>
      <w:r w:rsidR="00B67FA9">
        <w:rPr>
          <w:rFonts w:ascii="Times New Roman" w:hAnsi="Times New Roman"/>
          <w:i/>
          <w:sz w:val="24"/>
          <w:szCs w:val="24"/>
        </w:rPr>
        <w:t>5</w:t>
      </w:r>
      <w:r>
        <w:rPr>
          <w:rFonts w:ascii="Times New Roman" w:hAnsi="Times New Roman"/>
          <w:i/>
          <w:sz w:val="24"/>
          <w:szCs w:val="24"/>
        </w:rPr>
        <w:t xml:space="preserve">: regional price indexes for investment.  </w:t>
      </w:r>
      <w:r>
        <w:rPr>
          <w:rFonts w:ascii="Times New Roman" w:hAnsi="Times New Roman"/>
          <w:sz w:val="24"/>
          <w:szCs w:val="24"/>
        </w:rPr>
        <w:t xml:space="preserve">In the GTAP model, investment in each region is the output of the capital-goods industry (the cgds industry).  Like all other industries, the cgds industry operates under zero pure profits.  That is, its market price reflects costs per unit of output and subsidies.  </w:t>
      </w:r>
    </w:p>
    <w:p w:rsidR="00510900" w:rsidRDefault="000D6B40" w:rsidP="000D6B40">
      <w:pPr>
        <w:ind w:left="0"/>
        <w:rPr>
          <w:rFonts w:ascii="Times New Roman" w:hAnsi="Times New Roman"/>
          <w:sz w:val="24"/>
          <w:szCs w:val="24"/>
        </w:rPr>
      </w:pPr>
      <w:r>
        <w:rPr>
          <w:rFonts w:ascii="Times New Roman" w:hAnsi="Times New Roman"/>
          <w:sz w:val="24"/>
          <w:szCs w:val="24"/>
        </w:rPr>
        <w:t>From OECD</w:t>
      </w:r>
      <w:r w:rsidR="00510900">
        <w:rPr>
          <w:rFonts w:ascii="Times New Roman" w:hAnsi="Times New Roman"/>
          <w:sz w:val="24"/>
          <w:szCs w:val="24"/>
        </w:rPr>
        <w:t xml:space="preserve"> data</w:t>
      </w:r>
      <w:r>
        <w:rPr>
          <w:rFonts w:ascii="Times New Roman" w:hAnsi="Times New Roman"/>
          <w:sz w:val="24"/>
          <w:szCs w:val="24"/>
        </w:rPr>
        <w:t xml:space="preserve">, we observe percentage movements </w:t>
      </w:r>
      <w:r w:rsidR="00510900">
        <w:rPr>
          <w:rFonts w:ascii="Times New Roman" w:hAnsi="Times New Roman"/>
          <w:sz w:val="24"/>
          <w:szCs w:val="24"/>
        </w:rPr>
        <w:t xml:space="preserve">in investment price indexes </w:t>
      </w:r>
      <w:r>
        <w:rPr>
          <w:rFonts w:ascii="Times New Roman" w:hAnsi="Times New Roman"/>
          <w:sz w:val="24"/>
          <w:szCs w:val="24"/>
        </w:rPr>
        <w:t>between 2014 and 2019</w:t>
      </w:r>
      <w:r w:rsidR="00510900">
        <w:rPr>
          <w:rFonts w:ascii="Times New Roman" w:hAnsi="Times New Roman"/>
          <w:sz w:val="24"/>
          <w:szCs w:val="24"/>
        </w:rPr>
        <w:t xml:space="preserve"> in all regions except RoW.  </w:t>
      </w:r>
      <w:r>
        <w:rPr>
          <w:rFonts w:ascii="Times New Roman" w:hAnsi="Times New Roman"/>
          <w:sz w:val="24"/>
          <w:szCs w:val="24"/>
        </w:rPr>
        <w:t>We</w:t>
      </w:r>
      <w:r w:rsidR="00510900">
        <w:rPr>
          <w:rFonts w:ascii="Times New Roman" w:hAnsi="Times New Roman"/>
          <w:sz w:val="24"/>
          <w:szCs w:val="24"/>
        </w:rPr>
        <w:t xml:space="preserve"> interpret these movements as referring to the market price of the cgds industry in each region.  In </w:t>
      </w:r>
      <w:r>
        <w:rPr>
          <w:rFonts w:ascii="Times New Roman" w:hAnsi="Times New Roman"/>
          <w:sz w:val="24"/>
          <w:szCs w:val="24"/>
        </w:rPr>
        <w:t>the 2014-19 simulation</w:t>
      </w:r>
      <w:r w:rsidR="00EB5DFC">
        <w:rPr>
          <w:rFonts w:ascii="Times New Roman" w:hAnsi="Times New Roman"/>
          <w:sz w:val="24"/>
          <w:szCs w:val="24"/>
        </w:rPr>
        <w:t>,</w:t>
      </w:r>
      <w:r>
        <w:rPr>
          <w:rFonts w:ascii="Times New Roman" w:hAnsi="Times New Roman"/>
          <w:sz w:val="24"/>
          <w:szCs w:val="24"/>
        </w:rPr>
        <w:t xml:space="preserve"> </w:t>
      </w:r>
      <w:r w:rsidR="00510900">
        <w:rPr>
          <w:rFonts w:ascii="Times New Roman" w:hAnsi="Times New Roman"/>
          <w:sz w:val="24"/>
          <w:szCs w:val="24"/>
        </w:rPr>
        <w:t>we</w:t>
      </w:r>
      <w:r>
        <w:rPr>
          <w:rFonts w:ascii="Times New Roman" w:hAnsi="Times New Roman"/>
          <w:sz w:val="24"/>
          <w:szCs w:val="24"/>
        </w:rPr>
        <w:t xml:space="preserve"> </w:t>
      </w:r>
      <w:r w:rsidR="007A041D">
        <w:rPr>
          <w:rFonts w:ascii="Times New Roman" w:hAnsi="Times New Roman"/>
          <w:sz w:val="24"/>
          <w:szCs w:val="24"/>
        </w:rPr>
        <w:t>exogeniz</w:t>
      </w:r>
      <w:r w:rsidR="00510900">
        <w:rPr>
          <w:rFonts w:ascii="Times New Roman" w:hAnsi="Times New Roman"/>
          <w:sz w:val="24"/>
          <w:szCs w:val="24"/>
        </w:rPr>
        <w:t>e</w:t>
      </w:r>
      <w:r w:rsidR="00EB5DFC">
        <w:rPr>
          <w:rFonts w:ascii="Times New Roman" w:hAnsi="Times New Roman"/>
          <w:sz w:val="24"/>
          <w:szCs w:val="24"/>
        </w:rPr>
        <w:t>d</w:t>
      </w:r>
      <w:r w:rsidR="007A041D">
        <w:rPr>
          <w:rFonts w:ascii="Times New Roman" w:hAnsi="Times New Roman"/>
          <w:sz w:val="24"/>
          <w:szCs w:val="24"/>
        </w:rPr>
        <w:t xml:space="preserve"> f_p_i_obs(r)</w:t>
      </w:r>
      <w:r w:rsidR="00510900">
        <w:rPr>
          <w:rFonts w:ascii="Times New Roman" w:hAnsi="Times New Roman"/>
          <w:sz w:val="24"/>
          <w:szCs w:val="24"/>
        </w:rPr>
        <w:t xml:space="preserve"> for all regions except RoW</w:t>
      </w:r>
      <w:r w:rsidR="00EB5DFC">
        <w:rPr>
          <w:rFonts w:ascii="Times New Roman" w:hAnsi="Times New Roman"/>
          <w:sz w:val="24"/>
          <w:szCs w:val="24"/>
        </w:rPr>
        <w:t xml:space="preserve">.  This </w:t>
      </w:r>
      <w:r w:rsidR="004207FA">
        <w:rPr>
          <w:rFonts w:ascii="Times New Roman" w:hAnsi="Times New Roman"/>
          <w:sz w:val="24"/>
          <w:szCs w:val="24"/>
        </w:rPr>
        <w:t>allowed us to shock</w:t>
      </w:r>
      <w:r w:rsidR="00EB5DFC">
        <w:rPr>
          <w:rFonts w:ascii="Times New Roman" w:hAnsi="Times New Roman"/>
          <w:sz w:val="24"/>
          <w:szCs w:val="24"/>
        </w:rPr>
        <w:t xml:space="preserve"> the market prices of the cgds industries with the observed </w:t>
      </w:r>
      <w:r>
        <w:rPr>
          <w:rFonts w:ascii="Times New Roman" w:hAnsi="Times New Roman"/>
          <w:sz w:val="24"/>
          <w:szCs w:val="24"/>
        </w:rPr>
        <w:t xml:space="preserve">percentage movements in </w:t>
      </w:r>
      <w:r w:rsidR="00EB5DFC">
        <w:rPr>
          <w:rFonts w:ascii="Times New Roman" w:hAnsi="Times New Roman"/>
          <w:sz w:val="24"/>
          <w:szCs w:val="24"/>
        </w:rPr>
        <w:t xml:space="preserve">the </w:t>
      </w:r>
      <w:r>
        <w:rPr>
          <w:rFonts w:ascii="Times New Roman" w:hAnsi="Times New Roman"/>
          <w:sz w:val="24"/>
          <w:szCs w:val="24"/>
        </w:rPr>
        <w:t>investment price index</w:t>
      </w:r>
      <w:r w:rsidR="00510900">
        <w:rPr>
          <w:rFonts w:ascii="Times New Roman" w:hAnsi="Times New Roman"/>
          <w:sz w:val="24"/>
          <w:szCs w:val="24"/>
        </w:rPr>
        <w:t>es</w:t>
      </w:r>
      <w:r>
        <w:rPr>
          <w:rFonts w:ascii="Times New Roman" w:hAnsi="Times New Roman"/>
          <w:sz w:val="24"/>
          <w:szCs w:val="24"/>
        </w:rPr>
        <w:t xml:space="preserve">.  </w:t>
      </w:r>
      <w:r w:rsidR="00510900">
        <w:rPr>
          <w:rFonts w:ascii="Times New Roman" w:hAnsi="Times New Roman"/>
          <w:sz w:val="24"/>
          <w:szCs w:val="24"/>
        </w:rPr>
        <w:t xml:space="preserve">With </w:t>
      </w:r>
      <w:r w:rsidR="00EB5DFC">
        <w:rPr>
          <w:rFonts w:ascii="Times New Roman" w:hAnsi="Times New Roman"/>
          <w:sz w:val="24"/>
          <w:szCs w:val="24"/>
        </w:rPr>
        <w:t>cgds</w:t>
      </w:r>
      <w:r w:rsidR="00510900">
        <w:rPr>
          <w:rFonts w:ascii="Times New Roman" w:hAnsi="Times New Roman"/>
          <w:sz w:val="24"/>
          <w:szCs w:val="24"/>
        </w:rPr>
        <w:t xml:space="preserve"> prices tied down, we endogen</w:t>
      </w:r>
      <w:r w:rsidR="00EB5DFC">
        <w:rPr>
          <w:rFonts w:ascii="Times New Roman" w:hAnsi="Times New Roman"/>
          <w:sz w:val="24"/>
          <w:szCs w:val="24"/>
        </w:rPr>
        <w:t xml:space="preserve">ized productivity [a_cgds(r)] in the cgds industries.  </w:t>
      </w:r>
      <w:r w:rsidR="00510900">
        <w:rPr>
          <w:rFonts w:ascii="Times New Roman" w:hAnsi="Times New Roman"/>
          <w:sz w:val="24"/>
          <w:szCs w:val="24"/>
        </w:rPr>
        <w:t xml:space="preserve">  </w:t>
      </w:r>
    </w:p>
    <w:p w:rsidR="00510900" w:rsidRPr="00C00B97" w:rsidRDefault="00EB5DFC" w:rsidP="000D6B40">
      <w:pPr>
        <w:ind w:left="0"/>
        <w:rPr>
          <w:rFonts w:ascii="Times New Roman" w:hAnsi="Times New Roman"/>
          <w:sz w:val="24"/>
          <w:szCs w:val="24"/>
        </w:rPr>
      </w:pPr>
      <w:r>
        <w:rPr>
          <w:rFonts w:ascii="Times New Roman" w:hAnsi="Times New Roman"/>
          <w:i/>
          <w:sz w:val="24"/>
          <w:szCs w:val="24"/>
        </w:rPr>
        <w:t>Panel 1</w:t>
      </w:r>
      <w:r w:rsidR="00B67FA9">
        <w:rPr>
          <w:rFonts w:ascii="Times New Roman" w:hAnsi="Times New Roman"/>
          <w:i/>
          <w:sz w:val="24"/>
          <w:szCs w:val="24"/>
        </w:rPr>
        <w:t>6</w:t>
      </w:r>
      <w:r>
        <w:rPr>
          <w:rFonts w:ascii="Times New Roman" w:hAnsi="Times New Roman"/>
          <w:i/>
          <w:sz w:val="24"/>
          <w:szCs w:val="24"/>
        </w:rPr>
        <w:t>: regional export</w:t>
      </w:r>
      <w:r w:rsidR="00C00B97">
        <w:rPr>
          <w:rFonts w:ascii="Times New Roman" w:hAnsi="Times New Roman"/>
          <w:i/>
          <w:sz w:val="24"/>
          <w:szCs w:val="24"/>
        </w:rPr>
        <w:t>-</w:t>
      </w:r>
      <w:r>
        <w:rPr>
          <w:rFonts w:ascii="Times New Roman" w:hAnsi="Times New Roman"/>
          <w:i/>
          <w:sz w:val="24"/>
          <w:szCs w:val="24"/>
        </w:rPr>
        <w:t xml:space="preserve">price indexes.  </w:t>
      </w:r>
      <w:r w:rsidR="00C00B97">
        <w:rPr>
          <w:rFonts w:ascii="Times New Roman" w:hAnsi="Times New Roman"/>
          <w:sz w:val="24"/>
          <w:szCs w:val="24"/>
        </w:rPr>
        <w:t>In the standard closure, export prices are determined by costs.  From OECD data</w:t>
      </w:r>
      <w:r w:rsidR="000A10D0">
        <w:rPr>
          <w:rFonts w:ascii="Times New Roman" w:hAnsi="Times New Roman"/>
          <w:sz w:val="24"/>
          <w:szCs w:val="24"/>
        </w:rPr>
        <w:t>,</w:t>
      </w:r>
      <w:r w:rsidR="00C00B97">
        <w:rPr>
          <w:rFonts w:ascii="Times New Roman" w:hAnsi="Times New Roman"/>
          <w:sz w:val="24"/>
          <w:szCs w:val="24"/>
        </w:rPr>
        <w:t xml:space="preserve"> we observe movements in aggregate export prices for all regions except RoW.  So that we could take these observations into the 2014-19 simulation, we endogenized an export-tax variable for each region, separating export prices from costs.  These are phantom taxes.  </w:t>
      </w:r>
      <w:r w:rsidR="00294BC3">
        <w:rPr>
          <w:rFonts w:ascii="Times New Roman" w:hAnsi="Times New Roman"/>
          <w:sz w:val="24"/>
          <w:szCs w:val="24"/>
        </w:rPr>
        <w:t xml:space="preserve">Possible interpretations of these phantom taxes are discussed in </w:t>
      </w:r>
      <w:r w:rsidR="00294BC3" w:rsidRPr="00603132">
        <w:rPr>
          <w:rFonts w:ascii="Times New Roman" w:hAnsi="Times New Roman"/>
          <w:sz w:val="24"/>
          <w:szCs w:val="24"/>
        </w:rPr>
        <w:t xml:space="preserve">section </w:t>
      </w:r>
      <w:r w:rsidR="00603132" w:rsidRPr="00603132">
        <w:rPr>
          <w:rFonts w:ascii="Times New Roman" w:hAnsi="Times New Roman"/>
          <w:sz w:val="24"/>
          <w:szCs w:val="24"/>
        </w:rPr>
        <w:t>4.2 under the heading</w:t>
      </w:r>
      <w:r w:rsidR="00AE5156">
        <w:rPr>
          <w:rFonts w:ascii="Times New Roman" w:hAnsi="Times New Roman"/>
          <w:sz w:val="24"/>
          <w:szCs w:val="24"/>
        </w:rPr>
        <w:t xml:space="preserve"> “E</w:t>
      </w:r>
      <w:r w:rsidR="00603132" w:rsidRPr="00603132">
        <w:rPr>
          <w:rFonts w:ascii="Times New Roman" w:hAnsi="Times New Roman"/>
          <w:sz w:val="24"/>
          <w:szCs w:val="24"/>
        </w:rPr>
        <w:t>xports and related variables</w:t>
      </w:r>
      <w:r w:rsidR="00AE5156">
        <w:rPr>
          <w:rFonts w:ascii="Times New Roman" w:hAnsi="Times New Roman"/>
          <w:sz w:val="24"/>
          <w:szCs w:val="24"/>
        </w:rPr>
        <w:t>”</w:t>
      </w:r>
      <w:r w:rsidR="00294BC3">
        <w:rPr>
          <w:rFonts w:ascii="Times New Roman" w:hAnsi="Times New Roman"/>
          <w:sz w:val="24"/>
          <w:szCs w:val="24"/>
        </w:rPr>
        <w:t>.</w:t>
      </w:r>
      <w:r w:rsidR="00C00B97">
        <w:rPr>
          <w:rFonts w:ascii="Times New Roman" w:hAnsi="Times New Roman"/>
          <w:sz w:val="24"/>
          <w:szCs w:val="24"/>
        </w:rPr>
        <w:t xml:space="preserve">  </w:t>
      </w:r>
    </w:p>
    <w:p w:rsidR="00C00B97" w:rsidRDefault="00C00B97" w:rsidP="00C00B97">
      <w:pPr>
        <w:ind w:left="0"/>
        <w:rPr>
          <w:rFonts w:ascii="Times New Roman" w:hAnsi="Times New Roman"/>
          <w:sz w:val="24"/>
          <w:szCs w:val="24"/>
        </w:rPr>
      </w:pPr>
      <w:r>
        <w:rPr>
          <w:rFonts w:ascii="Times New Roman" w:hAnsi="Times New Roman"/>
          <w:i/>
          <w:sz w:val="24"/>
          <w:szCs w:val="24"/>
        </w:rPr>
        <w:t xml:space="preserve">Panel 17: regional import-price indexes.  </w:t>
      </w:r>
      <w:r>
        <w:rPr>
          <w:rFonts w:ascii="Times New Roman" w:hAnsi="Times New Roman"/>
          <w:sz w:val="24"/>
          <w:szCs w:val="24"/>
        </w:rPr>
        <w:t>To a large extent, a region’s cif import prices are determined by the fob export prices of its trade partners.  Consequently, having put in place export prices in panel 16, we expected import prices to be accurately tied down.  However, our simulation to the end of panel 16 generated regional import price movements for 2014 to 2019 that were only broadly consistent with the movements shown in OECD data.</w:t>
      </w:r>
    </w:p>
    <w:p w:rsidR="00C00B97" w:rsidRDefault="00C00B97" w:rsidP="00C00B97">
      <w:pPr>
        <w:ind w:left="0"/>
        <w:rPr>
          <w:rFonts w:ascii="Times New Roman" w:hAnsi="Times New Roman"/>
          <w:sz w:val="24"/>
          <w:szCs w:val="24"/>
        </w:rPr>
      </w:pPr>
      <w:r>
        <w:rPr>
          <w:rFonts w:ascii="Times New Roman" w:hAnsi="Times New Roman"/>
          <w:sz w:val="24"/>
          <w:szCs w:val="24"/>
        </w:rPr>
        <w:lastRenderedPageBreak/>
        <w:t>We imposed import-price movements from OECD data for all regions except RoW, for which there were no data.  Corresponding to the exogenization of the import-price index for region r, we endogenized a discriminatory phantom export tax</w:t>
      </w:r>
      <w:r w:rsidR="00EC7BDA">
        <w:rPr>
          <w:rFonts w:ascii="Times New Roman" w:hAnsi="Times New Roman"/>
          <w:sz w:val="24"/>
          <w:szCs w:val="24"/>
        </w:rPr>
        <w:t>, phtx_i2(r),</w:t>
      </w:r>
      <w:r>
        <w:rPr>
          <w:rFonts w:ascii="Times New Roman" w:hAnsi="Times New Roman"/>
          <w:sz w:val="24"/>
          <w:szCs w:val="24"/>
        </w:rPr>
        <w:t xml:space="preserve"> applied at the same rate by all regions on their exports to r.  In </w:t>
      </w:r>
      <w:r w:rsidRPr="00603132">
        <w:rPr>
          <w:rFonts w:ascii="Times New Roman" w:hAnsi="Times New Roman"/>
          <w:sz w:val="24"/>
          <w:szCs w:val="24"/>
        </w:rPr>
        <w:t xml:space="preserve">section </w:t>
      </w:r>
      <w:r w:rsidR="00603132" w:rsidRPr="00603132">
        <w:rPr>
          <w:rFonts w:ascii="Times New Roman" w:hAnsi="Times New Roman"/>
          <w:sz w:val="24"/>
          <w:szCs w:val="24"/>
        </w:rPr>
        <w:t>4.2</w:t>
      </w:r>
      <w:r w:rsidR="00603132">
        <w:rPr>
          <w:rFonts w:ascii="Times New Roman" w:hAnsi="Times New Roman"/>
          <w:sz w:val="24"/>
          <w:szCs w:val="24"/>
        </w:rPr>
        <w:t xml:space="preserve"> (see the discussion of </w:t>
      </w:r>
      <w:r w:rsidR="00AE5156">
        <w:rPr>
          <w:rFonts w:ascii="Times New Roman" w:hAnsi="Times New Roman"/>
          <w:sz w:val="24"/>
          <w:szCs w:val="24"/>
        </w:rPr>
        <w:t>“I</w:t>
      </w:r>
      <w:r w:rsidR="00603132">
        <w:rPr>
          <w:rFonts w:ascii="Times New Roman" w:hAnsi="Times New Roman"/>
          <w:sz w:val="24"/>
          <w:szCs w:val="24"/>
        </w:rPr>
        <w:t>mport prices</w:t>
      </w:r>
      <w:r w:rsidR="00AE5156">
        <w:rPr>
          <w:rFonts w:ascii="Times New Roman" w:hAnsi="Times New Roman"/>
          <w:sz w:val="24"/>
          <w:szCs w:val="24"/>
        </w:rPr>
        <w:t>”</w:t>
      </w:r>
      <w:r w:rsidR="00603132">
        <w:rPr>
          <w:rFonts w:ascii="Times New Roman" w:hAnsi="Times New Roman"/>
          <w:sz w:val="24"/>
          <w:szCs w:val="24"/>
        </w:rPr>
        <w:t>)</w:t>
      </w:r>
      <w:r>
        <w:rPr>
          <w:rFonts w:ascii="Times New Roman" w:hAnsi="Times New Roman"/>
          <w:sz w:val="24"/>
          <w:szCs w:val="24"/>
        </w:rPr>
        <w:t xml:space="preserve"> we interpret the results for these discriminatory taxes</w:t>
      </w:r>
      <w:r w:rsidR="00294BC3">
        <w:rPr>
          <w:rFonts w:ascii="Times New Roman" w:hAnsi="Times New Roman"/>
          <w:sz w:val="24"/>
          <w:szCs w:val="24"/>
        </w:rPr>
        <w:t>.</w:t>
      </w:r>
      <w:r>
        <w:rPr>
          <w:rFonts w:ascii="Times New Roman" w:hAnsi="Times New Roman"/>
          <w:sz w:val="24"/>
          <w:szCs w:val="24"/>
        </w:rPr>
        <w:t xml:space="preserve">  </w:t>
      </w:r>
    </w:p>
    <w:p w:rsidR="00EC7BDA" w:rsidRDefault="00C00B97" w:rsidP="00C00B97">
      <w:pPr>
        <w:ind w:left="0"/>
        <w:rPr>
          <w:rFonts w:ascii="Times New Roman" w:hAnsi="Times New Roman"/>
          <w:sz w:val="24"/>
          <w:szCs w:val="24"/>
        </w:rPr>
      </w:pPr>
      <w:r>
        <w:rPr>
          <w:rFonts w:ascii="Times New Roman" w:hAnsi="Times New Roman"/>
          <w:sz w:val="24"/>
          <w:szCs w:val="24"/>
        </w:rPr>
        <w:t xml:space="preserve">Export prices </w:t>
      </w:r>
      <w:r w:rsidR="00294BC3">
        <w:rPr>
          <w:rFonts w:ascii="Times New Roman" w:hAnsi="Times New Roman"/>
          <w:sz w:val="24"/>
          <w:szCs w:val="24"/>
        </w:rPr>
        <w:t>were</w:t>
      </w:r>
      <w:r>
        <w:rPr>
          <w:rFonts w:ascii="Times New Roman" w:hAnsi="Times New Roman"/>
          <w:sz w:val="24"/>
          <w:szCs w:val="24"/>
        </w:rPr>
        <w:t xml:space="preserve"> given for all regions in panel 16: exogenously via OECD data for all regions except RoW and endogenously via costs for RoW.  Movements in export prices averaged over all regions must equal import prices average</w:t>
      </w:r>
      <w:r w:rsidR="000A75BA">
        <w:rPr>
          <w:rFonts w:ascii="Times New Roman" w:hAnsi="Times New Roman"/>
          <w:sz w:val="24"/>
          <w:szCs w:val="24"/>
        </w:rPr>
        <w:t>d</w:t>
      </w:r>
      <w:r>
        <w:rPr>
          <w:rFonts w:ascii="Times New Roman" w:hAnsi="Times New Roman"/>
          <w:sz w:val="24"/>
          <w:szCs w:val="24"/>
        </w:rPr>
        <w:t xml:space="preserve"> over all regions.  Consequently, when we put in place export prices for the 13 regions in our model and import prices for 12 regions, the import price for the 13</w:t>
      </w:r>
      <w:r w:rsidRPr="00C00B97">
        <w:rPr>
          <w:rFonts w:ascii="Times New Roman" w:hAnsi="Times New Roman"/>
          <w:sz w:val="24"/>
          <w:szCs w:val="24"/>
          <w:vertAlign w:val="superscript"/>
        </w:rPr>
        <w:t>th</w:t>
      </w:r>
      <w:r>
        <w:rPr>
          <w:rFonts w:ascii="Times New Roman" w:hAnsi="Times New Roman"/>
          <w:sz w:val="24"/>
          <w:szCs w:val="24"/>
        </w:rPr>
        <w:t xml:space="preserve"> region </w:t>
      </w:r>
      <w:r w:rsidR="00801A2A">
        <w:rPr>
          <w:rFonts w:ascii="Times New Roman" w:hAnsi="Times New Roman"/>
          <w:sz w:val="24"/>
          <w:szCs w:val="24"/>
        </w:rPr>
        <w:t>was</w:t>
      </w:r>
      <w:r>
        <w:rPr>
          <w:rFonts w:ascii="Times New Roman" w:hAnsi="Times New Roman"/>
          <w:sz w:val="24"/>
          <w:szCs w:val="24"/>
        </w:rPr>
        <w:t xml:space="preserve"> determined.  Thus, as can be seen from panel 17, t</w:t>
      </w:r>
      <w:r w:rsidR="00EC7BDA">
        <w:rPr>
          <w:rFonts w:ascii="Times New Roman" w:hAnsi="Times New Roman"/>
          <w:sz w:val="24"/>
          <w:szCs w:val="24"/>
        </w:rPr>
        <w:t>he phantom discriminatory taxes, pht</w:t>
      </w:r>
      <w:r w:rsidR="00294BC3">
        <w:rPr>
          <w:rFonts w:ascii="Times New Roman" w:hAnsi="Times New Roman"/>
          <w:sz w:val="24"/>
          <w:szCs w:val="24"/>
        </w:rPr>
        <w:t>x</w:t>
      </w:r>
      <w:r w:rsidR="00EC7BDA">
        <w:rPr>
          <w:rFonts w:ascii="Times New Roman" w:hAnsi="Times New Roman"/>
          <w:sz w:val="24"/>
          <w:szCs w:val="24"/>
        </w:rPr>
        <w:t xml:space="preserve">_i2(r), are endogenized for all r including RoW even though we do not introduce import price data for RoW.  </w:t>
      </w:r>
    </w:p>
    <w:p w:rsidR="00C00B97" w:rsidRDefault="00EC7BDA" w:rsidP="00C00B97">
      <w:pPr>
        <w:ind w:left="0"/>
        <w:rPr>
          <w:rFonts w:ascii="Times New Roman" w:hAnsi="Times New Roman"/>
          <w:sz w:val="24"/>
          <w:szCs w:val="24"/>
        </w:rPr>
      </w:pPr>
      <w:r>
        <w:rPr>
          <w:rFonts w:ascii="Times New Roman" w:hAnsi="Times New Roman"/>
          <w:sz w:val="24"/>
          <w:szCs w:val="24"/>
        </w:rPr>
        <w:t xml:space="preserve">To avoid indeterminacy between </w:t>
      </w:r>
      <w:r w:rsidR="006B1EE3">
        <w:rPr>
          <w:rFonts w:ascii="Times New Roman" w:hAnsi="Times New Roman"/>
          <w:sz w:val="24"/>
          <w:szCs w:val="24"/>
        </w:rPr>
        <w:t xml:space="preserve">the </w:t>
      </w:r>
      <w:r>
        <w:rPr>
          <w:rFonts w:ascii="Times New Roman" w:hAnsi="Times New Roman"/>
          <w:sz w:val="24"/>
          <w:szCs w:val="24"/>
        </w:rPr>
        <w:t xml:space="preserve">two sets of export taxes (those in panel 16 applying to exports </w:t>
      </w:r>
      <w:r w:rsidRPr="00EC7BDA">
        <w:rPr>
          <w:rFonts w:ascii="Times New Roman" w:hAnsi="Times New Roman"/>
          <w:i/>
          <w:sz w:val="24"/>
          <w:szCs w:val="24"/>
        </w:rPr>
        <w:t>from</w:t>
      </w:r>
      <w:r>
        <w:rPr>
          <w:rFonts w:ascii="Times New Roman" w:hAnsi="Times New Roman"/>
          <w:sz w:val="24"/>
          <w:szCs w:val="24"/>
        </w:rPr>
        <w:t xml:space="preserve"> all regions and those in this panel applying </w:t>
      </w:r>
      <w:r w:rsidRPr="00EC7BDA">
        <w:rPr>
          <w:rFonts w:ascii="Times New Roman" w:hAnsi="Times New Roman"/>
          <w:sz w:val="24"/>
          <w:szCs w:val="24"/>
        </w:rPr>
        <w:t>to</w:t>
      </w:r>
      <w:r>
        <w:rPr>
          <w:rFonts w:ascii="Times New Roman" w:hAnsi="Times New Roman"/>
          <w:sz w:val="24"/>
          <w:szCs w:val="24"/>
        </w:rPr>
        <w:t xml:space="preserve"> exports </w:t>
      </w:r>
      <w:r w:rsidRPr="00EC7BDA">
        <w:rPr>
          <w:rFonts w:ascii="Times New Roman" w:hAnsi="Times New Roman"/>
          <w:i/>
          <w:sz w:val="24"/>
          <w:szCs w:val="24"/>
        </w:rPr>
        <w:t>to</w:t>
      </w:r>
      <w:r>
        <w:rPr>
          <w:rFonts w:ascii="Times New Roman" w:hAnsi="Times New Roman"/>
          <w:sz w:val="24"/>
          <w:szCs w:val="24"/>
        </w:rPr>
        <w:t xml:space="preserve"> all regions), we exogenized the global collection of the phantom discriminatory taxes deflated by the price of global GDP, d_colt_phtx_i2.  This exogenization balances the endogenization of phtx_i2(RoW).  </w:t>
      </w:r>
    </w:p>
    <w:p w:rsidR="00801A2A" w:rsidRDefault="00EC7BDA" w:rsidP="00DE7AB2">
      <w:pPr>
        <w:ind w:left="0"/>
        <w:rPr>
          <w:rFonts w:ascii="Times New Roman" w:hAnsi="Times New Roman"/>
          <w:iCs/>
          <w:sz w:val="24"/>
          <w:szCs w:val="24"/>
        </w:rPr>
      </w:pPr>
      <w:r>
        <w:rPr>
          <w:rFonts w:ascii="Times New Roman" w:hAnsi="Times New Roman"/>
          <w:i/>
          <w:sz w:val="24"/>
          <w:szCs w:val="24"/>
        </w:rPr>
        <w:t>Panel 18</w:t>
      </w:r>
      <w:r w:rsidRPr="00801A2A">
        <w:rPr>
          <w:rFonts w:ascii="Times New Roman" w:hAnsi="Times New Roman"/>
          <w:i/>
          <w:sz w:val="24"/>
          <w:szCs w:val="24"/>
        </w:rPr>
        <w:t xml:space="preserve">: </w:t>
      </w:r>
      <w:r w:rsidR="00801A2A" w:rsidRPr="00801A2A">
        <w:rPr>
          <w:rFonts w:ascii="Times New Roman" w:hAnsi="Times New Roman"/>
          <w:i/>
          <w:iCs/>
          <w:sz w:val="24"/>
          <w:szCs w:val="24"/>
        </w:rPr>
        <w:t>Return of phantom tax revenue as production subsidies</w:t>
      </w:r>
      <w:r w:rsidR="00801A2A">
        <w:rPr>
          <w:rFonts w:ascii="Times New Roman" w:hAnsi="Times New Roman"/>
          <w:i/>
          <w:iCs/>
          <w:sz w:val="24"/>
          <w:szCs w:val="24"/>
        </w:rPr>
        <w:t xml:space="preserve">.  </w:t>
      </w:r>
      <w:r w:rsidR="00801A2A">
        <w:rPr>
          <w:rFonts w:ascii="Times New Roman" w:hAnsi="Times New Roman"/>
          <w:iCs/>
          <w:sz w:val="24"/>
          <w:szCs w:val="24"/>
        </w:rPr>
        <w:t xml:space="preserve">We were concerned that the build-up of phantom indirect taxes in panels 16 and 17 would distort the results for factor prices (wage rates and capital rentals).  For example, in regions in which the phantom export taxes are high, we were worried that factor prices would be artificially low.  To avoid this possibility, we endogenized a phantom production tax/subsidy in each region and determined its rate so that the regional collections of phantom indirect taxes (including the phantom production tax) were zero.  </w:t>
      </w:r>
    </w:p>
    <w:p w:rsidR="002C2EB0" w:rsidRPr="00954BD3" w:rsidRDefault="002C2EB0" w:rsidP="00DE7AB2">
      <w:pPr>
        <w:ind w:left="0"/>
        <w:rPr>
          <w:rFonts w:ascii="Times New Roman" w:hAnsi="Times New Roman"/>
          <w:iCs/>
          <w:sz w:val="24"/>
          <w:szCs w:val="24"/>
        </w:rPr>
      </w:pPr>
      <w:r w:rsidRPr="00954BD3">
        <w:rPr>
          <w:rFonts w:ascii="Times New Roman" w:hAnsi="Times New Roman"/>
          <w:i/>
          <w:iCs/>
          <w:sz w:val="24"/>
          <w:szCs w:val="24"/>
        </w:rPr>
        <w:t>Part 5 of Table 4.1:  Wealth and net foreign liabilities</w:t>
      </w:r>
      <w:r w:rsidRPr="00954BD3">
        <w:rPr>
          <w:rFonts w:ascii="Times New Roman" w:hAnsi="Times New Roman"/>
          <w:b/>
          <w:i/>
          <w:iCs/>
          <w:sz w:val="20"/>
          <w:szCs w:val="20"/>
        </w:rPr>
        <w:t xml:space="preserve">  </w:t>
      </w:r>
    </w:p>
    <w:p w:rsidR="00954BD3" w:rsidRDefault="00297A09" w:rsidP="00DE7AB2">
      <w:pPr>
        <w:ind w:left="0"/>
        <w:rPr>
          <w:rFonts w:ascii="Times New Roman" w:hAnsi="Times New Roman"/>
          <w:sz w:val="24"/>
          <w:szCs w:val="24"/>
        </w:rPr>
      </w:pPr>
      <w:r w:rsidRPr="00954BD3">
        <w:rPr>
          <w:rFonts w:ascii="Times New Roman" w:hAnsi="Times New Roman"/>
          <w:i/>
          <w:sz w:val="24"/>
          <w:szCs w:val="24"/>
        </w:rPr>
        <w:t>Panel 19</w:t>
      </w:r>
      <w:r w:rsidR="002C2EB0" w:rsidRPr="00954BD3">
        <w:rPr>
          <w:rFonts w:ascii="Times New Roman" w:hAnsi="Times New Roman"/>
          <w:i/>
          <w:sz w:val="24"/>
          <w:szCs w:val="24"/>
        </w:rPr>
        <w:t>.</w:t>
      </w:r>
      <w:r w:rsidR="002C2EB0" w:rsidRPr="00954BD3">
        <w:rPr>
          <w:rFonts w:ascii="Times New Roman" w:hAnsi="Times New Roman"/>
          <w:sz w:val="24"/>
          <w:szCs w:val="24"/>
        </w:rPr>
        <w:t xml:space="preserve">  </w:t>
      </w:r>
      <w:r w:rsidR="00DA4940" w:rsidRPr="00954BD3">
        <w:rPr>
          <w:rFonts w:ascii="Times New Roman" w:hAnsi="Times New Roman"/>
          <w:sz w:val="24"/>
          <w:szCs w:val="24"/>
        </w:rPr>
        <w:t xml:space="preserve">We </w:t>
      </w:r>
      <w:r w:rsidR="009A5DB3" w:rsidRPr="00954BD3">
        <w:rPr>
          <w:rFonts w:ascii="Times New Roman" w:hAnsi="Times New Roman"/>
          <w:sz w:val="24"/>
          <w:szCs w:val="24"/>
        </w:rPr>
        <w:t xml:space="preserve">calculate </w:t>
      </w:r>
      <w:r w:rsidR="00DA4940" w:rsidRPr="00954BD3">
        <w:rPr>
          <w:rFonts w:ascii="Times New Roman" w:hAnsi="Times New Roman"/>
          <w:sz w:val="24"/>
          <w:szCs w:val="24"/>
        </w:rPr>
        <w:t>region</w:t>
      </w:r>
      <w:r w:rsidR="009A5DB3" w:rsidRPr="00954BD3">
        <w:rPr>
          <w:rFonts w:ascii="Times New Roman" w:hAnsi="Times New Roman"/>
          <w:sz w:val="24"/>
          <w:szCs w:val="24"/>
        </w:rPr>
        <w:t xml:space="preserve"> r</w:t>
      </w:r>
      <w:r w:rsidR="00DA4940" w:rsidRPr="00954BD3">
        <w:rPr>
          <w:rFonts w:ascii="Times New Roman" w:hAnsi="Times New Roman"/>
          <w:sz w:val="24"/>
          <w:szCs w:val="24"/>
        </w:rPr>
        <w:t>’s w</w:t>
      </w:r>
      <w:r w:rsidR="0086291B" w:rsidRPr="00954BD3">
        <w:rPr>
          <w:rFonts w:ascii="Times New Roman" w:hAnsi="Times New Roman"/>
          <w:sz w:val="24"/>
          <w:szCs w:val="24"/>
        </w:rPr>
        <w:t>ealth</w:t>
      </w:r>
      <w:r w:rsidR="00954BD3">
        <w:rPr>
          <w:rFonts w:ascii="Times New Roman" w:hAnsi="Times New Roman"/>
          <w:sz w:val="24"/>
          <w:szCs w:val="24"/>
        </w:rPr>
        <w:t xml:space="preserve"> at the start of year t, W(r,t),  </w:t>
      </w:r>
      <w:r w:rsidR="00DA4940" w:rsidRPr="00954BD3">
        <w:rPr>
          <w:rFonts w:ascii="Times New Roman" w:hAnsi="Times New Roman"/>
          <w:sz w:val="24"/>
          <w:szCs w:val="24"/>
        </w:rPr>
        <w:t>as the value of capital located in the region</w:t>
      </w:r>
      <w:r w:rsidR="00954BD3">
        <w:rPr>
          <w:rFonts w:ascii="Times New Roman" w:hAnsi="Times New Roman"/>
          <w:sz w:val="24"/>
          <w:szCs w:val="24"/>
        </w:rPr>
        <w:t xml:space="preserve">, VK(r,t) </w:t>
      </w:r>
      <w:r w:rsidR="00DA4940" w:rsidRPr="00954BD3">
        <w:rPr>
          <w:rFonts w:ascii="Times New Roman" w:hAnsi="Times New Roman"/>
          <w:i/>
          <w:sz w:val="24"/>
          <w:szCs w:val="24"/>
        </w:rPr>
        <w:t xml:space="preserve">less </w:t>
      </w:r>
      <w:r w:rsidR="00DA4940" w:rsidRPr="00954BD3">
        <w:rPr>
          <w:rFonts w:ascii="Times New Roman" w:hAnsi="Times New Roman"/>
          <w:sz w:val="24"/>
          <w:szCs w:val="24"/>
        </w:rPr>
        <w:t>the region’s net foreign liabilities</w:t>
      </w:r>
      <w:r w:rsidR="00954BD3">
        <w:rPr>
          <w:rFonts w:ascii="Times New Roman" w:hAnsi="Times New Roman"/>
          <w:sz w:val="24"/>
          <w:szCs w:val="24"/>
        </w:rPr>
        <w:t>, NFL(r,t):</w:t>
      </w:r>
    </w:p>
    <w:p w:rsidR="00954BD3" w:rsidRDefault="00954BD3" w:rsidP="00954BD3">
      <w:pPr>
        <w:tabs>
          <w:tab w:val="left" w:pos="851"/>
          <w:tab w:val="right" w:pos="8789"/>
        </w:tabs>
        <w:ind w:left="0"/>
        <w:rPr>
          <w:rFonts w:ascii="Times New Roman" w:hAnsi="Times New Roman"/>
          <w:sz w:val="24"/>
          <w:szCs w:val="24"/>
        </w:rPr>
      </w:pPr>
      <w:r w:rsidRPr="00954BD3">
        <w:rPr>
          <w:rFonts w:ascii="Times New Roman" w:hAnsi="Times New Roman"/>
          <w:sz w:val="24"/>
          <w:szCs w:val="24"/>
        </w:rPr>
        <w:tab/>
      </w:r>
      <w:r w:rsidRPr="00954BD3">
        <w:rPr>
          <w:rFonts w:ascii="Times New Roman" w:hAnsi="Times New Roman"/>
          <w:position w:val="-10"/>
          <w:sz w:val="24"/>
          <w:szCs w:val="24"/>
        </w:rPr>
        <w:object w:dxaOrig="2720" w:dyaOrig="320">
          <v:shape id="_x0000_i1040" type="#_x0000_t75" style="width:135pt;height:17.25pt" o:ole="">
            <v:imagedata r:id="rId38" o:title=""/>
          </v:shape>
          <o:OLEObject Type="Embed" ProgID="Equation.DSMT4" ShapeID="_x0000_i1040" DrawAspect="Content" ObjectID="_1774671661" r:id="rId39"/>
        </w:object>
      </w:r>
      <w:r w:rsidRPr="00954BD3">
        <w:rPr>
          <w:rFonts w:ascii="Times New Roman" w:hAnsi="Times New Roman"/>
          <w:sz w:val="24"/>
          <w:szCs w:val="24"/>
        </w:rPr>
        <w:t xml:space="preserve">    r</w:t>
      </w:r>
      <w:r w:rsidRPr="00954BD3">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(4.15)</w:t>
      </w:r>
    </w:p>
    <w:p w:rsidR="00954BD3" w:rsidRDefault="00954BD3" w:rsidP="00954BD3">
      <w:pPr>
        <w:tabs>
          <w:tab w:val="left" w:pos="851"/>
          <w:tab w:val="right" w:pos="8789"/>
        </w:tabs>
        <w:ind w:left="0"/>
        <w:rPr>
          <w:rFonts w:ascii="Times New Roman" w:hAnsi="Times New Roman"/>
          <w:sz w:val="24"/>
          <w:szCs w:val="24"/>
        </w:rPr>
      </w:pPr>
      <w:r>
        <w:rPr>
          <w:rFonts w:ascii="Times New Roman" w:hAnsi="Times New Roman"/>
          <w:sz w:val="24"/>
          <w:szCs w:val="24"/>
        </w:rPr>
        <w:t>Real wealth, RW(r,t), is given by</w:t>
      </w:r>
    </w:p>
    <w:p w:rsidR="00954BD3" w:rsidRDefault="00954BD3" w:rsidP="00954BD3">
      <w:pPr>
        <w:tabs>
          <w:tab w:val="left" w:pos="851"/>
          <w:tab w:val="right" w:pos="8789"/>
        </w:tabs>
        <w:ind w:left="0"/>
        <w:rPr>
          <w:rFonts w:ascii="Times New Roman" w:hAnsi="Times New Roman"/>
          <w:sz w:val="24"/>
          <w:szCs w:val="24"/>
        </w:rPr>
      </w:pPr>
      <w:r w:rsidRPr="00954BD3">
        <w:rPr>
          <w:rFonts w:ascii="Times New Roman" w:hAnsi="Times New Roman"/>
          <w:sz w:val="24"/>
          <w:szCs w:val="24"/>
        </w:rPr>
        <w:tab/>
      </w:r>
      <w:r w:rsidRPr="00954BD3">
        <w:rPr>
          <w:rFonts w:ascii="Times New Roman" w:hAnsi="Times New Roman"/>
          <w:position w:val="-30"/>
          <w:sz w:val="24"/>
          <w:szCs w:val="24"/>
        </w:rPr>
        <w:object w:dxaOrig="1980" w:dyaOrig="680">
          <v:shape id="_x0000_i1041" type="#_x0000_t75" style="width:98.25pt;height:37.5pt" o:ole="">
            <v:imagedata r:id="rId40" o:title=""/>
          </v:shape>
          <o:OLEObject Type="Embed" ProgID="Equation.DSMT4" ShapeID="_x0000_i1041" DrawAspect="Content" ObjectID="_1774671662" r:id="rId41"/>
        </w:object>
      </w:r>
      <w:r w:rsidRPr="00954BD3">
        <w:rPr>
          <w:rFonts w:ascii="Times New Roman" w:hAnsi="Times New Roman"/>
          <w:sz w:val="24"/>
          <w:szCs w:val="24"/>
        </w:rPr>
        <w:t xml:space="preserve">    r</w:t>
      </w:r>
      <w:r w:rsidRPr="00954BD3">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(4.16)</w:t>
      </w:r>
    </w:p>
    <w:p w:rsidR="00954BD3" w:rsidRDefault="00954BD3" w:rsidP="00954BD3">
      <w:pPr>
        <w:tabs>
          <w:tab w:val="left" w:pos="851"/>
          <w:tab w:val="right" w:pos="8789"/>
        </w:tabs>
        <w:ind w:left="0"/>
        <w:rPr>
          <w:rFonts w:ascii="Times New Roman" w:hAnsi="Times New Roman"/>
          <w:sz w:val="24"/>
          <w:szCs w:val="24"/>
        </w:rPr>
      </w:pPr>
      <w:r>
        <w:rPr>
          <w:rFonts w:ascii="Times New Roman" w:hAnsi="Times New Roman"/>
          <w:sz w:val="24"/>
          <w:szCs w:val="24"/>
        </w:rPr>
        <w:t>where PW(r,t) is the price of a</w:t>
      </w:r>
      <w:r w:rsidR="00B7165C">
        <w:rPr>
          <w:rFonts w:ascii="Times New Roman" w:hAnsi="Times New Roman"/>
          <w:sz w:val="24"/>
          <w:szCs w:val="24"/>
        </w:rPr>
        <w:t xml:space="preserve"> </w:t>
      </w:r>
      <w:r>
        <w:rPr>
          <w:rFonts w:ascii="Times New Roman" w:hAnsi="Times New Roman"/>
          <w:sz w:val="24"/>
          <w:szCs w:val="24"/>
        </w:rPr>
        <w:t>unit of wealth in region r at the start of year t relative to the price at the start of a base period.  In our 2014-19 simulation PW(r,t)</w:t>
      </w:r>
      <w:r w:rsidR="00F668D1">
        <w:rPr>
          <w:rFonts w:ascii="Times New Roman" w:hAnsi="Times New Roman"/>
          <w:sz w:val="24"/>
          <w:szCs w:val="24"/>
        </w:rPr>
        <w:t xml:space="preserve"> is the price of a unit of wealth at the start of 2019 (year t) relative to the price at the start of 2014 (base period).  By the price of a unit of wealth, we mean a composite of the price of units of capital in region r and units of capital in other countries that make up r’s foreign assets.  </w:t>
      </w:r>
    </w:p>
    <w:p w:rsidR="00DA4940" w:rsidRPr="00954BD3" w:rsidRDefault="00F668D1" w:rsidP="00954BD3">
      <w:pPr>
        <w:tabs>
          <w:tab w:val="left" w:pos="851"/>
          <w:tab w:val="right" w:pos="8789"/>
        </w:tabs>
        <w:ind w:left="0"/>
        <w:rPr>
          <w:rFonts w:ascii="Times New Roman" w:hAnsi="Times New Roman"/>
          <w:sz w:val="24"/>
          <w:szCs w:val="24"/>
        </w:rPr>
      </w:pPr>
      <w:r>
        <w:rPr>
          <w:rFonts w:ascii="Times New Roman" w:hAnsi="Times New Roman"/>
          <w:sz w:val="24"/>
          <w:szCs w:val="24"/>
        </w:rPr>
        <w:t>With the base year being 2014, the</w:t>
      </w:r>
      <w:r w:rsidR="00DA4940" w:rsidRPr="00954BD3">
        <w:rPr>
          <w:rFonts w:ascii="Times New Roman" w:hAnsi="Times New Roman"/>
          <w:sz w:val="24"/>
          <w:szCs w:val="24"/>
        </w:rPr>
        <w:t xml:space="preserve"> change in r’s </w:t>
      </w:r>
      <w:r>
        <w:rPr>
          <w:rFonts w:ascii="Times New Roman" w:hAnsi="Times New Roman"/>
          <w:sz w:val="24"/>
          <w:szCs w:val="24"/>
        </w:rPr>
        <w:t xml:space="preserve">real </w:t>
      </w:r>
      <w:r w:rsidR="00DA4940" w:rsidRPr="00954BD3">
        <w:rPr>
          <w:rFonts w:ascii="Times New Roman" w:hAnsi="Times New Roman"/>
          <w:sz w:val="24"/>
          <w:szCs w:val="24"/>
        </w:rPr>
        <w:t>wealth</w:t>
      </w:r>
      <w:r w:rsidR="00E77269">
        <w:rPr>
          <w:rFonts w:ascii="Times New Roman" w:hAnsi="Times New Roman"/>
          <w:sz w:val="24"/>
          <w:szCs w:val="24"/>
        </w:rPr>
        <w:t>, RW14-19(r),</w:t>
      </w:r>
      <w:r w:rsidR="00DA4940" w:rsidRPr="00954BD3">
        <w:rPr>
          <w:rFonts w:ascii="Times New Roman" w:hAnsi="Times New Roman"/>
          <w:sz w:val="24"/>
          <w:szCs w:val="24"/>
        </w:rPr>
        <w:t xml:space="preserve"> between the start of 2014 and the start of 2019 is given by </w:t>
      </w:r>
    </w:p>
    <w:p w:rsidR="009A5DB3" w:rsidRPr="00954BD3" w:rsidRDefault="009A5DB3" w:rsidP="009A5DB3">
      <w:pPr>
        <w:tabs>
          <w:tab w:val="left" w:pos="851"/>
          <w:tab w:val="right" w:pos="8789"/>
        </w:tabs>
        <w:ind w:left="0"/>
        <w:rPr>
          <w:rFonts w:ascii="Times New Roman" w:hAnsi="Times New Roman"/>
          <w:sz w:val="24"/>
          <w:szCs w:val="24"/>
        </w:rPr>
      </w:pPr>
      <w:r w:rsidRPr="00954BD3">
        <w:rPr>
          <w:rFonts w:ascii="Times New Roman" w:hAnsi="Times New Roman"/>
          <w:sz w:val="24"/>
          <w:szCs w:val="24"/>
        </w:rPr>
        <w:tab/>
      </w:r>
      <w:r w:rsidR="00F668D1" w:rsidRPr="00F668D1">
        <w:rPr>
          <w:rFonts w:ascii="Times New Roman" w:hAnsi="Times New Roman"/>
          <w:position w:val="-30"/>
          <w:sz w:val="24"/>
          <w:szCs w:val="24"/>
        </w:rPr>
        <w:object w:dxaOrig="6140" w:dyaOrig="680">
          <v:shape id="_x0000_i1042" type="#_x0000_t75" style="width:303.75pt;height:37.5pt" o:ole="">
            <v:imagedata r:id="rId42" o:title=""/>
          </v:shape>
          <o:OLEObject Type="Embed" ProgID="Equation.DSMT4" ShapeID="_x0000_i1042" DrawAspect="Content" ObjectID="_1774671663" r:id="rId43"/>
        </w:object>
      </w:r>
      <w:r w:rsidRPr="00954BD3">
        <w:rPr>
          <w:rFonts w:ascii="Times New Roman" w:hAnsi="Times New Roman"/>
          <w:sz w:val="24"/>
          <w:szCs w:val="24"/>
        </w:rPr>
        <w:t xml:space="preserve">    r</w:t>
      </w:r>
      <w:r w:rsidRPr="00954BD3">
        <w:rPr>
          <w:rFonts w:ascii="Times New Roman" w:hAnsi="Times New Roman"/>
          <w:sz w:val="24"/>
          <w:szCs w:val="24"/>
        </w:rPr>
        <w:sym w:font="Symbol" w:char="F0CE"/>
      </w:r>
      <w:r w:rsidRPr="00954BD3">
        <w:rPr>
          <w:rFonts w:ascii="Times New Roman" w:hAnsi="Times New Roman"/>
          <w:sz w:val="24"/>
          <w:szCs w:val="24"/>
        </w:rPr>
        <w:t>Reg</w:t>
      </w:r>
      <w:r w:rsidRPr="00954BD3">
        <w:rPr>
          <w:rFonts w:ascii="Times New Roman" w:hAnsi="Times New Roman"/>
          <w:sz w:val="24"/>
          <w:szCs w:val="24"/>
        </w:rPr>
        <w:tab/>
        <w:t>(4.1</w:t>
      </w:r>
      <w:r w:rsidR="00F668D1">
        <w:rPr>
          <w:rFonts w:ascii="Times New Roman" w:hAnsi="Times New Roman"/>
          <w:sz w:val="24"/>
          <w:szCs w:val="24"/>
        </w:rPr>
        <w:t>7</w:t>
      </w:r>
      <w:r w:rsidRPr="00954BD3">
        <w:rPr>
          <w:rFonts w:ascii="Times New Roman" w:hAnsi="Times New Roman"/>
          <w:sz w:val="24"/>
          <w:szCs w:val="24"/>
        </w:rPr>
        <w:t>)</w:t>
      </w:r>
    </w:p>
    <w:p w:rsidR="00297A09" w:rsidRPr="00954BD3" w:rsidRDefault="0086291B" w:rsidP="00DE7AB2">
      <w:pPr>
        <w:ind w:left="0"/>
        <w:rPr>
          <w:rFonts w:ascii="Times New Roman" w:hAnsi="Times New Roman"/>
          <w:sz w:val="24"/>
          <w:szCs w:val="24"/>
        </w:rPr>
      </w:pPr>
      <w:r w:rsidRPr="00954BD3">
        <w:rPr>
          <w:rFonts w:ascii="Times New Roman" w:hAnsi="Times New Roman"/>
          <w:sz w:val="24"/>
          <w:szCs w:val="24"/>
        </w:rPr>
        <w:lastRenderedPageBreak/>
        <w:t>As</w:t>
      </w:r>
      <w:r w:rsidR="002C2EB0" w:rsidRPr="00954BD3">
        <w:rPr>
          <w:rFonts w:ascii="Times New Roman" w:hAnsi="Times New Roman"/>
          <w:sz w:val="24"/>
          <w:szCs w:val="24"/>
        </w:rPr>
        <w:t xml:space="preserve"> explained in Appendix 2, </w:t>
      </w:r>
      <w:r w:rsidRPr="00954BD3">
        <w:rPr>
          <w:rFonts w:ascii="Times New Roman" w:hAnsi="Times New Roman"/>
          <w:sz w:val="24"/>
          <w:szCs w:val="24"/>
        </w:rPr>
        <w:t xml:space="preserve">we also determine </w:t>
      </w:r>
      <w:r w:rsidR="009A5DB3" w:rsidRPr="00954BD3">
        <w:rPr>
          <w:rFonts w:ascii="Times New Roman" w:hAnsi="Times New Roman"/>
          <w:sz w:val="24"/>
          <w:szCs w:val="24"/>
        </w:rPr>
        <w:t xml:space="preserve">the change in region r’s </w:t>
      </w:r>
      <w:r w:rsidR="00E77269">
        <w:rPr>
          <w:rFonts w:ascii="Times New Roman" w:hAnsi="Times New Roman"/>
          <w:sz w:val="24"/>
          <w:szCs w:val="24"/>
        </w:rPr>
        <w:t xml:space="preserve">real </w:t>
      </w:r>
      <w:r w:rsidR="009A5DB3" w:rsidRPr="00954BD3">
        <w:rPr>
          <w:rFonts w:ascii="Times New Roman" w:hAnsi="Times New Roman"/>
          <w:sz w:val="24"/>
          <w:szCs w:val="24"/>
        </w:rPr>
        <w:t xml:space="preserve">wealth </w:t>
      </w:r>
      <w:r w:rsidRPr="00954BD3">
        <w:rPr>
          <w:rFonts w:ascii="Times New Roman" w:hAnsi="Times New Roman"/>
          <w:sz w:val="24"/>
          <w:szCs w:val="24"/>
        </w:rPr>
        <w:t xml:space="preserve">via accumulated </w:t>
      </w:r>
      <w:r w:rsidR="00E77269">
        <w:rPr>
          <w:rFonts w:ascii="Times New Roman" w:hAnsi="Times New Roman"/>
          <w:sz w:val="24"/>
          <w:szCs w:val="24"/>
        </w:rPr>
        <w:t xml:space="preserve">real </w:t>
      </w:r>
      <w:r w:rsidR="004C036C" w:rsidRPr="00954BD3">
        <w:rPr>
          <w:rFonts w:ascii="Times New Roman" w:hAnsi="Times New Roman"/>
          <w:sz w:val="24"/>
          <w:szCs w:val="24"/>
        </w:rPr>
        <w:t xml:space="preserve">net </w:t>
      </w:r>
      <w:r w:rsidRPr="00954BD3">
        <w:rPr>
          <w:rFonts w:ascii="Times New Roman" w:hAnsi="Times New Roman"/>
          <w:sz w:val="24"/>
          <w:szCs w:val="24"/>
        </w:rPr>
        <w:t>saving</w:t>
      </w:r>
      <w:r w:rsidR="007D20C0" w:rsidRPr="00954BD3">
        <w:rPr>
          <w:rFonts w:ascii="Times New Roman" w:hAnsi="Times New Roman"/>
          <w:sz w:val="24"/>
          <w:szCs w:val="24"/>
        </w:rPr>
        <w:t xml:space="preserve"> for 2014 to 2018.  In stylized form, we have </w:t>
      </w:r>
    </w:p>
    <w:p w:rsidR="007D20C0" w:rsidRPr="00954BD3" w:rsidRDefault="00512497" w:rsidP="007D20C0">
      <w:pPr>
        <w:tabs>
          <w:tab w:val="left" w:pos="851"/>
          <w:tab w:val="right" w:pos="8789"/>
        </w:tabs>
        <w:ind w:left="0"/>
        <w:rPr>
          <w:rFonts w:ascii="Times New Roman" w:hAnsi="Times New Roman"/>
          <w:sz w:val="24"/>
          <w:szCs w:val="24"/>
        </w:rPr>
      </w:pPr>
      <w:r w:rsidRPr="00954BD3">
        <w:rPr>
          <w:rFonts w:ascii="Times New Roman" w:hAnsi="Times New Roman"/>
          <w:position w:val="-10"/>
          <w:sz w:val="24"/>
          <w:szCs w:val="24"/>
        </w:rPr>
        <w:object w:dxaOrig="5080" w:dyaOrig="320">
          <v:shape id="_x0000_i1043" type="#_x0000_t75" style="width:252pt;height:17.25pt" o:ole="">
            <v:imagedata r:id="rId44" o:title=""/>
          </v:shape>
          <o:OLEObject Type="Embed" ProgID="Equation.DSMT4" ShapeID="_x0000_i1043" DrawAspect="Content" ObjectID="_1774671664" r:id="rId45"/>
        </w:object>
      </w:r>
      <w:r w:rsidR="007D20C0" w:rsidRPr="00954BD3">
        <w:rPr>
          <w:rFonts w:ascii="Times New Roman" w:hAnsi="Times New Roman"/>
          <w:sz w:val="24"/>
          <w:szCs w:val="24"/>
        </w:rPr>
        <w:t xml:space="preserve">    r</w:t>
      </w:r>
      <w:r w:rsidR="007D20C0" w:rsidRPr="00954BD3">
        <w:rPr>
          <w:rFonts w:ascii="Times New Roman" w:hAnsi="Times New Roman"/>
          <w:sz w:val="24"/>
          <w:szCs w:val="24"/>
        </w:rPr>
        <w:sym w:font="Symbol" w:char="F0CE"/>
      </w:r>
      <w:r w:rsidR="007D20C0" w:rsidRPr="00954BD3">
        <w:rPr>
          <w:rFonts w:ascii="Times New Roman" w:hAnsi="Times New Roman"/>
          <w:sz w:val="24"/>
          <w:szCs w:val="24"/>
        </w:rPr>
        <w:t>Reg</w:t>
      </w:r>
      <w:r w:rsidR="007D20C0" w:rsidRPr="00954BD3">
        <w:rPr>
          <w:rFonts w:ascii="Times New Roman" w:hAnsi="Times New Roman"/>
          <w:sz w:val="24"/>
          <w:szCs w:val="24"/>
        </w:rPr>
        <w:tab/>
        <w:t>(4.1</w:t>
      </w:r>
      <w:r w:rsidR="00E77269">
        <w:rPr>
          <w:rFonts w:ascii="Times New Roman" w:hAnsi="Times New Roman"/>
          <w:sz w:val="24"/>
          <w:szCs w:val="24"/>
        </w:rPr>
        <w:t>8</w:t>
      </w:r>
      <w:r w:rsidR="007D20C0" w:rsidRPr="00954BD3">
        <w:rPr>
          <w:rFonts w:ascii="Times New Roman" w:hAnsi="Times New Roman"/>
          <w:sz w:val="24"/>
          <w:szCs w:val="24"/>
        </w:rPr>
        <w:t>)</w:t>
      </w:r>
    </w:p>
    <w:p w:rsidR="007D20C0" w:rsidRPr="00954BD3" w:rsidRDefault="007D20C0" w:rsidP="00D77DE2">
      <w:pPr>
        <w:spacing w:before="0"/>
        <w:ind w:left="0"/>
        <w:rPr>
          <w:rFonts w:ascii="Times New Roman" w:hAnsi="Times New Roman"/>
          <w:sz w:val="24"/>
          <w:szCs w:val="24"/>
        </w:rPr>
      </w:pPr>
      <w:r w:rsidRPr="00954BD3">
        <w:rPr>
          <w:rFonts w:ascii="Times New Roman" w:hAnsi="Times New Roman"/>
          <w:sz w:val="24"/>
          <w:szCs w:val="24"/>
        </w:rPr>
        <w:t>where</w:t>
      </w:r>
    </w:p>
    <w:p w:rsidR="007D20C0" w:rsidRPr="00954BD3" w:rsidRDefault="007D20C0" w:rsidP="007D20C0">
      <w:pPr>
        <w:tabs>
          <w:tab w:val="left" w:pos="851"/>
          <w:tab w:val="right" w:pos="8789"/>
        </w:tabs>
        <w:spacing w:before="0"/>
        <w:ind w:left="284"/>
        <w:rPr>
          <w:rFonts w:ascii="Times New Roman" w:hAnsi="Times New Roman"/>
          <w:sz w:val="24"/>
          <w:szCs w:val="24"/>
        </w:rPr>
      </w:pPr>
      <w:r w:rsidRPr="00954BD3">
        <w:rPr>
          <w:rFonts w:ascii="Times New Roman" w:hAnsi="Times New Roman"/>
          <w:sz w:val="24"/>
          <w:szCs w:val="24"/>
        </w:rPr>
        <w:t>ACC_</w:t>
      </w:r>
      <w:r w:rsidR="00E77269">
        <w:rPr>
          <w:rFonts w:ascii="Times New Roman" w:hAnsi="Times New Roman"/>
          <w:sz w:val="24"/>
          <w:szCs w:val="24"/>
        </w:rPr>
        <w:t>R</w:t>
      </w:r>
      <w:r w:rsidRPr="00954BD3">
        <w:rPr>
          <w:rFonts w:ascii="Times New Roman" w:hAnsi="Times New Roman"/>
          <w:sz w:val="24"/>
          <w:szCs w:val="24"/>
        </w:rPr>
        <w:t>SAV</w:t>
      </w:r>
      <w:r w:rsidR="00E77269">
        <w:rPr>
          <w:rFonts w:ascii="Times New Roman" w:hAnsi="Times New Roman"/>
          <w:sz w:val="24"/>
          <w:szCs w:val="24"/>
        </w:rPr>
        <w:t>1</w:t>
      </w:r>
      <w:r w:rsidRPr="00954BD3">
        <w:rPr>
          <w:rFonts w:ascii="Times New Roman" w:hAnsi="Times New Roman"/>
          <w:sz w:val="24"/>
          <w:szCs w:val="24"/>
        </w:rPr>
        <w:t xml:space="preserve">4-18(r) is </w:t>
      </w:r>
      <w:r w:rsidR="00E77269">
        <w:rPr>
          <w:rFonts w:ascii="Times New Roman" w:hAnsi="Times New Roman"/>
          <w:sz w:val="24"/>
          <w:szCs w:val="24"/>
        </w:rPr>
        <w:t>real</w:t>
      </w:r>
      <w:r w:rsidR="00FD5E40">
        <w:rPr>
          <w:rFonts w:ascii="Times New Roman" w:hAnsi="Times New Roman"/>
          <w:sz w:val="24"/>
          <w:szCs w:val="24"/>
        </w:rPr>
        <w:t xml:space="preserve"> net </w:t>
      </w:r>
      <w:r w:rsidR="00E77269">
        <w:rPr>
          <w:rFonts w:ascii="Times New Roman" w:hAnsi="Times New Roman"/>
          <w:sz w:val="24"/>
          <w:szCs w:val="24"/>
        </w:rPr>
        <w:t xml:space="preserve"> </w:t>
      </w:r>
      <w:r w:rsidRPr="00954BD3">
        <w:rPr>
          <w:rFonts w:ascii="Times New Roman" w:hAnsi="Times New Roman"/>
          <w:sz w:val="24"/>
          <w:szCs w:val="24"/>
        </w:rPr>
        <w:t xml:space="preserve">saving for region r accumulated over years 2014, 2015, 2016, 2017 and 2018; and </w:t>
      </w:r>
    </w:p>
    <w:p w:rsidR="007D20C0" w:rsidRPr="00954BD3" w:rsidRDefault="007D20C0" w:rsidP="00D77DE2">
      <w:pPr>
        <w:tabs>
          <w:tab w:val="left" w:pos="851"/>
          <w:tab w:val="right" w:pos="8789"/>
        </w:tabs>
        <w:spacing w:before="0"/>
        <w:ind w:left="284"/>
        <w:rPr>
          <w:rFonts w:ascii="Times New Roman" w:hAnsi="Times New Roman"/>
          <w:sz w:val="24"/>
          <w:szCs w:val="24"/>
        </w:rPr>
      </w:pPr>
      <w:r w:rsidRPr="00954BD3">
        <w:rPr>
          <w:rFonts w:ascii="Times New Roman" w:hAnsi="Times New Roman"/>
          <w:sz w:val="24"/>
          <w:szCs w:val="24"/>
        </w:rPr>
        <w:t>SWQH_B(r) is a shift variable.</w:t>
      </w:r>
    </w:p>
    <w:p w:rsidR="00703F2C" w:rsidRPr="00954BD3" w:rsidRDefault="009D4B08" w:rsidP="009D4B08">
      <w:pPr>
        <w:tabs>
          <w:tab w:val="left" w:pos="851"/>
          <w:tab w:val="right" w:pos="8789"/>
        </w:tabs>
        <w:ind w:left="0"/>
        <w:rPr>
          <w:rFonts w:ascii="Times New Roman" w:hAnsi="Times New Roman"/>
          <w:sz w:val="24"/>
          <w:szCs w:val="24"/>
        </w:rPr>
      </w:pPr>
      <w:r w:rsidRPr="00954BD3">
        <w:rPr>
          <w:rFonts w:ascii="Times New Roman" w:hAnsi="Times New Roman"/>
          <w:sz w:val="24"/>
          <w:szCs w:val="24"/>
        </w:rPr>
        <w:t>In the standard long-run closure, the shift variable in (4.1</w:t>
      </w:r>
      <w:r w:rsidR="00E77269">
        <w:rPr>
          <w:rFonts w:ascii="Times New Roman" w:hAnsi="Times New Roman"/>
          <w:sz w:val="24"/>
          <w:szCs w:val="24"/>
        </w:rPr>
        <w:t>8</w:t>
      </w:r>
      <w:r w:rsidRPr="00954BD3">
        <w:rPr>
          <w:rFonts w:ascii="Times New Roman" w:hAnsi="Times New Roman"/>
          <w:sz w:val="24"/>
          <w:szCs w:val="24"/>
        </w:rPr>
        <w:t>) is exogenous</w:t>
      </w:r>
      <w:r w:rsidR="00E77269">
        <w:rPr>
          <w:rFonts w:ascii="Times New Roman" w:hAnsi="Times New Roman"/>
          <w:sz w:val="24"/>
          <w:szCs w:val="24"/>
        </w:rPr>
        <w:t>.  N</w:t>
      </w:r>
      <w:r w:rsidRPr="00954BD3">
        <w:rPr>
          <w:rFonts w:ascii="Times New Roman" w:hAnsi="Times New Roman"/>
          <w:sz w:val="24"/>
          <w:szCs w:val="24"/>
        </w:rPr>
        <w:t>et foreign liabilities</w:t>
      </w:r>
      <w:r w:rsidR="00E77269">
        <w:rPr>
          <w:rFonts w:ascii="Times New Roman" w:hAnsi="Times New Roman"/>
          <w:sz w:val="24"/>
          <w:szCs w:val="24"/>
        </w:rPr>
        <w:t xml:space="preserve"> in the simulation year </w:t>
      </w:r>
      <w:r w:rsidRPr="00954BD3">
        <w:rPr>
          <w:rFonts w:ascii="Times New Roman" w:hAnsi="Times New Roman"/>
          <w:sz w:val="24"/>
          <w:szCs w:val="24"/>
        </w:rPr>
        <w:t>i</w:t>
      </w:r>
      <w:r w:rsidR="00E77269">
        <w:rPr>
          <w:rFonts w:ascii="Times New Roman" w:hAnsi="Times New Roman"/>
          <w:sz w:val="24"/>
          <w:szCs w:val="24"/>
        </w:rPr>
        <w:t>s</w:t>
      </w:r>
      <w:r w:rsidRPr="00954BD3">
        <w:rPr>
          <w:rFonts w:ascii="Times New Roman" w:hAnsi="Times New Roman"/>
          <w:sz w:val="24"/>
          <w:szCs w:val="24"/>
        </w:rPr>
        <w:t xml:space="preserve"> endogenous</w:t>
      </w:r>
      <w:r w:rsidR="00E77269">
        <w:rPr>
          <w:rFonts w:ascii="Times New Roman" w:hAnsi="Times New Roman"/>
          <w:sz w:val="24"/>
          <w:szCs w:val="24"/>
        </w:rPr>
        <w:t xml:space="preserve"> and net foreign liabilities in the base year is data</w:t>
      </w:r>
      <w:r w:rsidRPr="00954BD3">
        <w:rPr>
          <w:rFonts w:ascii="Times New Roman" w:hAnsi="Times New Roman"/>
          <w:sz w:val="24"/>
          <w:szCs w:val="24"/>
        </w:rPr>
        <w:t>.  In the 2014-19 simulation, we</w:t>
      </w:r>
      <w:r w:rsidR="00512497">
        <w:rPr>
          <w:rFonts w:ascii="Times New Roman" w:hAnsi="Times New Roman"/>
          <w:sz w:val="24"/>
          <w:szCs w:val="24"/>
        </w:rPr>
        <w:t xml:space="preserve"> exogenize </w:t>
      </w:r>
      <w:r w:rsidR="00512497" w:rsidRPr="00954BD3">
        <w:rPr>
          <w:rFonts w:ascii="Times New Roman" w:hAnsi="Times New Roman"/>
          <w:sz w:val="24"/>
          <w:szCs w:val="24"/>
        </w:rPr>
        <w:t>NFL</w:t>
      </w:r>
      <w:r w:rsidR="00512497">
        <w:rPr>
          <w:rFonts w:ascii="Times New Roman" w:hAnsi="Times New Roman"/>
          <w:sz w:val="24"/>
          <w:szCs w:val="24"/>
        </w:rPr>
        <w:t>(r,19)</w:t>
      </w:r>
      <w:r w:rsidR="00512497" w:rsidRPr="00954BD3">
        <w:rPr>
          <w:rFonts w:ascii="Times New Roman" w:hAnsi="Times New Roman"/>
          <w:sz w:val="24"/>
          <w:szCs w:val="24"/>
        </w:rPr>
        <w:t xml:space="preserve"> </w:t>
      </w:r>
      <w:r w:rsidR="00512497">
        <w:rPr>
          <w:rFonts w:ascii="Times New Roman" w:hAnsi="Times New Roman"/>
          <w:sz w:val="24"/>
          <w:szCs w:val="24"/>
        </w:rPr>
        <w:t>to</w:t>
      </w:r>
      <w:r w:rsidRPr="00954BD3">
        <w:rPr>
          <w:rFonts w:ascii="Times New Roman" w:hAnsi="Times New Roman"/>
          <w:sz w:val="24"/>
          <w:szCs w:val="24"/>
        </w:rPr>
        <w:t xml:space="preserve"> accommodate </w:t>
      </w:r>
      <w:r w:rsidR="00512497">
        <w:rPr>
          <w:rFonts w:ascii="Times New Roman" w:hAnsi="Times New Roman"/>
          <w:sz w:val="24"/>
          <w:szCs w:val="24"/>
        </w:rPr>
        <w:t xml:space="preserve">its observed value </w:t>
      </w:r>
      <w:r w:rsidRPr="00954BD3">
        <w:rPr>
          <w:rFonts w:ascii="Times New Roman" w:hAnsi="Times New Roman"/>
          <w:sz w:val="24"/>
          <w:szCs w:val="24"/>
        </w:rPr>
        <w:t xml:space="preserve">and </w:t>
      </w:r>
      <w:r w:rsidR="00512497">
        <w:rPr>
          <w:rFonts w:ascii="Times New Roman" w:hAnsi="Times New Roman"/>
          <w:sz w:val="24"/>
          <w:szCs w:val="24"/>
        </w:rPr>
        <w:t xml:space="preserve">we </w:t>
      </w:r>
      <w:r w:rsidRPr="00954BD3">
        <w:rPr>
          <w:rFonts w:ascii="Times New Roman" w:hAnsi="Times New Roman"/>
          <w:sz w:val="24"/>
          <w:szCs w:val="24"/>
        </w:rPr>
        <w:t>endogeniz</w:t>
      </w:r>
      <w:r w:rsidR="00512497">
        <w:rPr>
          <w:rFonts w:ascii="Times New Roman" w:hAnsi="Times New Roman"/>
          <w:sz w:val="24"/>
          <w:szCs w:val="24"/>
        </w:rPr>
        <w:t>e</w:t>
      </w:r>
      <w:r w:rsidRPr="00954BD3">
        <w:rPr>
          <w:rFonts w:ascii="Times New Roman" w:hAnsi="Times New Roman"/>
          <w:sz w:val="24"/>
          <w:szCs w:val="24"/>
        </w:rPr>
        <w:t xml:space="preserve"> the shift variable SWQH_B(r).  </w:t>
      </w:r>
    </w:p>
    <w:p w:rsidR="00703F2C" w:rsidRPr="00954BD3" w:rsidRDefault="00703F2C" w:rsidP="009D4B08">
      <w:pPr>
        <w:tabs>
          <w:tab w:val="left" w:pos="851"/>
          <w:tab w:val="right" w:pos="8789"/>
        </w:tabs>
        <w:ind w:left="0"/>
        <w:rPr>
          <w:rFonts w:ascii="Times New Roman" w:hAnsi="Times New Roman"/>
          <w:sz w:val="24"/>
          <w:szCs w:val="24"/>
        </w:rPr>
      </w:pPr>
      <w:r w:rsidRPr="00954BD3">
        <w:rPr>
          <w:rFonts w:ascii="Times New Roman" w:hAnsi="Times New Roman"/>
          <w:sz w:val="24"/>
          <w:szCs w:val="24"/>
        </w:rPr>
        <w:t xml:space="preserve">To see how this works, it is useful to eliminate </w:t>
      </w:r>
      <w:r w:rsidR="00512497">
        <w:rPr>
          <w:rFonts w:ascii="Times New Roman" w:hAnsi="Times New Roman"/>
          <w:sz w:val="24"/>
          <w:szCs w:val="24"/>
        </w:rPr>
        <w:t>changes in</w:t>
      </w:r>
      <w:r w:rsidR="00B7165C">
        <w:rPr>
          <w:rFonts w:ascii="Times New Roman" w:hAnsi="Times New Roman"/>
          <w:sz w:val="24"/>
          <w:szCs w:val="24"/>
        </w:rPr>
        <w:t xml:space="preserve"> </w:t>
      </w:r>
      <w:r w:rsidR="00512497">
        <w:rPr>
          <w:rFonts w:ascii="Times New Roman" w:hAnsi="Times New Roman"/>
          <w:sz w:val="24"/>
          <w:szCs w:val="24"/>
        </w:rPr>
        <w:t xml:space="preserve">real </w:t>
      </w:r>
      <w:r w:rsidRPr="00954BD3">
        <w:rPr>
          <w:rFonts w:ascii="Times New Roman" w:hAnsi="Times New Roman"/>
          <w:sz w:val="24"/>
          <w:szCs w:val="24"/>
        </w:rPr>
        <w:t>wealth from equations (4.1</w:t>
      </w:r>
      <w:r w:rsidR="00512497">
        <w:rPr>
          <w:rFonts w:ascii="Times New Roman" w:hAnsi="Times New Roman"/>
          <w:sz w:val="24"/>
          <w:szCs w:val="24"/>
        </w:rPr>
        <w:t>7</w:t>
      </w:r>
      <w:r w:rsidRPr="00954BD3">
        <w:rPr>
          <w:rFonts w:ascii="Times New Roman" w:hAnsi="Times New Roman"/>
          <w:sz w:val="24"/>
          <w:szCs w:val="24"/>
        </w:rPr>
        <w:t>) and (4.1</w:t>
      </w:r>
      <w:r w:rsidR="00B7165C">
        <w:rPr>
          <w:rFonts w:ascii="Times New Roman" w:hAnsi="Times New Roman"/>
          <w:sz w:val="24"/>
          <w:szCs w:val="24"/>
        </w:rPr>
        <w:t>8</w:t>
      </w:r>
      <w:r w:rsidRPr="00954BD3">
        <w:rPr>
          <w:rFonts w:ascii="Times New Roman" w:hAnsi="Times New Roman"/>
          <w:sz w:val="24"/>
          <w:szCs w:val="24"/>
        </w:rPr>
        <w:t xml:space="preserve">): </w:t>
      </w:r>
    </w:p>
    <w:p w:rsidR="00703F2C" w:rsidRPr="00954BD3" w:rsidRDefault="00512497" w:rsidP="00703F2C">
      <w:pPr>
        <w:tabs>
          <w:tab w:val="left" w:pos="851"/>
          <w:tab w:val="right" w:pos="8789"/>
        </w:tabs>
        <w:ind w:left="0"/>
        <w:rPr>
          <w:rFonts w:ascii="Times New Roman" w:hAnsi="Times New Roman"/>
          <w:sz w:val="24"/>
          <w:szCs w:val="24"/>
        </w:rPr>
      </w:pPr>
      <w:r w:rsidRPr="00954BD3">
        <w:rPr>
          <w:rFonts w:ascii="Times New Roman" w:hAnsi="Times New Roman"/>
          <w:sz w:val="24"/>
          <w:szCs w:val="24"/>
        </w:rPr>
        <w:tab/>
      </w:r>
      <w:r w:rsidR="00561553" w:rsidRPr="00561553">
        <w:rPr>
          <w:rFonts w:ascii="Times New Roman" w:hAnsi="Times New Roman"/>
          <w:position w:val="-40"/>
          <w:sz w:val="24"/>
          <w:szCs w:val="24"/>
        </w:rPr>
        <w:object w:dxaOrig="6399" w:dyaOrig="900">
          <v:shape id="_x0000_i1044" type="#_x0000_t75" style="width:315.75pt;height:49.5pt" o:ole="">
            <v:imagedata r:id="rId46" o:title=""/>
          </v:shape>
          <o:OLEObject Type="Embed" ProgID="Equation.DSMT4" ShapeID="_x0000_i1044" DrawAspect="Content" ObjectID="_1774671665" r:id="rId47"/>
        </w:object>
      </w:r>
      <w:r w:rsidRPr="00954BD3">
        <w:rPr>
          <w:rFonts w:ascii="Times New Roman" w:hAnsi="Times New Roman"/>
          <w:sz w:val="24"/>
          <w:szCs w:val="24"/>
        </w:rPr>
        <w:t xml:space="preserve">  </w:t>
      </w:r>
      <w:r w:rsidR="00561553" w:rsidRPr="00954BD3">
        <w:rPr>
          <w:rFonts w:ascii="Times New Roman" w:hAnsi="Times New Roman"/>
          <w:sz w:val="24"/>
          <w:szCs w:val="24"/>
        </w:rPr>
        <w:t>r</w:t>
      </w:r>
      <w:r w:rsidR="00561553" w:rsidRPr="00954BD3">
        <w:rPr>
          <w:rFonts w:ascii="Times New Roman" w:hAnsi="Times New Roman"/>
          <w:sz w:val="24"/>
          <w:szCs w:val="24"/>
        </w:rPr>
        <w:sym w:font="Symbol" w:char="F0CE"/>
      </w:r>
      <w:r w:rsidR="00561553" w:rsidRPr="00954BD3">
        <w:rPr>
          <w:rFonts w:ascii="Times New Roman" w:hAnsi="Times New Roman"/>
          <w:sz w:val="24"/>
          <w:szCs w:val="24"/>
        </w:rPr>
        <w:t>Reg</w:t>
      </w:r>
      <w:r w:rsidR="00561553" w:rsidRPr="00954BD3">
        <w:rPr>
          <w:rFonts w:ascii="Times New Roman" w:hAnsi="Times New Roman"/>
          <w:sz w:val="24"/>
          <w:szCs w:val="24"/>
        </w:rPr>
        <w:tab/>
        <w:t>(4.1</w:t>
      </w:r>
      <w:r w:rsidR="00B7165C">
        <w:rPr>
          <w:rFonts w:ascii="Times New Roman" w:hAnsi="Times New Roman"/>
          <w:sz w:val="24"/>
          <w:szCs w:val="24"/>
        </w:rPr>
        <w:t>9</w:t>
      </w:r>
      <w:r w:rsidR="00561553" w:rsidRPr="00954BD3">
        <w:rPr>
          <w:rFonts w:ascii="Times New Roman" w:hAnsi="Times New Roman"/>
          <w:sz w:val="24"/>
          <w:szCs w:val="24"/>
        </w:rPr>
        <w:t>)</w:t>
      </w:r>
      <w:r w:rsidRPr="00954BD3">
        <w:rPr>
          <w:rFonts w:ascii="Times New Roman" w:hAnsi="Times New Roman"/>
          <w:sz w:val="24"/>
          <w:szCs w:val="24"/>
        </w:rPr>
        <w:t xml:space="preserve">  </w:t>
      </w:r>
    </w:p>
    <w:p w:rsidR="009D4B08" w:rsidRDefault="00B7165C" w:rsidP="009D4B08">
      <w:pPr>
        <w:tabs>
          <w:tab w:val="left" w:pos="851"/>
          <w:tab w:val="right" w:pos="8789"/>
        </w:tabs>
        <w:ind w:left="0"/>
        <w:rPr>
          <w:rFonts w:ascii="Times New Roman" w:hAnsi="Times New Roman"/>
          <w:sz w:val="24"/>
          <w:szCs w:val="24"/>
        </w:rPr>
      </w:pPr>
      <w:r>
        <w:rPr>
          <w:rFonts w:ascii="Times New Roman" w:hAnsi="Times New Roman"/>
          <w:sz w:val="24"/>
          <w:szCs w:val="24"/>
        </w:rPr>
        <w:t xml:space="preserve">With reference to (4.19), we see that the endogenously determined value for SWQH_B(r) can be interpreted as the increase in the real value of r’s capital which is finance neither by r’s saving, nor by an increase in r’s real net foreign liabilities.  </w:t>
      </w:r>
      <w:r w:rsidR="009D4B08" w:rsidRPr="00954BD3">
        <w:rPr>
          <w:rFonts w:ascii="Times New Roman" w:hAnsi="Times New Roman"/>
          <w:sz w:val="24"/>
          <w:szCs w:val="24"/>
        </w:rPr>
        <w:t xml:space="preserve"> </w:t>
      </w:r>
      <w:r>
        <w:rPr>
          <w:rFonts w:ascii="Times New Roman" w:hAnsi="Times New Roman"/>
          <w:sz w:val="24"/>
          <w:szCs w:val="24"/>
        </w:rPr>
        <w:t>In terms of (4.18</w:t>
      </w:r>
      <w:r w:rsidR="00703F2C" w:rsidRPr="00954BD3">
        <w:rPr>
          <w:rFonts w:ascii="Times New Roman" w:hAnsi="Times New Roman"/>
          <w:sz w:val="24"/>
          <w:szCs w:val="24"/>
        </w:rPr>
        <w:t xml:space="preserve">), it is as though region r has received a gift of wealth.  As analyzed by Bruneau </w:t>
      </w:r>
      <w:r w:rsidR="00703F2C" w:rsidRPr="00954BD3">
        <w:rPr>
          <w:rFonts w:ascii="Times New Roman" w:hAnsi="Times New Roman"/>
          <w:i/>
          <w:sz w:val="24"/>
          <w:szCs w:val="24"/>
        </w:rPr>
        <w:t xml:space="preserve">et al. </w:t>
      </w:r>
      <w:r w:rsidR="00703F2C" w:rsidRPr="00954BD3">
        <w:rPr>
          <w:rFonts w:ascii="Times New Roman" w:hAnsi="Times New Roman"/>
          <w:sz w:val="24"/>
          <w:szCs w:val="24"/>
        </w:rPr>
        <w:t xml:space="preserve"> (2017)</w:t>
      </w:r>
      <w:r w:rsidR="004232F8" w:rsidRPr="00954BD3">
        <w:rPr>
          <w:rFonts w:ascii="Times New Roman" w:hAnsi="Times New Roman"/>
          <w:sz w:val="24"/>
          <w:szCs w:val="24"/>
        </w:rPr>
        <w:t>,</w:t>
      </w:r>
      <w:r w:rsidR="00703F2C" w:rsidRPr="00954BD3">
        <w:rPr>
          <w:rFonts w:ascii="Times New Roman" w:hAnsi="Times New Roman"/>
          <w:sz w:val="24"/>
          <w:szCs w:val="24"/>
        </w:rPr>
        <w:t xml:space="preserve"> the gift could arise from exchange rate revaluations of foreign assets and liabilities and from capital gains and losses experienced by the residents of region r in their foreign investments</w:t>
      </w:r>
      <w:r w:rsidR="004232F8" w:rsidRPr="00954BD3">
        <w:rPr>
          <w:rFonts w:ascii="Times New Roman" w:hAnsi="Times New Roman"/>
          <w:sz w:val="24"/>
          <w:szCs w:val="24"/>
        </w:rPr>
        <w:t xml:space="preserve"> and borrowings.</w:t>
      </w:r>
      <w:r w:rsidR="00703F2C">
        <w:rPr>
          <w:rFonts w:ascii="Times New Roman" w:hAnsi="Times New Roman"/>
          <w:sz w:val="24"/>
          <w:szCs w:val="24"/>
        </w:rPr>
        <w:t xml:space="preserve"> </w:t>
      </w:r>
    </w:p>
    <w:p w:rsidR="00961920" w:rsidRDefault="00961920" w:rsidP="00ED1FD7">
      <w:pPr>
        <w:ind w:left="0"/>
        <w:rPr>
          <w:rFonts w:ascii="Times New Roman" w:hAnsi="Times New Roman"/>
          <w:b/>
          <w:i/>
          <w:sz w:val="24"/>
          <w:szCs w:val="24"/>
        </w:rPr>
      </w:pPr>
      <w:r>
        <w:rPr>
          <w:rFonts w:ascii="Times New Roman" w:hAnsi="Times New Roman"/>
          <w:b/>
          <w:i/>
          <w:sz w:val="24"/>
          <w:szCs w:val="24"/>
        </w:rPr>
        <w:t xml:space="preserve">4.2.  Results from the </w:t>
      </w:r>
      <w:r w:rsidR="00792147">
        <w:rPr>
          <w:rFonts w:ascii="Times New Roman" w:hAnsi="Times New Roman"/>
          <w:b/>
          <w:i/>
          <w:sz w:val="24"/>
          <w:szCs w:val="24"/>
        </w:rPr>
        <w:t xml:space="preserve">2014 to 2019 </w:t>
      </w:r>
      <w:r>
        <w:rPr>
          <w:rFonts w:ascii="Times New Roman" w:hAnsi="Times New Roman"/>
          <w:b/>
          <w:i/>
          <w:sz w:val="24"/>
          <w:szCs w:val="24"/>
        </w:rPr>
        <w:t xml:space="preserve">historical simulation </w:t>
      </w:r>
    </w:p>
    <w:p w:rsidR="00ED1FD7" w:rsidRPr="00AE5156" w:rsidRDefault="00ED1FD7" w:rsidP="00DE7AB2">
      <w:pPr>
        <w:ind w:left="0"/>
        <w:rPr>
          <w:rFonts w:ascii="Times New Roman" w:hAnsi="Times New Roman"/>
          <w:iCs/>
          <w:sz w:val="24"/>
          <w:szCs w:val="24"/>
        </w:rPr>
      </w:pPr>
      <w:r>
        <w:rPr>
          <w:rFonts w:ascii="Times New Roman" w:hAnsi="Times New Roman"/>
          <w:iCs/>
          <w:sz w:val="24"/>
          <w:szCs w:val="24"/>
        </w:rPr>
        <w:t>The main purpose of the 2014-19 historical simulation is to update the 2014 GTAP database to 2019, giving us a more current starting year for baseline simulations.  In performing the update</w:t>
      </w:r>
      <w:r w:rsidR="004E1D52">
        <w:rPr>
          <w:rFonts w:ascii="Times New Roman" w:hAnsi="Times New Roman"/>
          <w:iCs/>
          <w:sz w:val="24"/>
          <w:szCs w:val="24"/>
        </w:rPr>
        <w:t>,</w:t>
      </w:r>
      <w:r>
        <w:rPr>
          <w:rFonts w:ascii="Times New Roman" w:hAnsi="Times New Roman"/>
          <w:iCs/>
          <w:sz w:val="24"/>
          <w:szCs w:val="24"/>
        </w:rPr>
        <w:t xml:space="preserve"> we have taken account of movements between 2014 and 2019 in regional macro and world energy variables.  While updating is the main purpose, the results for technology and preference variables generated in the update process are of interest.  Many of these results </w:t>
      </w:r>
      <w:r w:rsidR="00D14427">
        <w:rPr>
          <w:rFonts w:ascii="Times New Roman" w:hAnsi="Times New Roman"/>
          <w:iCs/>
          <w:sz w:val="24"/>
          <w:szCs w:val="24"/>
        </w:rPr>
        <w:t xml:space="preserve">together with shocks to selected observed variables </w:t>
      </w:r>
      <w:r>
        <w:rPr>
          <w:rFonts w:ascii="Times New Roman" w:hAnsi="Times New Roman"/>
          <w:iCs/>
          <w:sz w:val="24"/>
          <w:szCs w:val="24"/>
        </w:rPr>
        <w:t xml:space="preserve">are set out in </w:t>
      </w:r>
      <w:r w:rsidRPr="00AE5156">
        <w:rPr>
          <w:rFonts w:ascii="Times New Roman" w:hAnsi="Times New Roman"/>
          <w:iCs/>
          <w:sz w:val="24"/>
          <w:szCs w:val="24"/>
        </w:rPr>
        <w:t xml:space="preserve">Tables </w:t>
      </w:r>
      <w:r w:rsidR="00961920" w:rsidRPr="00AE5156">
        <w:rPr>
          <w:rFonts w:ascii="Times New Roman" w:hAnsi="Times New Roman"/>
          <w:iCs/>
          <w:sz w:val="24"/>
          <w:szCs w:val="24"/>
        </w:rPr>
        <w:t>4</w:t>
      </w:r>
      <w:r w:rsidR="00D14427" w:rsidRPr="00AE5156">
        <w:rPr>
          <w:rFonts w:ascii="Times New Roman" w:hAnsi="Times New Roman"/>
          <w:iCs/>
          <w:sz w:val="24"/>
          <w:szCs w:val="24"/>
        </w:rPr>
        <w:t xml:space="preserve">.4 to </w:t>
      </w:r>
      <w:r w:rsidR="000A75BA" w:rsidRPr="00AE5156">
        <w:rPr>
          <w:rFonts w:ascii="Times New Roman" w:hAnsi="Times New Roman"/>
          <w:iCs/>
          <w:sz w:val="24"/>
          <w:szCs w:val="24"/>
        </w:rPr>
        <w:t>4</w:t>
      </w:r>
      <w:r w:rsidR="00D14427" w:rsidRPr="00AE5156">
        <w:rPr>
          <w:rFonts w:ascii="Times New Roman" w:hAnsi="Times New Roman"/>
          <w:iCs/>
          <w:sz w:val="24"/>
          <w:szCs w:val="24"/>
        </w:rPr>
        <w:t>.</w:t>
      </w:r>
      <w:r w:rsidR="00AE32F4" w:rsidRPr="00AE5156">
        <w:rPr>
          <w:rFonts w:ascii="Times New Roman" w:hAnsi="Times New Roman"/>
          <w:iCs/>
          <w:sz w:val="24"/>
          <w:szCs w:val="24"/>
        </w:rPr>
        <w:t>10</w:t>
      </w:r>
      <w:r w:rsidR="00C357A8" w:rsidRPr="00AE5156">
        <w:rPr>
          <w:rFonts w:ascii="Times New Roman" w:hAnsi="Times New Roman"/>
          <w:iCs/>
          <w:sz w:val="24"/>
          <w:szCs w:val="24"/>
        </w:rPr>
        <w:t>.</w:t>
      </w:r>
      <w:r w:rsidR="004232F8" w:rsidRPr="00AE5156">
        <w:rPr>
          <w:rFonts w:ascii="Times New Roman" w:hAnsi="Times New Roman"/>
          <w:iCs/>
          <w:sz w:val="24"/>
          <w:szCs w:val="24"/>
        </w:rPr>
        <w:t xml:space="preserve"> </w:t>
      </w:r>
    </w:p>
    <w:p w:rsidR="007336A2" w:rsidRPr="00AE5156" w:rsidRDefault="007336A2" w:rsidP="00DE7AB2">
      <w:pPr>
        <w:ind w:left="0"/>
        <w:rPr>
          <w:rFonts w:ascii="Times New Roman" w:hAnsi="Times New Roman"/>
          <w:b/>
          <w:i/>
          <w:iCs/>
          <w:sz w:val="24"/>
          <w:szCs w:val="24"/>
        </w:rPr>
      </w:pPr>
      <w:r w:rsidRPr="00AE5156">
        <w:rPr>
          <w:rFonts w:ascii="Times New Roman" w:hAnsi="Times New Roman"/>
          <w:b/>
          <w:i/>
          <w:iCs/>
          <w:sz w:val="24"/>
          <w:szCs w:val="24"/>
        </w:rPr>
        <w:t>Real GDP and factor inputs and prices</w:t>
      </w:r>
    </w:p>
    <w:p w:rsidR="00801A2A" w:rsidRPr="00AE5156" w:rsidRDefault="00D14427" w:rsidP="00DE7AB2">
      <w:pPr>
        <w:ind w:left="0"/>
        <w:rPr>
          <w:rFonts w:ascii="Times New Roman" w:hAnsi="Times New Roman"/>
          <w:iCs/>
          <w:sz w:val="24"/>
          <w:szCs w:val="24"/>
        </w:rPr>
      </w:pPr>
      <w:r w:rsidRPr="00AE5156">
        <w:rPr>
          <w:rFonts w:ascii="Times New Roman" w:hAnsi="Times New Roman"/>
          <w:iCs/>
          <w:sz w:val="24"/>
          <w:szCs w:val="24"/>
        </w:rPr>
        <w:t xml:space="preserve">Table </w:t>
      </w:r>
      <w:r w:rsidR="00961920" w:rsidRPr="00AE5156">
        <w:rPr>
          <w:rFonts w:ascii="Times New Roman" w:hAnsi="Times New Roman"/>
          <w:iCs/>
          <w:sz w:val="24"/>
          <w:szCs w:val="24"/>
        </w:rPr>
        <w:t>4</w:t>
      </w:r>
      <w:r w:rsidRPr="00AE5156">
        <w:rPr>
          <w:rFonts w:ascii="Times New Roman" w:hAnsi="Times New Roman"/>
          <w:iCs/>
          <w:sz w:val="24"/>
          <w:szCs w:val="24"/>
        </w:rPr>
        <w:t>.4 presents final results for movements in real GDP, factor input</w:t>
      </w:r>
      <w:r w:rsidR="004207FA" w:rsidRPr="00AE5156">
        <w:rPr>
          <w:rFonts w:ascii="Times New Roman" w:hAnsi="Times New Roman"/>
          <w:iCs/>
          <w:sz w:val="24"/>
          <w:szCs w:val="24"/>
        </w:rPr>
        <w:t>s</w:t>
      </w:r>
      <w:r w:rsidRPr="00AE5156">
        <w:rPr>
          <w:rFonts w:ascii="Times New Roman" w:hAnsi="Times New Roman"/>
          <w:iCs/>
          <w:sz w:val="24"/>
          <w:szCs w:val="24"/>
        </w:rPr>
        <w:t xml:space="preserve"> and prices, and technology contribution</w:t>
      </w:r>
      <w:r w:rsidR="004207FA" w:rsidRPr="00AE5156">
        <w:rPr>
          <w:rFonts w:ascii="Times New Roman" w:hAnsi="Times New Roman"/>
          <w:iCs/>
          <w:sz w:val="24"/>
          <w:szCs w:val="24"/>
        </w:rPr>
        <w:t>s</w:t>
      </w:r>
      <w:r w:rsidRPr="00AE5156">
        <w:rPr>
          <w:rFonts w:ascii="Times New Roman" w:hAnsi="Times New Roman"/>
          <w:iCs/>
          <w:sz w:val="24"/>
          <w:szCs w:val="24"/>
        </w:rPr>
        <w:t xml:space="preserve"> to real GDP.  </w:t>
      </w:r>
      <w:r w:rsidR="00C017B2" w:rsidRPr="00AE5156">
        <w:rPr>
          <w:rFonts w:ascii="Times New Roman" w:hAnsi="Times New Roman"/>
          <w:iCs/>
          <w:sz w:val="24"/>
          <w:szCs w:val="24"/>
        </w:rPr>
        <w:t xml:space="preserve">The shaded columns refer to variables for which the percentage movements are based on data, although they may be slightly adjusted to satisfy various identities.  The other columns show simulation results.  </w:t>
      </w:r>
    </w:p>
    <w:p w:rsidR="004E1D52" w:rsidRPr="00AE5156" w:rsidRDefault="004E1D52" w:rsidP="004E1D52">
      <w:pPr>
        <w:ind w:left="0"/>
        <w:rPr>
          <w:rFonts w:ascii="Times New Roman" w:hAnsi="Times New Roman"/>
          <w:iCs/>
          <w:sz w:val="24"/>
          <w:szCs w:val="24"/>
        </w:rPr>
      </w:pPr>
      <w:r w:rsidRPr="00AE5156">
        <w:rPr>
          <w:rFonts w:ascii="Times New Roman" w:hAnsi="Times New Roman"/>
          <w:iCs/>
          <w:sz w:val="24"/>
          <w:szCs w:val="24"/>
        </w:rPr>
        <w:t xml:space="preserve">The standout growth regions in Table </w:t>
      </w:r>
      <w:r w:rsidR="00961920" w:rsidRPr="00AE5156">
        <w:rPr>
          <w:rFonts w:ascii="Times New Roman" w:hAnsi="Times New Roman"/>
          <w:iCs/>
          <w:sz w:val="24"/>
          <w:szCs w:val="24"/>
        </w:rPr>
        <w:t>4</w:t>
      </w:r>
      <w:r w:rsidRPr="00AE5156">
        <w:rPr>
          <w:rFonts w:ascii="Times New Roman" w:hAnsi="Times New Roman"/>
          <w:iCs/>
          <w:sz w:val="24"/>
          <w:szCs w:val="24"/>
        </w:rPr>
        <w:t>.4 are China and India, with real GDP growth over the 5 years of 37.9</w:t>
      </w:r>
      <w:r w:rsidR="00163476" w:rsidRPr="00AE5156">
        <w:rPr>
          <w:rFonts w:ascii="Times New Roman" w:hAnsi="Times New Roman"/>
          <w:iCs/>
          <w:sz w:val="24"/>
          <w:szCs w:val="24"/>
        </w:rPr>
        <w:t>6</w:t>
      </w:r>
      <w:r w:rsidRPr="00AE5156">
        <w:rPr>
          <w:rFonts w:ascii="Times New Roman" w:hAnsi="Times New Roman"/>
          <w:iCs/>
          <w:sz w:val="24"/>
          <w:szCs w:val="24"/>
        </w:rPr>
        <w:t xml:space="preserve"> per cent and 35.0</w:t>
      </w:r>
      <w:r w:rsidR="00163476" w:rsidRPr="00AE5156">
        <w:rPr>
          <w:rFonts w:ascii="Times New Roman" w:hAnsi="Times New Roman"/>
          <w:iCs/>
          <w:sz w:val="24"/>
          <w:szCs w:val="24"/>
        </w:rPr>
        <w:t>5</w:t>
      </w:r>
      <w:r w:rsidRPr="00AE5156">
        <w:rPr>
          <w:rFonts w:ascii="Times New Roman" w:hAnsi="Times New Roman"/>
          <w:iCs/>
          <w:sz w:val="24"/>
          <w:szCs w:val="24"/>
        </w:rPr>
        <w:t xml:space="preserve"> per cent.  Both these economies achieved rapid capital growth and high rates of technical progress (technology contributions to GDP of 9</w:t>
      </w:r>
      <w:r w:rsidR="004764D4">
        <w:rPr>
          <w:rFonts w:ascii="Times New Roman" w:hAnsi="Times New Roman"/>
          <w:iCs/>
          <w:sz w:val="24"/>
          <w:szCs w:val="24"/>
        </w:rPr>
        <w:t>.60</w:t>
      </w:r>
      <w:r w:rsidRPr="00AE5156">
        <w:rPr>
          <w:rFonts w:ascii="Times New Roman" w:hAnsi="Times New Roman"/>
          <w:iCs/>
          <w:sz w:val="24"/>
          <w:szCs w:val="24"/>
        </w:rPr>
        <w:t xml:space="preserve"> and </w:t>
      </w:r>
      <w:r w:rsidR="00163476" w:rsidRPr="00AE5156">
        <w:rPr>
          <w:rFonts w:ascii="Times New Roman" w:hAnsi="Times New Roman"/>
          <w:iCs/>
          <w:sz w:val="24"/>
          <w:szCs w:val="24"/>
        </w:rPr>
        <w:t>11.</w:t>
      </w:r>
      <w:r w:rsidR="004764D4">
        <w:rPr>
          <w:rFonts w:ascii="Times New Roman" w:hAnsi="Times New Roman"/>
          <w:iCs/>
          <w:sz w:val="24"/>
          <w:szCs w:val="24"/>
        </w:rPr>
        <w:t>78</w:t>
      </w:r>
      <w:r w:rsidRPr="00AE5156">
        <w:rPr>
          <w:rFonts w:ascii="Times New Roman" w:hAnsi="Times New Roman"/>
          <w:iCs/>
          <w:sz w:val="24"/>
          <w:szCs w:val="24"/>
        </w:rPr>
        <w:t xml:space="preserve"> per cent).  At the other end of the GDP growth spectrum is Japan.  While Japan achieved moderate technical progress (</w:t>
      </w:r>
      <w:r w:rsidR="00CC1407" w:rsidRPr="00AE5156">
        <w:rPr>
          <w:rFonts w:ascii="Times New Roman" w:hAnsi="Times New Roman"/>
          <w:iCs/>
          <w:sz w:val="24"/>
          <w:szCs w:val="24"/>
        </w:rPr>
        <w:t>2.9</w:t>
      </w:r>
      <w:r w:rsidR="004764D4">
        <w:rPr>
          <w:rFonts w:ascii="Times New Roman" w:hAnsi="Times New Roman"/>
          <w:iCs/>
          <w:sz w:val="24"/>
          <w:szCs w:val="24"/>
        </w:rPr>
        <w:t>4</w:t>
      </w:r>
      <w:r w:rsidRPr="00AE5156">
        <w:rPr>
          <w:rFonts w:ascii="Times New Roman" w:hAnsi="Times New Roman"/>
          <w:iCs/>
          <w:sz w:val="24"/>
          <w:szCs w:val="24"/>
        </w:rPr>
        <w:t xml:space="preserve"> per cent), its GDP growth was retarded by employment decline and weak capital growth relative to other regions.  </w:t>
      </w:r>
    </w:p>
    <w:p w:rsidR="00E20B9E" w:rsidRPr="00783643" w:rsidRDefault="00E20B9E" w:rsidP="006B1EE3">
      <w:pPr>
        <w:ind w:left="0"/>
        <w:jc w:val="center"/>
        <w:rPr>
          <w:rFonts w:ascii="Times New Roman" w:hAnsi="Times New Roman"/>
          <w:b/>
          <w:i/>
          <w:iCs/>
          <w:sz w:val="24"/>
          <w:szCs w:val="24"/>
        </w:rPr>
      </w:pPr>
      <w:r>
        <w:rPr>
          <w:rFonts w:ascii="Times New Roman" w:hAnsi="Times New Roman"/>
          <w:b/>
          <w:i/>
          <w:iCs/>
          <w:sz w:val="24"/>
          <w:szCs w:val="24"/>
        </w:rPr>
        <w:lastRenderedPageBreak/>
        <w:t>Table 4.4.  Percentage changes between 2014 and 2019 in real GDP, factor inputs and prices, together with contributions of technology to real GDP</w:t>
      </w:r>
      <w:r w:rsidR="00297A09" w:rsidRPr="00B97C84">
        <w:rPr>
          <w:rFonts w:ascii="Times New Roman" w:hAnsi="Times New Roman"/>
          <w:b/>
          <w:i/>
          <w:iCs/>
          <w:sz w:val="28"/>
          <w:szCs w:val="28"/>
          <w:vertAlign w:val="superscript"/>
        </w:rPr>
        <w:t>*</w:t>
      </w:r>
    </w:p>
    <w:tbl>
      <w:tblPr>
        <w:tblW w:w="8981" w:type="dxa"/>
        <w:tblLook w:val="04A0" w:firstRow="1" w:lastRow="0" w:firstColumn="1" w:lastColumn="0" w:noHBand="0" w:noVBand="1"/>
      </w:tblPr>
      <w:tblGrid>
        <w:gridCol w:w="1413"/>
        <w:gridCol w:w="1020"/>
        <w:gridCol w:w="1020"/>
        <w:gridCol w:w="1020"/>
        <w:gridCol w:w="1127"/>
        <w:gridCol w:w="1127"/>
        <w:gridCol w:w="1127"/>
        <w:gridCol w:w="1127"/>
      </w:tblGrid>
      <w:tr w:rsidR="0083655D" w:rsidRPr="00C600BB" w:rsidTr="00C600BB">
        <w:tc>
          <w:tcPr>
            <w:tcW w:w="1413" w:type="dxa"/>
            <w:tcBorders>
              <w:top w:val="single" w:sz="18" w:space="0" w:color="7F7F7F"/>
              <w:right w:val="single" w:sz="18" w:space="0" w:color="7F7F7F"/>
            </w:tcBorders>
            <w:shd w:val="clear" w:color="auto" w:fill="auto"/>
            <w:vAlign w:val="bottom"/>
          </w:tcPr>
          <w:p w:rsidR="00E20B9E" w:rsidRPr="00C600BB" w:rsidRDefault="00E20B9E" w:rsidP="00C600BB">
            <w:pPr>
              <w:spacing w:before="0" w:line="240" w:lineRule="auto"/>
              <w:rPr>
                <w:rFonts w:ascii="Times New Roman" w:hAnsi="Times New Roman"/>
                <w:sz w:val="20"/>
                <w:szCs w:val="20"/>
              </w:rPr>
            </w:pPr>
          </w:p>
        </w:tc>
        <w:tc>
          <w:tcPr>
            <w:tcW w:w="1020" w:type="dxa"/>
            <w:tcBorders>
              <w:top w:val="single" w:sz="18" w:space="0" w:color="7F7F7F"/>
              <w:left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Real GDP</w:t>
            </w:r>
          </w:p>
        </w:tc>
        <w:tc>
          <w:tcPr>
            <w:tcW w:w="1020" w:type="dxa"/>
            <w:tcBorders>
              <w:top w:val="single" w:sz="18" w:space="0" w:color="7F7F7F"/>
              <w:left w:val="single" w:sz="4"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Capital</w:t>
            </w:r>
          </w:p>
        </w:tc>
        <w:tc>
          <w:tcPr>
            <w:tcW w:w="1020" w:type="dxa"/>
            <w:tcBorders>
              <w:top w:val="single" w:sz="18" w:space="0" w:color="7F7F7F"/>
              <w:left w:val="single" w:sz="4"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Employ</w:t>
            </w:r>
          </w:p>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-ment</w:t>
            </w:r>
          </w:p>
        </w:tc>
        <w:tc>
          <w:tcPr>
            <w:tcW w:w="1127" w:type="dxa"/>
            <w:tcBorders>
              <w:top w:val="single" w:sz="18" w:space="0" w:color="7F7F7F"/>
              <w:left w:val="single" w:sz="4" w:space="0" w:color="7F7F7F"/>
              <w:right w:val="single" w:sz="4"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Natural resource use</w:t>
            </w:r>
          </w:p>
        </w:tc>
        <w:tc>
          <w:tcPr>
            <w:tcW w:w="1127" w:type="dxa"/>
            <w:tcBorders>
              <w:top w:val="single" w:sz="18" w:space="0" w:color="7F7F7F"/>
              <w:left w:val="single" w:sz="4" w:space="0" w:color="7F7F7F"/>
              <w:right w:val="single" w:sz="4"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Tech cont. to GDP</w:t>
            </w:r>
          </w:p>
        </w:tc>
        <w:tc>
          <w:tcPr>
            <w:tcW w:w="1127" w:type="dxa"/>
            <w:tcBorders>
              <w:top w:val="single" w:sz="18" w:space="0" w:color="7F7F7F"/>
              <w:left w:val="single" w:sz="4" w:space="0" w:color="7F7F7F"/>
              <w:right w:val="single" w:sz="4"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Real wage rate</w:t>
            </w:r>
          </w:p>
        </w:tc>
        <w:tc>
          <w:tcPr>
            <w:tcW w:w="1127" w:type="dxa"/>
            <w:tcBorders>
              <w:top w:val="single" w:sz="18" w:space="0" w:color="7F7F7F"/>
              <w:left w:val="single" w:sz="4"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Rate of return on capital</w:t>
            </w:r>
          </w:p>
        </w:tc>
      </w:tr>
      <w:tr w:rsidR="0083655D" w:rsidRPr="00C600BB" w:rsidTr="00C600BB">
        <w:tc>
          <w:tcPr>
            <w:tcW w:w="1413" w:type="dxa"/>
            <w:tcBorders>
              <w:bottom w:val="single" w:sz="18" w:space="0" w:color="7F7F7F"/>
              <w:right w:val="single" w:sz="18" w:space="0" w:color="7F7F7F"/>
            </w:tcBorders>
            <w:shd w:val="clear" w:color="auto" w:fill="auto"/>
            <w:vAlign w:val="bottom"/>
          </w:tcPr>
          <w:p w:rsidR="00E20B9E" w:rsidRPr="00C600BB" w:rsidRDefault="00E20B9E" w:rsidP="00C600BB">
            <w:pPr>
              <w:spacing w:before="0" w:line="240" w:lineRule="auto"/>
              <w:rPr>
                <w:rFonts w:ascii="Times New Roman" w:hAnsi="Times New Roman"/>
                <w:sz w:val="20"/>
                <w:szCs w:val="20"/>
              </w:rPr>
            </w:pPr>
          </w:p>
        </w:tc>
        <w:tc>
          <w:tcPr>
            <w:tcW w:w="1020" w:type="dxa"/>
            <w:tcBorders>
              <w:left w:val="single" w:sz="18"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qgdp</w:t>
            </w:r>
          </w:p>
        </w:tc>
        <w:tc>
          <w:tcPr>
            <w:tcW w:w="1020" w:type="dxa"/>
            <w:tcBorders>
              <w:left w:val="single" w:sz="4"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kb</w:t>
            </w:r>
          </w:p>
        </w:tc>
        <w:tc>
          <w:tcPr>
            <w:tcW w:w="1020" w:type="dxa"/>
            <w:tcBorders>
              <w:left w:val="single" w:sz="4"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lsreg</w:t>
            </w:r>
          </w:p>
        </w:tc>
        <w:tc>
          <w:tcPr>
            <w:tcW w:w="1127" w:type="dxa"/>
            <w:tcBorders>
              <w:left w:val="single" w:sz="4" w:space="0" w:color="7F7F7F"/>
              <w:bottom w:val="single" w:sz="18" w:space="0" w:color="7F7F7F"/>
              <w:right w:val="single" w:sz="4"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qo(NatRes)</w:t>
            </w:r>
          </w:p>
        </w:tc>
        <w:tc>
          <w:tcPr>
            <w:tcW w:w="1127" w:type="dxa"/>
            <w:tcBorders>
              <w:left w:val="single" w:sz="4" w:space="0" w:color="7F7F7F"/>
              <w:bottom w:val="single" w:sz="18" w:space="0" w:color="7F7F7F"/>
              <w:right w:val="single" w:sz="4"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cont_tech</w:t>
            </w:r>
          </w:p>
        </w:tc>
        <w:tc>
          <w:tcPr>
            <w:tcW w:w="1127" w:type="dxa"/>
            <w:tcBorders>
              <w:left w:val="single" w:sz="4" w:space="0" w:color="7F7F7F"/>
              <w:bottom w:val="single" w:sz="18" w:space="0" w:color="7F7F7F"/>
              <w:right w:val="single" w:sz="4"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realwager</w:t>
            </w:r>
          </w:p>
        </w:tc>
        <w:tc>
          <w:tcPr>
            <w:tcW w:w="1127" w:type="dxa"/>
            <w:tcBorders>
              <w:left w:val="single" w:sz="4" w:space="0" w:color="7F7F7F"/>
              <w:bottom w:val="single" w:sz="18"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rorc</w:t>
            </w:r>
          </w:p>
        </w:tc>
      </w:tr>
      <w:tr w:rsidR="0047100B" w:rsidRPr="00C600BB" w:rsidTr="0011044D">
        <w:tc>
          <w:tcPr>
            <w:tcW w:w="1413" w:type="dxa"/>
            <w:tcBorders>
              <w:top w:val="single" w:sz="18" w:space="0" w:color="7F7F7F"/>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USA</w:t>
            </w:r>
          </w:p>
        </w:tc>
        <w:tc>
          <w:tcPr>
            <w:tcW w:w="1020" w:type="dxa"/>
            <w:tcBorders>
              <w:top w:val="single" w:sz="18" w:space="0" w:color="7F7F7F"/>
              <w:left w:val="single" w:sz="18" w:space="0" w:color="7F7F7F"/>
              <w:right w:val="single" w:sz="4" w:space="0" w:color="7F7F7F"/>
            </w:tcBorders>
            <w:shd w:val="clear" w:color="auto" w:fill="FFFFCC"/>
            <w:vAlign w:val="bottom"/>
          </w:tcPr>
          <w:p w:rsidR="0047100B" w:rsidRPr="0047100B" w:rsidRDefault="0047100B" w:rsidP="0047100B">
            <w:pPr>
              <w:spacing w:before="0"/>
              <w:ind w:left="0"/>
              <w:jc w:val="right"/>
              <w:rPr>
                <w:rFonts w:ascii="Times New Roman" w:hAnsi="Times New Roman"/>
                <w:color w:val="000000"/>
                <w:sz w:val="18"/>
                <w:szCs w:val="18"/>
                <w:lang w:eastAsia="en-AU"/>
              </w:rPr>
            </w:pPr>
            <w:r w:rsidRPr="0047100B">
              <w:rPr>
                <w:rFonts w:ascii="Times New Roman" w:hAnsi="Times New Roman"/>
                <w:color w:val="000000"/>
                <w:sz w:val="18"/>
                <w:szCs w:val="18"/>
              </w:rPr>
              <w:t>12.58</w:t>
            </w:r>
          </w:p>
        </w:tc>
        <w:tc>
          <w:tcPr>
            <w:tcW w:w="1020" w:type="dxa"/>
            <w:tcBorders>
              <w:top w:val="single" w:sz="18" w:space="0" w:color="7F7F7F"/>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13.75</w:t>
            </w:r>
          </w:p>
        </w:tc>
        <w:tc>
          <w:tcPr>
            <w:tcW w:w="1020" w:type="dxa"/>
            <w:tcBorders>
              <w:top w:val="single" w:sz="18" w:space="0" w:color="7F7F7F"/>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1.62</w:t>
            </w:r>
          </w:p>
        </w:tc>
        <w:tc>
          <w:tcPr>
            <w:tcW w:w="1127" w:type="dxa"/>
            <w:tcBorders>
              <w:top w:val="single" w:sz="18" w:space="0" w:color="7F7F7F"/>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58.17</w:t>
            </w:r>
          </w:p>
        </w:tc>
        <w:tc>
          <w:tcPr>
            <w:tcW w:w="1127" w:type="dxa"/>
            <w:tcBorders>
              <w:top w:val="single" w:sz="18" w:space="0" w:color="7F7F7F"/>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5.69</w:t>
            </w:r>
          </w:p>
        </w:tc>
        <w:tc>
          <w:tcPr>
            <w:tcW w:w="1127" w:type="dxa"/>
            <w:tcBorders>
              <w:top w:val="single" w:sz="18" w:space="0" w:color="7F7F7F"/>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15.40</w:t>
            </w:r>
          </w:p>
        </w:tc>
        <w:tc>
          <w:tcPr>
            <w:tcW w:w="1127" w:type="dxa"/>
            <w:tcBorders>
              <w:top w:val="single" w:sz="18" w:space="0" w:color="7F7F7F"/>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-2.43</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Canada</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9.78</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14.14</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2.97</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-1.28</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1.91</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6.84</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-7.08</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Mexico</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10.33</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15.48</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6.53</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-18.29</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-0.25</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16.19</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-22.75</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China</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37.96</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58.20</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-0.21</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18.94</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9.60</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49.43</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-32.07</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Japan</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4.37</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7.28</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-3.60</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6.22</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2.94</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16.13</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-10.00</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SKorea</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14.88</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24.60</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0.55</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9.32</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2.45</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23.57</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-16.47</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India</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35.05</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42.96</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4.33</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36.61</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11.78</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37.50</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0.51</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France</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8.32</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12.92</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-0.73</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-6.31</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2.65</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15.36</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-10.72</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Germany</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8.85</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11.54</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1.55</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-7.78</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2.06</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16.66</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-16.78</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UK</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10.62</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14.25</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1.56</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-28.60</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2.58</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18.52</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-22.04</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RoEU</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13.37</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12.81</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-3.15</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-3.18</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6.55</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23.09</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-2.30</w:t>
            </w:r>
          </w:p>
        </w:tc>
      </w:tr>
      <w:tr w:rsidR="0047100B" w:rsidRPr="00C600BB" w:rsidTr="0011044D">
        <w:tc>
          <w:tcPr>
            <w:tcW w:w="1413" w:type="dxa"/>
            <w:tcBorders>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SaudiArabia</w:t>
            </w:r>
          </w:p>
        </w:tc>
        <w:tc>
          <w:tcPr>
            <w:tcW w:w="1020" w:type="dxa"/>
            <w:tcBorders>
              <w:left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8.04</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32.83</w:t>
            </w:r>
          </w:p>
        </w:tc>
        <w:tc>
          <w:tcPr>
            <w:tcW w:w="1020" w:type="dxa"/>
            <w:tcBorders>
              <w:left w:val="single" w:sz="4"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14.07</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44.39</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-12.99</w:t>
            </w:r>
          </w:p>
        </w:tc>
        <w:tc>
          <w:tcPr>
            <w:tcW w:w="1127" w:type="dxa"/>
            <w:tcBorders>
              <w:left w:val="single" w:sz="4"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0.30</w:t>
            </w:r>
          </w:p>
        </w:tc>
        <w:tc>
          <w:tcPr>
            <w:tcW w:w="1127" w:type="dxa"/>
            <w:tcBorders>
              <w:lef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-9.11</w:t>
            </w:r>
          </w:p>
        </w:tc>
      </w:tr>
      <w:tr w:rsidR="0047100B" w:rsidRPr="00C600BB" w:rsidTr="0011044D">
        <w:tc>
          <w:tcPr>
            <w:tcW w:w="1413" w:type="dxa"/>
            <w:tcBorders>
              <w:bottom w:val="single" w:sz="18" w:space="0" w:color="7F7F7F"/>
              <w:right w:val="single" w:sz="18" w:space="0" w:color="7F7F7F"/>
            </w:tcBorders>
            <w:shd w:val="clear" w:color="auto" w:fill="auto"/>
            <w:vAlign w:val="bottom"/>
          </w:tcPr>
          <w:p w:rsidR="0047100B" w:rsidRPr="00414C11" w:rsidRDefault="0047100B" w:rsidP="0047100B">
            <w:pPr>
              <w:spacing w:before="0"/>
              <w:ind w:left="29"/>
              <w:contextualSpacing/>
              <w:rPr>
                <w:rFonts w:ascii="Times New Roman" w:hAnsi="Times New Roman"/>
                <w:color w:val="000000"/>
                <w:sz w:val="20"/>
                <w:szCs w:val="20"/>
              </w:rPr>
            </w:pPr>
            <w:r w:rsidRPr="00414C11">
              <w:rPr>
                <w:rFonts w:ascii="Times New Roman" w:hAnsi="Times New Roman"/>
                <w:color w:val="000000"/>
                <w:sz w:val="20"/>
                <w:szCs w:val="20"/>
              </w:rPr>
              <w:t>RoW</w:t>
            </w:r>
          </w:p>
        </w:tc>
        <w:tc>
          <w:tcPr>
            <w:tcW w:w="1020" w:type="dxa"/>
            <w:tcBorders>
              <w:left w:val="single" w:sz="18" w:space="0" w:color="7F7F7F"/>
              <w:bottom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14.33</w:t>
            </w:r>
          </w:p>
        </w:tc>
        <w:tc>
          <w:tcPr>
            <w:tcW w:w="1020" w:type="dxa"/>
            <w:tcBorders>
              <w:left w:val="single" w:sz="4" w:space="0" w:color="7F7F7F"/>
              <w:bottom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21.81</w:t>
            </w:r>
          </w:p>
        </w:tc>
        <w:tc>
          <w:tcPr>
            <w:tcW w:w="1020" w:type="dxa"/>
            <w:tcBorders>
              <w:left w:val="single" w:sz="4" w:space="0" w:color="7F7F7F"/>
              <w:bottom w:val="single" w:sz="18" w:space="0" w:color="7F7F7F"/>
              <w:right w:val="single" w:sz="4" w:space="0" w:color="7F7F7F"/>
            </w:tcBorders>
            <w:shd w:val="clear" w:color="auto" w:fill="FFFFCC"/>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3.13</w:t>
            </w:r>
          </w:p>
        </w:tc>
        <w:tc>
          <w:tcPr>
            <w:tcW w:w="1127" w:type="dxa"/>
            <w:tcBorders>
              <w:left w:val="single" w:sz="4" w:space="0" w:color="7F7F7F"/>
              <w:bottom w:val="single" w:sz="18"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-9.90</w:t>
            </w:r>
          </w:p>
        </w:tc>
        <w:tc>
          <w:tcPr>
            <w:tcW w:w="1127" w:type="dxa"/>
            <w:tcBorders>
              <w:left w:val="single" w:sz="4" w:space="0" w:color="7F7F7F"/>
              <w:bottom w:val="single" w:sz="18"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3.13</w:t>
            </w:r>
          </w:p>
        </w:tc>
        <w:tc>
          <w:tcPr>
            <w:tcW w:w="1127" w:type="dxa"/>
            <w:tcBorders>
              <w:left w:val="single" w:sz="4" w:space="0" w:color="7F7F7F"/>
              <w:bottom w:val="single" w:sz="18" w:space="0" w:color="7F7F7F"/>
              <w:right w:val="single" w:sz="4"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19.17</w:t>
            </w:r>
          </w:p>
        </w:tc>
        <w:tc>
          <w:tcPr>
            <w:tcW w:w="1127" w:type="dxa"/>
            <w:tcBorders>
              <w:left w:val="single" w:sz="4" w:space="0" w:color="7F7F7F"/>
              <w:bottom w:val="single" w:sz="18" w:space="0" w:color="7F7F7F"/>
            </w:tcBorders>
            <w:shd w:val="clear" w:color="auto" w:fill="auto"/>
            <w:vAlign w:val="bottom"/>
          </w:tcPr>
          <w:p w:rsidR="0047100B" w:rsidRPr="0047100B" w:rsidRDefault="0047100B" w:rsidP="0047100B">
            <w:pPr>
              <w:spacing w:before="0"/>
              <w:jc w:val="right"/>
              <w:rPr>
                <w:rFonts w:ascii="Times New Roman" w:hAnsi="Times New Roman"/>
                <w:color w:val="000000"/>
                <w:sz w:val="18"/>
                <w:szCs w:val="18"/>
              </w:rPr>
            </w:pPr>
            <w:r w:rsidRPr="0047100B">
              <w:rPr>
                <w:rFonts w:ascii="Times New Roman" w:hAnsi="Times New Roman"/>
                <w:color w:val="000000"/>
                <w:sz w:val="18"/>
                <w:szCs w:val="18"/>
              </w:rPr>
              <w:t>-14.06</w:t>
            </w:r>
          </w:p>
        </w:tc>
      </w:tr>
    </w:tbl>
    <w:p w:rsidR="00E20B9E" w:rsidRPr="00297A09" w:rsidRDefault="00297A09" w:rsidP="00B97C84">
      <w:pPr>
        <w:spacing w:before="0" w:line="240" w:lineRule="auto"/>
        <w:ind w:left="284"/>
        <w:rPr>
          <w:rFonts w:ascii="Times New Roman" w:hAnsi="Times New Roman"/>
          <w:iCs/>
          <w:sz w:val="20"/>
          <w:szCs w:val="20"/>
        </w:rPr>
      </w:pPr>
      <w:r w:rsidRPr="00297A09">
        <w:rPr>
          <w:rFonts w:ascii="Times New Roman" w:hAnsi="Times New Roman"/>
          <w:iCs/>
          <w:sz w:val="28"/>
          <w:szCs w:val="28"/>
          <w:vertAlign w:val="superscript"/>
        </w:rPr>
        <w:t>*</w:t>
      </w:r>
      <w:r>
        <w:rPr>
          <w:rFonts w:ascii="Times New Roman" w:hAnsi="Times New Roman"/>
          <w:iCs/>
          <w:sz w:val="28"/>
          <w:szCs w:val="28"/>
        </w:rPr>
        <w:t xml:space="preserve">  </w:t>
      </w:r>
      <w:r>
        <w:rPr>
          <w:rFonts w:ascii="Times New Roman" w:hAnsi="Times New Roman"/>
          <w:iCs/>
          <w:sz w:val="20"/>
          <w:szCs w:val="20"/>
        </w:rPr>
        <w:t xml:space="preserve">The capital and GDP numbers in this table differ from the data in Table 4.2 because of endogenous adjustments introduced in equations (4.2) and (4.6).  </w:t>
      </w:r>
    </w:p>
    <w:p w:rsidR="00764943" w:rsidRDefault="00764943" w:rsidP="00764943">
      <w:pPr>
        <w:ind w:left="0"/>
        <w:rPr>
          <w:rFonts w:ascii="Times New Roman" w:hAnsi="Times New Roman"/>
          <w:iCs/>
          <w:sz w:val="24"/>
          <w:szCs w:val="24"/>
        </w:rPr>
      </w:pPr>
      <w:r w:rsidRPr="00AE5156">
        <w:rPr>
          <w:rFonts w:ascii="Times New Roman" w:hAnsi="Times New Roman"/>
          <w:iCs/>
          <w:sz w:val="24"/>
          <w:szCs w:val="24"/>
        </w:rPr>
        <w:t>The worst performing region was Saudi Arabia.  Despite rapid growth in factor inputs, growth in real GDP was only 8.0</w:t>
      </w:r>
      <w:r w:rsidR="004764D4">
        <w:rPr>
          <w:rFonts w:ascii="Times New Roman" w:hAnsi="Times New Roman"/>
          <w:iCs/>
          <w:sz w:val="24"/>
          <w:szCs w:val="24"/>
        </w:rPr>
        <w:t>4</w:t>
      </w:r>
      <w:r w:rsidRPr="00AE5156">
        <w:rPr>
          <w:rFonts w:ascii="Times New Roman" w:hAnsi="Times New Roman"/>
          <w:iCs/>
          <w:sz w:val="24"/>
          <w:szCs w:val="24"/>
        </w:rPr>
        <w:t xml:space="preserve"> per cent implying negative technical progress (-</w:t>
      </w:r>
      <w:r w:rsidR="004764D4">
        <w:rPr>
          <w:rFonts w:ascii="Times New Roman" w:hAnsi="Times New Roman"/>
          <w:iCs/>
          <w:sz w:val="24"/>
          <w:szCs w:val="24"/>
        </w:rPr>
        <w:t>12.99</w:t>
      </w:r>
      <w:r w:rsidRPr="00AE5156">
        <w:rPr>
          <w:rFonts w:ascii="Times New Roman" w:hAnsi="Times New Roman"/>
          <w:iCs/>
          <w:sz w:val="24"/>
          <w:szCs w:val="24"/>
        </w:rPr>
        <w:t xml:space="preserve"> per cent).</w:t>
      </w:r>
      <w:r>
        <w:rPr>
          <w:rFonts w:ascii="Times New Roman" w:hAnsi="Times New Roman"/>
          <w:iCs/>
          <w:sz w:val="24"/>
          <w:szCs w:val="24"/>
        </w:rPr>
        <w:t xml:space="preserve">  </w:t>
      </w:r>
    </w:p>
    <w:p w:rsidR="00AE5156" w:rsidRDefault="004764D4" w:rsidP="00AE5156">
      <w:pPr>
        <w:ind w:left="0"/>
        <w:rPr>
          <w:rFonts w:ascii="Times New Roman" w:hAnsi="Times New Roman"/>
          <w:iCs/>
          <w:sz w:val="24"/>
          <w:szCs w:val="24"/>
        </w:rPr>
      </w:pPr>
      <w:r>
        <w:rPr>
          <w:rFonts w:ascii="Times New Roman" w:hAnsi="Times New Roman"/>
          <w:iCs/>
          <w:sz w:val="24"/>
          <w:szCs w:val="24"/>
        </w:rPr>
        <w:t>O</w:t>
      </w:r>
      <w:r w:rsidR="00764943">
        <w:rPr>
          <w:rFonts w:ascii="Times New Roman" w:hAnsi="Times New Roman"/>
          <w:iCs/>
          <w:sz w:val="24"/>
          <w:szCs w:val="24"/>
        </w:rPr>
        <w:t>ur simulation shows real wage growth for all regions</w:t>
      </w:r>
      <w:r>
        <w:rPr>
          <w:rFonts w:ascii="Times New Roman" w:hAnsi="Times New Roman"/>
          <w:iCs/>
          <w:sz w:val="24"/>
          <w:szCs w:val="24"/>
        </w:rPr>
        <w:t>, although very small for Saudi Arabia</w:t>
      </w:r>
      <w:r w:rsidR="00764943">
        <w:rPr>
          <w:rFonts w:ascii="Times New Roman" w:hAnsi="Times New Roman"/>
          <w:iCs/>
          <w:sz w:val="24"/>
          <w:szCs w:val="24"/>
        </w:rPr>
        <w:t xml:space="preserve">.  </w:t>
      </w:r>
      <w:r w:rsidR="0083715C">
        <w:rPr>
          <w:rFonts w:ascii="Times New Roman" w:hAnsi="Times New Roman"/>
          <w:iCs/>
          <w:sz w:val="24"/>
          <w:szCs w:val="24"/>
        </w:rPr>
        <w:t>With the exception of Saudi Arabia, t</w:t>
      </w:r>
      <w:r w:rsidR="00764943">
        <w:rPr>
          <w:rFonts w:ascii="Times New Roman" w:hAnsi="Times New Roman"/>
          <w:iCs/>
          <w:sz w:val="24"/>
          <w:szCs w:val="24"/>
        </w:rPr>
        <w:t>he simulated increases in real wage rates reflect technology improvements and reductions in rates of return on capital</w:t>
      </w:r>
      <w:r w:rsidR="0083715C">
        <w:rPr>
          <w:rFonts w:ascii="Times New Roman" w:hAnsi="Times New Roman"/>
          <w:iCs/>
          <w:sz w:val="24"/>
          <w:szCs w:val="24"/>
        </w:rPr>
        <w:t xml:space="preserve"> in all regions except India</w:t>
      </w:r>
      <w:r w:rsidR="00764943">
        <w:rPr>
          <w:rFonts w:ascii="Times New Roman" w:hAnsi="Times New Roman"/>
          <w:iCs/>
          <w:sz w:val="24"/>
          <w:szCs w:val="24"/>
        </w:rPr>
        <w:t xml:space="preserve">.  Simulated rates of return fell in most regions despite the introduction to the simulation of historically determined technology twists favouring the use </w:t>
      </w:r>
      <w:r w:rsidR="00AE5156">
        <w:rPr>
          <w:rFonts w:ascii="Times New Roman" w:hAnsi="Times New Roman"/>
          <w:iCs/>
          <w:sz w:val="24"/>
          <w:szCs w:val="24"/>
        </w:rPr>
        <w:t xml:space="preserve">of capital (see the discussion of panel 6 in Table 4.1).  Between 2014 and 2019 world saving increased relative to world GDP, leading to large increases in capital/labour ratios.  </w:t>
      </w:r>
    </w:p>
    <w:p w:rsidR="004E1D52" w:rsidRDefault="00AE5156" w:rsidP="004E1D52">
      <w:pPr>
        <w:ind w:left="0"/>
        <w:rPr>
          <w:rFonts w:ascii="Times New Roman" w:hAnsi="Times New Roman"/>
          <w:iCs/>
          <w:sz w:val="24"/>
          <w:szCs w:val="24"/>
        </w:rPr>
      </w:pPr>
      <w:r>
        <w:rPr>
          <w:rFonts w:ascii="Times New Roman" w:hAnsi="Times New Roman"/>
          <w:iCs/>
          <w:sz w:val="24"/>
          <w:szCs w:val="24"/>
        </w:rPr>
        <w:t xml:space="preserve">Recall from the discussion of panel 5 that we assumed </w:t>
      </w:r>
      <w:r w:rsidRPr="00AE5156">
        <w:rPr>
          <w:rFonts w:ascii="Times New Roman" w:hAnsi="Times New Roman"/>
          <w:iCs/>
          <w:sz w:val="24"/>
          <w:szCs w:val="24"/>
        </w:rPr>
        <w:t>elastic supply of natural resources.  This produced quite volatile results varying from a simulated 28.6</w:t>
      </w:r>
      <w:r w:rsidR="0083715C">
        <w:rPr>
          <w:rFonts w:ascii="Times New Roman" w:hAnsi="Times New Roman"/>
          <w:iCs/>
          <w:sz w:val="24"/>
          <w:szCs w:val="24"/>
        </w:rPr>
        <w:t>0</w:t>
      </w:r>
      <w:r w:rsidRPr="00AE5156">
        <w:rPr>
          <w:rFonts w:ascii="Times New Roman" w:hAnsi="Times New Roman"/>
          <w:iCs/>
          <w:sz w:val="24"/>
          <w:szCs w:val="24"/>
        </w:rPr>
        <w:t xml:space="preserve"> per cent reduction in natural resource use by the UK to a simulated 58.</w:t>
      </w:r>
      <w:r w:rsidR="0083715C">
        <w:rPr>
          <w:rFonts w:ascii="Times New Roman" w:hAnsi="Times New Roman"/>
          <w:iCs/>
          <w:sz w:val="24"/>
          <w:szCs w:val="24"/>
        </w:rPr>
        <w:t>17</w:t>
      </w:r>
      <w:r w:rsidRPr="00AE5156">
        <w:rPr>
          <w:rFonts w:ascii="Times New Roman" w:hAnsi="Times New Roman"/>
          <w:iCs/>
          <w:sz w:val="24"/>
          <w:szCs w:val="24"/>
        </w:rPr>
        <w:t xml:space="preserve"> per cent increase</w:t>
      </w:r>
      <w:r>
        <w:rPr>
          <w:rFonts w:ascii="Times New Roman" w:hAnsi="Times New Roman"/>
          <w:iCs/>
          <w:sz w:val="24"/>
          <w:szCs w:val="24"/>
        </w:rPr>
        <w:t xml:space="preserve"> in the USA.  However, </w:t>
      </w:r>
      <w:r w:rsidR="006B1EE3">
        <w:rPr>
          <w:rFonts w:ascii="Times New Roman" w:hAnsi="Times New Roman"/>
          <w:iCs/>
          <w:sz w:val="24"/>
          <w:szCs w:val="24"/>
        </w:rPr>
        <w:t xml:space="preserve">natural resources contribute a negligible fraction to GDP in all regions except Saudi Arabia, </w:t>
      </w:r>
      <w:r w:rsidR="004E1D52">
        <w:rPr>
          <w:rFonts w:ascii="Times New Roman" w:hAnsi="Times New Roman"/>
          <w:iCs/>
          <w:sz w:val="24"/>
          <w:szCs w:val="24"/>
        </w:rPr>
        <w:t xml:space="preserve">and even for Saudi Arabia, the contribution in the GTAP 2014 database was only about 9 per cent.  </w:t>
      </w:r>
    </w:p>
    <w:p w:rsidR="00961920" w:rsidRPr="007336A2" w:rsidRDefault="00961920" w:rsidP="00961920">
      <w:pPr>
        <w:ind w:left="0"/>
        <w:rPr>
          <w:rFonts w:ascii="Times New Roman" w:hAnsi="Times New Roman"/>
          <w:b/>
          <w:i/>
          <w:iCs/>
          <w:sz w:val="24"/>
          <w:szCs w:val="24"/>
        </w:rPr>
      </w:pPr>
      <w:r>
        <w:rPr>
          <w:rFonts w:ascii="Times New Roman" w:hAnsi="Times New Roman"/>
          <w:b/>
          <w:i/>
          <w:iCs/>
          <w:sz w:val="24"/>
          <w:szCs w:val="24"/>
        </w:rPr>
        <w:t>Real GDP and expenditure components</w:t>
      </w:r>
    </w:p>
    <w:p w:rsidR="00961920" w:rsidRPr="00AE5156" w:rsidRDefault="00961920" w:rsidP="00961920">
      <w:pPr>
        <w:ind w:left="0"/>
        <w:rPr>
          <w:rFonts w:ascii="Times New Roman" w:hAnsi="Times New Roman"/>
          <w:iCs/>
          <w:sz w:val="24"/>
          <w:szCs w:val="24"/>
        </w:rPr>
      </w:pPr>
      <w:r>
        <w:rPr>
          <w:rFonts w:ascii="Times New Roman" w:hAnsi="Times New Roman"/>
          <w:iCs/>
          <w:sz w:val="24"/>
          <w:szCs w:val="24"/>
        </w:rPr>
        <w:t xml:space="preserve">Given the data in the shaded columns of Table </w:t>
      </w:r>
      <w:r w:rsidR="000D7A13">
        <w:rPr>
          <w:rFonts w:ascii="Times New Roman" w:hAnsi="Times New Roman"/>
          <w:iCs/>
          <w:sz w:val="24"/>
          <w:szCs w:val="24"/>
        </w:rPr>
        <w:t>4</w:t>
      </w:r>
      <w:r>
        <w:rPr>
          <w:rFonts w:ascii="Times New Roman" w:hAnsi="Times New Roman"/>
          <w:iCs/>
          <w:sz w:val="24"/>
          <w:szCs w:val="24"/>
        </w:rPr>
        <w:t xml:space="preserve">.5, our 2014-19 historical simulation implied that Canada, Mexico, China, India </w:t>
      </w:r>
      <w:r w:rsidRPr="00AE5156">
        <w:rPr>
          <w:rFonts w:ascii="Times New Roman" w:hAnsi="Times New Roman"/>
          <w:iCs/>
          <w:sz w:val="24"/>
          <w:szCs w:val="24"/>
        </w:rPr>
        <w:t xml:space="preserve">and </w:t>
      </w:r>
      <w:r w:rsidR="00AE32F4" w:rsidRPr="00AE5156">
        <w:rPr>
          <w:rFonts w:ascii="Times New Roman" w:hAnsi="Times New Roman"/>
          <w:iCs/>
          <w:sz w:val="24"/>
          <w:szCs w:val="24"/>
        </w:rPr>
        <w:t>Saudi Arabia</w:t>
      </w:r>
      <w:r w:rsidRPr="00AE5156">
        <w:rPr>
          <w:rFonts w:ascii="Times New Roman" w:hAnsi="Times New Roman"/>
          <w:iCs/>
          <w:sz w:val="24"/>
          <w:szCs w:val="24"/>
        </w:rPr>
        <w:t xml:space="preserve"> increased both their private and public consumption more rapidly than can be explained by the increases in their net national products: they experienced increases in their private and public average propensities to consume.  By contrast</w:t>
      </w:r>
      <w:r w:rsidR="002656CC">
        <w:rPr>
          <w:rFonts w:ascii="Times New Roman" w:hAnsi="Times New Roman"/>
          <w:iCs/>
          <w:sz w:val="24"/>
          <w:szCs w:val="24"/>
        </w:rPr>
        <w:t>,</w:t>
      </w:r>
      <w:r w:rsidR="00AE32F4" w:rsidRPr="00AE5156">
        <w:rPr>
          <w:rFonts w:ascii="Times New Roman" w:hAnsi="Times New Roman"/>
          <w:iCs/>
          <w:sz w:val="24"/>
          <w:szCs w:val="24"/>
        </w:rPr>
        <w:t xml:space="preserve"> UK</w:t>
      </w:r>
      <w:r w:rsidRPr="00AE5156">
        <w:rPr>
          <w:rFonts w:ascii="Times New Roman" w:hAnsi="Times New Roman"/>
          <w:iCs/>
          <w:sz w:val="24"/>
          <w:szCs w:val="24"/>
        </w:rPr>
        <w:t xml:space="preserve"> and RoEU reduced their average propensities to consume.  For the remaining regions, one propensity increased and one fell.  </w:t>
      </w:r>
      <w:r w:rsidR="009E4B65" w:rsidRPr="00AE5156">
        <w:rPr>
          <w:rFonts w:ascii="Times New Roman" w:hAnsi="Times New Roman"/>
          <w:iCs/>
          <w:sz w:val="24"/>
          <w:szCs w:val="24"/>
        </w:rPr>
        <w:t xml:space="preserve">As mentioned earlier, at a global level consumption propensities </w:t>
      </w:r>
      <w:r w:rsidR="00D8780C" w:rsidRPr="00AE5156">
        <w:rPr>
          <w:rFonts w:ascii="Times New Roman" w:hAnsi="Times New Roman"/>
          <w:iCs/>
          <w:sz w:val="24"/>
          <w:szCs w:val="24"/>
        </w:rPr>
        <w:t>decreased.  G</w:t>
      </w:r>
      <w:r w:rsidR="009E4B65" w:rsidRPr="00AE5156">
        <w:rPr>
          <w:rFonts w:ascii="Times New Roman" w:hAnsi="Times New Roman"/>
          <w:iCs/>
          <w:sz w:val="24"/>
          <w:szCs w:val="24"/>
        </w:rPr>
        <w:t>lobal saving increase</w:t>
      </w:r>
      <w:r w:rsidR="00D8780C" w:rsidRPr="00AE5156">
        <w:rPr>
          <w:rFonts w:ascii="Times New Roman" w:hAnsi="Times New Roman"/>
          <w:iCs/>
          <w:sz w:val="24"/>
          <w:szCs w:val="24"/>
        </w:rPr>
        <w:t>d</w:t>
      </w:r>
      <w:r w:rsidR="009E4B65" w:rsidRPr="00AE5156">
        <w:rPr>
          <w:rFonts w:ascii="Times New Roman" w:hAnsi="Times New Roman"/>
          <w:iCs/>
          <w:sz w:val="24"/>
          <w:szCs w:val="24"/>
        </w:rPr>
        <w:t xml:space="preserve"> relative to global GDP</w:t>
      </w:r>
      <w:r w:rsidR="00D8780C" w:rsidRPr="00AE5156">
        <w:rPr>
          <w:rFonts w:ascii="Times New Roman" w:hAnsi="Times New Roman"/>
          <w:iCs/>
          <w:sz w:val="24"/>
          <w:szCs w:val="24"/>
        </w:rPr>
        <w:t xml:space="preserve"> generating continuing downward pressure on returns to capital. </w:t>
      </w:r>
      <w:r w:rsidRPr="00AE5156">
        <w:rPr>
          <w:rFonts w:ascii="Times New Roman" w:hAnsi="Times New Roman"/>
          <w:iCs/>
          <w:sz w:val="24"/>
          <w:szCs w:val="24"/>
        </w:rPr>
        <w:t xml:space="preserve">  </w:t>
      </w:r>
    </w:p>
    <w:p w:rsidR="00E20B9E" w:rsidRPr="006B1EE3" w:rsidRDefault="006B1EE3" w:rsidP="006B1EE3">
      <w:pPr>
        <w:rPr>
          <w:rFonts w:ascii="Times New Roman" w:hAnsi="Times New Roman"/>
          <w:b/>
          <w:i/>
          <w:iCs/>
          <w:sz w:val="24"/>
          <w:szCs w:val="24"/>
        </w:rPr>
      </w:pPr>
      <w:r>
        <w:rPr>
          <w:rFonts w:ascii="Times New Roman" w:hAnsi="Times New Roman"/>
          <w:b/>
          <w:i/>
          <w:iCs/>
          <w:sz w:val="24"/>
          <w:szCs w:val="24"/>
        </w:rPr>
        <w:br w:type="page"/>
      </w:r>
    </w:p>
    <w:p w:rsidR="00E20B9E" w:rsidRDefault="00E20B9E" w:rsidP="004E1D52">
      <w:pPr>
        <w:ind w:left="0"/>
        <w:rPr>
          <w:rFonts w:ascii="Times New Roman" w:hAnsi="Times New Roman"/>
          <w:sz w:val="24"/>
          <w:szCs w:val="24"/>
        </w:rPr>
        <w:sectPr w:rsidR="00E20B9E" w:rsidSect="0059134D">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1440" w:left="1440" w:header="708" w:footer="708" w:gutter="0"/>
          <w:cols w:space="708"/>
          <w:docGrid w:linePitch="360"/>
        </w:sectPr>
      </w:pPr>
    </w:p>
    <w:p w:rsidR="00E20B9E" w:rsidRPr="00783643" w:rsidRDefault="00E20B9E" w:rsidP="00E20B9E">
      <w:pPr>
        <w:ind w:left="0"/>
        <w:jc w:val="center"/>
        <w:rPr>
          <w:rFonts w:ascii="Times New Roman" w:hAnsi="Times New Roman"/>
          <w:b/>
          <w:i/>
          <w:iCs/>
          <w:sz w:val="24"/>
          <w:szCs w:val="24"/>
        </w:rPr>
      </w:pPr>
      <w:r>
        <w:rPr>
          <w:rFonts w:ascii="Times New Roman" w:hAnsi="Times New Roman"/>
          <w:b/>
          <w:i/>
          <w:iCs/>
          <w:sz w:val="24"/>
          <w:szCs w:val="24"/>
        </w:rPr>
        <w:lastRenderedPageBreak/>
        <w:t xml:space="preserve">Table 4.5.  Percentage changes between 2014 and 2019 in real GDP and its expenditure components, and related consumption propensities, investment propensities and preference twists  </w:t>
      </w:r>
    </w:p>
    <w:tbl>
      <w:tblPr>
        <w:tblW w:w="12602" w:type="dxa"/>
        <w:tblLook w:val="04A0" w:firstRow="1" w:lastRow="0" w:firstColumn="1" w:lastColumn="0" w:noHBand="0" w:noVBand="1"/>
      </w:tblPr>
      <w:tblGrid>
        <w:gridCol w:w="1382"/>
        <w:gridCol w:w="1170"/>
        <w:gridCol w:w="1250"/>
        <w:gridCol w:w="1180"/>
        <w:gridCol w:w="1108"/>
        <w:gridCol w:w="1073"/>
        <w:gridCol w:w="1073"/>
        <w:gridCol w:w="1103"/>
        <w:gridCol w:w="1103"/>
        <w:gridCol w:w="1064"/>
        <w:gridCol w:w="1096"/>
      </w:tblGrid>
      <w:tr w:rsidR="0083655D" w:rsidRPr="00C600BB" w:rsidTr="00C600BB">
        <w:tc>
          <w:tcPr>
            <w:tcW w:w="1382" w:type="dxa"/>
            <w:tcBorders>
              <w:top w:val="single" w:sz="18" w:space="0" w:color="7F7F7F"/>
              <w:bottom w:val="single" w:sz="4" w:space="0" w:color="7F7F7F"/>
              <w:right w:val="single" w:sz="18" w:space="0" w:color="7F7F7F"/>
            </w:tcBorders>
            <w:shd w:val="clear" w:color="auto" w:fill="auto"/>
            <w:vAlign w:val="bottom"/>
          </w:tcPr>
          <w:p w:rsidR="00E20B9E" w:rsidRPr="00C600BB" w:rsidRDefault="00E20B9E" w:rsidP="00C600BB">
            <w:pPr>
              <w:spacing w:before="0" w:line="240" w:lineRule="auto"/>
              <w:rPr>
                <w:rFonts w:ascii="Times New Roman" w:hAnsi="Times New Roman"/>
                <w:sz w:val="20"/>
                <w:szCs w:val="20"/>
              </w:rPr>
            </w:pPr>
          </w:p>
        </w:tc>
        <w:tc>
          <w:tcPr>
            <w:tcW w:w="1170" w:type="dxa"/>
            <w:tcBorders>
              <w:top w:val="single" w:sz="18" w:space="0" w:color="7F7F7F"/>
              <w:left w:val="single" w:sz="18" w:space="0" w:color="7F7F7F"/>
              <w:bottom w:val="single" w:sz="4"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Real GDP</w:t>
            </w:r>
          </w:p>
        </w:tc>
        <w:tc>
          <w:tcPr>
            <w:tcW w:w="1250" w:type="dxa"/>
            <w:tcBorders>
              <w:top w:val="single" w:sz="18" w:space="0" w:color="7F7F7F"/>
              <w:left w:val="single" w:sz="4" w:space="0" w:color="7F7F7F"/>
              <w:bottom w:val="single" w:sz="4" w:space="0" w:color="7F7F7F"/>
              <w:right w:val="single" w:sz="4" w:space="0" w:color="7F7F7F"/>
            </w:tcBorders>
            <w:shd w:val="clear" w:color="auto" w:fill="FFFFCC"/>
          </w:tcPr>
          <w:p w:rsidR="00E20B9E" w:rsidRPr="00C600BB" w:rsidRDefault="00E20B9E" w:rsidP="00C600BB">
            <w:pPr>
              <w:spacing w:before="0" w:line="240" w:lineRule="auto"/>
              <w:ind w:left="0"/>
              <w:jc w:val="center"/>
              <w:rPr>
                <w:rFonts w:ascii="Times New Roman" w:hAnsi="Times New Roman"/>
                <w:color w:val="000000"/>
                <w:sz w:val="20"/>
                <w:szCs w:val="20"/>
              </w:rPr>
            </w:pPr>
            <w:r w:rsidRPr="00C600BB">
              <w:rPr>
                <w:rFonts w:ascii="Times New Roman" w:hAnsi="Times New Roman"/>
                <w:color w:val="000000"/>
                <w:sz w:val="20"/>
                <w:szCs w:val="20"/>
              </w:rPr>
              <w:t>Real private consumption</w:t>
            </w:r>
          </w:p>
        </w:tc>
        <w:tc>
          <w:tcPr>
            <w:tcW w:w="1180" w:type="dxa"/>
            <w:tcBorders>
              <w:top w:val="single" w:sz="18" w:space="0" w:color="7F7F7F"/>
              <w:left w:val="single" w:sz="4" w:space="0" w:color="7F7F7F"/>
              <w:bottom w:val="single" w:sz="4" w:space="0" w:color="7F7F7F"/>
              <w:right w:val="single" w:sz="4" w:space="0" w:color="7F7F7F"/>
            </w:tcBorders>
            <w:shd w:val="clear" w:color="auto" w:fill="FFFFCC"/>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Real Gov consumption</w:t>
            </w:r>
          </w:p>
        </w:tc>
        <w:tc>
          <w:tcPr>
            <w:tcW w:w="1108" w:type="dxa"/>
            <w:tcBorders>
              <w:top w:val="single" w:sz="18" w:space="0" w:color="7F7F7F"/>
              <w:left w:val="single" w:sz="4" w:space="0" w:color="7F7F7F"/>
              <w:bottom w:val="single" w:sz="4" w:space="0" w:color="7F7F7F"/>
              <w:right w:val="single" w:sz="4" w:space="0" w:color="7F7F7F"/>
            </w:tcBorders>
            <w:shd w:val="clear" w:color="auto" w:fill="FFFFCC"/>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Real investment</w:t>
            </w:r>
          </w:p>
        </w:tc>
        <w:tc>
          <w:tcPr>
            <w:tcW w:w="1073" w:type="dxa"/>
            <w:tcBorders>
              <w:top w:val="single" w:sz="18" w:space="0" w:color="7F7F7F"/>
              <w:left w:val="single" w:sz="4" w:space="0" w:color="7F7F7F"/>
              <w:bottom w:val="single" w:sz="4" w:space="0" w:color="7F7F7F"/>
              <w:right w:val="single" w:sz="4" w:space="0" w:color="7F7F7F"/>
            </w:tcBorders>
            <w:shd w:val="clear" w:color="auto" w:fill="FFFFCC"/>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Export volumes</w:t>
            </w:r>
          </w:p>
        </w:tc>
        <w:tc>
          <w:tcPr>
            <w:tcW w:w="1073" w:type="dxa"/>
            <w:tcBorders>
              <w:top w:val="single" w:sz="18" w:space="0" w:color="7F7F7F"/>
              <w:left w:val="single" w:sz="4" w:space="0" w:color="7F7F7F"/>
              <w:bottom w:val="single" w:sz="4" w:space="0" w:color="7F7F7F"/>
              <w:right w:val="single" w:sz="4" w:space="0" w:color="7F7F7F"/>
            </w:tcBorders>
            <w:shd w:val="clear" w:color="auto" w:fill="FFFFCC"/>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Import volumes</w:t>
            </w:r>
          </w:p>
        </w:tc>
        <w:tc>
          <w:tcPr>
            <w:tcW w:w="1103" w:type="dxa"/>
            <w:tcBorders>
              <w:top w:val="single" w:sz="18" w:space="0" w:color="7F7F7F"/>
              <w:left w:val="single" w:sz="4" w:space="0" w:color="7F7F7F"/>
              <w:bottom w:val="single" w:sz="4" w:space="0" w:color="7F7F7F"/>
            </w:tcBorders>
            <w:shd w:val="clear" w:color="auto" w:fill="auto"/>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Private cons. propensity</w:t>
            </w:r>
          </w:p>
        </w:tc>
        <w:tc>
          <w:tcPr>
            <w:tcW w:w="1103" w:type="dxa"/>
            <w:tcBorders>
              <w:top w:val="single" w:sz="18" w:space="0" w:color="7F7F7F"/>
              <w:left w:val="single" w:sz="4" w:space="0" w:color="7F7F7F"/>
              <w:bottom w:val="single" w:sz="4" w:space="0" w:color="7F7F7F"/>
            </w:tcBorders>
            <w:shd w:val="clear" w:color="auto" w:fill="auto"/>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Public cons. propensity</w:t>
            </w:r>
          </w:p>
        </w:tc>
        <w:tc>
          <w:tcPr>
            <w:tcW w:w="1064" w:type="dxa"/>
            <w:tcBorders>
              <w:top w:val="single" w:sz="18" w:space="0" w:color="7F7F7F"/>
              <w:left w:val="single" w:sz="4" w:space="0" w:color="7F7F7F"/>
              <w:bottom w:val="single" w:sz="4" w:space="0" w:color="7F7F7F"/>
            </w:tcBorders>
            <w:shd w:val="clear" w:color="auto" w:fill="auto"/>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Investment propensity</w:t>
            </w:r>
          </w:p>
        </w:tc>
        <w:tc>
          <w:tcPr>
            <w:tcW w:w="1096" w:type="dxa"/>
            <w:tcBorders>
              <w:top w:val="single" w:sz="18" w:space="0" w:color="7F7F7F"/>
              <w:left w:val="single" w:sz="4" w:space="0" w:color="7F7F7F"/>
              <w:bottom w:val="single" w:sz="4" w:space="0" w:color="7F7F7F"/>
            </w:tcBorders>
            <w:shd w:val="clear" w:color="auto" w:fill="auto"/>
          </w:tcPr>
          <w:p w:rsidR="00E20B9E" w:rsidRPr="00C600BB" w:rsidRDefault="00E20B9E" w:rsidP="00C600BB">
            <w:pPr>
              <w:spacing w:before="0" w:line="240" w:lineRule="auto"/>
              <w:ind w:left="-70"/>
              <w:jc w:val="center"/>
              <w:rPr>
                <w:rFonts w:ascii="Times New Roman" w:hAnsi="Times New Roman"/>
                <w:color w:val="000000"/>
                <w:sz w:val="20"/>
                <w:szCs w:val="20"/>
              </w:rPr>
            </w:pPr>
            <w:r w:rsidRPr="00C600BB">
              <w:rPr>
                <w:rFonts w:ascii="Times New Roman" w:hAnsi="Times New Roman"/>
                <w:color w:val="000000"/>
                <w:sz w:val="20"/>
                <w:szCs w:val="20"/>
              </w:rPr>
              <w:t>Pref twist towards imports</w:t>
            </w:r>
          </w:p>
        </w:tc>
      </w:tr>
      <w:tr w:rsidR="0083655D" w:rsidRPr="00C600BB" w:rsidTr="00C600BB">
        <w:tc>
          <w:tcPr>
            <w:tcW w:w="1382" w:type="dxa"/>
            <w:tcBorders>
              <w:top w:val="single" w:sz="4" w:space="0" w:color="7F7F7F"/>
              <w:bottom w:val="single" w:sz="18" w:space="0" w:color="7F7F7F"/>
              <w:right w:val="single" w:sz="18" w:space="0" w:color="7F7F7F"/>
            </w:tcBorders>
            <w:shd w:val="clear" w:color="auto" w:fill="auto"/>
            <w:vAlign w:val="bottom"/>
          </w:tcPr>
          <w:p w:rsidR="00E20B9E" w:rsidRPr="00C600BB" w:rsidRDefault="00E20B9E" w:rsidP="00C600BB">
            <w:pPr>
              <w:spacing w:before="0" w:line="240" w:lineRule="auto"/>
              <w:rPr>
                <w:rFonts w:ascii="Times New Roman" w:hAnsi="Times New Roman"/>
                <w:sz w:val="20"/>
                <w:szCs w:val="20"/>
              </w:rPr>
            </w:pPr>
          </w:p>
        </w:tc>
        <w:tc>
          <w:tcPr>
            <w:tcW w:w="1170" w:type="dxa"/>
            <w:tcBorders>
              <w:top w:val="single" w:sz="4" w:space="0" w:color="7F7F7F"/>
              <w:left w:val="single" w:sz="18"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qgdp</w:t>
            </w:r>
          </w:p>
        </w:tc>
        <w:tc>
          <w:tcPr>
            <w:tcW w:w="1250" w:type="dxa"/>
            <w:tcBorders>
              <w:top w:val="single" w:sz="4" w:space="0" w:color="7F7F7F"/>
              <w:left w:val="single" w:sz="4"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cr</w:t>
            </w:r>
          </w:p>
        </w:tc>
        <w:tc>
          <w:tcPr>
            <w:tcW w:w="1180" w:type="dxa"/>
            <w:tcBorders>
              <w:top w:val="single" w:sz="4" w:space="0" w:color="7F7F7F"/>
              <w:left w:val="single" w:sz="4"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gr</w:t>
            </w:r>
          </w:p>
        </w:tc>
        <w:tc>
          <w:tcPr>
            <w:tcW w:w="1108" w:type="dxa"/>
            <w:tcBorders>
              <w:top w:val="single" w:sz="4" w:space="0" w:color="7F7F7F"/>
              <w:left w:val="single" w:sz="4"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qcgds</w:t>
            </w:r>
          </w:p>
        </w:tc>
        <w:tc>
          <w:tcPr>
            <w:tcW w:w="1073" w:type="dxa"/>
            <w:tcBorders>
              <w:top w:val="single" w:sz="4" w:space="0" w:color="7F7F7F"/>
              <w:left w:val="single" w:sz="4"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expvol</w:t>
            </w:r>
          </w:p>
        </w:tc>
        <w:tc>
          <w:tcPr>
            <w:tcW w:w="1073" w:type="dxa"/>
            <w:tcBorders>
              <w:top w:val="single" w:sz="4" w:space="0" w:color="7F7F7F"/>
              <w:left w:val="single" w:sz="4" w:space="0" w:color="7F7F7F"/>
              <w:bottom w:val="single" w:sz="18" w:space="0" w:color="7F7F7F"/>
              <w:right w:val="single" w:sz="4" w:space="0" w:color="7F7F7F"/>
            </w:tcBorders>
            <w:shd w:val="clear" w:color="auto" w:fill="FFFFCC"/>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impvol</w:t>
            </w:r>
          </w:p>
        </w:tc>
        <w:tc>
          <w:tcPr>
            <w:tcW w:w="1103" w:type="dxa"/>
            <w:tcBorders>
              <w:top w:val="single" w:sz="4" w:space="0" w:color="7F7F7F"/>
              <w:left w:val="single" w:sz="4" w:space="0" w:color="7F7F7F"/>
              <w:bottom w:val="single" w:sz="18"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apcnnp</w:t>
            </w:r>
          </w:p>
        </w:tc>
        <w:tc>
          <w:tcPr>
            <w:tcW w:w="1103" w:type="dxa"/>
            <w:tcBorders>
              <w:top w:val="single" w:sz="4" w:space="0" w:color="7F7F7F"/>
              <w:left w:val="single" w:sz="4" w:space="0" w:color="7F7F7F"/>
              <w:bottom w:val="single" w:sz="18"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dpgov</w:t>
            </w:r>
          </w:p>
        </w:tc>
        <w:tc>
          <w:tcPr>
            <w:tcW w:w="1064" w:type="dxa"/>
            <w:tcBorders>
              <w:top w:val="single" w:sz="4" w:space="0" w:color="7F7F7F"/>
              <w:left w:val="single" w:sz="4" w:space="0" w:color="7F7F7F"/>
              <w:bottom w:val="single" w:sz="18"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f_ke</w:t>
            </w:r>
          </w:p>
        </w:tc>
        <w:tc>
          <w:tcPr>
            <w:tcW w:w="1096" w:type="dxa"/>
            <w:tcBorders>
              <w:top w:val="single" w:sz="4" w:space="0" w:color="7F7F7F"/>
              <w:left w:val="single" w:sz="4" w:space="0" w:color="7F7F7F"/>
              <w:bottom w:val="single" w:sz="18" w:space="0" w:color="7F7F7F"/>
            </w:tcBorders>
            <w:shd w:val="clear" w:color="auto" w:fill="auto"/>
          </w:tcPr>
          <w:p w:rsidR="00E20B9E" w:rsidRPr="00C600BB" w:rsidRDefault="00E20B9E"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twist_src_i</w:t>
            </w:r>
          </w:p>
        </w:tc>
      </w:tr>
      <w:tr w:rsidR="001D598F" w:rsidRPr="00C600BB" w:rsidTr="0011044D">
        <w:tc>
          <w:tcPr>
            <w:tcW w:w="1382" w:type="dxa"/>
            <w:tcBorders>
              <w:top w:val="single" w:sz="18" w:space="0" w:color="7F7F7F"/>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USA</w:t>
            </w:r>
          </w:p>
        </w:tc>
        <w:tc>
          <w:tcPr>
            <w:tcW w:w="1170" w:type="dxa"/>
            <w:tcBorders>
              <w:top w:val="single" w:sz="18" w:space="0" w:color="7F7F7F"/>
              <w:left w:val="single" w:sz="18" w:space="0" w:color="7F7F7F"/>
              <w:right w:val="single" w:sz="4" w:space="0" w:color="7F7F7F"/>
            </w:tcBorders>
            <w:shd w:val="clear" w:color="auto" w:fill="FFFFCC"/>
            <w:vAlign w:val="bottom"/>
          </w:tcPr>
          <w:p w:rsidR="001D598F" w:rsidRPr="001D598F" w:rsidRDefault="001D598F" w:rsidP="001D598F">
            <w:pPr>
              <w:spacing w:before="0"/>
              <w:ind w:left="0"/>
              <w:jc w:val="right"/>
              <w:rPr>
                <w:rFonts w:ascii="Times New Roman" w:hAnsi="Times New Roman"/>
                <w:color w:val="000000"/>
                <w:sz w:val="20"/>
                <w:szCs w:val="20"/>
                <w:lang w:eastAsia="en-AU"/>
              </w:rPr>
            </w:pPr>
            <w:r w:rsidRPr="001D598F">
              <w:rPr>
                <w:rFonts w:ascii="Times New Roman" w:hAnsi="Times New Roman"/>
                <w:color w:val="000000"/>
                <w:sz w:val="20"/>
                <w:szCs w:val="20"/>
              </w:rPr>
              <w:t>12.58</w:t>
            </w:r>
          </w:p>
        </w:tc>
        <w:tc>
          <w:tcPr>
            <w:tcW w:w="1250" w:type="dxa"/>
            <w:tcBorders>
              <w:top w:val="single" w:sz="18" w:space="0" w:color="7F7F7F"/>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13.70</w:t>
            </w:r>
          </w:p>
        </w:tc>
        <w:tc>
          <w:tcPr>
            <w:tcW w:w="1180" w:type="dxa"/>
            <w:tcBorders>
              <w:top w:val="single" w:sz="18" w:space="0" w:color="7F7F7F"/>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8.20</w:t>
            </w:r>
          </w:p>
        </w:tc>
        <w:tc>
          <w:tcPr>
            <w:tcW w:w="1108" w:type="dxa"/>
            <w:tcBorders>
              <w:top w:val="single" w:sz="18" w:space="0" w:color="7F7F7F"/>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17.60</w:t>
            </w:r>
          </w:p>
        </w:tc>
        <w:tc>
          <w:tcPr>
            <w:tcW w:w="1073" w:type="dxa"/>
            <w:tcBorders>
              <w:top w:val="single" w:sz="18" w:space="0" w:color="7F7F7F"/>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8.74</w:t>
            </w:r>
          </w:p>
        </w:tc>
        <w:tc>
          <w:tcPr>
            <w:tcW w:w="1073" w:type="dxa"/>
            <w:tcBorders>
              <w:top w:val="single" w:sz="18" w:space="0" w:color="7F7F7F"/>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17.50</w:t>
            </w:r>
          </w:p>
        </w:tc>
        <w:tc>
          <w:tcPr>
            <w:tcW w:w="1103" w:type="dxa"/>
            <w:tcBorders>
              <w:top w:val="single" w:sz="18" w:space="0" w:color="7F7F7F"/>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0.21</w:t>
            </w:r>
          </w:p>
        </w:tc>
        <w:tc>
          <w:tcPr>
            <w:tcW w:w="1103" w:type="dxa"/>
            <w:tcBorders>
              <w:top w:val="single" w:sz="18" w:space="0" w:color="7F7F7F"/>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-0.55</w:t>
            </w:r>
          </w:p>
        </w:tc>
        <w:tc>
          <w:tcPr>
            <w:tcW w:w="1064" w:type="dxa"/>
            <w:tcBorders>
              <w:top w:val="single" w:sz="18" w:space="0" w:color="7F7F7F"/>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0.65</w:t>
            </w:r>
          </w:p>
        </w:tc>
        <w:tc>
          <w:tcPr>
            <w:tcW w:w="1096" w:type="dxa"/>
            <w:tcBorders>
              <w:top w:val="single" w:sz="18" w:space="0" w:color="7F7F7F"/>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-25.37</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Canada</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9.78</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12.90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9.80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-2.70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13.86</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9.40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2.92</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1.54</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-0.45</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14.21</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Mexico</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10.33</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13.10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6.30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26.19</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22.40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0.88</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0.28</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-2.70</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73.62</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China</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37.96</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48.50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45.30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30.20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11.45</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15.20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7.09</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12.89</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-0.75</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-9.22</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Japan</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4.37</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0.00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6.70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7.60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14.66</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7.50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-5.22</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6.30</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-0.86</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-18.97</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SKorea</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14.88</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13.50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26.30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21.50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9.94</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16.60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-4.97</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15.70</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-1.03</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-21.74</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India</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35.05</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39.70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40.80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30.60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12.35</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24.50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3.36</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13.00</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-2.68</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-3.03</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France</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8.32</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7.70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5.70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16.20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18.47</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20.10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-2.21</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0.12</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0.25</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14.68</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Germany</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8.85</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9.20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12.60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13.50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17.67</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24.40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-3.96</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3.48</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-0.74</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10.13</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UK</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10.62</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12.80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7.00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7.30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20.68</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19.60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-0.83</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-2.11</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-1.55</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21.82</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RoEU</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13.37</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11.60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6.60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32.80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29.30</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33.10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-4.40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-4.38</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-2.12</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29.69</w:t>
            </w:r>
          </w:p>
        </w:tc>
      </w:tr>
      <w:tr w:rsidR="001D598F" w:rsidRPr="00C600BB" w:rsidTr="0011044D">
        <w:tc>
          <w:tcPr>
            <w:tcW w:w="1382" w:type="dxa"/>
            <w:tcBorders>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SaudiArabia</w:t>
            </w:r>
          </w:p>
        </w:tc>
        <w:tc>
          <w:tcPr>
            <w:tcW w:w="1170" w:type="dxa"/>
            <w:tcBorders>
              <w:left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8.04</w:t>
            </w:r>
          </w:p>
        </w:tc>
        <w:tc>
          <w:tcPr>
            <w:tcW w:w="125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19.00</w:t>
            </w:r>
          </w:p>
        </w:tc>
        <w:tc>
          <w:tcPr>
            <w:tcW w:w="1180"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-13.00</w:t>
            </w:r>
          </w:p>
        </w:tc>
        <w:tc>
          <w:tcPr>
            <w:tcW w:w="1108"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-3.30</w:t>
            </w:r>
          </w:p>
        </w:tc>
        <w:tc>
          <w:tcPr>
            <w:tcW w:w="1073" w:type="dxa"/>
            <w:tcBorders>
              <w:left w:val="single" w:sz="4"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7.64</w:t>
            </w:r>
          </w:p>
        </w:tc>
        <w:tc>
          <w:tcPr>
            <w:tcW w:w="1073" w:type="dxa"/>
            <w:tcBorders>
              <w:left w:val="single" w:sz="4"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-8.80</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30.42</w:t>
            </w:r>
          </w:p>
        </w:tc>
        <w:tc>
          <w:tcPr>
            <w:tcW w:w="1103"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3.70</w:t>
            </w:r>
          </w:p>
        </w:tc>
        <w:tc>
          <w:tcPr>
            <w:tcW w:w="1064"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-4.38</w:t>
            </w:r>
          </w:p>
        </w:tc>
        <w:tc>
          <w:tcPr>
            <w:tcW w:w="1096" w:type="dxa"/>
            <w:tcBorders>
              <w:left w:val="single" w:sz="4"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-58.72</w:t>
            </w:r>
          </w:p>
        </w:tc>
      </w:tr>
      <w:tr w:rsidR="001D598F" w:rsidRPr="00C600BB" w:rsidTr="0011044D">
        <w:tc>
          <w:tcPr>
            <w:tcW w:w="1382" w:type="dxa"/>
            <w:tcBorders>
              <w:bottom w:val="single" w:sz="18" w:space="0" w:color="7F7F7F"/>
              <w:right w:val="single" w:sz="18" w:space="0" w:color="7F7F7F"/>
            </w:tcBorders>
            <w:shd w:val="clear" w:color="auto" w:fill="auto"/>
            <w:vAlign w:val="bottom"/>
          </w:tcPr>
          <w:p w:rsidR="001D598F" w:rsidRPr="00C600BB" w:rsidRDefault="001D598F" w:rsidP="001D598F">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RoW</w:t>
            </w:r>
          </w:p>
        </w:tc>
        <w:tc>
          <w:tcPr>
            <w:tcW w:w="1170" w:type="dxa"/>
            <w:tcBorders>
              <w:left w:val="single" w:sz="18" w:space="0" w:color="7F7F7F"/>
              <w:bottom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14.33</w:t>
            </w:r>
          </w:p>
        </w:tc>
        <w:tc>
          <w:tcPr>
            <w:tcW w:w="1250" w:type="dxa"/>
            <w:tcBorders>
              <w:left w:val="single" w:sz="4" w:space="0" w:color="7F7F7F"/>
              <w:bottom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8.15</w:t>
            </w:r>
          </w:p>
        </w:tc>
        <w:tc>
          <w:tcPr>
            <w:tcW w:w="1180" w:type="dxa"/>
            <w:tcBorders>
              <w:left w:val="single" w:sz="4" w:space="0" w:color="7F7F7F"/>
              <w:bottom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20.97</w:t>
            </w:r>
          </w:p>
        </w:tc>
        <w:tc>
          <w:tcPr>
            <w:tcW w:w="1108" w:type="dxa"/>
            <w:tcBorders>
              <w:left w:val="single" w:sz="4" w:space="0" w:color="7F7F7F"/>
              <w:bottom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14.91</w:t>
            </w:r>
          </w:p>
        </w:tc>
        <w:tc>
          <w:tcPr>
            <w:tcW w:w="1073" w:type="dxa"/>
            <w:tcBorders>
              <w:left w:val="single" w:sz="4" w:space="0" w:color="7F7F7F"/>
              <w:bottom w:val="single" w:sz="18" w:space="0" w:color="7F7F7F"/>
              <w:right w:val="single" w:sz="4" w:space="0" w:color="7F7F7F"/>
            </w:tcBorders>
            <w:shd w:val="clear" w:color="auto" w:fill="FFFFCC"/>
            <w:vAlign w:val="bottom"/>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19.45</w:t>
            </w:r>
          </w:p>
        </w:tc>
        <w:tc>
          <w:tcPr>
            <w:tcW w:w="1073" w:type="dxa"/>
            <w:tcBorders>
              <w:left w:val="single" w:sz="4" w:space="0" w:color="7F7F7F"/>
              <w:bottom w:val="single" w:sz="18" w:space="0" w:color="7F7F7F"/>
              <w:right w:val="single" w:sz="4" w:space="0" w:color="7F7F7F"/>
            </w:tcBorders>
            <w:shd w:val="clear" w:color="auto" w:fill="FFFFCC"/>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11.49</w:t>
            </w:r>
          </w:p>
        </w:tc>
        <w:tc>
          <w:tcPr>
            <w:tcW w:w="1103" w:type="dxa"/>
            <w:tcBorders>
              <w:left w:val="single" w:sz="4" w:space="0" w:color="7F7F7F"/>
              <w:bottom w:val="single" w:sz="18"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-4.31</w:t>
            </w:r>
          </w:p>
        </w:tc>
        <w:tc>
          <w:tcPr>
            <w:tcW w:w="1103" w:type="dxa"/>
            <w:tcBorders>
              <w:left w:val="single" w:sz="4" w:space="0" w:color="7F7F7F"/>
              <w:bottom w:val="single" w:sz="18"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13.95</w:t>
            </w:r>
          </w:p>
        </w:tc>
        <w:tc>
          <w:tcPr>
            <w:tcW w:w="1064" w:type="dxa"/>
            <w:tcBorders>
              <w:left w:val="single" w:sz="4" w:space="0" w:color="7F7F7F"/>
              <w:bottom w:val="single" w:sz="18"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-2.68</w:t>
            </w:r>
          </w:p>
        </w:tc>
        <w:tc>
          <w:tcPr>
            <w:tcW w:w="1096" w:type="dxa"/>
            <w:tcBorders>
              <w:left w:val="single" w:sz="4" w:space="0" w:color="7F7F7F"/>
              <w:bottom w:val="single" w:sz="18" w:space="0" w:color="7F7F7F"/>
            </w:tcBorders>
            <w:shd w:val="clear" w:color="auto" w:fill="auto"/>
            <w:vAlign w:val="center"/>
          </w:tcPr>
          <w:p w:rsidR="001D598F" w:rsidRPr="001D598F" w:rsidRDefault="001D598F" w:rsidP="001D598F">
            <w:pPr>
              <w:spacing w:before="0"/>
              <w:jc w:val="right"/>
              <w:rPr>
                <w:rFonts w:ascii="Times New Roman" w:hAnsi="Times New Roman"/>
                <w:color w:val="000000"/>
                <w:sz w:val="20"/>
                <w:szCs w:val="20"/>
              </w:rPr>
            </w:pPr>
            <w:r w:rsidRPr="001D598F">
              <w:rPr>
                <w:rFonts w:ascii="Times New Roman" w:hAnsi="Times New Roman"/>
                <w:color w:val="000000"/>
                <w:sz w:val="20"/>
                <w:szCs w:val="20"/>
              </w:rPr>
              <w:t>4.06</w:t>
            </w:r>
          </w:p>
        </w:tc>
      </w:tr>
    </w:tbl>
    <w:p w:rsidR="00E20B9E" w:rsidRDefault="00E20B9E" w:rsidP="004E1D52">
      <w:pPr>
        <w:ind w:left="0"/>
        <w:rPr>
          <w:rFonts w:ascii="Times New Roman" w:hAnsi="Times New Roman"/>
          <w:sz w:val="24"/>
          <w:szCs w:val="24"/>
        </w:rPr>
      </w:pPr>
    </w:p>
    <w:p w:rsidR="00E20B9E" w:rsidRDefault="00E20B9E" w:rsidP="004E1D52">
      <w:pPr>
        <w:ind w:left="0"/>
        <w:rPr>
          <w:rFonts w:ascii="Times New Roman" w:hAnsi="Times New Roman"/>
          <w:sz w:val="24"/>
          <w:szCs w:val="24"/>
        </w:rPr>
      </w:pPr>
    </w:p>
    <w:p w:rsidR="00E20B9E" w:rsidRDefault="00E20B9E" w:rsidP="004E1D52">
      <w:pPr>
        <w:ind w:left="0"/>
        <w:rPr>
          <w:rFonts w:ascii="Times New Roman" w:hAnsi="Times New Roman"/>
          <w:sz w:val="24"/>
          <w:szCs w:val="24"/>
        </w:rPr>
        <w:sectPr w:rsidR="00E20B9E" w:rsidSect="00E20B9E">
          <w:pgSz w:w="16838" w:h="11906" w:orient="landscape"/>
          <w:pgMar w:top="1440" w:right="1440" w:bottom="1440" w:left="1440" w:header="708" w:footer="708" w:gutter="0"/>
          <w:cols w:space="708"/>
          <w:docGrid w:linePitch="360"/>
        </w:sectPr>
      </w:pPr>
    </w:p>
    <w:p w:rsidR="00764943" w:rsidRDefault="00764943" w:rsidP="00764943">
      <w:pPr>
        <w:ind w:left="0"/>
        <w:rPr>
          <w:rFonts w:ascii="Times New Roman" w:hAnsi="Times New Roman"/>
          <w:iCs/>
          <w:sz w:val="24"/>
          <w:szCs w:val="24"/>
        </w:rPr>
      </w:pPr>
      <w:r w:rsidRPr="00AE5156">
        <w:rPr>
          <w:rFonts w:ascii="Times New Roman" w:hAnsi="Times New Roman"/>
          <w:iCs/>
          <w:sz w:val="24"/>
          <w:szCs w:val="24"/>
        </w:rPr>
        <w:lastRenderedPageBreak/>
        <w:t>In Table 4.5, we refer to a region’s investment in 2019 relative to capital growth anticipated out to 2030 as the region’s investment propensity.  This is the variable f_ke(r) in equation (4.4).  The movements in investment propensities in 2019 necessary to accommodate observed investment levels are positive for two regions and negative for the others.  Investment is a volatile variable.  In 2019 investment in the USA happened to be strong relative to its anticipatable future prospects [(f_ke(USA</w:t>
      </w:r>
      <w:r>
        <w:rPr>
          <w:rFonts w:ascii="Times New Roman" w:hAnsi="Times New Roman"/>
          <w:iCs/>
          <w:sz w:val="24"/>
          <w:szCs w:val="24"/>
        </w:rPr>
        <w:t xml:space="preserve">) was 0.65] whereas investment in Saudi Arabia happened to be weak [(f_ke(Saudi Arabia) was </w:t>
      </w:r>
      <w:r w:rsidRPr="002656CC">
        <w:rPr>
          <w:rFonts w:ascii="Times New Roman" w:hAnsi="Times New Roman"/>
          <w:iCs/>
          <w:sz w:val="24"/>
          <w:szCs w:val="24"/>
        </w:rPr>
        <w:t>-4.</w:t>
      </w:r>
      <w:r w:rsidR="00123B53" w:rsidRPr="002656CC">
        <w:rPr>
          <w:rFonts w:ascii="Times New Roman" w:hAnsi="Times New Roman"/>
          <w:iCs/>
          <w:sz w:val="24"/>
          <w:szCs w:val="24"/>
        </w:rPr>
        <w:t>38</w:t>
      </w:r>
      <w:r>
        <w:rPr>
          <w:rFonts w:ascii="Times New Roman" w:hAnsi="Times New Roman"/>
          <w:iCs/>
          <w:sz w:val="24"/>
          <w:szCs w:val="24"/>
        </w:rPr>
        <w:t xml:space="preserve">]. </w:t>
      </w:r>
    </w:p>
    <w:p w:rsidR="00AE5156" w:rsidRDefault="00AE5156" w:rsidP="00AE5156">
      <w:pPr>
        <w:ind w:left="0"/>
        <w:rPr>
          <w:rFonts w:ascii="Times New Roman" w:hAnsi="Times New Roman"/>
          <w:iCs/>
          <w:sz w:val="24"/>
          <w:szCs w:val="24"/>
        </w:rPr>
      </w:pPr>
      <w:r>
        <w:rPr>
          <w:rFonts w:ascii="Times New Roman" w:hAnsi="Times New Roman"/>
          <w:iCs/>
          <w:sz w:val="24"/>
          <w:szCs w:val="24"/>
        </w:rPr>
        <w:t xml:space="preserve">The final column of Table 4.5 shows a mixture of positives (preference twists towards imports) and negatives (preference twists against imports).  The twists were positive for the European regions (France, </w:t>
      </w:r>
      <w:r w:rsidRPr="00AE5156">
        <w:rPr>
          <w:rFonts w:ascii="Times New Roman" w:hAnsi="Times New Roman"/>
          <w:iCs/>
          <w:sz w:val="24"/>
          <w:szCs w:val="24"/>
        </w:rPr>
        <w:t>German, UK and RoEU) consistent with open-trade policies and lengthening supply chains.  Similarly, Canada and Mexico showed preference twists towards imports.  By contrast, the twist for the USA was negative, consistent with moves away from free-trade policies.  Both India and China had twists against imports, perhaps explained by increasing ability to produce commodities that compete successfully in their domestic markets with imports.</w:t>
      </w:r>
      <w:r>
        <w:rPr>
          <w:rFonts w:ascii="Times New Roman" w:hAnsi="Times New Roman"/>
          <w:iCs/>
          <w:sz w:val="24"/>
          <w:szCs w:val="24"/>
        </w:rPr>
        <w:t xml:space="preserve">  </w:t>
      </w:r>
    </w:p>
    <w:p w:rsidR="006B1EE3" w:rsidRPr="007336A2" w:rsidRDefault="006B1EE3" w:rsidP="006B1EE3">
      <w:pPr>
        <w:ind w:left="0"/>
        <w:rPr>
          <w:rFonts w:ascii="Times New Roman" w:hAnsi="Times New Roman"/>
          <w:b/>
          <w:i/>
          <w:iCs/>
          <w:sz w:val="24"/>
          <w:szCs w:val="24"/>
        </w:rPr>
      </w:pPr>
      <w:r>
        <w:rPr>
          <w:rFonts w:ascii="Times New Roman" w:hAnsi="Times New Roman"/>
          <w:b/>
          <w:i/>
          <w:iCs/>
          <w:sz w:val="24"/>
          <w:szCs w:val="24"/>
        </w:rPr>
        <w:t>World fossil-fuel variables</w:t>
      </w:r>
    </w:p>
    <w:p w:rsidR="00CB5068" w:rsidRDefault="006B1EE3" w:rsidP="00CB5068">
      <w:pPr>
        <w:ind w:left="0"/>
        <w:rPr>
          <w:rFonts w:ascii="Times New Roman" w:hAnsi="Times New Roman"/>
          <w:sz w:val="24"/>
          <w:szCs w:val="24"/>
        </w:rPr>
      </w:pPr>
      <w:r>
        <w:rPr>
          <w:rFonts w:ascii="Times New Roman" w:hAnsi="Times New Roman"/>
          <w:sz w:val="24"/>
          <w:szCs w:val="24"/>
        </w:rPr>
        <w:t>The last column of Table 4.6 shows sharp shifts against the use of fossil fuels, especially for coal.  The r</w:t>
      </w:r>
      <w:r w:rsidR="000A10D0">
        <w:rPr>
          <w:rFonts w:ascii="Times New Roman" w:hAnsi="Times New Roman"/>
          <w:sz w:val="24"/>
          <w:szCs w:val="24"/>
        </w:rPr>
        <w:t>esult for coal means that world</w:t>
      </w:r>
      <w:r>
        <w:rPr>
          <w:rFonts w:ascii="Times New Roman" w:hAnsi="Times New Roman"/>
          <w:sz w:val="24"/>
          <w:szCs w:val="24"/>
        </w:rPr>
        <w:t xml:space="preserve">wide use of coal in 2019 was </w:t>
      </w:r>
      <w:r w:rsidRPr="002656CC">
        <w:rPr>
          <w:rFonts w:ascii="Times New Roman" w:hAnsi="Times New Roman"/>
          <w:sz w:val="24"/>
          <w:szCs w:val="24"/>
        </w:rPr>
        <w:t>21.</w:t>
      </w:r>
      <w:r w:rsidR="004F4A6E" w:rsidRPr="002656CC">
        <w:rPr>
          <w:rFonts w:ascii="Times New Roman" w:hAnsi="Times New Roman"/>
          <w:sz w:val="24"/>
          <w:szCs w:val="24"/>
        </w:rPr>
        <w:t>47</w:t>
      </w:r>
      <w:r>
        <w:rPr>
          <w:rFonts w:ascii="Times New Roman" w:hAnsi="Times New Roman"/>
          <w:sz w:val="24"/>
          <w:szCs w:val="24"/>
        </w:rPr>
        <w:t xml:space="preserve"> per cent lower </w:t>
      </w:r>
      <w:r w:rsidR="00CB5068">
        <w:rPr>
          <w:rFonts w:ascii="Times New Roman" w:hAnsi="Times New Roman"/>
          <w:sz w:val="24"/>
          <w:szCs w:val="24"/>
        </w:rPr>
        <w:t>than can be explained by changes in activity by electricity industries and other coal user</w:t>
      </w:r>
      <w:r>
        <w:rPr>
          <w:rFonts w:ascii="Times New Roman" w:hAnsi="Times New Roman"/>
          <w:sz w:val="24"/>
          <w:szCs w:val="24"/>
        </w:rPr>
        <w:t>s</w:t>
      </w:r>
      <w:r w:rsidR="00CB5068">
        <w:rPr>
          <w:rFonts w:ascii="Times New Roman" w:hAnsi="Times New Roman"/>
          <w:sz w:val="24"/>
          <w:szCs w:val="24"/>
        </w:rPr>
        <w:t xml:space="preserve">, and </w:t>
      </w:r>
      <w:r w:rsidR="000D0775">
        <w:rPr>
          <w:rFonts w:ascii="Times New Roman" w:hAnsi="Times New Roman"/>
          <w:sz w:val="24"/>
          <w:szCs w:val="24"/>
        </w:rPr>
        <w:t xml:space="preserve">by </w:t>
      </w:r>
      <w:r w:rsidR="00CB5068">
        <w:rPr>
          <w:rFonts w:ascii="Times New Roman" w:hAnsi="Times New Roman"/>
          <w:sz w:val="24"/>
          <w:szCs w:val="24"/>
        </w:rPr>
        <w:t xml:space="preserve">changes in the price of coal relative to the prices of other energy carriers.  </w:t>
      </w:r>
    </w:p>
    <w:p w:rsidR="00CF380A" w:rsidRPr="001D6433" w:rsidRDefault="00CF380A" w:rsidP="00CF380A">
      <w:pPr>
        <w:ind w:left="0"/>
        <w:jc w:val="center"/>
        <w:rPr>
          <w:rFonts w:ascii="Times New Roman" w:hAnsi="Times New Roman"/>
          <w:b/>
          <w:i/>
          <w:iCs/>
          <w:sz w:val="24"/>
          <w:szCs w:val="24"/>
        </w:rPr>
      </w:pPr>
      <w:r>
        <w:rPr>
          <w:rFonts w:ascii="Times New Roman" w:hAnsi="Times New Roman"/>
          <w:b/>
          <w:i/>
          <w:sz w:val="24"/>
          <w:szCs w:val="24"/>
        </w:rPr>
        <w:t>Table 4.6.  Percentage changes between 2014 and 2019 in world energy variables</w:t>
      </w:r>
    </w:p>
    <w:tbl>
      <w:tblPr>
        <w:tblW w:w="0" w:type="auto"/>
        <w:tblInd w:w="1413" w:type="dxa"/>
        <w:tblLook w:val="04A0" w:firstRow="1" w:lastRow="0" w:firstColumn="1" w:lastColumn="0" w:noHBand="0" w:noVBand="1"/>
      </w:tblPr>
      <w:tblGrid>
        <w:gridCol w:w="1020"/>
        <w:gridCol w:w="1536"/>
        <w:gridCol w:w="1536"/>
        <w:gridCol w:w="1441"/>
      </w:tblGrid>
      <w:tr w:rsidR="00CF380A" w:rsidRPr="00C600BB" w:rsidTr="00013ACC">
        <w:tc>
          <w:tcPr>
            <w:tcW w:w="1020" w:type="dxa"/>
            <w:tcBorders>
              <w:top w:val="single" w:sz="18" w:space="0" w:color="7F7F7F"/>
              <w:bottom w:val="single" w:sz="4" w:space="0" w:color="7F7F7F"/>
              <w:right w:val="single" w:sz="18" w:space="0" w:color="7F7F7F"/>
            </w:tcBorders>
            <w:shd w:val="clear" w:color="auto" w:fill="auto"/>
          </w:tcPr>
          <w:p w:rsidR="00CF380A" w:rsidRPr="00C600BB" w:rsidRDefault="00CF380A" w:rsidP="00013ACC">
            <w:pPr>
              <w:spacing w:before="0" w:line="240" w:lineRule="auto"/>
              <w:ind w:left="-19"/>
              <w:jc w:val="center"/>
              <w:rPr>
                <w:rFonts w:ascii="Times New Roman" w:hAnsi="Times New Roman"/>
                <w:sz w:val="20"/>
                <w:szCs w:val="20"/>
              </w:rPr>
            </w:pPr>
          </w:p>
        </w:tc>
        <w:tc>
          <w:tcPr>
            <w:tcW w:w="1536" w:type="dxa"/>
            <w:tcBorders>
              <w:top w:val="single" w:sz="18" w:space="0" w:color="7F7F7F"/>
              <w:left w:val="single" w:sz="18" w:space="0" w:color="7F7F7F"/>
              <w:bottom w:val="single" w:sz="4" w:space="0" w:color="7F7F7F"/>
              <w:right w:val="single" w:sz="4" w:space="0" w:color="7F7F7F"/>
            </w:tcBorders>
            <w:shd w:val="clear" w:color="auto" w:fill="FFFFCC"/>
          </w:tcPr>
          <w:p w:rsidR="00CF380A" w:rsidRPr="00C600BB" w:rsidRDefault="00CF380A" w:rsidP="00013ACC">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Quantity of world output</w:t>
            </w:r>
          </w:p>
        </w:tc>
        <w:tc>
          <w:tcPr>
            <w:tcW w:w="1536" w:type="dxa"/>
            <w:tcBorders>
              <w:top w:val="single" w:sz="18" w:space="0" w:color="7F7F7F"/>
              <w:left w:val="single" w:sz="4" w:space="0" w:color="7F7F7F"/>
              <w:bottom w:val="single" w:sz="4" w:space="0" w:color="7F7F7F"/>
              <w:right w:val="single" w:sz="4" w:space="0" w:color="7F7F7F"/>
            </w:tcBorders>
            <w:shd w:val="clear" w:color="auto" w:fill="FFFFCC"/>
          </w:tcPr>
          <w:p w:rsidR="00CF380A" w:rsidRPr="00C600BB" w:rsidRDefault="00CF380A" w:rsidP="00013ACC">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Average world price in $US</w:t>
            </w:r>
          </w:p>
        </w:tc>
        <w:tc>
          <w:tcPr>
            <w:tcW w:w="1441" w:type="dxa"/>
            <w:tcBorders>
              <w:top w:val="single" w:sz="18" w:space="0" w:color="7F7F7F"/>
              <w:left w:val="single" w:sz="4" w:space="0" w:color="7F7F7F"/>
              <w:bottom w:val="single" w:sz="4" w:space="0" w:color="7F7F7F"/>
            </w:tcBorders>
            <w:shd w:val="clear" w:color="auto" w:fill="auto"/>
          </w:tcPr>
          <w:p w:rsidR="00CF380A" w:rsidRPr="00C600BB" w:rsidRDefault="00CF380A" w:rsidP="00013ACC">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Shifts in world demand</w:t>
            </w:r>
          </w:p>
        </w:tc>
      </w:tr>
      <w:tr w:rsidR="00CF380A" w:rsidRPr="00C600BB" w:rsidTr="00013ACC">
        <w:tc>
          <w:tcPr>
            <w:tcW w:w="1020" w:type="dxa"/>
            <w:tcBorders>
              <w:top w:val="single" w:sz="4" w:space="0" w:color="7F7F7F"/>
              <w:bottom w:val="single" w:sz="18" w:space="0" w:color="7F7F7F"/>
              <w:right w:val="single" w:sz="18" w:space="0" w:color="7F7F7F"/>
            </w:tcBorders>
            <w:shd w:val="clear" w:color="auto" w:fill="auto"/>
          </w:tcPr>
          <w:p w:rsidR="00CF380A" w:rsidRPr="00C600BB" w:rsidRDefault="00CF380A" w:rsidP="00013ACC">
            <w:pPr>
              <w:spacing w:before="0" w:line="240" w:lineRule="auto"/>
              <w:ind w:left="-19"/>
              <w:jc w:val="center"/>
              <w:rPr>
                <w:rFonts w:ascii="Times New Roman" w:hAnsi="Times New Roman"/>
                <w:sz w:val="20"/>
                <w:szCs w:val="20"/>
              </w:rPr>
            </w:pPr>
          </w:p>
        </w:tc>
        <w:tc>
          <w:tcPr>
            <w:tcW w:w="1536" w:type="dxa"/>
            <w:tcBorders>
              <w:top w:val="single" w:sz="4" w:space="0" w:color="7F7F7F"/>
              <w:left w:val="single" w:sz="18" w:space="0" w:color="7F7F7F"/>
              <w:bottom w:val="single" w:sz="18" w:space="0" w:color="7F7F7F"/>
              <w:right w:val="single" w:sz="4" w:space="0" w:color="7F7F7F"/>
            </w:tcBorders>
            <w:shd w:val="clear" w:color="auto" w:fill="FFFFCC"/>
          </w:tcPr>
          <w:p w:rsidR="00CF380A" w:rsidRPr="00C600BB" w:rsidRDefault="00CF380A" w:rsidP="00013ACC">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qworld</w:t>
            </w:r>
          </w:p>
        </w:tc>
        <w:tc>
          <w:tcPr>
            <w:tcW w:w="1536" w:type="dxa"/>
            <w:tcBorders>
              <w:top w:val="single" w:sz="4" w:space="0" w:color="7F7F7F"/>
              <w:left w:val="single" w:sz="4" w:space="0" w:color="7F7F7F"/>
              <w:bottom w:val="single" w:sz="18" w:space="0" w:color="7F7F7F"/>
              <w:right w:val="single" w:sz="4" w:space="0" w:color="7F7F7F"/>
            </w:tcBorders>
            <w:shd w:val="clear" w:color="auto" w:fill="FFFFCC"/>
          </w:tcPr>
          <w:p w:rsidR="00CF380A" w:rsidRPr="00C600BB" w:rsidRDefault="00CF380A" w:rsidP="00013ACC">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pworld</w:t>
            </w:r>
          </w:p>
        </w:tc>
        <w:tc>
          <w:tcPr>
            <w:tcW w:w="1441" w:type="dxa"/>
            <w:tcBorders>
              <w:top w:val="single" w:sz="4" w:space="0" w:color="7F7F7F"/>
              <w:left w:val="single" w:sz="4" w:space="0" w:color="7F7F7F"/>
              <w:bottom w:val="single" w:sz="18" w:space="0" w:color="7F7F7F"/>
            </w:tcBorders>
            <w:shd w:val="clear" w:color="auto" w:fill="auto"/>
          </w:tcPr>
          <w:p w:rsidR="00CF380A" w:rsidRPr="00C600BB" w:rsidRDefault="00CF380A" w:rsidP="00013ACC">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wldout_sh</w:t>
            </w:r>
          </w:p>
        </w:tc>
      </w:tr>
      <w:tr w:rsidR="001D598F" w:rsidRPr="00C600BB" w:rsidTr="001D598F">
        <w:tc>
          <w:tcPr>
            <w:tcW w:w="1020" w:type="dxa"/>
            <w:tcBorders>
              <w:top w:val="single" w:sz="18" w:space="0" w:color="7F7F7F"/>
              <w:right w:val="single" w:sz="18" w:space="0" w:color="7F7F7F"/>
            </w:tcBorders>
            <w:shd w:val="clear" w:color="auto" w:fill="auto"/>
          </w:tcPr>
          <w:p w:rsidR="001D598F" w:rsidRPr="00C600BB" w:rsidRDefault="001D598F" w:rsidP="001D598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coal</w:t>
            </w:r>
          </w:p>
        </w:tc>
        <w:tc>
          <w:tcPr>
            <w:tcW w:w="1536" w:type="dxa"/>
            <w:tcBorders>
              <w:top w:val="single" w:sz="18" w:space="0" w:color="7F7F7F"/>
              <w:left w:val="single" w:sz="18" w:space="0" w:color="7F7F7F"/>
              <w:right w:val="single" w:sz="4" w:space="0" w:color="7F7F7F"/>
            </w:tcBorders>
            <w:shd w:val="clear" w:color="auto" w:fill="FFFFCC"/>
          </w:tcPr>
          <w:p w:rsidR="001D598F" w:rsidRPr="001D598F" w:rsidRDefault="001D598F" w:rsidP="001D598F">
            <w:pPr>
              <w:tabs>
                <w:tab w:val="decimal" w:pos="526"/>
              </w:tabs>
              <w:spacing w:before="0" w:line="22" w:lineRule="atLeast"/>
              <w:ind w:left="0"/>
              <w:rPr>
                <w:rFonts w:ascii="Times New Roman" w:hAnsi="Times New Roman"/>
                <w:color w:val="000000"/>
                <w:sz w:val="20"/>
                <w:szCs w:val="20"/>
                <w:lang w:eastAsia="en-AU"/>
              </w:rPr>
            </w:pPr>
            <w:r w:rsidRPr="001D598F">
              <w:rPr>
                <w:rFonts w:ascii="Times New Roman" w:hAnsi="Times New Roman"/>
                <w:color w:val="000000"/>
                <w:sz w:val="20"/>
                <w:szCs w:val="20"/>
              </w:rPr>
              <w:t>0.63</w:t>
            </w:r>
          </w:p>
        </w:tc>
        <w:tc>
          <w:tcPr>
            <w:tcW w:w="1536" w:type="dxa"/>
            <w:tcBorders>
              <w:top w:val="single" w:sz="18" w:space="0" w:color="7F7F7F"/>
              <w:left w:val="single" w:sz="4" w:space="0" w:color="7F7F7F"/>
              <w:right w:val="single" w:sz="4" w:space="0" w:color="7F7F7F"/>
            </w:tcBorders>
            <w:shd w:val="clear" w:color="auto" w:fill="FFFFCC"/>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11.06</w:t>
            </w:r>
          </w:p>
        </w:tc>
        <w:tc>
          <w:tcPr>
            <w:tcW w:w="1441" w:type="dxa"/>
            <w:tcBorders>
              <w:top w:val="single" w:sz="18" w:space="0" w:color="7F7F7F"/>
              <w:left w:val="single" w:sz="4" w:space="0" w:color="7F7F7F"/>
            </w:tcBorders>
            <w:shd w:val="clear" w:color="auto" w:fill="auto"/>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-21.47</w:t>
            </w:r>
          </w:p>
        </w:tc>
      </w:tr>
      <w:tr w:rsidR="001D598F" w:rsidRPr="00C600BB" w:rsidTr="001D598F">
        <w:tc>
          <w:tcPr>
            <w:tcW w:w="1020" w:type="dxa"/>
            <w:tcBorders>
              <w:right w:val="single" w:sz="18" w:space="0" w:color="7F7F7F"/>
            </w:tcBorders>
            <w:shd w:val="clear" w:color="auto" w:fill="auto"/>
          </w:tcPr>
          <w:p w:rsidR="001D598F" w:rsidRPr="00C600BB" w:rsidRDefault="001D598F" w:rsidP="001D598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oil</w:t>
            </w:r>
          </w:p>
        </w:tc>
        <w:tc>
          <w:tcPr>
            <w:tcW w:w="1536" w:type="dxa"/>
            <w:tcBorders>
              <w:left w:val="single" w:sz="18" w:space="0" w:color="7F7F7F"/>
              <w:right w:val="single" w:sz="4" w:space="0" w:color="7F7F7F"/>
            </w:tcBorders>
            <w:shd w:val="clear" w:color="auto" w:fill="FFFFCC"/>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6.02</w:t>
            </w:r>
          </w:p>
        </w:tc>
        <w:tc>
          <w:tcPr>
            <w:tcW w:w="1536" w:type="dxa"/>
            <w:tcBorders>
              <w:left w:val="single" w:sz="4" w:space="0" w:color="7F7F7F"/>
              <w:right w:val="single" w:sz="4" w:space="0" w:color="7F7F7F"/>
            </w:tcBorders>
            <w:shd w:val="clear" w:color="auto" w:fill="FFFFCC"/>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-29.86</w:t>
            </w:r>
          </w:p>
        </w:tc>
        <w:tc>
          <w:tcPr>
            <w:tcW w:w="1441" w:type="dxa"/>
            <w:tcBorders>
              <w:left w:val="single" w:sz="4" w:space="0" w:color="7F7F7F"/>
            </w:tcBorders>
            <w:shd w:val="clear" w:color="auto" w:fill="auto"/>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-15.86</w:t>
            </w:r>
          </w:p>
        </w:tc>
      </w:tr>
      <w:tr w:rsidR="001D598F" w:rsidRPr="00C600BB" w:rsidTr="001D598F">
        <w:tc>
          <w:tcPr>
            <w:tcW w:w="1020" w:type="dxa"/>
            <w:tcBorders>
              <w:bottom w:val="single" w:sz="18" w:space="0" w:color="7F7F7F"/>
              <w:right w:val="single" w:sz="18" w:space="0" w:color="7F7F7F"/>
            </w:tcBorders>
            <w:shd w:val="clear" w:color="auto" w:fill="auto"/>
          </w:tcPr>
          <w:p w:rsidR="001D598F" w:rsidRPr="00C600BB" w:rsidRDefault="001D598F" w:rsidP="001D598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gas</w:t>
            </w:r>
          </w:p>
        </w:tc>
        <w:tc>
          <w:tcPr>
            <w:tcW w:w="1536" w:type="dxa"/>
            <w:tcBorders>
              <w:left w:val="single" w:sz="18" w:space="0" w:color="7F7F7F"/>
              <w:bottom w:val="single" w:sz="18" w:space="0" w:color="7F7F7F"/>
              <w:right w:val="single" w:sz="4" w:space="0" w:color="7F7F7F"/>
            </w:tcBorders>
            <w:shd w:val="clear" w:color="auto" w:fill="FFFFCC"/>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15.57</w:t>
            </w:r>
          </w:p>
        </w:tc>
        <w:tc>
          <w:tcPr>
            <w:tcW w:w="1536" w:type="dxa"/>
            <w:tcBorders>
              <w:left w:val="single" w:sz="4" w:space="0" w:color="7F7F7F"/>
              <w:bottom w:val="single" w:sz="18" w:space="0" w:color="7F7F7F"/>
              <w:right w:val="single" w:sz="4" w:space="0" w:color="7F7F7F"/>
            </w:tcBorders>
            <w:shd w:val="clear" w:color="auto" w:fill="FFFFCC"/>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-43.87</w:t>
            </w:r>
          </w:p>
        </w:tc>
        <w:tc>
          <w:tcPr>
            <w:tcW w:w="1441" w:type="dxa"/>
            <w:tcBorders>
              <w:left w:val="single" w:sz="4" w:space="0" w:color="7F7F7F"/>
              <w:bottom w:val="single" w:sz="18" w:space="0" w:color="7F7F7F"/>
            </w:tcBorders>
            <w:shd w:val="clear" w:color="auto" w:fill="auto"/>
          </w:tcPr>
          <w:p w:rsidR="001D598F" w:rsidRPr="001D598F" w:rsidRDefault="001D598F" w:rsidP="001D598F">
            <w:pPr>
              <w:tabs>
                <w:tab w:val="decimal" w:pos="526"/>
              </w:tabs>
              <w:spacing w:before="0" w:line="22" w:lineRule="atLeast"/>
              <w:rPr>
                <w:rFonts w:ascii="Times New Roman" w:hAnsi="Times New Roman"/>
                <w:color w:val="000000"/>
                <w:sz w:val="20"/>
                <w:szCs w:val="20"/>
              </w:rPr>
            </w:pPr>
            <w:r w:rsidRPr="001D598F">
              <w:rPr>
                <w:rFonts w:ascii="Times New Roman" w:hAnsi="Times New Roman"/>
                <w:color w:val="000000"/>
                <w:sz w:val="20"/>
                <w:szCs w:val="20"/>
              </w:rPr>
              <w:t>-4.13</w:t>
            </w:r>
          </w:p>
        </w:tc>
      </w:tr>
    </w:tbl>
    <w:p w:rsidR="00CF380A" w:rsidRDefault="00CF380A" w:rsidP="00CF380A">
      <w:pPr>
        <w:spacing w:before="0"/>
        <w:ind w:left="0"/>
        <w:rPr>
          <w:rFonts w:ascii="Times New Roman" w:hAnsi="Times New Roman"/>
          <w:sz w:val="24"/>
          <w:szCs w:val="24"/>
        </w:rPr>
      </w:pPr>
    </w:p>
    <w:p w:rsidR="00F10E12" w:rsidRPr="007336A2" w:rsidRDefault="00F10E12" w:rsidP="00F10E12">
      <w:pPr>
        <w:ind w:left="0"/>
        <w:rPr>
          <w:rFonts w:ascii="Times New Roman" w:hAnsi="Times New Roman"/>
          <w:b/>
          <w:i/>
          <w:iCs/>
          <w:sz w:val="24"/>
          <w:szCs w:val="24"/>
        </w:rPr>
      </w:pPr>
      <w:r>
        <w:rPr>
          <w:rFonts w:ascii="Times New Roman" w:hAnsi="Times New Roman"/>
          <w:b/>
          <w:i/>
          <w:iCs/>
          <w:sz w:val="24"/>
          <w:szCs w:val="24"/>
        </w:rPr>
        <w:t>Exports and related variables</w:t>
      </w:r>
    </w:p>
    <w:p w:rsidR="009E16F0" w:rsidRDefault="000A10D0" w:rsidP="00281134">
      <w:pPr>
        <w:ind w:left="0"/>
        <w:rPr>
          <w:rFonts w:ascii="Times New Roman" w:hAnsi="Times New Roman"/>
          <w:sz w:val="24"/>
          <w:szCs w:val="24"/>
        </w:rPr>
      </w:pPr>
      <w:r>
        <w:rPr>
          <w:rFonts w:ascii="Times New Roman" w:hAnsi="Times New Roman"/>
          <w:sz w:val="24"/>
          <w:szCs w:val="24"/>
        </w:rPr>
        <w:t xml:space="preserve">The phantom export </w:t>
      </w:r>
      <w:r w:rsidR="003602D5">
        <w:rPr>
          <w:rFonts w:ascii="Times New Roman" w:hAnsi="Times New Roman"/>
          <w:sz w:val="24"/>
          <w:szCs w:val="24"/>
        </w:rPr>
        <w:t xml:space="preserve">tax movements in Table </w:t>
      </w:r>
      <w:r w:rsidR="00FB0585">
        <w:rPr>
          <w:rFonts w:ascii="Times New Roman" w:hAnsi="Times New Roman"/>
          <w:sz w:val="24"/>
          <w:szCs w:val="24"/>
        </w:rPr>
        <w:t>4</w:t>
      </w:r>
      <w:r w:rsidR="003602D5">
        <w:rPr>
          <w:rFonts w:ascii="Times New Roman" w:hAnsi="Times New Roman"/>
          <w:sz w:val="24"/>
          <w:szCs w:val="24"/>
        </w:rPr>
        <w:t>.7 are percentage changes in the power of taxes where the 2014 level of these powers is one (zero rate).  The role of these phantom taxes is to reconcile data on movements in export price indexes with export costs.  To a large extent, export costs are reflected in movements in the price deflator for GDP.  In the cases of the USA, Canada, Japan, South Korea</w:t>
      </w:r>
      <w:r w:rsidR="009E16F0">
        <w:rPr>
          <w:rFonts w:ascii="Times New Roman" w:hAnsi="Times New Roman"/>
          <w:sz w:val="24"/>
          <w:szCs w:val="24"/>
        </w:rPr>
        <w:t>, and Germany,</w:t>
      </w:r>
      <w:r w:rsidR="003602D5">
        <w:rPr>
          <w:rFonts w:ascii="Times New Roman" w:hAnsi="Times New Roman"/>
          <w:sz w:val="24"/>
          <w:szCs w:val="24"/>
        </w:rPr>
        <w:t xml:space="preserve"> the </w:t>
      </w:r>
      <w:r w:rsidR="009E16F0">
        <w:rPr>
          <w:rFonts w:ascii="Times New Roman" w:hAnsi="Times New Roman"/>
          <w:sz w:val="24"/>
          <w:szCs w:val="24"/>
        </w:rPr>
        <w:t xml:space="preserve">required </w:t>
      </w:r>
      <w:r w:rsidR="003602D5">
        <w:rPr>
          <w:rFonts w:ascii="Times New Roman" w:hAnsi="Times New Roman"/>
          <w:sz w:val="24"/>
          <w:szCs w:val="24"/>
        </w:rPr>
        <w:t xml:space="preserve">phantom taxes are </w:t>
      </w:r>
      <w:r w:rsidR="009E16F0">
        <w:rPr>
          <w:rFonts w:ascii="Times New Roman" w:hAnsi="Times New Roman"/>
          <w:sz w:val="24"/>
          <w:szCs w:val="24"/>
        </w:rPr>
        <w:t>in fact subsidies.  The prices of exports from these countries are lower than would be anticipated on the basis of movements in their general cost levels.  This is consistent with modern trade theory which suggests that exporting firms in a region are more productive and have lower costs tha</w:t>
      </w:r>
      <w:r w:rsidR="003C1A03">
        <w:rPr>
          <w:rFonts w:ascii="Times New Roman" w:hAnsi="Times New Roman"/>
          <w:sz w:val="24"/>
          <w:szCs w:val="24"/>
        </w:rPr>
        <w:t xml:space="preserve">n </w:t>
      </w:r>
      <w:r w:rsidR="009E16F0">
        <w:rPr>
          <w:rFonts w:ascii="Times New Roman" w:hAnsi="Times New Roman"/>
          <w:sz w:val="24"/>
          <w:szCs w:val="24"/>
        </w:rPr>
        <w:t xml:space="preserve">non-exporting firms in </w:t>
      </w:r>
      <w:r w:rsidR="003C1A03">
        <w:rPr>
          <w:rFonts w:ascii="Times New Roman" w:hAnsi="Times New Roman"/>
          <w:sz w:val="24"/>
          <w:szCs w:val="24"/>
        </w:rPr>
        <w:t>the</w:t>
      </w:r>
      <w:r w:rsidR="009E16F0">
        <w:rPr>
          <w:rFonts w:ascii="Times New Roman" w:hAnsi="Times New Roman"/>
          <w:sz w:val="24"/>
          <w:szCs w:val="24"/>
        </w:rPr>
        <w:t xml:space="preserve"> region.  </w:t>
      </w:r>
    </w:p>
    <w:p w:rsidR="00CB5068" w:rsidRDefault="009E16F0" w:rsidP="00512DA8">
      <w:pPr>
        <w:ind w:left="0"/>
        <w:rPr>
          <w:rFonts w:ascii="Times New Roman" w:hAnsi="Times New Roman"/>
          <w:sz w:val="24"/>
          <w:szCs w:val="24"/>
        </w:rPr>
      </w:pPr>
      <w:r>
        <w:rPr>
          <w:rFonts w:ascii="Times New Roman" w:hAnsi="Times New Roman"/>
          <w:sz w:val="24"/>
          <w:szCs w:val="24"/>
        </w:rPr>
        <w:t xml:space="preserve">However, the phantom tax movements are positive for the other seven regions for which we have export price data.  </w:t>
      </w:r>
      <w:r w:rsidR="00515D3B">
        <w:rPr>
          <w:rFonts w:ascii="Times New Roman" w:hAnsi="Times New Roman"/>
          <w:sz w:val="24"/>
          <w:szCs w:val="24"/>
        </w:rPr>
        <w:t>For China, France and RoEU</w:t>
      </w:r>
      <w:r w:rsidR="00475E18">
        <w:rPr>
          <w:rFonts w:ascii="Times New Roman" w:hAnsi="Times New Roman"/>
          <w:sz w:val="24"/>
          <w:szCs w:val="24"/>
        </w:rPr>
        <w:t>,</w:t>
      </w:r>
      <w:r w:rsidR="00515D3B">
        <w:rPr>
          <w:rFonts w:ascii="Times New Roman" w:hAnsi="Times New Roman"/>
          <w:sz w:val="24"/>
          <w:szCs w:val="24"/>
        </w:rPr>
        <w:t xml:space="preserve"> the discrepanc</w:t>
      </w:r>
      <w:r w:rsidR="00475E18">
        <w:rPr>
          <w:rFonts w:ascii="Times New Roman" w:hAnsi="Times New Roman"/>
          <w:sz w:val="24"/>
          <w:szCs w:val="24"/>
        </w:rPr>
        <w:t>ies</w:t>
      </w:r>
      <w:r w:rsidR="00515D3B">
        <w:rPr>
          <w:rFonts w:ascii="Times New Roman" w:hAnsi="Times New Roman"/>
          <w:sz w:val="24"/>
          <w:szCs w:val="24"/>
        </w:rPr>
        <w:t xml:space="preserve"> between observed export prices and the price </w:t>
      </w:r>
      <w:r w:rsidR="00475E18">
        <w:rPr>
          <w:rFonts w:ascii="Times New Roman" w:hAnsi="Times New Roman"/>
          <w:sz w:val="24"/>
          <w:szCs w:val="24"/>
        </w:rPr>
        <w:t>indexes</w:t>
      </w:r>
      <w:r w:rsidR="00515D3B">
        <w:rPr>
          <w:rFonts w:ascii="Times New Roman" w:hAnsi="Times New Roman"/>
          <w:sz w:val="24"/>
          <w:szCs w:val="24"/>
        </w:rPr>
        <w:t xml:space="preserve"> for GDP </w:t>
      </w:r>
      <w:r w:rsidR="00475E18">
        <w:rPr>
          <w:rFonts w:ascii="Times New Roman" w:hAnsi="Times New Roman"/>
          <w:sz w:val="24"/>
          <w:szCs w:val="24"/>
        </w:rPr>
        <w:t>are</w:t>
      </w:r>
      <w:r w:rsidR="00515D3B">
        <w:rPr>
          <w:rFonts w:ascii="Times New Roman" w:hAnsi="Times New Roman"/>
          <w:sz w:val="24"/>
          <w:szCs w:val="24"/>
        </w:rPr>
        <w:t xml:space="preserve"> resolved by only small positive phantom export tax</w:t>
      </w:r>
      <w:r w:rsidR="00475E18">
        <w:rPr>
          <w:rFonts w:ascii="Times New Roman" w:hAnsi="Times New Roman"/>
          <w:sz w:val="24"/>
          <w:szCs w:val="24"/>
        </w:rPr>
        <w:t>es</w:t>
      </w:r>
      <w:r w:rsidR="00515D3B">
        <w:rPr>
          <w:rFonts w:ascii="Times New Roman" w:hAnsi="Times New Roman"/>
          <w:sz w:val="24"/>
          <w:szCs w:val="24"/>
        </w:rPr>
        <w:t>.  This is also true for S</w:t>
      </w:r>
      <w:r>
        <w:rPr>
          <w:rFonts w:ascii="Times New Roman" w:hAnsi="Times New Roman"/>
          <w:sz w:val="24"/>
          <w:szCs w:val="24"/>
        </w:rPr>
        <w:t>audi Arabia</w:t>
      </w:r>
      <w:r w:rsidR="00515D3B">
        <w:rPr>
          <w:rFonts w:ascii="Times New Roman" w:hAnsi="Times New Roman"/>
          <w:sz w:val="24"/>
          <w:szCs w:val="24"/>
        </w:rPr>
        <w:t xml:space="preserve">: the large gap between the movements in the GDP and export price indexes for Saudi Arabia </w:t>
      </w:r>
      <w:r>
        <w:rPr>
          <w:rFonts w:ascii="Times New Roman" w:hAnsi="Times New Roman"/>
          <w:sz w:val="24"/>
          <w:szCs w:val="24"/>
        </w:rPr>
        <w:t xml:space="preserve">is </w:t>
      </w:r>
      <w:r w:rsidR="00475E18">
        <w:rPr>
          <w:rFonts w:ascii="Times New Roman" w:hAnsi="Times New Roman"/>
          <w:sz w:val="24"/>
          <w:szCs w:val="24"/>
        </w:rPr>
        <w:t>explained by the reduction in</w:t>
      </w:r>
      <w:r>
        <w:rPr>
          <w:rFonts w:ascii="Times New Roman" w:hAnsi="Times New Roman"/>
          <w:sz w:val="24"/>
          <w:szCs w:val="24"/>
        </w:rPr>
        <w:t xml:space="preserve"> the</w:t>
      </w:r>
      <w:r w:rsidR="00515D3B">
        <w:rPr>
          <w:rFonts w:ascii="Times New Roman" w:hAnsi="Times New Roman"/>
          <w:sz w:val="24"/>
          <w:szCs w:val="24"/>
        </w:rPr>
        <w:t xml:space="preserve"> price of their </w:t>
      </w:r>
      <w:r>
        <w:rPr>
          <w:rFonts w:ascii="Times New Roman" w:hAnsi="Times New Roman"/>
          <w:sz w:val="24"/>
          <w:szCs w:val="24"/>
        </w:rPr>
        <w:t xml:space="preserve">principal export, oil.  </w:t>
      </w:r>
      <w:r w:rsidR="00CB5068">
        <w:rPr>
          <w:rFonts w:ascii="Times New Roman" w:hAnsi="Times New Roman"/>
          <w:sz w:val="24"/>
          <w:szCs w:val="24"/>
        </w:rPr>
        <w:br w:type="page"/>
      </w:r>
    </w:p>
    <w:p w:rsidR="00F10E12" w:rsidRPr="00783643" w:rsidRDefault="00F10E12" w:rsidP="001D6433">
      <w:pPr>
        <w:ind w:left="0"/>
        <w:jc w:val="center"/>
        <w:rPr>
          <w:rFonts w:ascii="Times New Roman" w:hAnsi="Times New Roman"/>
          <w:b/>
          <w:i/>
          <w:iCs/>
          <w:sz w:val="24"/>
          <w:szCs w:val="24"/>
        </w:rPr>
      </w:pPr>
      <w:r>
        <w:rPr>
          <w:rFonts w:ascii="Times New Roman" w:hAnsi="Times New Roman"/>
          <w:b/>
          <w:i/>
          <w:iCs/>
          <w:sz w:val="24"/>
          <w:szCs w:val="24"/>
        </w:rPr>
        <w:lastRenderedPageBreak/>
        <w:t xml:space="preserve">Table </w:t>
      </w:r>
      <w:r w:rsidR="00FB0585">
        <w:rPr>
          <w:rFonts w:ascii="Times New Roman" w:hAnsi="Times New Roman"/>
          <w:b/>
          <w:i/>
          <w:iCs/>
          <w:sz w:val="24"/>
          <w:szCs w:val="24"/>
        </w:rPr>
        <w:t>4</w:t>
      </w:r>
      <w:r>
        <w:rPr>
          <w:rFonts w:ascii="Times New Roman" w:hAnsi="Times New Roman"/>
          <w:b/>
          <w:i/>
          <w:iCs/>
          <w:sz w:val="24"/>
          <w:szCs w:val="24"/>
        </w:rPr>
        <w:t>.7.  Percentage changes between 2014 and 2019 in export prices and volumes, and related variables</w:t>
      </w:r>
      <w:r w:rsidR="00742CAF">
        <w:rPr>
          <w:rFonts w:ascii="Times New Roman" w:hAnsi="Times New Roman"/>
          <w:b/>
          <w:i/>
          <w:iCs/>
          <w:sz w:val="24"/>
          <w:szCs w:val="24"/>
        </w:rPr>
        <w:t xml:space="preserve">  </w:t>
      </w:r>
      <w:r w:rsidR="00FB0585">
        <w:rPr>
          <w:rFonts w:ascii="Times New Roman" w:hAnsi="Times New Roman"/>
          <w:b/>
          <w:i/>
          <w:iCs/>
          <w:sz w:val="24"/>
          <w:szCs w:val="24"/>
        </w:rPr>
        <w:t xml:space="preserve"> </w:t>
      </w:r>
    </w:p>
    <w:tbl>
      <w:tblPr>
        <w:tblW w:w="8221" w:type="dxa"/>
        <w:tblInd w:w="284" w:type="dxa"/>
        <w:tblLook w:val="04A0" w:firstRow="1" w:lastRow="0" w:firstColumn="1" w:lastColumn="0" w:noHBand="0" w:noVBand="1"/>
      </w:tblPr>
      <w:tblGrid>
        <w:gridCol w:w="1413"/>
        <w:gridCol w:w="1304"/>
        <w:gridCol w:w="1304"/>
        <w:gridCol w:w="1304"/>
        <w:gridCol w:w="1304"/>
        <w:gridCol w:w="1592"/>
      </w:tblGrid>
      <w:tr w:rsidR="0083655D" w:rsidRPr="00C600BB" w:rsidTr="00742CAF">
        <w:tc>
          <w:tcPr>
            <w:tcW w:w="1413" w:type="dxa"/>
            <w:tcBorders>
              <w:top w:val="single" w:sz="18" w:space="0" w:color="7F7F7F"/>
              <w:right w:val="single" w:sz="18" w:space="0" w:color="7F7F7F"/>
            </w:tcBorders>
            <w:shd w:val="clear" w:color="auto" w:fill="auto"/>
            <w:vAlign w:val="bottom"/>
          </w:tcPr>
          <w:p w:rsidR="00F10E12" w:rsidRPr="00C600BB" w:rsidRDefault="00F10E12" w:rsidP="00C600BB">
            <w:pPr>
              <w:spacing w:before="0" w:line="240" w:lineRule="auto"/>
              <w:rPr>
                <w:rFonts w:ascii="Times New Roman" w:hAnsi="Times New Roman"/>
                <w:sz w:val="20"/>
                <w:szCs w:val="20"/>
              </w:rPr>
            </w:pPr>
          </w:p>
        </w:tc>
        <w:tc>
          <w:tcPr>
            <w:tcW w:w="1304" w:type="dxa"/>
            <w:tcBorders>
              <w:top w:val="single" w:sz="18" w:space="0" w:color="7F7F7F"/>
              <w:left w:val="single" w:sz="18" w:space="0" w:color="7F7F7F"/>
              <w:right w:val="single" w:sz="4" w:space="0" w:color="7F7F7F"/>
            </w:tcBorders>
            <w:shd w:val="clear" w:color="auto" w:fill="FFFFCC"/>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Price index for GDP</w:t>
            </w:r>
          </w:p>
        </w:tc>
        <w:tc>
          <w:tcPr>
            <w:tcW w:w="1304" w:type="dxa"/>
            <w:tcBorders>
              <w:top w:val="single" w:sz="18" w:space="0" w:color="7F7F7F"/>
              <w:left w:val="single" w:sz="4" w:space="0" w:color="7F7F7F"/>
              <w:right w:val="single" w:sz="4" w:space="0" w:color="7F7F7F"/>
            </w:tcBorders>
            <w:shd w:val="clear" w:color="auto" w:fill="FFFFCC"/>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Price index for exports</w:t>
            </w:r>
          </w:p>
        </w:tc>
        <w:tc>
          <w:tcPr>
            <w:tcW w:w="1304" w:type="dxa"/>
            <w:tcBorders>
              <w:top w:val="single" w:sz="18" w:space="0" w:color="7F7F7F"/>
              <w:left w:val="single" w:sz="4" w:space="0" w:color="7F7F7F"/>
              <w:right w:val="single" w:sz="4" w:space="0" w:color="7F7F7F"/>
            </w:tcBorders>
            <w:shd w:val="clear" w:color="auto" w:fill="FFFFCC"/>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Export volumes</w:t>
            </w:r>
          </w:p>
        </w:tc>
        <w:tc>
          <w:tcPr>
            <w:tcW w:w="1304" w:type="dxa"/>
            <w:tcBorders>
              <w:top w:val="single" w:sz="18" w:space="0" w:color="7F7F7F"/>
              <w:left w:val="single" w:sz="4" w:space="0" w:color="7F7F7F"/>
              <w:right w:val="single" w:sz="4" w:space="0" w:color="7F7F7F"/>
            </w:tcBorders>
            <w:shd w:val="clear" w:color="auto" w:fill="auto"/>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Phantom tax on exports from regions</w:t>
            </w:r>
          </w:p>
        </w:tc>
        <w:tc>
          <w:tcPr>
            <w:tcW w:w="1592" w:type="dxa"/>
            <w:tcBorders>
              <w:top w:val="single" w:sz="18" w:space="0" w:color="7F7F7F"/>
              <w:left w:val="single" w:sz="4" w:space="0" w:color="7F7F7F"/>
              <w:right w:val="single" w:sz="4" w:space="0" w:color="7F7F7F"/>
            </w:tcBorders>
            <w:shd w:val="clear" w:color="auto" w:fill="auto"/>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Preference shift towards a region’s exports</w:t>
            </w:r>
          </w:p>
        </w:tc>
      </w:tr>
      <w:tr w:rsidR="0083655D" w:rsidRPr="00C600BB" w:rsidTr="00742CAF">
        <w:tc>
          <w:tcPr>
            <w:tcW w:w="1413" w:type="dxa"/>
            <w:tcBorders>
              <w:bottom w:val="single" w:sz="18" w:space="0" w:color="7F7F7F"/>
              <w:right w:val="single" w:sz="18" w:space="0" w:color="7F7F7F"/>
            </w:tcBorders>
            <w:shd w:val="clear" w:color="auto" w:fill="auto"/>
            <w:vAlign w:val="bottom"/>
          </w:tcPr>
          <w:p w:rsidR="00F10E12" w:rsidRPr="00C600BB" w:rsidRDefault="00F10E12" w:rsidP="00C600BB">
            <w:pPr>
              <w:spacing w:before="0" w:line="240" w:lineRule="auto"/>
              <w:rPr>
                <w:rFonts w:ascii="Times New Roman" w:hAnsi="Times New Roman"/>
                <w:sz w:val="20"/>
                <w:szCs w:val="20"/>
              </w:rPr>
            </w:pPr>
          </w:p>
        </w:tc>
        <w:tc>
          <w:tcPr>
            <w:tcW w:w="1304" w:type="dxa"/>
            <w:tcBorders>
              <w:left w:val="single" w:sz="18" w:space="0" w:color="7F7F7F"/>
              <w:bottom w:val="single" w:sz="18" w:space="0" w:color="7F7F7F"/>
              <w:right w:val="single" w:sz="4" w:space="0" w:color="7F7F7F"/>
            </w:tcBorders>
            <w:shd w:val="clear" w:color="auto" w:fill="FFFFCC"/>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pgdp_obs</w:t>
            </w:r>
          </w:p>
        </w:tc>
        <w:tc>
          <w:tcPr>
            <w:tcW w:w="1304" w:type="dxa"/>
            <w:tcBorders>
              <w:left w:val="single" w:sz="4" w:space="0" w:color="7F7F7F"/>
              <w:bottom w:val="single" w:sz="18" w:space="0" w:color="7F7F7F"/>
              <w:right w:val="single" w:sz="4" w:space="0" w:color="7F7F7F"/>
            </w:tcBorders>
            <w:shd w:val="clear" w:color="auto" w:fill="FFFFCC"/>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p_x_obs</w:t>
            </w:r>
          </w:p>
        </w:tc>
        <w:tc>
          <w:tcPr>
            <w:tcW w:w="1304" w:type="dxa"/>
            <w:tcBorders>
              <w:left w:val="single" w:sz="4" w:space="0" w:color="7F7F7F"/>
              <w:bottom w:val="single" w:sz="18" w:space="0" w:color="7F7F7F"/>
              <w:right w:val="single" w:sz="4" w:space="0" w:color="7F7F7F"/>
            </w:tcBorders>
            <w:shd w:val="clear" w:color="auto" w:fill="FFFFCC"/>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expvol</w:t>
            </w:r>
          </w:p>
        </w:tc>
        <w:tc>
          <w:tcPr>
            <w:tcW w:w="1304" w:type="dxa"/>
            <w:tcBorders>
              <w:left w:val="single" w:sz="4" w:space="0" w:color="7F7F7F"/>
              <w:bottom w:val="single" w:sz="18" w:space="0" w:color="7F7F7F"/>
              <w:right w:val="single" w:sz="4" w:space="0" w:color="7F7F7F"/>
            </w:tcBorders>
            <w:shd w:val="clear" w:color="auto" w:fill="auto"/>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phtx_i</w:t>
            </w:r>
          </w:p>
        </w:tc>
        <w:tc>
          <w:tcPr>
            <w:tcW w:w="1592" w:type="dxa"/>
            <w:tcBorders>
              <w:left w:val="single" w:sz="4" w:space="0" w:color="7F7F7F"/>
              <w:bottom w:val="single" w:sz="18" w:space="0" w:color="7F7F7F"/>
              <w:right w:val="single" w:sz="4" w:space="0" w:color="7F7F7F"/>
            </w:tcBorders>
            <w:shd w:val="clear" w:color="auto" w:fill="auto"/>
          </w:tcPr>
          <w:p w:rsidR="00F10E12" w:rsidRPr="00C600BB" w:rsidRDefault="00F10E12" w:rsidP="00C600BB">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f3_twistmd</w:t>
            </w:r>
          </w:p>
        </w:tc>
      </w:tr>
      <w:tr w:rsidR="0061080C" w:rsidRPr="00C600BB" w:rsidTr="00742CAF">
        <w:tc>
          <w:tcPr>
            <w:tcW w:w="1413" w:type="dxa"/>
            <w:tcBorders>
              <w:top w:val="single" w:sz="18" w:space="0" w:color="7F7F7F"/>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USA</w:t>
            </w:r>
          </w:p>
        </w:tc>
        <w:tc>
          <w:tcPr>
            <w:tcW w:w="1304" w:type="dxa"/>
            <w:tcBorders>
              <w:top w:val="single" w:sz="18" w:space="0" w:color="7F7F7F"/>
              <w:left w:val="single" w:sz="18" w:space="0" w:color="7F7F7F"/>
              <w:right w:val="single" w:sz="4" w:space="0" w:color="7F7F7F"/>
            </w:tcBorders>
            <w:shd w:val="clear" w:color="auto" w:fill="FFFFCC"/>
          </w:tcPr>
          <w:p w:rsidR="0061080C" w:rsidRPr="0061080C" w:rsidRDefault="0061080C" w:rsidP="00742CAF">
            <w:pPr>
              <w:tabs>
                <w:tab w:val="decimal" w:pos="600"/>
              </w:tabs>
              <w:spacing w:before="0"/>
              <w:ind w:left="0"/>
              <w:rPr>
                <w:rFonts w:ascii="Times New Roman" w:hAnsi="Times New Roman"/>
                <w:color w:val="000000"/>
                <w:sz w:val="20"/>
                <w:szCs w:val="20"/>
                <w:lang w:eastAsia="en-AU"/>
              </w:rPr>
            </w:pPr>
            <w:r w:rsidRPr="0061080C">
              <w:rPr>
                <w:rFonts w:ascii="Times New Roman" w:hAnsi="Times New Roman"/>
                <w:color w:val="000000"/>
                <w:sz w:val="20"/>
                <w:szCs w:val="20"/>
              </w:rPr>
              <w:t>8.42</w:t>
            </w:r>
          </w:p>
        </w:tc>
        <w:tc>
          <w:tcPr>
            <w:tcW w:w="1304" w:type="dxa"/>
            <w:tcBorders>
              <w:top w:val="single" w:sz="18" w:space="0" w:color="7F7F7F"/>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-1.50</w:t>
            </w:r>
          </w:p>
        </w:tc>
        <w:tc>
          <w:tcPr>
            <w:tcW w:w="1304" w:type="dxa"/>
            <w:tcBorders>
              <w:top w:val="single" w:sz="18" w:space="0" w:color="7F7F7F"/>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-8.74</w:t>
            </w:r>
          </w:p>
        </w:tc>
        <w:tc>
          <w:tcPr>
            <w:tcW w:w="1304" w:type="dxa"/>
            <w:tcBorders>
              <w:top w:val="single" w:sz="18" w:space="0" w:color="7F7F7F"/>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-4.35</w:t>
            </w:r>
          </w:p>
        </w:tc>
        <w:tc>
          <w:tcPr>
            <w:tcW w:w="1592" w:type="dxa"/>
            <w:tcBorders>
              <w:top w:val="single" w:sz="18" w:space="0" w:color="7F7F7F"/>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80.66</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Canada</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-11.81</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-13.20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-13.86</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-2.40</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-21.30</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Mexico</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-13.68</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-6.60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-26.19</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7.71</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27.18</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China</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-1.61</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-5.80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-11.45</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1.92</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37.56</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Japan</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-0.03</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-8.40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-14.66</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-10.03</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1.96</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SKorea</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-3.22</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-16.70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-9.94</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-13.26</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-55.37</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India</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3.57</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1.40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-12.35</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4.54</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101.81</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France</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-11.89</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-13.80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-18.47</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1.50</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-12.62</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Germany</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-8.09</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-12.80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-17.67</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-0.51</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-10.83</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UK</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-15.94</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-14.70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-20.68</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5.62</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-13.06</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RoEU</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-10.24</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-13.30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-29.30</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0.32</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2.24</w:t>
            </w:r>
          </w:p>
        </w:tc>
      </w:tr>
      <w:tr w:rsidR="0061080C" w:rsidRPr="00C600BB" w:rsidTr="00742CAF">
        <w:tc>
          <w:tcPr>
            <w:tcW w:w="1413" w:type="dxa"/>
            <w:tcBorders>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SaudiArabia</w:t>
            </w:r>
          </w:p>
        </w:tc>
        <w:tc>
          <w:tcPr>
            <w:tcW w:w="1304" w:type="dxa"/>
            <w:tcBorders>
              <w:left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-3.03</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-24.90</w:t>
            </w:r>
          </w:p>
        </w:tc>
        <w:tc>
          <w:tcPr>
            <w:tcW w:w="1304" w:type="dxa"/>
            <w:tcBorders>
              <w:left w:val="single" w:sz="4"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-7.64</w:t>
            </w:r>
          </w:p>
        </w:tc>
        <w:tc>
          <w:tcPr>
            <w:tcW w:w="1304"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0.31</w:t>
            </w:r>
          </w:p>
        </w:tc>
        <w:tc>
          <w:tcPr>
            <w:tcW w:w="1592" w:type="dxa"/>
            <w:tcBorders>
              <w:left w:val="single" w:sz="4"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4.33</w:t>
            </w:r>
          </w:p>
        </w:tc>
      </w:tr>
      <w:tr w:rsidR="0061080C" w:rsidRPr="00C600BB" w:rsidTr="00742CAF">
        <w:tc>
          <w:tcPr>
            <w:tcW w:w="1413" w:type="dxa"/>
            <w:tcBorders>
              <w:bottom w:val="single" w:sz="18" w:space="0" w:color="7F7F7F"/>
              <w:right w:val="single" w:sz="18" w:space="0" w:color="7F7F7F"/>
            </w:tcBorders>
            <w:shd w:val="clear" w:color="auto" w:fill="auto"/>
            <w:vAlign w:val="bottom"/>
          </w:tcPr>
          <w:p w:rsidR="0061080C" w:rsidRPr="00C600BB" w:rsidRDefault="0061080C" w:rsidP="0061080C">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RoW</w:t>
            </w:r>
          </w:p>
        </w:tc>
        <w:tc>
          <w:tcPr>
            <w:tcW w:w="1304" w:type="dxa"/>
            <w:tcBorders>
              <w:left w:val="single" w:sz="18" w:space="0" w:color="7F7F7F"/>
              <w:bottom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-15.12</w:t>
            </w:r>
          </w:p>
        </w:tc>
        <w:tc>
          <w:tcPr>
            <w:tcW w:w="1304" w:type="dxa"/>
            <w:tcBorders>
              <w:left w:val="single" w:sz="4" w:space="0" w:color="7F7F7F"/>
              <w:bottom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0.00</w:t>
            </w:r>
          </w:p>
        </w:tc>
        <w:tc>
          <w:tcPr>
            <w:tcW w:w="1304" w:type="dxa"/>
            <w:tcBorders>
              <w:left w:val="single" w:sz="4" w:space="0" w:color="7F7F7F"/>
              <w:bottom w:val="single" w:sz="18" w:space="0" w:color="7F7F7F"/>
              <w:right w:val="single" w:sz="4" w:space="0" w:color="7F7F7F"/>
            </w:tcBorders>
            <w:shd w:val="clear" w:color="auto" w:fill="FFFFCC"/>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-19.45</w:t>
            </w:r>
          </w:p>
        </w:tc>
        <w:tc>
          <w:tcPr>
            <w:tcW w:w="1304" w:type="dxa"/>
            <w:tcBorders>
              <w:left w:val="single" w:sz="4" w:space="0" w:color="7F7F7F"/>
              <w:bottom w:val="single" w:sz="18"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0.00</w:t>
            </w:r>
          </w:p>
        </w:tc>
        <w:tc>
          <w:tcPr>
            <w:tcW w:w="1592" w:type="dxa"/>
            <w:tcBorders>
              <w:left w:val="single" w:sz="4" w:space="0" w:color="7F7F7F"/>
              <w:bottom w:val="single" w:sz="18" w:space="0" w:color="7F7F7F"/>
              <w:right w:val="single" w:sz="4" w:space="0" w:color="7F7F7F"/>
            </w:tcBorders>
            <w:shd w:val="clear" w:color="auto" w:fill="auto"/>
          </w:tcPr>
          <w:p w:rsidR="0061080C" w:rsidRPr="0061080C" w:rsidRDefault="0061080C" w:rsidP="00742CAF">
            <w:pPr>
              <w:tabs>
                <w:tab w:val="decimal" w:pos="600"/>
              </w:tabs>
              <w:spacing w:before="0"/>
              <w:rPr>
                <w:rFonts w:ascii="Times New Roman" w:hAnsi="Times New Roman"/>
                <w:color w:val="000000"/>
                <w:sz w:val="20"/>
                <w:szCs w:val="20"/>
              </w:rPr>
            </w:pPr>
            <w:r w:rsidRPr="0061080C">
              <w:rPr>
                <w:rFonts w:ascii="Times New Roman" w:hAnsi="Times New Roman"/>
                <w:color w:val="000000"/>
                <w:sz w:val="20"/>
                <w:szCs w:val="20"/>
              </w:rPr>
              <w:t>-21.05</w:t>
            </w:r>
          </w:p>
        </w:tc>
      </w:tr>
    </w:tbl>
    <w:p w:rsidR="006D2F97" w:rsidRDefault="006D2F97" w:rsidP="006D2F97">
      <w:pPr>
        <w:ind w:left="0"/>
        <w:rPr>
          <w:rFonts w:ascii="Times New Roman" w:hAnsi="Times New Roman"/>
          <w:sz w:val="24"/>
          <w:szCs w:val="24"/>
        </w:rPr>
      </w:pPr>
    </w:p>
    <w:p w:rsidR="00512DA8" w:rsidRPr="000D0775" w:rsidRDefault="00764943" w:rsidP="00512DA8">
      <w:pPr>
        <w:ind w:left="0"/>
        <w:rPr>
          <w:rFonts w:ascii="Times New Roman" w:hAnsi="Times New Roman"/>
          <w:sz w:val="24"/>
          <w:szCs w:val="24"/>
        </w:rPr>
      </w:pPr>
      <w:r>
        <w:rPr>
          <w:rFonts w:ascii="Times New Roman" w:hAnsi="Times New Roman"/>
          <w:sz w:val="24"/>
          <w:szCs w:val="24"/>
        </w:rPr>
        <w:t xml:space="preserve">India also exports energy products particularly Petroleum &amp; coal products and Chemicals.  With the reductions in the prices of oil and gas, we would expect the price index for Indian exports to fall relative to the price index for GDP.  This is what we observe (a 1.40 per cent increase compared with 3.57 per cent increase).  However, given the composition of Indian exports, the reduction in the ratio of export prices to the price of GDP is less than would be expected on the basis of energy prices and other costs.  Consequently, our simulation shows a </w:t>
      </w:r>
      <w:r w:rsidR="00512DA8">
        <w:rPr>
          <w:rFonts w:ascii="Times New Roman" w:hAnsi="Times New Roman"/>
          <w:sz w:val="24"/>
          <w:szCs w:val="24"/>
        </w:rPr>
        <w:t>relatively large positive phantom export tax for India (</w:t>
      </w:r>
      <w:r w:rsidR="00512DA8" w:rsidRPr="002656CC">
        <w:rPr>
          <w:rFonts w:ascii="Times New Roman" w:hAnsi="Times New Roman"/>
          <w:sz w:val="24"/>
          <w:szCs w:val="24"/>
        </w:rPr>
        <w:t>4.</w:t>
      </w:r>
      <w:r w:rsidR="004F4A6E" w:rsidRPr="002656CC">
        <w:rPr>
          <w:rFonts w:ascii="Times New Roman" w:hAnsi="Times New Roman"/>
          <w:sz w:val="24"/>
          <w:szCs w:val="24"/>
        </w:rPr>
        <w:t>54</w:t>
      </w:r>
      <w:r w:rsidR="00512DA8">
        <w:rPr>
          <w:rFonts w:ascii="Times New Roman" w:hAnsi="Times New Roman"/>
          <w:sz w:val="24"/>
          <w:szCs w:val="24"/>
        </w:rPr>
        <w:t xml:space="preserve"> per cent).  For an emerging economy such as India, higher than expected export prices may reflect improved quality in their exports relative to that of domestic products sold on their domestic market.  A similar explanation might be valid for Mexico for which the phantom export tax is </w:t>
      </w:r>
      <w:r w:rsidR="00512DA8" w:rsidRPr="002656CC">
        <w:rPr>
          <w:rFonts w:ascii="Times New Roman" w:hAnsi="Times New Roman"/>
          <w:sz w:val="24"/>
          <w:szCs w:val="24"/>
        </w:rPr>
        <w:t>7.7</w:t>
      </w:r>
      <w:r w:rsidR="004F4A6E" w:rsidRPr="002656CC">
        <w:rPr>
          <w:rFonts w:ascii="Times New Roman" w:hAnsi="Times New Roman"/>
          <w:sz w:val="24"/>
          <w:szCs w:val="24"/>
        </w:rPr>
        <w:t>1</w:t>
      </w:r>
      <w:r w:rsidR="00512DA8" w:rsidRPr="000D0775">
        <w:rPr>
          <w:rFonts w:ascii="Times New Roman" w:hAnsi="Times New Roman"/>
          <w:sz w:val="24"/>
          <w:szCs w:val="24"/>
        </w:rPr>
        <w:t xml:space="preserve"> per cent.    </w:t>
      </w:r>
    </w:p>
    <w:p w:rsidR="006B1EE3" w:rsidRDefault="00512DA8" w:rsidP="006B1EE3">
      <w:pPr>
        <w:ind w:left="0"/>
        <w:rPr>
          <w:rFonts w:ascii="Times New Roman" w:hAnsi="Times New Roman"/>
          <w:sz w:val="24"/>
          <w:szCs w:val="24"/>
        </w:rPr>
      </w:pPr>
      <w:r w:rsidRPr="000D0775">
        <w:rPr>
          <w:rFonts w:ascii="Times New Roman" w:hAnsi="Times New Roman"/>
          <w:sz w:val="24"/>
          <w:szCs w:val="24"/>
        </w:rPr>
        <w:t>The quality argument seems an unlikely explanation of the strongly positive phantom tax for the UK (</w:t>
      </w:r>
      <w:r w:rsidRPr="002656CC">
        <w:rPr>
          <w:rFonts w:ascii="Times New Roman" w:hAnsi="Times New Roman"/>
          <w:sz w:val="24"/>
          <w:szCs w:val="24"/>
        </w:rPr>
        <w:t>5.6</w:t>
      </w:r>
      <w:r w:rsidR="004F4A6E" w:rsidRPr="002656CC">
        <w:rPr>
          <w:rFonts w:ascii="Times New Roman" w:hAnsi="Times New Roman"/>
          <w:sz w:val="24"/>
          <w:szCs w:val="24"/>
        </w:rPr>
        <w:t>2</w:t>
      </w:r>
      <w:r w:rsidRPr="000D0775">
        <w:rPr>
          <w:rFonts w:ascii="Times New Roman" w:hAnsi="Times New Roman"/>
          <w:sz w:val="24"/>
          <w:szCs w:val="24"/>
        </w:rPr>
        <w:t xml:space="preserve"> per cent).  A more likely explanation is mismeasurement of relative</w:t>
      </w:r>
      <w:r>
        <w:rPr>
          <w:rFonts w:ascii="Times New Roman" w:hAnsi="Times New Roman"/>
          <w:sz w:val="24"/>
          <w:szCs w:val="24"/>
        </w:rPr>
        <w:t xml:space="preserve"> costs across UK exports.  For the UK, services are a substantial component of exports.  If we have </w:t>
      </w:r>
      <w:r w:rsidR="006B1EE3">
        <w:rPr>
          <w:rFonts w:ascii="Times New Roman" w:hAnsi="Times New Roman"/>
          <w:sz w:val="24"/>
          <w:szCs w:val="24"/>
        </w:rPr>
        <w:t xml:space="preserve">overestimated productivity growth in the UK service sector relative to that of other sectors, then this would provide an explanation of the positive export tax required to reconcile simulated export prices for the UK with observed export prices.    </w:t>
      </w:r>
    </w:p>
    <w:p w:rsidR="006D2F97" w:rsidRPr="00512DA8" w:rsidRDefault="00CB5068" w:rsidP="006D2F97">
      <w:pPr>
        <w:ind w:left="0"/>
        <w:rPr>
          <w:rFonts w:ascii="Times New Roman" w:hAnsi="Times New Roman"/>
          <w:sz w:val="24"/>
          <w:szCs w:val="24"/>
        </w:rPr>
      </w:pPr>
      <w:r>
        <w:rPr>
          <w:rFonts w:ascii="Times New Roman" w:hAnsi="Times New Roman"/>
          <w:sz w:val="24"/>
          <w:szCs w:val="24"/>
        </w:rPr>
        <w:t xml:space="preserve">The final column of Table 4.7 shows preference shifts by importers towards or against different sources.  The largest positive preference twist was towards Indian products.  The </w:t>
      </w:r>
      <w:r w:rsidRPr="00512DA8">
        <w:rPr>
          <w:rFonts w:ascii="Times New Roman" w:hAnsi="Times New Roman"/>
          <w:sz w:val="24"/>
          <w:szCs w:val="24"/>
        </w:rPr>
        <w:t xml:space="preserve">twist result for India means that the shares of Indian products in the imports of other countries </w:t>
      </w:r>
      <w:r w:rsidR="006D2F97" w:rsidRPr="00512DA8">
        <w:rPr>
          <w:rFonts w:ascii="Times New Roman" w:hAnsi="Times New Roman"/>
          <w:sz w:val="24"/>
          <w:szCs w:val="24"/>
        </w:rPr>
        <w:t xml:space="preserve">increased by </w:t>
      </w:r>
      <w:r w:rsidR="009B4C80" w:rsidRPr="00512DA8">
        <w:rPr>
          <w:rFonts w:ascii="Times New Roman" w:hAnsi="Times New Roman"/>
          <w:sz w:val="24"/>
          <w:szCs w:val="24"/>
        </w:rPr>
        <w:t>101.8</w:t>
      </w:r>
      <w:r w:rsidR="002656CC">
        <w:rPr>
          <w:rFonts w:ascii="Times New Roman" w:hAnsi="Times New Roman"/>
          <w:sz w:val="24"/>
          <w:szCs w:val="24"/>
        </w:rPr>
        <w:t>1</w:t>
      </w:r>
      <w:r w:rsidR="006D2F97" w:rsidRPr="00512DA8">
        <w:rPr>
          <w:rFonts w:ascii="Times New Roman" w:hAnsi="Times New Roman"/>
          <w:sz w:val="24"/>
          <w:szCs w:val="24"/>
        </w:rPr>
        <w:t xml:space="preserve"> per cent relative to what could be explained on the basis of relative prices: the volume of Indian exports increased by 12.3</w:t>
      </w:r>
      <w:r w:rsidR="009B4C80" w:rsidRPr="00512DA8">
        <w:rPr>
          <w:rFonts w:ascii="Times New Roman" w:hAnsi="Times New Roman"/>
          <w:sz w:val="24"/>
          <w:szCs w:val="24"/>
        </w:rPr>
        <w:t>5</w:t>
      </w:r>
      <w:r w:rsidR="006D2F97" w:rsidRPr="00512DA8">
        <w:rPr>
          <w:rFonts w:ascii="Times New Roman" w:hAnsi="Times New Roman"/>
          <w:sz w:val="24"/>
          <w:szCs w:val="24"/>
        </w:rPr>
        <w:t xml:space="preserve"> per cent despite its export price increasing relative to all other regions.  There were also strong twists towards USA exports (</w:t>
      </w:r>
      <w:r w:rsidR="009B4C80" w:rsidRPr="002656CC">
        <w:rPr>
          <w:rFonts w:ascii="Times New Roman" w:hAnsi="Times New Roman"/>
          <w:sz w:val="24"/>
          <w:szCs w:val="24"/>
        </w:rPr>
        <w:t>80.</w:t>
      </w:r>
      <w:r w:rsidR="004F4A6E" w:rsidRPr="002656CC">
        <w:rPr>
          <w:rFonts w:ascii="Times New Roman" w:hAnsi="Times New Roman"/>
          <w:sz w:val="24"/>
          <w:szCs w:val="24"/>
        </w:rPr>
        <w:t>66</w:t>
      </w:r>
      <w:r w:rsidR="006D2F97" w:rsidRPr="00512DA8">
        <w:rPr>
          <w:rFonts w:ascii="Times New Roman" w:hAnsi="Times New Roman"/>
          <w:sz w:val="24"/>
          <w:szCs w:val="24"/>
        </w:rPr>
        <w:t xml:space="preserve"> per cent).  At the other extreme, South Korea suffered a large adverse twist </w:t>
      </w:r>
      <w:r w:rsidR="006D2F97" w:rsidRPr="002656CC">
        <w:rPr>
          <w:rFonts w:ascii="Times New Roman" w:hAnsi="Times New Roman"/>
          <w:sz w:val="24"/>
          <w:szCs w:val="24"/>
        </w:rPr>
        <w:t>(-55.</w:t>
      </w:r>
      <w:r w:rsidR="004F4A6E" w:rsidRPr="002656CC">
        <w:rPr>
          <w:rFonts w:ascii="Times New Roman" w:hAnsi="Times New Roman"/>
          <w:sz w:val="24"/>
          <w:szCs w:val="24"/>
        </w:rPr>
        <w:t>37</w:t>
      </w:r>
      <w:r w:rsidR="006D2F97" w:rsidRPr="00512DA8">
        <w:rPr>
          <w:rFonts w:ascii="Times New Roman" w:hAnsi="Times New Roman"/>
          <w:sz w:val="24"/>
          <w:szCs w:val="24"/>
        </w:rPr>
        <w:t xml:space="preserve"> per cent).  South Korea had relatively low export growth (9.94 per cent) despite a relatively large decline in its export price (-16.70 per cent).  </w:t>
      </w:r>
    </w:p>
    <w:p w:rsidR="007F2E9D" w:rsidRDefault="007F2E9D">
      <w:pPr>
        <w:spacing w:before="0" w:line="240" w:lineRule="auto"/>
        <w:ind w:left="0"/>
        <w:rPr>
          <w:rFonts w:ascii="Times New Roman" w:hAnsi="Times New Roman"/>
          <w:b/>
          <w:i/>
          <w:iCs/>
          <w:sz w:val="24"/>
          <w:szCs w:val="24"/>
        </w:rPr>
      </w:pPr>
      <w:r>
        <w:rPr>
          <w:rFonts w:ascii="Times New Roman" w:hAnsi="Times New Roman"/>
          <w:b/>
          <w:i/>
          <w:iCs/>
          <w:sz w:val="24"/>
          <w:szCs w:val="24"/>
        </w:rPr>
        <w:br w:type="page"/>
      </w:r>
    </w:p>
    <w:p w:rsidR="00B02EA6" w:rsidRPr="00783643" w:rsidRDefault="00B02EA6" w:rsidP="00B02EA6">
      <w:pPr>
        <w:ind w:left="0"/>
        <w:jc w:val="center"/>
        <w:rPr>
          <w:rFonts w:ascii="Times New Roman" w:hAnsi="Times New Roman"/>
          <w:b/>
          <w:i/>
          <w:iCs/>
          <w:sz w:val="24"/>
          <w:szCs w:val="24"/>
        </w:rPr>
      </w:pPr>
      <w:r>
        <w:rPr>
          <w:rFonts w:ascii="Times New Roman" w:hAnsi="Times New Roman"/>
          <w:b/>
          <w:i/>
          <w:iCs/>
          <w:sz w:val="24"/>
          <w:szCs w:val="24"/>
        </w:rPr>
        <w:lastRenderedPageBreak/>
        <w:t xml:space="preserve">Table 4.8.  Percentage changes between 2014 and 2019 in import prices and explanatory phantom-tax movements  </w:t>
      </w:r>
    </w:p>
    <w:tbl>
      <w:tblPr>
        <w:tblW w:w="4856" w:type="dxa"/>
        <w:tblInd w:w="1418" w:type="dxa"/>
        <w:tblLook w:val="04A0" w:firstRow="1" w:lastRow="0" w:firstColumn="1" w:lastColumn="0" w:noHBand="0" w:noVBand="1"/>
      </w:tblPr>
      <w:tblGrid>
        <w:gridCol w:w="1326"/>
        <w:gridCol w:w="1509"/>
        <w:gridCol w:w="2021"/>
      </w:tblGrid>
      <w:tr w:rsidR="00B02EA6" w:rsidRPr="00C600BB" w:rsidTr="0072488F">
        <w:tc>
          <w:tcPr>
            <w:tcW w:w="1326" w:type="dxa"/>
            <w:tcBorders>
              <w:top w:val="single" w:sz="18"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sz w:val="20"/>
                <w:szCs w:val="20"/>
              </w:rPr>
            </w:pPr>
          </w:p>
        </w:tc>
        <w:tc>
          <w:tcPr>
            <w:tcW w:w="1509" w:type="dxa"/>
            <w:tcBorders>
              <w:top w:val="single" w:sz="18" w:space="0" w:color="7F7F7F"/>
              <w:left w:val="single" w:sz="4" w:space="0" w:color="7F7F7F"/>
              <w:bottom w:val="single" w:sz="4" w:space="0" w:color="7F7F7F"/>
              <w:right w:val="single" w:sz="18" w:space="0" w:color="7F7F7F"/>
            </w:tcBorders>
            <w:shd w:val="clear" w:color="auto" w:fill="FFFFCC"/>
          </w:tcPr>
          <w:p w:rsidR="00B02EA6" w:rsidRPr="00C600BB" w:rsidRDefault="00B02EA6" w:rsidP="0072488F">
            <w:pPr>
              <w:spacing w:before="0" w:line="240" w:lineRule="auto"/>
              <w:ind w:left="38"/>
              <w:jc w:val="center"/>
              <w:rPr>
                <w:rFonts w:ascii="Times New Roman" w:hAnsi="Times New Roman"/>
                <w:color w:val="000000"/>
                <w:sz w:val="20"/>
                <w:szCs w:val="20"/>
              </w:rPr>
            </w:pPr>
            <w:r w:rsidRPr="00C600BB">
              <w:rPr>
                <w:rFonts w:ascii="Times New Roman" w:hAnsi="Times New Roman"/>
                <w:color w:val="000000"/>
                <w:sz w:val="20"/>
                <w:szCs w:val="20"/>
              </w:rPr>
              <w:t>Price index for imports</w:t>
            </w:r>
          </w:p>
        </w:tc>
        <w:tc>
          <w:tcPr>
            <w:tcW w:w="2021" w:type="dxa"/>
            <w:tcBorders>
              <w:top w:val="single" w:sz="18" w:space="0" w:color="7F7F7F"/>
              <w:left w:val="single" w:sz="18" w:space="0" w:color="7F7F7F"/>
              <w:bottom w:val="single" w:sz="4" w:space="0" w:color="7F7F7F"/>
            </w:tcBorders>
            <w:shd w:val="clear" w:color="auto" w:fill="auto"/>
          </w:tcPr>
          <w:p w:rsidR="00B02EA6" w:rsidRPr="00C600BB" w:rsidRDefault="00B02EA6" w:rsidP="0072488F">
            <w:pPr>
              <w:spacing w:before="0" w:line="240" w:lineRule="auto"/>
              <w:ind w:left="38"/>
              <w:jc w:val="center"/>
              <w:rPr>
                <w:rFonts w:ascii="Times New Roman" w:hAnsi="Times New Roman"/>
                <w:color w:val="000000"/>
                <w:sz w:val="20"/>
                <w:szCs w:val="20"/>
              </w:rPr>
            </w:pPr>
            <w:r w:rsidRPr="00C600BB">
              <w:rPr>
                <w:rFonts w:ascii="Times New Roman" w:hAnsi="Times New Roman"/>
                <w:color w:val="000000"/>
                <w:sz w:val="20"/>
                <w:szCs w:val="20"/>
              </w:rPr>
              <w:t xml:space="preserve">Discriminatory phantom tax on exports </w:t>
            </w:r>
            <w:r w:rsidRPr="00C600BB">
              <w:rPr>
                <w:rFonts w:ascii="Times New Roman" w:hAnsi="Times New Roman"/>
                <w:color w:val="FF0000"/>
                <w:sz w:val="20"/>
                <w:szCs w:val="20"/>
              </w:rPr>
              <w:t>to</w:t>
            </w:r>
            <w:r w:rsidRPr="00C600BB">
              <w:rPr>
                <w:rFonts w:ascii="Times New Roman" w:hAnsi="Times New Roman"/>
                <w:color w:val="000000"/>
                <w:sz w:val="20"/>
                <w:szCs w:val="20"/>
              </w:rPr>
              <w:t xml:space="preserve"> regions</w:t>
            </w:r>
          </w:p>
        </w:tc>
      </w:tr>
      <w:tr w:rsidR="00B02EA6" w:rsidRPr="00C600BB" w:rsidTr="0072488F">
        <w:tc>
          <w:tcPr>
            <w:tcW w:w="1326" w:type="dxa"/>
            <w:tcBorders>
              <w:top w:val="single" w:sz="4" w:space="0" w:color="7F7F7F"/>
              <w:bottom w:val="single" w:sz="18"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sz w:val="20"/>
                <w:szCs w:val="20"/>
              </w:rPr>
            </w:pPr>
          </w:p>
        </w:tc>
        <w:tc>
          <w:tcPr>
            <w:tcW w:w="1509" w:type="dxa"/>
            <w:tcBorders>
              <w:top w:val="single" w:sz="4" w:space="0" w:color="7F7F7F"/>
              <w:left w:val="single" w:sz="4" w:space="0" w:color="7F7F7F"/>
              <w:bottom w:val="single" w:sz="18" w:space="0" w:color="7F7F7F"/>
              <w:right w:val="single" w:sz="18" w:space="0" w:color="7F7F7F"/>
            </w:tcBorders>
            <w:shd w:val="clear" w:color="auto" w:fill="FFFFCC"/>
          </w:tcPr>
          <w:p w:rsidR="00B02EA6" w:rsidRPr="00C600BB" w:rsidRDefault="00B02EA6" w:rsidP="0072488F">
            <w:pPr>
              <w:spacing w:before="0" w:line="240" w:lineRule="auto"/>
              <w:ind w:left="38"/>
              <w:jc w:val="center"/>
              <w:rPr>
                <w:rFonts w:ascii="Times New Roman" w:hAnsi="Times New Roman"/>
                <w:color w:val="000000"/>
                <w:sz w:val="20"/>
                <w:szCs w:val="20"/>
              </w:rPr>
            </w:pPr>
            <w:r w:rsidRPr="00C600BB">
              <w:rPr>
                <w:rFonts w:ascii="Times New Roman" w:hAnsi="Times New Roman"/>
                <w:color w:val="000000"/>
                <w:sz w:val="20"/>
                <w:szCs w:val="20"/>
              </w:rPr>
              <w:t>p_m_obs</w:t>
            </w:r>
          </w:p>
        </w:tc>
        <w:tc>
          <w:tcPr>
            <w:tcW w:w="2021" w:type="dxa"/>
            <w:tcBorders>
              <w:top w:val="single" w:sz="4" w:space="0" w:color="7F7F7F"/>
              <w:left w:val="single" w:sz="18" w:space="0" w:color="7F7F7F"/>
              <w:bottom w:val="single" w:sz="18" w:space="0" w:color="7F7F7F"/>
            </w:tcBorders>
            <w:shd w:val="clear" w:color="auto" w:fill="auto"/>
          </w:tcPr>
          <w:p w:rsidR="00B02EA6" w:rsidRPr="00C600BB" w:rsidRDefault="00B02EA6" w:rsidP="0072488F">
            <w:pPr>
              <w:spacing w:before="0" w:line="240" w:lineRule="auto"/>
              <w:ind w:left="38"/>
              <w:jc w:val="center"/>
              <w:rPr>
                <w:rFonts w:ascii="Times New Roman" w:hAnsi="Times New Roman"/>
                <w:color w:val="000000"/>
                <w:sz w:val="20"/>
                <w:szCs w:val="20"/>
              </w:rPr>
            </w:pPr>
            <w:r w:rsidRPr="00C600BB">
              <w:rPr>
                <w:rFonts w:ascii="Times New Roman" w:hAnsi="Times New Roman"/>
                <w:color w:val="000000"/>
                <w:sz w:val="20"/>
                <w:szCs w:val="20"/>
              </w:rPr>
              <w:t>phtx_i2</w:t>
            </w:r>
          </w:p>
        </w:tc>
      </w:tr>
      <w:tr w:rsidR="00B02EA6" w:rsidRPr="00C600BB" w:rsidTr="0072488F">
        <w:tc>
          <w:tcPr>
            <w:tcW w:w="1326" w:type="dxa"/>
            <w:tcBorders>
              <w:top w:val="single" w:sz="18"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USA</w:t>
            </w:r>
          </w:p>
        </w:tc>
        <w:tc>
          <w:tcPr>
            <w:tcW w:w="1509" w:type="dxa"/>
            <w:tcBorders>
              <w:top w:val="single" w:sz="18"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ind w:left="0"/>
              <w:jc w:val="right"/>
              <w:rPr>
                <w:rFonts w:ascii="Times New Roman" w:hAnsi="Times New Roman"/>
                <w:color w:val="000000"/>
                <w:sz w:val="20"/>
                <w:szCs w:val="20"/>
                <w:lang w:eastAsia="en-AU"/>
              </w:rPr>
            </w:pPr>
            <w:r w:rsidRPr="00E8610D">
              <w:rPr>
                <w:rFonts w:ascii="Times New Roman" w:hAnsi="Times New Roman"/>
                <w:color w:val="000000"/>
                <w:sz w:val="20"/>
                <w:szCs w:val="20"/>
              </w:rPr>
              <w:t>-8.20</w:t>
            </w:r>
          </w:p>
        </w:tc>
        <w:tc>
          <w:tcPr>
            <w:tcW w:w="2021" w:type="dxa"/>
            <w:tcBorders>
              <w:top w:val="single" w:sz="18" w:space="0" w:color="7F7F7F"/>
              <w:left w:val="single" w:sz="18" w:space="0" w:color="7F7F7F"/>
              <w:bottom w:val="single" w:sz="4" w:space="0" w:color="7F7F7F"/>
            </w:tcBorders>
            <w:shd w:val="clear" w:color="auto" w:fill="auto"/>
            <w:vAlign w:val="bottom"/>
          </w:tcPr>
          <w:p w:rsidR="00B02EA6" w:rsidRPr="00984D6F" w:rsidRDefault="00B02EA6" w:rsidP="0072488F">
            <w:pPr>
              <w:spacing w:before="0"/>
              <w:ind w:left="0"/>
              <w:jc w:val="right"/>
              <w:rPr>
                <w:rFonts w:ascii="Times New Roman" w:hAnsi="Times New Roman"/>
                <w:color w:val="000000"/>
                <w:sz w:val="20"/>
                <w:szCs w:val="20"/>
                <w:lang w:eastAsia="en-AU"/>
              </w:rPr>
            </w:pPr>
            <w:r w:rsidRPr="00984D6F">
              <w:rPr>
                <w:rFonts w:ascii="Times New Roman" w:hAnsi="Times New Roman"/>
                <w:color w:val="000000"/>
                <w:sz w:val="20"/>
                <w:szCs w:val="20"/>
              </w:rPr>
              <w:t>6.06</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Canada</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-8.50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-2.33</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Mexico</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-6.80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-0.45</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China</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-5.00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11.35</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Japan</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-13.80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0.39</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SKorea</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-18.70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-6.69</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India</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-8.20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10.17</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France</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-16.00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-4.12</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Germany</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-15.50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-3.58</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UK</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-15.90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-4.61</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RoEU</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-14.90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-3.47</w:t>
            </w:r>
          </w:p>
        </w:tc>
      </w:tr>
      <w:tr w:rsidR="00B02EA6" w:rsidRPr="00C600BB" w:rsidTr="0072488F">
        <w:tc>
          <w:tcPr>
            <w:tcW w:w="1326" w:type="dxa"/>
            <w:tcBorders>
              <w:top w:val="single" w:sz="4"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SaudiArabia</w:t>
            </w:r>
          </w:p>
        </w:tc>
        <w:tc>
          <w:tcPr>
            <w:tcW w:w="1509" w:type="dxa"/>
            <w:tcBorders>
              <w:top w:val="single" w:sz="4" w:space="0" w:color="7F7F7F"/>
              <w:left w:val="single" w:sz="4" w:space="0" w:color="7F7F7F"/>
              <w:bottom w:val="single" w:sz="4"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-6.00</w:t>
            </w:r>
          </w:p>
        </w:tc>
        <w:tc>
          <w:tcPr>
            <w:tcW w:w="2021" w:type="dxa"/>
            <w:tcBorders>
              <w:top w:val="single" w:sz="4" w:space="0" w:color="7F7F7F"/>
              <w:left w:val="single" w:sz="18" w:space="0" w:color="7F7F7F"/>
              <w:bottom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4.14</w:t>
            </w:r>
          </w:p>
        </w:tc>
      </w:tr>
      <w:tr w:rsidR="00B02EA6" w:rsidRPr="00C600BB" w:rsidTr="0072488F">
        <w:tc>
          <w:tcPr>
            <w:tcW w:w="1326" w:type="dxa"/>
            <w:tcBorders>
              <w:top w:val="single" w:sz="4" w:space="0" w:color="7F7F7F"/>
              <w:bottom w:val="single" w:sz="18" w:space="0" w:color="7F7F7F"/>
              <w:right w:val="single" w:sz="18" w:space="0" w:color="7F7F7F"/>
            </w:tcBorders>
            <w:shd w:val="clear" w:color="auto" w:fill="auto"/>
            <w:vAlign w:val="bottom"/>
          </w:tcPr>
          <w:p w:rsidR="00B02EA6" w:rsidRPr="00C600BB" w:rsidRDefault="00B02EA6" w:rsidP="0072488F">
            <w:pPr>
              <w:spacing w:before="0" w:line="240" w:lineRule="auto"/>
              <w:ind w:left="38"/>
              <w:rPr>
                <w:rFonts w:ascii="Times New Roman" w:hAnsi="Times New Roman"/>
                <w:color w:val="000000"/>
                <w:sz w:val="20"/>
                <w:szCs w:val="20"/>
              </w:rPr>
            </w:pPr>
            <w:r w:rsidRPr="00C600BB">
              <w:rPr>
                <w:rFonts w:ascii="Times New Roman" w:hAnsi="Times New Roman"/>
                <w:color w:val="000000"/>
                <w:sz w:val="20"/>
                <w:szCs w:val="20"/>
              </w:rPr>
              <w:t>Row</w:t>
            </w:r>
          </w:p>
        </w:tc>
        <w:tc>
          <w:tcPr>
            <w:tcW w:w="1509" w:type="dxa"/>
            <w:tcBorders>
              <w:top w:val="single" w:sz="4" w:space="0" w:color="7F7F7F"/>
              <w:left w:val="single" w:sz="4" w:space="0" w:color="7F7F7F"/>
              <w:bottom w:val="single" w:sz="18" w:space="0" w:color="7F7F7F"/>
              <w:right w:val="single" w:sz="18"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10.00</w:t>
            </w:r>
          </w:p>
        </w:tc>
        <w:tc>
          <w:tcPr>
            <w:tcW w:w="2021" w:type="dxa"/>
            <w:tcBorders>
              <w:top w:val="single" w:sz="4" w:space="0" w:color="7F7F7F"/>
              <w:left w:val="single" w:sz="18" w:space="0" w:color="7F7F7F"/>
              <w:bottom w:val="single" w:sz="18"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-4.03</w:t>
            </w:r>
          </w:p>
        </w:tc>
      </w:tr>
    </w:tbl>
    <w:p w:rsidR="00B02EA6" w:rsidRDefault="00B02EA6" w:rsidP="00B02EA6">
      <w:pPr>
        <w:ind w:left="0"/>
        <w:rPr>
          <w:rFonts w:ascii="Times New Roman" w:hAnsi="Times New Roman"/>
          <w:b/>
          <w:i/>
          <w:iCs/>
          <w:sz w:val="24"/>
          <w:szCs w:val="24"/>
        </w:rPr>
      </w:pPr>
    </w:p>
    <w:p w:rsidR="00B02EA6" w:rsidRPr="00783643" w:rsidRDefault="00B02EA6" w:rsidP="00B02EA6">
      <w:pPr>
        <w:ind w:left="0"/>
        <w:jc w:val="center"/>
        <w:rPr>
          <w:rFonts w:ascii="Times New Roman" w:hAnsi="Times New Roman"/>
          <w:b/>
          <w:i/>
          <w:iCs/>
          <w:sz w:val="24"/>
          <w:szCs w:val="24"/>
        </w:rPr>
      </w:pPr>
      <w:r>
        <w:rPr>
          <w:rFonts w:ascii="Times New Roman" w:hAnsi="Times New Roman"/>
          <w:b/>
          <w:i/>
          <w:iCs/>
          <w:sz w:val="24"/>
          <w:szCs w:val="24"/>
        </w:rPr>
        <w:t xml:space="preserve">Table 4.9.  Percentage changes between 2014 and 2019 in investment prices and explanatory variables </w:t>
      </w:r>
    </w:p>
    <w:tbl>
      <w:tblPr>
        <w:tblW w:w="5670" w:type="dxa"/>
        <w:tblInd w:w="1560" w:type="dxa"/>
        <w:tblLook w:val="04A0" w:firstRow="1" w:lastRow="0" w:firstColumn="1" w:lastColumn="0" w:noHBand="0" w:noVBand="1"/>
      </w:tblPr>
      <w:tblGrid>
        <w:gridCol w:w="1413"/>
        <w:gridCol w:w="1304"/>
        <w:gridCol w:w="1393"/>
        <w:gridCol w:w="1560"/>
      </w:tblGrid>
      <w:tr w:rsidR="00B02EA6" w:rsidRPr="00C600BB" w:rsidTr="0072488F">
        <w:tc>
          <w:tcPr>
            <w:tcW w:w="1413" w:type="dxa"/>
            <w:tcBorders>
              <w:top w:val="single" w:sz="18" w:space="0" w:color="7F7F7F"/>
              <w:bottom w:val="single" w:sz="4" w:space="0" w:color="7F7F7F"/>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sz w:val="20"/>
                <w:szCs w:val="20"/>
              </w:rPr>
            </w:pPr>
          </w:p>
        </w:tc>
        <w:tc>
          <w:tcPr>
            <w:tcW w:w="1304" w:type="dxa"/>
            <w:tcBorders>
              <w:top w:val="single" w:sz="18" w:space="0" w:color="7F7F7F"/>
              <w:left w:val="single" w:sz="18" w:space="0" w:color="7F7F7F"/>
              <w:bottom w:val="single" w:sz="4" w:space="0" w:color="7F7F7F"/>
              <w:right w:val="single" w:sz="4" w:space="0" w:color="7F7F7F"/>
            </w:tcBorders>
            <w:shd w:val="clear" w:color="auto" w:fill="FFFFCC"/>
          </w:tcPr>
          <w:p w:rsidR="00B02EA6" w:rsidRPr="00C600BB" w:rsidRDefault="00B02EA6" w:rsidP="0072488F">
            <w:pPr>
              <w:spacing w:before="0" w:line="240" w:lineRule="auto"/>
              <w:ind w:left="0"/>
              <w:jc w:val="center"/>
              <w:rPr>
                <w:rFonts w:ascii="Times New Roman" w:hAnsi="Times New Roman"/>
                <w:color w:val="000000"/>
                <w:sz w:val="20"/>
                <w:szCs w:val="20"/>
              </w:rPr>
            </w:pPr>
            <w:r w:rsidRPr="00C600BB">
              <w:rPr>
                <w:rFonts w:ascii="Times New Roman" w:hAnsi="Times New Roman"/>
                <w:color w:val="000000"/>
                <w:sz w:val="20"/>
                <w:szCs w:val="20"/>
              </w:rPr>
              <w:t>Price index for GDP</w:t>
            </w:r>
          </w:p>
        </w:tc>
        <w:tc>
          <w:tcPr>
            <w:tcW w:w="1393" w:type="dxa"/>
            <w:tcBorders>
              <w:top w:val="single" w:sz="18" w:space="0" w:color="7F7F7F"/>
              <w:left w:val="single" w:sz="4" w:space="0" w:color="7F7F7F"/>
              <w:bottom w:val="single" w:sz="4" w:space="0" w:color="7F7F7F"/>
              <w:right w:val="single" w:sz="4" w:space="0" w:color="7F7F7F"/>
            </w:tcBorders>
            <w:shd w:val="clear" w:color="auto" w:fill="FFFFCC"/>
          </w:tcPr>
          <w:p w:rsidR="00B02EA6" w:rsidRPr="00C600BB" w:rsidRDefault="00B02EA6" w:rsidP="0072488F">
            <w:pPr>
              <w:spacing w:before="0" w:line="240" w:lineRule="auto"/>
              <w:ind w:left="0"/>
              <w:jc w:val="center"/>
              <w:rPr>
                <w:rFonts w:ascii="Times New Roman" w:hAnsi="Times New Roman"/>
                <w:color w:val="000000"/>
                <w:sz w:val="20"/>
                <w:szCs w:val="20"/>
              </w:rPr>
            </w:pPr>
            <w:r w:rsidRPr="00C600BB">
              <w:rPr>
                <w:rFonts w:ascii="Times New Roman" w:hAnsi="Times New Roman"/>
                <w:color w:val="000000"/>
                <w:sz w:val="20"/>
                <w:szCs w:val="20"/>
              </w:rPr>
              <w:t>Price index for investment</w:t>
            </w:r>
          </w:p>
        </w:tc>
        <w:tc>
          <w:tcPr>
            <w:tcW w:w="1560" w:type="dxa"/>
            <w:tcBorders>
              <w:top w:val="single" w:sz="18" w:space="0" w:color="7F7F7F"/>
              <w:left w:val="single" w:sz="4" w:space="0" w:color="7F7F7F"/>
              <w:bottom w:val="single" w:sz="4" w:space="0" w:color="7F7F7F"/>
            </w:tcBorders>
            <w:shd w:val="clear" w:color="auto" w:fill="auto"/>
          </w:tcPr>
          <w:p w:rsidR="00B02EA6" w:rsidRPr="00C600BB" w:rsidRDefault="00B02EA6" w:rsidP="0072488F">
            <w:pPr>
              <w:spacing w:before="0" w:line="240" w:lineRule="auto"/>
              <w:ind w:left="0"/>
              <w:jc w:val="center"/>
              <w:rPr>
                <w:rFonts w:ascii="Times New Roman" w:hAnsi="Times New Roman"/>
                <w:color w:val="000000"/>
                <w:sz w:val="20"/>
                <w:szCs w:val="20"/>
              </w:rPr>
            </w:pPr>
            <w:r w:rsidRPr="00C600BB">
              <w:rPr>
                <w:rFonts w:ascii="Times New Roman" w:hAnsi="Times New Roman"/>
                <w:color w:val="000000"/>
                <w:sz w:val="20"/>
                <w:szCs w:val="20"/>
              </w:rPr>
              <w:t>Productivity in capital goods</w:t>
            </w:r>
          </w:p>
        </w:tc>
      </w:tr>
      <w:tr w:rsidR="00B02EA6" w:rsidRPr="00C600BB" w:rsidTr="0072488F">
        <w:tc>
          <w:tcPr>
            <w:tcW w:w="1413" w:type="dxa"/>
            <w:tcBorders>
              <w:top w:val="single" w:sz="4" w:space="0" w:color="7F7F7F"/>
              <w:bottom w:val="single" w:sz="18" w:space="0" w:color="7F7F7F"/>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sz w:val="20"/>
                <w:szCs w:val="20"/>
              </w:rPr>
            </w:pPr>
          </w:p>
        </w:tc>
        <w:tc>
          <w:tcPr>
            <w:tcW w:w="1304" w:type="dxa"/>
            <w:tcBorders>
              <w:top w:val="single" w:sz="4" w:space="0" w:color="7F7F7F"/>
              <w:left w:val="single" w:sz="18" w:space="0" w:color="7F7F7F"/>
              <w:bottom w:val="single" w:sz="18" w:space="0" w:color="7F7F7F"/>
              <w:right w:val="single" w:sz="4" w:space="0" w:color="7F7F7F"/>
            </w:tcBorders>
            <w:shd w:val="clear" w:color="auto" w:fill="FFFFCC"/>
          </w:tcPr>
          <w:p w:rsidR="00B02EA6" w:rsidRPr="00C600BB" w:rsidRDefault="00B02EA6" w:rsidP="0072488F">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pgdp_obs</w:t>
            </w:r>
          </w:p>
        </w:tc>
        <w:tc>
          <w:tcPr>
            <w:tcW w:w="1393" w:type="dxa"/>
            <w:tcBorders>
              <w:top w:val="single" w:sz="4" w:space="0" w:color="7F7F7F"/>
              <w:left w:val="single" w:sz="4" w:space="0" w:color="7F7F7F"/>
              <w:bottom w:val="single" w:sz="18" w:space="0" w:color="7F7F7F"/>
              <w:right w:val="single" w:sz="4" w:space="0" w:color="7F7F7F"/>
            </w:tcBorders>
            <w:shd w:val="clear" w:color="auto" w:fill="FFFFCC"/>
          </w:tcPr>
          <w:p w:rsidR="00B02EA6" w:rsidRPr="00C600BB" w:rsidRDefault="00B02EA6" w:rsidP="0072488F">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p_i_obs</w:t>
            </w:r>
          </w:p>
        </w:tc>
        <w:tc>
          <w:tcPr>
            <w:tcW w:w="1560" w:type="dxa"/>
            <w:tcBorders>
              <w:top w:val="single" w:sz="4" w:space="0" w:color="7F7F7F"/>
              <w:left w:val="single" w:sz="4" w:space="0" w:color="7F7F7F"/>
              <w:bottom w:val="single" w:sz="18" w:space="0" w:color="7F7F7F"/>
            </w:tcBorders>
            <w:shd w:val="clear" w:color="auto" w:fill="auto"/>
          </w:tcPr>
          <w:p w:rsidR="00B02EA6" w:rsidRPr="00C600BB" w:rsidRDefault="00B02EA6" w:rsidP="0072488F">
            <w:pPr>
              <w:spacing w:before="0" w:line="240" w:lineRule="auto"/>
              <w:jc w:val="center"/>
              <w:rPr>
                <w:rFonts w:ascii="Times New Roman" w:hAnsi="Times New Roman"/>
                <w:color w:val="000000"/>
                <w:sz w:val="20"/>
                <w:szCs w:val="20"/>
              </w:rPr>
            </w:pPr>
            <w:r w:rsidRPr="00C600BB">
              <w:rPr>
                <w:rFonts w:ascii="Times New Roman" w:hAnsi="Times New Roman"/>
                <w:color w:val="000000"/>
                <w:sz w:val="20"/>
                <w:szCs w:val="20"/>
              </w:rPr>
              <w:t>a_cgds</w:t>
            </w:r>
          </w:p>
        </w:tc>
      </w:tr>
      <w:tr w:rsidR="00B02EA6" w:rsidRPr="00C600BB" w:rsidTr="0072488F">
        <w:tc>
          <w:tcPr>
            <w:tcW w:w="1413" w:type="dxa"/>
            <w:tcBorders>
              <w:top w:val="single" w:sz="18" w:space="0" w:color="7F7F7F"/>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USA</w:t>
            </w:r>
          </w:p>
        </w:tc>
        <w:tc>
          <w:tcPr>
            <w:tcW w:w="1304" w:type="dxa"/>
            <w:tcBorders>
              <w:top w:val="single" w:sz="18" w:space="0" w:color="7F7F7F"/>
              <w:left w:val="single" w:sz="18" w:space="0" w:color="7F7F7F"/>
              <w:right w:val="single" w:sz="4" w:space="0" w:color="7F7F7F"/>
            </w:tcBorders>
            <w:shd w:val="clear" w:color="auto" w:fill="FFFFCC"/>
            <w:vAlign w:val="bottom"/>
          </w:tcPr>
          <w:p w:rsidR="00B02EA6" w:rsidRPr="00E8610D" w:rsidRDefault="00B02EA6" w:rsidP="0072488F">
            <w:pPr>
              <w:spacing w:before="0"/>
              <w:ind w:left="0"/>
              <w:jc w:val="right"/>
              <w:rPr>
                <w:rFonts w:ascii="Times New Roman" w:hAnsi="Times New Roman"/>
                <w:color w:val="000000"/>
                <w:sz w:val="20"/>
                <w:szCs w:val="20"/>
                <w:lang w:eastAsia="en-AU"/>
              </w:rPr>
            </w:pPr>
            <w:r w:rsidRPr="00E8610D">
              <w:rPr>
                <w:rFonts w:ascii="Times New Roman" w:hAnsi="Times New Roman"/>
                <w:color w:val="000000"/>
                <w:sz w:val="20"/>
                <w:szCs w:val="20"/>
              </w:rPr>
              <w:t>8.42</w:t>
            </w:r>
          </w:p>
        </w:tc>
        <w:tc>
          <w:tcPr>
            <w:tcW w:w="1393" w:type="dxa"/>
            <w:tcBorders>
              <w:top w:val="single" w:sz="18" w:space="0" w:color="7F7F7F"/>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6.30</w:t>
            </w:r>
          </w:p>
        </w:tc>
        <w:tc>
          <w:tcPr>
            <w:tcW w:w="1560" w:type="dxa"/>
            <w:tcBorders>
              <w:top w:val="single" w:sz="18" w:space="0" w:color="7F7F7F"/>
              <w:left w:val="single" w:sz="4" w:space="0" w:color="7F7F7F"/>
            </w:tcBorders>
            <w:shd w:val="clear" w:color="auto" w:fill="auto"/>
            <w:vAlign w:val="bottom"/>
          </w:tcPr>
          <w:p w:rsidR="00B02EA6" w:rsidRPr="00984D6F" w:rsidRDefault="00B02EA6" w:rsidP="0072488F">
            <w:pPr>
              <w:spacing w:before="0"/>
              <w:ind w:left="0"/>
              <w:jc w:val="right"/>
              <w:rPr>
                <w:rFonts w:ascii="Times New Roman" w:hAnsi="Times New Roman"/>
                <w:color w:val="000000"/>
                <w:sz w:val="20"/>
                <w:szCs w:val="20"/>
                <w:lang w:eastAsia="en-AU"/>
              </w:rPr>
            </w:pPr>
            <w:r w:rsidRPr="00984D6F">
              <w:rPr>
                <w:rFonts w:ascii="Times New Roman" w:hAnsi="Times New Roman"/>
                <w:color w:val="000000"/>
                <w:sz w:val="20"/>
                <w:szCs w:val="20"/>
              </w:rPr>
              <w:t>1.39</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Canada</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-11.81</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-8.10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-2.07</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Mexico</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-13.68</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-5.50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-7.44</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China</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-1.61</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-1.20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-3.23</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Japan</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-0.03</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0.10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0.75</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SKorea</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-3.22</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-3.20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-1.41</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India</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3.57</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-5.70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7.95</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France</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-11.89</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-11.80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-0.48</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Germany</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-8.09</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-4.40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-6.42</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UK</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-15.94</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-9.80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-7.90</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RoEU</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-10.24</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-9.90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-1.44</w:t>
            </w:r>
          </w:p>
        </w:tc>
      </w:tr>
      <w:tr w:rsidR="00B02EA6" w:rsidRPr="00C600BB" w:rsidTr="0072488F">
        <w:tc>
          <w:tcPr>
            <w:tcW w:w="1413" w:type="dxa"/>
            <w:tcBorders>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SaudiArabia</w:t>
            </w:r>
          </w:p>
        </w:tc>
        <w:tc>
          <w:tcPr>
            <w:tcW w:w="1304" w:type="dxa"/>
            <w:tcBorders>
              <w:left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-3.03</w:t>
            </w:r>
          </w:p>
        </w:tc>
        <w:tc>
          <w:tcPr>
            <w:tcW w:w="1393" w:type="dxa"/>
            <w:tcBorders>
              <w:left w:val="single" w:sz="4"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11.40</w:t>
            </w:r>
          </w:p>
        </w:tc>
        <w:tc>
          <w:tcPr>
            <w:tcW w:w="1560" w:type="dxa"/>
            <w:tcBorders>
              <w:left w:val="single" w:sz="4"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1.01</w:t>
            </w:r>
          </w:p>
        </w:tc>
      </w:tr>
      <w:tr w:rsidR="00B02EA6" w:rsidRPr="00C600BB" w:rsidTr="0072488F">
        <w:tc>
          <w:tcPr>
            <w:tcW w:w="1413" w:type="dxa"/>
            <w:tcBorders>
              <w:bottom w:val="single" w:sz="18" w:space="0" w:color="7F7F7F"/>
              <w:right w:val="single" w:sz="18" w:space="0" w:color="7F7F7F"/>
            </w:tcBorders>
            <w:shd w:val="clear" w:color="auto" w:fill="auto"/>
            <w:vAlign w:val="bottom"/>
          </w:tcPr>
          <w:p w:rsidR="00B02EA6" w:rsidRPr="00C600BB" w:rsidRDefault="00B02EA6" w:rsidP="0072488F">
            <w:pPr>
              <w:spacing w:before="0" w:line="240" w:lineRule="auto"/>
              <w:ind w:left="0"/>
              <w:rPr>
                <w:rFonts w:ascii="Times New Roman" w:hAnsi="Times New Roman"/>
                <w:color w:val="000000"/>
                <w:sz w:val="20"/>
                <w:szCs w:val="20"/>
              </w:rPr>
            </w:pPr>
            <w:r w:rsidRPr="00C600BB">
              <w:rPr>
                <w:rFonts w:ascii="Times New Roman" w:hAnsi="Times New Roman"/>
                <w:color w:val="000000"/>
                <w:sz w:val="20"/>
                <w:szCs w:val="20"/>
              </w:rPr>
              <w:t>RoW</w:t>
            </w:r>
          </w:p>
        </w:tc>
        <w:tc>
          <w:tcPr>
            <w:tcW w:w="1304" w:type="dxa"/>
            <w:tcBorders>
              <w:left w:val="single" w:sz="18" w:space="0" w:color="7F7F7F"/>
              <w:bottom w:val="single" w:sz="18" w:space="0" w:color="7F7F7F"/>
              <w:right w:val="single" w:sz="4" w:space="0" w:color="7F7F7F"/>
            </w:tcBorders>
            <w:shd w:val="clear" w:color="auto" w:fill="FFFFCC"/>
            <w:vAlign w:val="bottom"/>
          </w:tcPr>
          <w:p w:rsidR="00B02EA6" w:rsidRPr="00E8610D" w:rsidRDefault="00B02EA6" w:rsidP="0072488F">
            <w:pPr>
              <w:spacing w:before="0"/>
              <w:jc w:val="right"/>
              <w:rPr>
                <w:rFonts w:ascii="Times New Roman" w:hAnsi="Times New Roman"/>
                <w:color w:val="000000"/>
                <w:sz w:val="20"/>
                <w:szCs w:val="20"/>
              </w:rPr>
            </w:pPr>
            <w:r w:rsidRPr="00E8610D">
              <w:rPr>
                <w:rFonts w:ascii="Times New Roman" w:hAnsi="Times New Roman"/>
                <w:color w:val="000000"/>
                <w:sz w:val="20"/>
                <w:szCs w:val="20"/>
              </w:rPr>
              <w:t>-15.12</w:t>
            </w:r>
          </w:p>
        </w:tc>
        <w:tc>
          <w:tcPr>
            <w:tcW w:w="1393" w:type="dxa"/>
            <w:tcBorders>
              <w:left w:val="single" w:sz="4" w:space="0" w:color="7F7F7F"/>
              <w:bottom w:val="single" w:sz="18" w:space="0" w:color="7F7F7F"/>
              <w:right w:val="single" w:sz="4" w:space="0" w:color="7F7F7F"/>
            </w:tcBorders>
            <w:shd w:val="clear" w:color="auto" w:fill="FFFFCC"/>
            <w:vAlign w:val="center"/>
          </w:tcPr>
          <w:p w:rsidR="00B02EA6" w:rsidRPr="00E8610D" w:rsidRDefault="00B02EA6" w:rsidP="0072488F">
            <w:pPr>
              <w:spacing w:before="0"/>
              <w:jc w:val="right"/>
              <w:rPr>
                <w:rFonts w:ascii="Times New Roman" w:hAnsi="Times New Roman"/>
                <w:b/>
                <w:bCs/>
                <w:i/>
                <w:iCs/>
                <w:color w:val="000000"/>
                <w:sz w:val="20"/>
                <w:szCs w:val="20"/>
              </w:rPr>
            </w:pPr>
            <w:r w:rsidRPr="00E8610D">
              <w:rPr>
                <w:rFonts w:ascii="Times New Roman" w:hAnsi="Times New Roman"/>
                <w:b/>
                <w:bCs/>
                <w:i/>
                <w:iCs/>
                <w:color w:val="000000"/>
                <w:sz w:val="20"/>
                <w:szCs w:val="20"/>
              </w:rPr>
              <w:t>NA</w:t>
            </w:r>
          </w:p>
        </w:tc>
        <w:tc>
          <w:tcPr>
            <w:tcW w:w="1560" w:type="dxa"/>
            <w:tcBorders>
              <w:left w:val="single" w:sz="4" w:space="0" w:color="7F7F7F"/>
              <w:bottom w:val="single" w:sz="18" w:space="0" w:color="7F7F7F"/>
            </w:tcBorders>
            <w:shd w:val="clear" w:color="auto" w:fill="auto"/>
            <w:vAlign w:val="bottom"/>
          </w:tcPr>
          <w:p w:rsidR="00B02EA6" w:rsidRPr="00984D6F" w:rsidRDefault="00B02EA6" w:rsidP="0072488F">
            <w:pPr>
              <w:spacing w:before="0"/>
              <w:jc w:val="right"/>
              <w:rPr>
                <w:rFonts w:ascii="Times New Roman" w:hAnsi="Times New Roman"/>
                <w:color w:val="000000"/>
                <w:sz w:val="20"/>
                <w:szCs w:val="20"/>
              </w:rPr>
            </w:pPr>
            <w:r w:rsidRPr="00984D6F">
              <w:rPr>
                <w:rFonts w:ascii="Times New Roman" w:hAnsi="Times New Roman"/>
                <w:color w:val="000000"/>
                <w:sz w:val="20"/>
                <w:szCs w:val="20"/>
              </w:rPr>
              <w:t>0.00</w:t>
            </w:r>
          </w:p>
        </w:tc>
      </w:tr>
    </w:tbl>
    <w:p w:rsidR="00B02EA6" w:rsidRDefault="00B02EA6" w:rsidP="00D347B2">
      <w:pPr>
        <w:ind w:left="0"/>
        <w:rPr>
          <w:rFonts w:ascii="Times New Roman" w:hAnsi="Times New Roman"/>
          <w:b/>
          <w:i/>
          <w:iCs/>
          <w:sz w:val="24"/>
          <w:szCs w:val="24"/>
        </w:rPr>
      </w:pPr>
    </w:p>
    <w:p w:rsidR="00D347B2" w:rsidRPr="007336A2" w:rsidRDefault="00D347B2" w:rsidP="00D347B2">
      <w:pPr>
        <w:ind w:left="0"/>
        <w:rPr>
          <w:rFonts w:ascii="Times New Roman" w:hAnsi="Times New Roman"/>
          <w:b/>
          <w:i/>
          <w:iCs/>
          <w:sz w:val="24"/>
          <w:szCs w:val="24"/>
        </w:rPr>
      </w:pPr>
      <w:r w:rsidRPr="00512DA8">
        <w:rPr>
          <w:rFonts w:ascii="Times New Roman" w:hAnsi="Times New Roman"/>
          <w:b/>
          <w:i/>
          <w:iCs/>
          <w:sz w:val="24"/>
          <w:szCs w:val="24"/>
        </w:rPr>
        <w:t>Import prices</w:t>
      </w:r>
    </w:p>
    <w:p w:rsidR="00764943" w:rsidRDefault="00D347B2" w:rsidP="00512DA8">
      <w:pPr>
        <w:ind w:left="0"/>
        <w:rPr>
          <w:rFonts w:ascii="Times New Roman" w:hAnsi="Times New Roman"/>
          <w:iCs/>
          <w:sz w:val="24"/>
          <w:szCs w:val="24"/>
        </w:rPr>
      </w:pPr>
      <w:r w:rsidRPr="00512DA8">
        <w:rPr>
          <w:rFonts w:ascii="Times New Roman" w:hAnsi="Times New Roman"/>
          <w:iCs/>
          <w:sz w:val="24"/>
          <w:szCs w:val="24"/>
        </w:rPr>
        <w:t xml:space="preserve">With movements in export prices given from OECD data, we expected simulated movements in import prices to be closely consistent with OECD data.  However, as shown in Table </w:t>
      </w:r>
      <w:r w:rsidR="00006B95" w:rsidRPr="00512DA8">
        <w:rPr>
          <w:rFonts w:ascii="Times New Roman" w:hAnsi="Times New Roman"/>
          <w:iCs/>
          <w:sz w:val="24"/>
          <w:szCs w:val="24"/>
        </w:rPr>
        <w:t>4</w:t>
      </w:r>
      <w:r w:rsidRPr="00512DA8">
        <w:rPr>
          <w:rFonts w:ascii="Times New Roman" w:hAnsi="Times New Roman"/>
          <w:iCs/>
          <w:sz w:val="24"/>
          <w:szCs w:val="24"/>
        </w:rPr>
        <w:t xml:space="preserve">.8, reconciling simulated and observed import price movements required significant phantom discriminatory export taxes.  The largest such tax was for China.  Explaining the observed movement in China’s import prices of -5.00 per cent required </w:t>
      </w:r>
      <w:r w:rsidRPr="00B02EA6">
        <w:rPr>
          <w:rFonts w:ascii="Times New Roman" w:hAnsi="Times New Roman"/>
          <w:iCs/>
          <w:sz w:val="24"/>
          <w:szCs w:val="24"/>
        </w:rPr>
        <w:t>an 11.</w:t>
      </w:r>
      <w:r w:rsidR="007F2E9D" w:rsidRPr="00B02EA6">
        <w:rPr>
          <w:rFonts w:ascii="Times New Roman" w:hAnsi="Times New Roman"/>
          <w:iCs/>
          <w:sz w:val="24"/>
          <w:szCs w:val="24"/>
        </w:rPr>
        <w:t>3</w:t>
      </w:r>
      <w:r w:rsidR="00006B95" w:rsidRPr="00B02EA6">
        <w:rPr>
          <w:rFonts w:ascii="Times New Roman" w:hAnsi="Times New Roman"/>
          <w:iCs/>
          <w:sz w:val="24"/>
          <w:szCs w:val="24"/>
        </w:rPr>
        <w:t>5</w:t>
      </w:r>
      <w:r w:rsidR="00006B95" w:rsidRPr="00512DA8">
        <w:rPr>
          <w:rFonts w:ascii="Times New Roman" w:hAnsi="Times New Roman"/>
          <w:iCs/>
          <w:sz w:val="24"/>
          <w:szCs w:val="24"/>
        </w:rPr>
        <w:t xml:space="preserve"> </w:t>
      </w:r>
      <w:r w:rsidRPr="00512DA8">
        <w:rPr>
          <w:rFonts w:ascii="Times New Roman" w:hAnsi="Times New Roman"/>
          <w:iCs/>
          <w:sz w:val="24"/>
          <w:szCs w:val="24"/>
        </w:rPr>
        <w:t xml:space="preserve">per cent discriminatory </w:t>
      </w:r>
      <w:r w:rsidR="00A128F6" w:rsidRPr="00512DA8">
        <w:rPr>
          <w:rFonts w:ascii="Times New Roman" w:hAnsi="Times New Roman"/>
          <w:iCs/>
          <w:sz w:val="24"/>
          <w:szCs w:val="24"/>
        </w:rPr>
        <w:t xml:space="preserve">phantom </w:t>
      </w:r>
      <w:r w:rsidRPr="00512DA8">
        <w:rPr>
          <w:rFonts w:ascii="Times New Roman" w:hAnsi="Times New Roman"/>
          <w:iCs/>
          <w:sz w:val="24"/>
          <w:szCs w:val="24"/>
        </w:rPr>
        <w:t>tax appl</w:t>
      </w:r>
      <w:r w:rsidR="00A128F6" w:rsidRPr="00512DA8">
        <w:rPr>
          <w:rFonts w:ascii="Times New Roman" w:hAnsi="Times New Roman"/>
          <w:iCs/>
          <w:sz w:val="24"/>
          <w:szCs w:val="24"/>
        </w:rPr>
        <w:t>ied by all exporters to China.  For India, the discriminatory phantom export tax was</w:t>
      </w:r>
      <w:r w:rsidR="003C1A03" w:rsidRPr="00512DA8">
        <w:rPr>
          <w:rFonts w:ascii="Times New Roman" w:hAnsi="Times New Roman"/>
          <w:iCs/>
          <w:sz w:val="24"/>
          <w:szCs w:val="24"/>
        </w:rPr>
        <w:t xml:space="preserve"> </w:t>
      </w:r>
      <w:r w:rsidR="009B4C80" w:rsidRPr="00512DA8">
        <w:rPr>
          <w:rFonts w:ascii="Times New Roman" w:hAnsi="Times New Roman"/>
          <w:iCs/>
          <w:sz w:val="24"/>
          <w:szCs w:val="24"/>
        </w:rPr>
        <w:t>10.</w:t>
      </w:r>
      <w:r w:rsidR="007F2E9D">
        <w:rPr>
          <w:rFonts w:ascii="Times New Roman" w:hAnsi="Times New Roman"/>
          <w:iCs/>
          <w:sz w:val="24"/>
          <w:szCs w:val="24"/>
        </w:rPr>
        <w:t>17</w:t>
      </w:r>
      <w:r w:rsidR="00A128F6" w:rsidRPr="00512DA8">
        <w:rPr>
          <w:rFonts w:ascii="Times New Roman" w:hAnsi="Times New Roman"/>
          <w:iCs/>
          <w:sz w:val="24"/>
          <w:szCs w:val="24"/>
        </w:rPr>
        <w:t xml:space="preserve"> per cent.</w:t>
      </w:r>
      <w:r w:rsidR="00A128F6">
        <w:rPr>
          <w:rFonts w:ascii="Times New Roman" w:hAnsi="Times New Roman"/>
          <w:iCs/>
          <w:sz w:val="24"/>
          <w:szCs w:val="24"/>
        </w:rPr>
        <w:t xml:space="preserve">  </w:t>
      </w:r>
    </w:p>
    <w:p w:rsidR="00764943" w:rsidRPr="00D347B2" w:rsidRDefault="00764943" w:rsidP="00764943">
      <w:pPr>
        <w:ind w:left="0"/>
        <w:rPr>
          <w:rFonts w:ascii="Times New Roman" w:hAnsi="Times New Roman"/>
          <w:iCs/>
          <w:sz w:val="24"/>
          <w:szCs w:val="24"/>
        </w:rPr>
      </w:pPr>
      <w:r>
        <w:rPr>
          <w:rFonts w:ascii="Times New Roman" w:hAnsi="Times New Roman"/>
          <w:iCs/>
          <w:sz w:val="24"/>
          <w:szCs w:val="24"/>
        </w:rPr>
        <w:t xml:space="preserve">It is possible that with increasing wealth, consumers in both these countries became more discriminating, demanding higher quality imports.  Improved quality might be reflected in </w:t>
      </w:r>
      <w:r>
        <w:rPr>
          <w:rFonts w:ascii="Times New Roman" w:hAnsi="Times New Roman"/>
          <w:iCs/>
          <w:sz w:val="24"/>
          <w:szCs w:val="24"/>
        </w:rPr>
        <w:lastRenderedPageBreak/>
        <w:t xml:space="preserve">higher prices, without adequate adjustment of quantities.  For example, if quantities of wine imports are measured by volume, and Chinese consumers moved to high quality wine, then import prices for China could increase relative to the prices paid by the importers of wine in other countries.  In our simulation, this would show up as a positive tax on exports to China and a negative tax on exports to other countries (recall that the sum over countries of the discriminatory phantom taxes is zero).  </w:t>
      </w:r>
    </w:p>
    <w:p w:rsidR="00764943" w:rsidRPr="007336A2" w:rsidRDefault="00764943" w:rsidP="00764943">
      <w:pPr>
        <w:ind w:left="0"/>
        <w:rPr>
          <w:rFonts w:ascii="Times New Roman" w:hAnsi="Times New Roman"/>
          <w:b/>
          <w:i/>
          <w:iCs/>
          <w:sz w:val="24"/>
          <w:szCs w:val="24"/>
        </w:rPr>
      </w:pPr>
      <w:r>
        <w:rPr>
          <w:rFonts w:ascii="Times New Roman" w:hAnsi="Times New Roman"/>
          <w:b/>
          <w:i/>
          <w:iCs/>
          <w:sz w:val="24"/>
          <w:szCs w:val="24"/>
        </w:rPr>
        <w:t>Investment prices</w:t>
      </w:r>
    </w:p>
    <w:p w:rsidR="00764943" w:rsidRDefault="00764943" w:rsidP="00764943">
      <w:pPr>
        <w:ind w:left="0"/>
        <w:rPr>
          <w:rFonts w:ascii="Times New Roman" w:hAnsi="Times New Roman"/>
          <w:sz w:val="24"/>
          <w:szCs w:val="24"/>
        </w:rPr>
      </w:pPr>
      <w:r>
        <w:rPr>
          <w:rFonts w:ascii="Times New Roman" w:hAnsi="Times New Roman"/>
          <w:sz w:val="24"/>
          <w:szCs w:val="24"/>
        </w:rPr>
        <w:t xml:space="preserve">Creation of units of capital (investment) in each region is undertaken in the GTAP model by the region’s capital-goods (cgds) industry.  This industry creates capital by mixing intermediate inputs, mainly construction, machinery and finance.  </w:t>
      </w:r>
    </w:p>
    <w:p w:rsidR="00764943" w:rsidRDefault="00764943" w:rsidP="00764943">
      <w:pPr>
        <w:ind w:left="0"/>
        <w:rPr>
          <w:rFonts w:ascii="Times New Roman" w:hAnsi="Times New Roman"/>
          <w:sz w:val="24"/>
          <w:szCs w:val="24"/>
        </w:rPr>
      </w:pPr>
      <w:r>
        <w:rPr>
          <w:rFonts w:ascii="Times New Roman" w:hAnsi="Times New Roman"/>
          <w:sz w:val="24"/>
          <w:szCs w:val="24"/>
        </w:rPr>
        <w:t xml:space="preserve">For most regions, the price index for GDP is a reasonable indicator of average prices of goods and services including the mix of goods and services used by the cgds industry.  Thus, we expected movements in investment price indexes to be broadly in line with those in GDP price indexes.  However, as can be seen from Table 4.9, there were significant differences.  For example, the investment price index for the U.K. moved by -9.80 per cent, whereas the movement in the price index for GDP was -15.94 per cent.  </w:t>
      </w:r>
    </w:p>
    <w:p w:rsidR="00764943" w:rsidRDefault="00764943" w:rsidP="00764943">
      <w:pPr>
        <w:ind w:left="0"/>
        <w:rPr>
          <w:rFonts w:ascii="Times New Roman" w:hAnsi="Times New Roman"/>
          <w:sz w:val="24"/>
          <w:szCs w:val="24"/>
        </w:rPr>
      </w:pPr>
      <w:r>
        <w:rPr>
          <w:rFonts w:ascii="Times New Roman" w:hAnsi="Times New Roman"/>
          <w:sz w:val="24"/>
          <w:szCs w:val="24"/>
        </w:rPr>
        <w:t xml:space="preserve">In the 2014-19 historical simulation, we reconciled simulated movements in investment price indexes with observed movements by allowing endogenous changes in inputs per unit of output (productivity) in cgds industries.  For the UK, for example, in which the investment price index increased relative to the GDP price index, the reconciliation generated a cost-increasing productivity deterioration </w:t>
      </w:r>
      <w:r w:rsidRPr="00512DA8">
        <w:rPr>
          <w:rFonts w:ascii="Times New Roman" w:hAnsi="Times New Roman"/>
          <w:sz w:val="24"/>
          <w:szCs w:val="24"/>
        </w:rPr>
        <w:t>(-7.90</w:t>
      </w:r>
      <w:r>
        <w:rPr>
          <w:rFonts w:ascii="Times New Roman" w:hAnsi="Times New Roman"/>
          <w:sz w:val="24"/>
          <w:szCs w:val="24"/>
        </w:rPr>
        <w:t xml:space="preserve"> per cent) in the UK cgds industry.  </w:t>
      </w:r>
    </w:p>
    <w:p w:rsidR="00764943" w:rsidRPr="0007083F" w:rsidRDefault="00764943" w:rsidP="00764943">
      <w:pPr>
        <w:ind w:left="0"/>
        <w:rPr>
          <w:rFonts w:ascii="Times New Roman" w:hAnsi="Times New Roman"/>
          <w:sz w:val="24"/>
          <w:szCs w:val="24"/>
        </w:rPr>
      </w:pPr>
      <w:r>
        <w:rPr>
          <w:rFonts w:ascii="Times New Roman" w:hAnsi="Times New Roman"/>
          <w:sz w:val="24"/>
          <w:szCs w:val="24"/>
        </w:rPr>
        <w:t>The biggest disconnect in Table 4.9 between the observed movements in the price indexes for GDP and investment is for Saudi Arabia (-3.03 per cent compared with 11.40 per cent).  Nevertheless, the implied productivity change for the Saudi Arabian cgds industry is moderate (</w:t>
      </w:r>
      <w:r w:rsidRPr="00B02EA6">
        <w:rPr>
          <w:rFonts w:ascii="Times New Roman" w:hAnsi="Times New Roman"/>
          <w:sz w:val="24"/>
          <w:szCs w:val="24"/>
        </w:rPr>
        <w:t>1.</w:t>
      </w:r>
      <w:r w:rsidR="007F2E9D" w:rsidRPr="00B02EA6">
        <w:rPr>
          <w:rFonts w:ascii="Times New Roman" w:hAnsi="Times New Roman"/>
          <w:sz w:val="24"/>
          <w:szCs w:val="24"/>
        </w:rPr>
        <w:t>01</w:t>
      </w:r>
      <w:r w:rsidR="007F2E9D">
        <w:rPr>
          <w:rFonts w:ascii="Times New Roman" w:hAnsi="Times New Roman"/>
          <w:sz w:val="24"/>
          <w:szCs w:val="24"/>
        </w:rPr>
        <w:t xml:space="preserve"> </w:t>
      </w:r>
      <w:r>
        <w:rPr>
          <w:rFonts w:ascii="Times New Roman" w:hAnsi="Times New Roman"/>
          <w:sz w:val="24"/>
          <w:szCs w:val="24"/>
        </w:rPr>
        <w:t xml:space="preserve">per cent).  For Saudi Arabia, the movement in the price index for GDP is dominated by movements in energy prices, particularly oil.  This makes movements in the Saudi Arabian price index for GDP an unreliable indicator of movements in the prices of individual industries such as the cgds industry in which energy inputs are relatively minor.   </w:t>
      </w:r>
    </w:p>
    <w:p w:rsidR="00764943" w:rsidRPr="007336A2" w:rsidRDefault="00764943" w:rsidP="00764943">
      <w:pPr>
        <w:ind w:left="0"/>
        <w:rPr>
          <w:rFonts w:ascii="Times New Roman" w:hAnsi="Times New Roman"/>
          <w:b/>
          <w:i/>
          <w:iCs/>
          <w:sz w:val="24"/>
          <w:szCs w:val="24"/>
        </w:rPr>
      </w:pPr>
      <w:r>
        <w:rPr>
          <w:rFonts w:ascii="Times New Roman" w:hAnsi="Times New Roman"/>
          <w:b/>
          <w:i/>
          <w:iCs/>
          <w:sz w:val="24"/>
          <w:szCs w:val="24"/>
        </w:rPr>
        <w:t>Real wealth</w:t>
      </w:r>
      <w:r w:rsidR="00FF3F96">
        <w:rPr>
          <w:rFonts w:ascii="Times New Roman" w:hAnsi="Times New Roman"/>
          <w:b/>
          <w:i/>
          <w:iCs/>
          <w:sz w:val="24"/>
          <w:szCs w:val="24"/>
        </w:rPr>
        <w:t xml:space="preserve">  </w:t>
      </w:r>
    </w:p>
    <w:p w:rsidR="002F4F00" w:rsidRDefault="00764943" w:rsidP="002F4F00">
      <w:pPr>
        <w:pStyle w:val="ListParagraph"/>
        <w:ind w:left="0"/>
        <w:rPr>
          <w:rFonts w:ascii="Times New Roman" w:hAnsi="Times New Roman"/>
          <w:sz w:val="24"/>
          <w:szCs w:val="24"/>
        </w:rPr>
      </w:pPr>
      <w:r>
        <w:rPr>
          <w:rFonts w:ascii="Times New Roman" w:hAnsi="Times New Roman"/>
          <w:sz w:val="24"/>
          <w:szCs w:val="24"/>
        </w:rPr>
        <w:t xml:space="preserve">The first column in Table 4.10 shows changes in real wealth from the start of 2014 to the start of 2019 expressed as percentages of GDP in 2014.  As previously mentioned, we calculate wealth in a region as the value of capital in the region </w:t>
      </w:r>
      <w:r w:rsidRPr="003A5E59">
        <w:rPr>
          <w:rFonts w:ascii="Times New Roman" w:hAnsi="Times New Roman"/>
          <w:i/>
          <w:sz w:val="24"/>
          <w:szCs w:val="24"/>
        </w:rPr>
        <w:t>less</w:t>
      </w:r>
      <w:r>
        <w:rPr>
          <w:rFonts w:ascii="Times New Roman" w:hAnsi="Times New Roman"/>
          <w:sz w:val="24"/>
          <w:szCs w:val="24"/>
        </w:rPr>
        <w:t xml:space="preserve"> net foreign liabilities.  To convert </w:t>
      </w:r>
      <w:r w:rsidR="002F4F00">
        <w:rPr>
          <w:rFonts w:ascii="Times New Roman" w:hAnsi="Times New Roman"/>
          <w:sz w:val="24"/>
          <w:szCs w:val="24"/>
        </w:rPr>
        <w:t xml:space="preserve">from nominal wealth to real wealth, we use price indexes that combine the price of a region’s capital goods with the price of the region’s foreign assets </w:t>
      </w:r>
      <w:r w:rsidR="002F4F00" w:rsidRPr="003A5E59">
        <w:rPr>
          <w:rFonts w:ascii="Times New Roman" w:hAnsi="Times New Roman"/>
          <w:sz w:val="24"/>
          <w:szCs w:val="24"/>
        </w:rPr>
        <w:t>represented by prices of capital goods in other regions.</w:t>
      </w:r>
      <w:r w:rsidR="002F4F00">
        <w:rPr>
          <w:rFonts w:ascii="Times New Roman" w:hAnsi="Times New Roman"/>
          <w:sz w:val="24"/>
          <w:szCs w:val="24"/>
        </w:rPr>
        <w:t xml:space="preserve">   </w:t>
      </w:r>
    </w:p>
    <w:p w:rsidR="002F4F00" w:rsidRDefault="002F4F00" w:rsidP="002F4F00">
      <w:pPr>
        <w:pStyle w:val="ListParagraph"/>
        <w:ind w:left="0"/>
        <w:contextualSpacing w:val="0"/>
        <w:rPr>
          <w:rFonts w:ascii="Times New Roman" w:hAnsi="Times New Roman"/>
          <w:sz w:val="24"/>
          <w:szCs w:val="24"/>
        </w:rPr>
      </w:pPr>
      <w:r>
        <w:rPr>
          <w:rFonts w:ascii="Times New Roman" w:hAnsi="Times New Roman"/>
          <w:sz w:val="24"/>
          <w:szCs w:val="24"/>
        </w:rPr>
        <w:t xml:space="preserve">At first glance, some of the wealth increases seem surprisingly large, for example, wealth in China as a per cent of 2014 GDP is 220.25 per cent higher at the start of 2019 than it was at the start of 2014.  However, when we recall that China saved about 40 per cent of its GDP in each year of the 5-year period and that its GDP was growing rapidly, China’s huge increase in real wealth becomes understandable.  The second column of Table 4.10 shows that 192.65 percentage points of the 220.25 is contributed by accumulated real saving.  </w:t>
      </w:r>
    </w:p>
    <w:p w:rsidR="00CB5068" w:rsidRPr="00512DA8" w:rsidRDefault="00CB5068" w:rsidP="007F2E9D">
      <w:pPr>
        <w:pStyle w:val="ListParagraph"/>
        <w:ind w:left="0"/>
        <w:rPr>
          <w:rFonts w:ascii="Times New Roman" w:hAnsi="Times New Roman"/>
          <w:iCs/>
          <w:sz w:val="24"/>
          <w:szCs w:val="24"/>
        </w:rPr>
      </w:pPr>
      <w:r>
        <w:rPr>
          <w:rFonts w:ascii="Times New Roman" w:hAnsi="Times New Roman"/>
          <w:b/>
          <w:i/>
          <w:iCs/>
          <w:sz w:val="24"/>
          <w:szCs w:val="24"/>
        </w:rPr>
        <w:br w:type="page"/>
      </w:r>
    </w:p>
    <w:p w:rsidR="00B02EA6" w:rsidRPr="00FB4D23" w:rsidRDefault="00B02EA6" w:rsidP="00B02EA6">
      <w:pPr>
        <w:tabs>
          <w:tab w:val="left" w:pos="851"/>
          <w:tab w:val="right" w:pos="8789"/>
        </w:tabs>
        <w:ind w:left="0"/>
        <w:jc w:val="center"/>
        <w:rPr>
          <w:rFonts w:ascii="Times New Roman" w:hAnsi="Times New Roman"/>
          <w:b/>
          <w:i/>
          <w:sz w:val="24"/>
          <w:szCs w:val="24"/>
        </w:rPr>
      </w:pPr>
      <w:r>
        <w:rPr>
          <w:rFonts w:ascii="Times New Roman" w:hAnsi="Times New Roman"/>
          <w:b/>
          <w:i/>
          <w:sz w:val="24"/>
          <w:szCs w:val="24"/>
        </w:rPr>
        <w:lastRenderedPageBreak/>
        <w:t xml:space="preserve">Table 4.10.  Changes in real wealth between 2014 and 2019 as percentages of GDP in 2014, and contributions from real saving and other factors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999"/>
        <w:gridCol w:w="1999"/>
        <w:gridCol w:w="1814"/>
      </w:tblGrid>
      <w:tr w:rsidR="00B02EA6" w:rsidTr="0072488F">
        <w:tc>
          <w:tcPr>
            <w:tcW w:w="1701" w:type="dxa"/>
            <w:tcBorders>
              <w:top w:val="single" w:sz="18" w:space="0" w:color="7F7F7F" w:themeColor="text1" w:themeTint="80"/>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p>
        </w:tc>
        <w:tc>
          <w:tcPr>
            <w:tcW w:w="1999" w:type="dxa"/>
            <w:tcBorders>
              <w:top w:val="single" w:sz="18" w:space="0" w:color="7F7F7F" w:themeColor="text1" w:themeTint="80"/>
              <w:left w:val="single" w:sz="18" w:space="0" w:color="7F7F7F" w:themeColor="text1" w:themeTint="80"/>
              <w:right w:val="single" w:sz="18" w:space="0" w:color="7F7F7F" w:themeColor="text1" w:themeTint="80"/>
            </w:tcBorders>
          </w:tcPr>
          <w:p w:rsidR="00B02EA6" w:rsidRPr="00FB4D23" w:rsidRDefault="00B02EA6" w:rsidP="0072488F">
            <w:pPr>
              <w:spacing w:before="0"/>
              <w:ind w:left="170"/>
              <w:jc w:val="center"/>
              <w:rPr>
                <w:rFonts w:ascii="Times New Roman" w:hAnsi="Times New Roman"/>
                <w:color w:val="000000"/>
                <w:sz w:val="20"/>
                <w:szCs w:val="20"/>
              </w:rPr>
            </w:pPr>
            <w:r w:rsidRPr="00FB4D23">
              <w:rPr>
                <w:rFonts w:ascii="Times New Roman" w:hAnsi="Times New Roman"/>
                <w:color w:val="000000"/>
                <w:sz w:val="20"/>
                <w:szCs w:val="20"/>
              </w:rPr>
              <w:t>Cha</w:t>
            </w:r>
            <w:r>
              <w:rPr>
                <w:rFonts w:ascii="Times New Roman" w:hAnsi="Times New Roman"/>
                <w:color w:val="000000"/>
                <w:sz w:val="20"/>
                <w:szCs w:val="20"/>
              </w:rPr>
              <w:t xml:space="preserve">nge in real wealth between 2014 &amp; 2019 </w:t>
            </w:r>
          </w:p>
        </w:tc>
        <w:tc>
          <w:tcPr>
            <w:tcW w:w="1999" w:type="dxa"/>
            <w:tcBorders>
              <w:top w:val="single" w:sz="18" w:space="0" w:color="7F7F7F" w:themeColor="text1" w:themeTint="80"/>
              <w:left w:val="single" w:sz="18" w:space="0" w:color="7F7F7F" w:themeColor="text1" w:themeTint="80"/>
              <w:right w:val="single" w:sz="18" w:space="0" w:color="7F7F7F" w:themeColor="text1" w:themeTint="80"/>
            </w:tcBorders>
          </w:tcPr>
          <w:p w:rsidR="00B02EA6" w:rsidRPr="00FB4D23" w:rsidRDefault="00B02EA6" w:rsidP="0072488F">
            <w:pPr>
              <w:spacing w:before="0"/>
              <w:ind w:left="170"/>
              <w:jc w:val="center"/>
              <w:rPr>
                <w:rFonts w:ascii="Times New Roman" w:hAnsi="Times New Roman"/>
                <w:color w:val="000000"/>
                <w:sz w:val="20"/>
                <w:szCs w:val="20"/>
              </w:rPr>
            </w:pPr>
            <w:r>
              <w:rPr>
                <w:rFonts w:ascii="Times New Roman" w:hAnsi="Times New Roman"/>
                <w:color w:val="000000"/>
                <w:sz w:val="20"/>
                <w:szCs w:val="20"/>
              </w:rPr>
              <w:t xml:space="preserve">Real accumulated saving: 2014, 2015, 2016, 2017 &amp; 2018  </w:t>
            </w:r>
          </w:p>
        </w:tc>
        <w:tc>
          <w:tcPr>
            <w:tcW w:w="1814" w:type="dxa"/>
            <w:tcBorders>
              <w:top w:val="single" w:sz="18" w:space="0" w:color="7F7F7F" w:themeColor="text1" w:themeTint="80"/>
              <w:left w:val="single" w:sz="18" w:space="0" w:color="7F7F7F" w:themeColor="text1" w:themeTint="80"/>
            </w:tcBorders>
          </w:tcPr>
          <w:p w:rsidR="00B02EA6" w:rsidRDefault="00B02EA6" w:rsidP="0072488F">
            <w:pPr>
              <w:spacing w:before="0"/>
              <w:ind w:left="170"/>
              <w:jc w:val="center"/>
              <w:rPr>
                <w:rFonts w:ascii="Times New Roman" w:hAnsi="Times New Roman"/>
                <w:color w:val="000000"/>
                <w:sz w:val="20"/>
                <w:szCs w:val="20"/>
              </w:rPr>
            </w:pPr>
            <w:r>
              <w:rPr>
                <w:rFonts w:ascii="Times New Roman" w:hAnsi="Times New Roman"/>
                <w:color w:val="000000"/>
                <w:sz w:val="20"/>
                <w:szCs w:val="20"/>
              </w:rPr>
              <w:t>Contributions of other effects on wealth between 2014 &amp; 2019</w:t>
            </w:r>
          </w:p>
        </w:tc>
      </w:tr>
      <w:tr w:rsidR="00B02EA6" w:rsidTr="0072488F">
        <w:tc>
          <w:tcPr>
            <w:tcW w:w="1701" w:type="dxa"/>
            <w:tcBorders>
              <w:top w:val="single" w:sz="18" w:space="0" w:color="7F7F7F" w:themeColor="text1" w:themeTint="80"/>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p>
        </w:tc>
        <w:tc>
          <w:tcPr>
            <w:tcW w:w="5812" w:type="dxa"/>
            <w:gridSpan w:val="3"/>
            <w:tcBorders>
              <w:top w:val="single" w:sz="18" w:space="0" w:color="7F7F7F" w:themeColor="text1" w:themeTint="80"/>
              <w:left w:val="single" w:sz="18" w:space="0" w:color="7F7F7F" w:themeColor="text1" w:themeTint="80"/>
            </w:tcBorders>
          </w:tcPr>
          <w:p w:rsidR="00B02EA6" w:rsidRPr="00FB4D23" w:rsidRDefault="00B02EA6" w:rsidP="0072488F">
            <w:pPr>
              <w:tabs>
                <w:tab w:val="decimal" w:pos="1140"/>
              </w:tabs>
              <w:spacing w:before="0"/>
              <w:ind w:left="171"/>
              <w:contextualSpacing/>
              <w:jc w:val="center"/>
              <w:rPr>
                <w:rFonts w:ascii="Times New Roman" w:hAnsi="Times New Roman"/>
                <w:color w:val="000000"/>
                <w:sz w:val="20"/>
                <w:szCs w:val="20"/>
              </w:rPr>
            </w:pPr>
            <w:r>
              <w:rPr>
                <w:rFonts w:ascii="Times New Roman" w:hAnsi="Times New Roman"/>
                <w:color w:val="000000"/>
                <w:sz w:val="20"/>
                <w:szCs w:val="20"/>
              </w:rPr>
              <w:t>Per cent of 2014 GDP</w:t>
            </w:r>
          </w:p>
        </w:tc>
      </w:tr>
      <w:tr w:rsidR="00B02EA6" w:rsidTr="0072488F">
        <w:tc>
          <w:tcPr>
            <w:tcW w:w="1701" w:type="dxa"/>
            <w:tcBorders>
              <w:top w:val="single" w:sz="18" w:space="0" w:color="7F7F7F" w:themeColor="text1" w:themeTint="80"/>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1 USA</w:t>
            </w:r>
          </w:p>
        </w:tc>
        <w:tc>
          <w:tcPr>
            <w:tcW w:w="1999" w:type="dxa"/>
            <w:tcBorders>
              <w:top w:val="single" w:sz="18" w:space="0" w:color="7F7F7F" w:themeColor="text1" w:themeTint="80"/>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left="0" w:firstLineChars="300" w:firstLine="600"/>
              <w:rPr>
                <w:rFonts w:ascii="Times New Roman" w:hAnsi="Times New Roman"/>
                <w:color w:val="000000"/>
                <w:sz w:val="20"/>
                <w:szCs w:val="20"/>
                <w:lang w:eastAsia="en-AU"/>
              </w:rPr>
            </w:pPr>
            <w:r w:rsidRPr="006B31CF">
              <w:rPr>
                <w:rFonts w:ascii="Times New Roman" w:hAnsi="Times New Roman"/>
                <w:color w:val="000000"/>
                <w:sz w:val="20"/>
                <w:szCs w:val="20"/>
              </w:rPr>
              <w:t>14.49</w:t>
            </w:r>
          </w:p>
        </w:tc>
        <w:tc>
          <w:tcPr>
            <w:tcW w:w="1999" w:type="dxa"/>
            <w:tcBorders>
              <w:top w:val="single" w:sz="18" w:space="0" w:color="7F7F7F" w:themeColor="text1" w:themeTint="80"/>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18.00</w:t>
            </w:r>
          </w:p>
        </w:tc>
        <w:tc>
          <w:tcPr>
            <w:tcW w:w="1814" w:type="dxa"/>
            <w:tcBorders>
              <w:top w:val="single" w:sz="18" w:space="0" w:color="7F7F7F" w:themeColor="text1" w:themeTint="80"/>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-3.51</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2 Canada</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64.48</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62.06</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2.42</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3 Mexico</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64.51</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0.56</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63.95</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4 China</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220.25</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192.65</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27.60</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5 Japan</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33.19</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69.17</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-35.99</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6 SKorea</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125.80</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95.82</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29.98</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7 India</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140.61</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75.09</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65.52</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8 France</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29.78</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34.15</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-4.37</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9 Germany</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71.13</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71.94</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-0.81</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10 UK</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52.20</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2.37</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49.83</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11 RoEU</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58.36</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34.01</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24.35</w:t>
            </w:r>
          </w:p>
        </w:tc>
      </w:tr>
      <w:tr w:rsidR="00B02EA6" w:rsidTr="0072488F">
        <w:tc>
          <w:tcPr>
            <w:tcW w:w="1701" w:type="dxa"/>
            <w:tcBorders>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12 SaudiArabia</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115.51</w:t>
            </w:r>
          </w:p>
        </w:tc>
        <w:tc>
          <w:tcPr>
            <w:tcW w:w="1999" w:type="dxa"/>
            <w:tcBorders>
              <w:left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163.51</w:t>
            </w:r>
          </w:p>
        </w:tc>
        <w:tc>
          <w:tcPr>
            <w:tcW w:w="1814" w:type="dxa"/>
            <w:tcBorders>
              <w:lef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-47.99</w:t>
            </w:r>
          </w:p>
        </w:tc>
      </w:tr>
      <w:tr w:rsidR="00B02EA6" w:rsidTr="0072488F">
        <w:tc>
          <w:tcPr>
            <w:tcW w:w="1701" w:type="dxa"/>
            <w:tcBorders>
              <w:bottom w:val="single" w:sz="18" w:space="0" w:color="7F7F7F" w:themeColor="text1" w:themeTint="80"/>
              <w:right w:val="single" w:sz="18" w:space="0" w:color="7F7F7F" w:themeColor="text1" w:themeTint="80"/>
            </w:tcBorders>
            <w:vAlign w:val="bottom"/>
          </w:tcPr>
          <w:p w:rsidR="00B02EA6" w:rsidRPr="00FB4D23" w:rsidRDefault="00B02EA6" w:rsidP="0072488F">
            <w:pPr>
              <w:spacing w:before="0"/>
              <w:ind w:left="0"/>
              <w:contextualSpacing/>
              <w:rPr>
                <w:rFonts w:ascii="Times New Roman" w:hAnsi="Times New Roman"/>
                <w:color w:val="000000"/>
                <w:sz w:val="20"/>
                <w:szCs w:val="20"/>
              </w:rPr>
            </w:pPr>
            <w:r w:rsidRPr="00FB4D23">
              <w:rPr>
                <w:rFonts w:ascii="Times New Roman" w:hAnsi="Times New Roman"/>
                <w:color w:val="000000"/>
                <w:sz w:val="20"/>
                <w:szCs w:val="20"/>
              </w:rPr>
              <w:t>13 RoW</w:t>
            </w:r>
          </w:p>
        </w:tc>
        <w:tc>
          <w:tcPr>
            <w:tcW w:w="1999" w:type="dxa"/>
            <w:tcBorders>
              <w:left w:val="single" w:sz="18" w:space="0" w:color="7F7F7F" w:themeColor="text1" w:themeTint="80"/>
              <w:bottom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64.51</w:t>
            </w:r>
          </w:p>
        </w:tc>
        <w:tc>
          <w:tcPr>
            <w:tcW w:w="1999" w:type="dxa"/>
            <w:tcBorders>
              <w:left w:val="single" w:sz="18" w:space="0" w:color="7F7F7F" w:themeColor="text1" w:themeTint="80"/>
              <w:bottom w:val="single" w:sz="18" w:space="0" w:color="7F7F7F" w:themeColor="text1" w:themeTint="80"/>
              <w:right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64.51</w:t>
            </w:r>
          </w:p>
        </w:tc>
        <w:tc>
          <w:tcPr>
            <w:tcW w:w="1814" w:type="dxa"/>
            <w:tcBorders>
              <w:left w:val="single" w:sz="18" w:space="0" w:color="7F7F7F" w:themeColor="text1" w:themeTint="80"/>
              <w:bottom w:val="single" w:sz="18" w:space="0" w:color="7F7F7F" w:themeColor="text1" w:themeTint="80"/>
            </w:tcBorders>
            <w:vAlign w:val="center"/>
          </w:tcPr>
          <w:p w:rsidR="00B02EA6" w:rsidRPr="006B31CF" w:rsidRDefault="00B02EA6" w:rsidP="0072488F">
            <w:pPr>
              <w:tabs>
                <w:tab w:val="decimal" w:pos="789"/>
              </w:tabs>
              <w:spacing w:before="0" w:line="240" w:lineRule="auto"/>
              <w:ind w:firstLineChars="300" w:firstLine="600"/>
              <w:rPr>
                <w:rFonts w:ascii="Times New Roman" w:hAnsi="Times New Roman"/>
                <w:color w:val="000000"/>
                <w:sz w:val="20"/>
                <w:szCs w:val="20"/>
              </w:rPr>
            </w:pPr>
            <w:r w:rsidRPr="006B31CF">
              <w:rPr>
                <w:rFonts w:ascii="Times New Roman" w:hAnsi="Times New Roman"/>
                <w:color w:val="000000"/>
                <w:sz w:val="20"/>
                <w:szCs w:val="20"/>
              </w:rPr>
              <w:t>0.00</w:t>
            </w:r>
          </w:p>
        </w:tc>
      </w:tr>
    </w:tbl>
    <w:p w:rsidR="005534FE" w:rsidRDefault="005534FE" w:rsidP="005534FE">
      <w:pPr>
        <w:ind w:left="0"/>
        <w:rPr>
          <w:rFonts w:ascii="Times New Roman" w:hAnsi="Times New Roman"/>
          <w:b/>
          <w:i/>
          <w:iCs/>
          <w:sz w:val="24"/>
          <w:szCs w:val="24"/>
        </w:rPr>
      </w:pPr>
    </w:p>
    <w:p w:rsidR="00764943" w:rsidRPr="005534FE" w:rsidRDefault="00764943" w:rsidP="00764943">
      <w:pPr>
        <w:pStyle w:val="ListParagraph"/>
        <w:ind w:left="0"/>
        <w:contextualSpacing w:val="0"/>
        <w:rPr>
          <w:rFonts w:ascii="Times New Roman" w:hAnsi="Times New Roman"/>
          <w:sz w:val="24"/>
          <w:szCs w:val="24"/>
        </w:rPr>
      </w:pPr>
      <w:r>
        <w:rPr>
          <w:rFonts w:ascii="Times New Roman" w:hAnsi="Times New Roman"/>
          <w:sz w:val="24"/>
          <w:szCs w:val="24"/>
        </w:rPr>
        <w:t xml:space="preserve">For some regions, the other-factor factor effects shown in the third column of Table 4.10 are large.  These other factors were calculated in the 2014-19 simulation as the shift variables </w:t>
      </w:r>
      <w:r w:rsidRPr="00FD5E40">
        <w:rPr>
          <w:rFonts w:ascii="Times New Roman" w:hAnsi="Times New Roman"/>
          <w:sz w:val="24"/>
          <w:szCs w:val="24"/>
        </w:rPr>
        <w:t>in (4.1</w:t>
      </w:r>
      <w:r>
        <w:rPr>
          <w:rFonts w:ascii="Times New Roman" w:hAnsi="Times New Roman"/>
          <w:sz w:val="24"/>
          <w:szCs w:val="24"/>
        </w:rPr>
        <w:t>8</w:t>
      </w:r>
      <w:r w:rsidRPr="00FD5E40">
        <w:rPr>
          <w:rFonts w:ascii="Times New Roman" w:hAnsi="Times New Roman"/>
          <w:sz w:val="24"/>
          <w:szCs w:val="24"/>
        </w:rPr>
        <w:t>).</w:t>
      </w:r>
      <w:r>
        <w:rPr>
          <w:rFonts w:ascii="Times New Roman" w:hAnsi="Times New Roman"/>
          <w:sz w:val="24"/>
          <w:szCs w:val="24"/>
        </w:rPr>
        <w:t xml:space="preserve">  </w:t>
      </w:r>
      <w:r w:rsidRPr="001D2E1D">
        <w:rPr>
          <w:rFonts w:ascii="Times New Roman" w:hAnsi="Times New Roman"/>
          <w:sz w:val="24"/>
          <w:szCs w:val="24"/>
        </w:rPr>
        <w:t xml:space="preserve">Their values reflect </w:t>
      </w:r>
      <w:r>
        <w:rPr>
          <w:rFonts w:ascii="Times New Roman" w:hAnsi="Times New Roman"/>
          <w:sz w:val="24"/>
          <w:szCs w:val="24"/>
        </w:rPr>
        <w:t>increases in wealth not derived from the region’s saving.  Mexico, for example, benefitted from a considerable increase in its real wealth (</w:t>
      </w:r>
      <w:r w:rsidR="002139BB" w:rsidRPr="00B02EA6">
        <w:rPr>
          <w:rFonts w:ascii="Times New Roman" w:hAnsi="Times New Roman"/>
          <w:sz w:val="24"/>
          <w:szCs w:val="24"/>
        </w:rPr>
        <w:t>63.95</w:t>
      </w:r>
      <w:r>
        <w:rPr>
          <w:rFonts w:ascii="Times New Roman" w:hAnsi="Times New Roman"/>
          <w:sz w:val="24"/>
          <w:szCs w:val="24"/>
        </w:rPr>
        <w:t xml:space="preserve"> per cent of its 2014 GDP) but did almost no saving</w:t>
      </w:r>
      <w:r w:rsidR="00FF3F96">
        <w:rPr>
          <w:rFonts w:ascii="Times New Roman" w:hAnsi="Times New Roman"/>
          <w:sz w:val="24"/>
          <w:szCs w:val="24"/>
        </w:rPr>
        <w:t xml:space="preserve"> (contribution to real wealth of 0.56)</w:t>
      </w:r>
      <w:r>
        <w:rPr>
          <w:rFonts w:ascii="Times New Roman" w:hAnsi="Times New Roman"/>
          <w:sz w:val="24"/>
          <w:szCs w:val="24"/>
        </w:rPr>
        <w:t xml:space="preserve">.  For a heavily indebted country such as Mexico, a wealth increase without saving can be generated by devaluation.  Between 2014 and 2019 Mexico’s currency devalued by about 45 per cent relative to $US without a commensurate increase in Mexico’s price level.  In these circumstances, the devaluation reduced the $US value of foreign-owned assets in Mexico denominated in Mexican currency.  </w:t>
      </w:r>
    </w:p>
    <w:p w:rsidR="00512DA8" w:rsidRDefault="00512DA8" w:rsidP="00512DA8">
      <w:pPr>
        <w:pStyle w:val="ListParagraph"/>
        <w:ind w:left="0"/>
        <w:contextualSpacing w:val="0"/>
        <w:rPr>
          <w:rFonts w:ascii="Times New Roman" w:hAnsi="Times New Roman"/>
          <w:sz w:val="24"/>
          <w:szCs w:val="24"/>
        </w:rPr>
      </w:pPr>
      <w:r>
        <w:rPr>
          <w:rFonts w:ascii="Times New Roman" w:hAnsi="Times New Roman"/>
          <w:sz w:val="24"/>
          <w:szCs w:val="24"/>
        </w:rPr>
        <w:t>Thus, Mexico’s net foreign liabilities could fall and wealth increase without any saving contribution by Mexican residents.  Mexico’s gain is a loss for the foreign holders of Mexican assets.   It is noticeable in Table 4.10 that the other-effects contribution for the U.S. is strongly negative (-3.</w:t>
      </w:r>
      <w:r w:rsidR="00FF3F96">
        <w:rPr>
          <w:rFonts w:ascii="Times New Roman" w:hAnsi="Times New Roman"/>
          <w:sz w:val="24"/>
          <w:szCs w:val="24"/>
        </w:rPr>
        <w:t>51</w:t>
      </w:r>
      <w:r>
        <w:rPr>
          <w:rFonts w:ascii="Times New Roman" w:hAnsi="Times New Roman"/>
          <w:sz w:val="24"/>
          <w:szCs w:val="24"/>
        </w:rPr>
        <w:t xml:space="preserve"> per cent of 2014 GDP).  </w:t>
      </w:r>
    </w:p>
    <w:p w:rsidR="006D2F97" w:rsidRDefault="00603132" w:rsidP="006D2F97">
      <w:pPr>
        <w:ind w:left="0"/>
        <w:rPr>
          <w:rFonts w:ascii="Times New Roman" w:hAnsi="Times New Roman"/>
          <w:b/>
          <w:sz w:val="24"/>
          <w:szCs w:val="24"/>
        </w:rPr>
      </w:pPr>
      <w:r>
        <w:rPr>
          <w:rFonts w:ascii="Times New Roman" w:hAnsi="Times New Roman"/>
          <w:b/>
          <w:sz w:val="24"/>
          <w:szCs w:val="24"/>
        </w:rPr>
        <w:t>5</w:t>
      </w:r>
      <w:r w:rsidR="006D2F97">
        <w:rPr>
          <w:rFonts w:ascii="Times New Roman" w:hAnsi="Times New Roman"/>
          <w:b/>
          <w:sz w:val="24"/>
          <w:szCs w:val="24"/>
        </w:rPr>
        <w:t xml:space="preserve">.  </w:t>
      </w:r>
      <w:r w:rsidR="00505CF6">
        <w:rPr>
          <w:rFonts w:ascii="Times New Roman" w:hAnsi="Times New Roman"/>
          <w:b/>
          <w:sz w:val="24"/>
          <w:szCs w:val="24"/>
        </w:rPr>
        <w:t>Setting up the b</w:t>
      </w:r>
      <w:r w:rsidR="006D2F97">
        <w:rPr>
          <w:rFonts w:ascii="Times New Roman" w:hAnsi="Times New Roman"/>
          <w:b/>
          <w:sz w:val="24"/>
          <w:szCs w:val="24"/>
        </w:rPr>
        <w:t>aseline simulation</w:t>
      </w:r>
      <w:r w:rsidR="00505CF6">
        <w:rPr>
          <w:rFonts w:ascii="Times New Roman" w:hAnsi="Times New Roman"/>
          <w:b/>
          <w:sz w:val="24"/>
          <w:szCs w:val="24"/>
        </w:rPr>
        <w:t>s</w:t>
      </w:r>
      <w:r w:rsidR="006D2F97">
        <w:rPr>
          <w:rFonts w:ascii="Times New Roman" w:hAnsi="Times New Roman"/>
          <w:b/>
          <w:sz w:val="24"/>
          <w:szCs w:val="24"/>
        </w:rPr>
        <w:t xml:space="preserve"> for 2019-30</w:t>
      </w:r>
      <w:r w:rsidR="00505CF6">
        <w:rPr>
          <w:rFonts w:ascii="Times New Roman" w:hAnsi="Times New Roman"/>
          <w:b/>
          <w:sz w:val="24"/>
          <w:szCs w:val="24"/>
        </w:rPr>
        <w:t>, 2030-40 and 2040-50</w:t>
      </w:r>
    </w:p>
    <w:p w:rsidR="00162C7D" w:rsidRPr="00162C7D" w:rsidRDefault="00603132" w:rsidP="006D2F97">
      <w:pPr>
        <w:ind w:left="0"/>
        <w:rPr>
          <w:rFonts w:ascii="Times New Roman" w:hAnsi="Times New Roman"/>
          <w:b/>
          <w:i/>
          <w:sz w:val="24"/>
          <w:szCs w:val="24"/>
        </w:rPr>
      </w:pPr>
      <w:r>
        <w:rPr>
          <w:rFonts w:ascii="Times New Roman" w:hAnsi="Times New Roman"/>
          <w:b/>
          <w:i/>
          <w:sz w:val="24"/>
          <w:szCs w:val="24"/>
        </w:rPr>
        <w:t>5</w:t>
      </w:r>
      <w:r w:rsidR="00162C7D">
        <w:rPr>
          <w:rFonts w:ascii="Times New Roman" w:hAnsi="Times New Roman"/>
          <w:b/>
          <w:i/>
          <w:sz w:val="24"/>
          <w:szCs w:val="24"/>
        </w:rPr>
        <w:t>.1.  The 2019-30 simulation</w:t>
      </w:r>
      <w:r>
        <w:rPr>
          <w:rFonts w:ascii="Times New Roman" w:hAnsi="Times New Roman"/>
          <w:b/>
          <w:i/>
          <w:sz w:val="24"/>
          <w:szCs w:val="24"/>
        </w:rPr>
        <w:t xml:space="preserve">: </w:t>
      </w:r>
      <w:r w:rsidR="000953C7">
        <w:rPr>
          <w:rFonts w:ascii="Times New Roman" w:hAnsi="Times New Roman"/>
          <w:b/>
          <w:i/>
          <w:sz w:val="24"/>
          <w:szCs w:val="24"/>
        </w:rPr>
        <w:t>e</w:t>
      </w:r>
      <w:r w:rsidRPr="00DF5970">
        <w:rPr>
          <w:rFonts w:ascii="Times New Roman" w:hAnsi="Times New Roman"/>
          <w:b/>
          <w:i/>
          <w:sz w:val="24"/>
          <w:szCs w:val="24"/>
        </w:rPr>
        <w:t xml:space="preserve">xplanation of the </w:t>
      </w:r>
      <w:r>
        <w:rPr>
          <w:rFonts w:ascii="Times New Roman" w:hAnsi="Times New Roman"/>
          <w:b/>
          <w:i/>
          <w:sz w:val="24"/>
          <w:szCs w:val="24"/>
        </w:rPr>
        <w:t>7</w:t>
      </w:r>
      <w:r w:rsidRPr="00DF5970">
        <w:rPr>
          <w:rFonts w:ascii="Times New Roman" w:hAnsi="Times New Roman"/>
          <w:b/>
          <w:i/>
          <w:sz w:val="24"/>
          <w:szCs w:val="24"/>
        </w:rPr>
        <w:t xml:space="preserve"> steps </w:t>
      </w:r>
      <w:r>
        <w:rPr>
          <w:rFonts w:ascii="Times New Roman" w:hAnsi="Times New Roman"/>
          <w:b/>
          <w:i/>
          <w:sz w:val="24"/>
          <w:szCs w:val="24"/>
        </w:rPr>
        <w:t xml:space="preserve">(panels) </w:t>
      </w:r>
      <w:r w:rsidRPr="00DF5970">
        <w:rPr>
          <w:rFonts w:ascii="Times New Roman" w:hAnsi="Times New Roman"/>
          <w:b/>
          <w:i/>
          <w:sz w:val="24"/>
          <w:szCs w:val="24"/>
        </w:rPr>
        <w:t xml:space="preserve">in Table </w:t>
      </w:r>
      <w:r>
        <w:rPr>
          <w:rFonts w:ascii="Times New Roman" w:hAnsi="Times New Roman"/>
          <w:b/>
          <w:i/>
          <w:sz w:val="24"/>
          <w:szCs w:val="24"/>
        </w:rPr>
        <w:t>5</w:t>
      </w:r>
      <w:r w:rsidRPr="00DF5970">
        <w:rPr>
          <w:rFonts w:ascii="Times New Roman" w:hAnsi="Times New Roman"/>
          <w:b/>
          <w:i/>
          <w:sz w:val="24"/>
          <w:szCs w:val="24"/>
        </w:rPr>
        <w:t>.1</w:t>
      </w:r>
    </w:p>
    <w:p w:rsidR="006D2F97" w:rsidRDefault="006D2F97" w:rsidP="006D2F97">
      <w:pPr>
        <w:ind w:left="0"/>
        <w:rPr>
          <w:rFonts w:ascii="Times New Roman" w:hAnsi="Times New Roman"/>
          <w:sz w:val="24"/>
          <w:szCs w:val="24"/>
        </w:rPr>
      </w:pPr>
      <w:r>
        <w:rPr>
          <w:rFonts w:ascii="Times New Roman" w:hAnsi="Times New Roman"/>
          <w:sz w:val="24"/>
          <w:szCs w:val="24"/>
        </w:rPr>
        <w:t>In the simulation for 2019-30, we bring in for each region:</w:t>
      </w:r>
    </w:p>
    <w:p w:rsidR="006D2F97" w:rsidRDefault="006D2F97" w:rsidP="006D2F97">
      <w:pPr>
        <w:pStyle w:val="ListParagraph"/>
        <w:numPr>
          <w:ilvl w:val="0"/>
          <w:numId w:val="6"/>
        </w:numPr>
        <w:spacing w:before="0"/>
        <w:ind w:left="782" w:hanging="357"/>
        <w:contextualSpacing w:val="0"/>
        <w:rPr>
          <w:rFonts w:ascii="Times New Roman" w:hAnsi="Times New Roman"/>
          <w:sz w:val="24"/>
          <w:szCs w:val="24"/>
        </w:rPr>
      </w:pPr>
      <w:r w:rsidRPr="00E41F8A">
        <w:rPr>
          <w:rFonts w:ascii="Times New Roman" w:hAnsi="Times New Roman"/>
          <w:sz w:val="24"/>
          <w:szCs w:val="24"/>
        </w:rPr>
        <w:t xml:space="preserve">IMF projections for real GDP; </w:t>
      </w:r>
    </w:p>
    <w:p w:rsidR="006D2F97" w:rsidRDefault="006D2F97" w:rsidP="006D2F97">
      <w:pPr>
        <w:pStyle w:val="ListParagraph"/>
        <w:numPr>
          <w:ilvl w:val="0"/>
          <w:numId w:val="6"/>
        </w:numPr>
        <w:rPr>
          <w:rFonts w:ascii="Times New Roman" w:hAnsi="Times New Roman"/>
          <w:sz w:val="24"/>
          <w:szCs w:val="24"/>
        </w:rPr>
      </w:pPr>
      <w:r w:rsidRPr="00E41F8A">
        <w:rPr>
          <w:rFonts w:ascii="Times New Roman" w:hAnsi="Times New Roman"/>
          <w:sz w:val="24"/>
          <w:szCs w:val="24"/>
        </w:rPr>
        <w:t>populations and working-age population projections from Shared Socioeconomic Pathway 2 (</w:t>
      </w:r>
      <w:r>
        <w:rPr>
          <w:rFonts w:ascii="Times New Roman" w:hAnsi="Times New Roman"/>
          <w:sz w:val="24"/>
          <w:szCs w:val="24"/>
        </w:rPr>
        <w:t xml:space="preserve">SSP2, </w:t>
      </w:r>
      <w:r w:rsidRPr="00E41F8A">
        <w:rPr>
          <w:rFonts w:ascii="Times New Roman" w:hAnsi="Times New Roman"/>
          <w:sz w:val="24"/>
          <w:szCs w:val="24"/>
        </w:rPr>
        <w:t xml:space="preserve">middle of the road projections) published by the </w:t>
      </w:r>
      <w:r w:rsidRPr="00E41F8A">
        <w:rPr>
          <w:rFonts w:ascii="Times New Roman" w:hAnsi="Times New Roman"/>
          <w:i/>
          <w:sz w:val="24"/>
          <w:szCs w:val="24"/>
        </w:rPr>
        <w:t xml:space="preserve">International Institute for Applied System Analysis </w:t>
      </w:r>
      <w:r w:rsidRPr="00E41F8A">
        <w:rPr>
          <w:rFonts w:ascii="Times New Roman" w:hAnsi="Times New Roman"/>
          <w:sz w:val="24"/>
          <w:szCs w:val="24"/>
        </w:rPr>
        <w:t>(IIASA);</w:t>
      </w:r>
    </w:p>
    <w:p w:rsidR="00006B95" w:rsidRDefault="00006B95" w:rsidP="00006B95">
      <w:pPr>
        <w:pStyle w:val="ListParagraph"/>
        <w:numPr>
          <w:ilvl w:val="0"/>
          <w:numId w:val="6"/>
        </w:numPr>
        <w:rPr>
          <w:rFonts w:ascii="Times New Roman" w:hAnsi="Times New Roman"/>
          <w:sz w:val="24"/>
          <w:szCs w:val="24"/>
        </w:rPr>
      </w:pPr>
      <w:r w:rsidRPr="00E41F8A">
        <w:rPr>
          <w:rFonts w:ascii="Times New Roman" w:hAnsi="Times New Roman"/>
          <w:sz w:val="24"/>
          <w:szCs w:val="24"/>
        </w:rPr>
        <w:t xml:space="preserve">projections of fossil-fuel use </w:t>
      </w:r>
      <w:r>
        <w:rPr>
          <w:rFonts w:ascii="Times New Roman" w:hAnsi="Times New Roman"/>
          <w:sz w:val="24"/>
          <w:szCs w:val="24"/>
        </w:rPr>
        <w:t xml:space="preserve">under </w:t>
      </w:r>
      <w:r w:rsidR="00FF2B26">
        <w:rPr>
          <w:rFonts w:ascii="Times New Roman" w:hAnsi="Times New Roman"/>
          <w:sz w:val="24"/>
          <w:szCs w:val="24"/>
        </w:rPr>
        <w:t>Stated Policies Scenarios (STEPS)</w:t>
      </w:r>
      <w:r>
        <w:rPr>
          <w:rFonts w:ascii="Times New Roman" w:hAnsi="Times New Roman"/>
          <w:sz w:val="24"/>
          <w:szCs w:val="24"/>
        </w:rPr>
        <w:t xml:space="preserve"> </w:t>
      </w:r>
      <w:r w:rsidRPr="00E41F8A">
        <w:rPr>
          <w:rFonts w:ascii="Times New Roman" w:hAnsi="Times New Roman"/>
          <w:sz w:val="24"/>
          <w:szCs w:val="24"/>
        </w:rPr>
        <w:t>published by</w:t>
      </w:r>
      <w:r w:rsidR="00FF2B26" w:rsidRPr="00FF2B26">
        <w:rPr>
          <w:rFonts w:ascii="Times New Roman" w:hAnsi="Times New Roman"/>
          <w:sz w:val="24"/>
          <w:szCs w:val="24"/>
        </w:rPr>
        <w:t xml:space="preserve"> </w:t>
      </w:r>
      <w:r w:rsidR="00FF2B26" w:rsidRPr="00E41F8A">
        <w:rPr>
          <w:rFonts w:ascii="Times New Roman" w:hAnsi="Times New Roman"/>
          <w:sz w:val="24"/>
          <w:szCs w:val="24"/>
        </w:rPr>
        <w:t xml:space="preserve">the </w:t>
      </w:r>
      <w:r w:rsidR="00FF2B26">
        <w:rPr>
          <w:rFonts w:ascii="Times New Roman" w:hAnsi="Times New Roman"/>
          <w:i/>
          <w:sz w:val="24"/>
          <w:szCs w:val="24"/>
        </w:rPr>
        <w:t>International Energy Agency</w:t>
      </w:r>
      <w:r w:rsidRPr="00E41F8A">
        <w:rPr>
          <w:rFonts w:ascii="Times New Roman" w:hAnsi="Times New Roman"/>
          <w:sz w:val="24"/>
          <w:szCs w:val="24"/>
        </w:rPr>
        <w:t xml:space="preserve"> </w:t>
      </w:r>
      <w:r w:rsidR="00FF2B26">
        <w:rPr>
          <w:rFonts w:ascii="Times New Roman" w:hAnsi="Times New Roman"/>
          <w:sz w:val="24"/>
          <w:szCs w:val="24"/>
        </w:rPr>
        <w:t>(IEA)</w:t>
      </w:r>
      <w:r w:rsidRPr="00E41F8A">
        <w:rPr>
          <w:rFonts w:ascii="Times New Roman" w:hAnsi="Times New Roman"/>
          <w:sz w:val="24"/>
          <w:szCs w:val="24"/>
        </w:rPr>
        <w:t xml:space="preserve">; and </w:t>
      </w:r>
    </w:p>
    <w:p w:rsidR="00512DA8" w:rsidRDefault="0084323C" w:rsidP="00C7203F">
      <w:pPr>
        <w:pStyle w:val="ListParagraph"/>
        <w:numPr>
          <w:ilvl w:val="0"/>
          <w:numId w:val="6"/>
        </w:numPr>
        <w:spacing w:before="0"/>
        <w:ind w:left="782" w:hanging="357"/>
        <w:contextualSpacing w:val="0"/>
        <w:rPr>
          <w:rFonts w:ascii="Times New Roman" w:hAnsi="Times New Roman"/>
          <w:sz w:val="24"/>
          <w:szCs w:val="24"/>
        </w:rPr>
      </w:pPr>
      <w:r w:rsidRPr="00E41F8A">
        <w:rPr>
          <w:rFonts w:ascii="Times New Roman" w:hAnsi="Times New Roman"/>
          <w:sz w:val="24"/>
          <w:szCs w:val="24"/>
        </w:rPr>
        <w:t xml:space="preserve">projections of capital/labour technology bias from our historical simulation for 2004-14.   </w:t>
      </w:r>
    </w:p>
    <w:p w:rsidR="00B02EA6" w:rsidRPr="002F4F00" w:rsidRDefault="00B02EA6" w:rsidP="002F4F00">
      <w:pPr>
        <w:ind w:left="0"/>
        <w:rPr>
          <w:rFonts w:ascii="Times New Roman" w:hAnsi="Times New Roman"/>
          <w:sz w:val="24"/>
          <w:szCs w:val="24"/>
        </w:rPr>
      </w:pPr>
      <w:r w:rsidRPr="002F4F00">
        <w:rPr>
          <w:rFonts w:ascii="Times New Roman" w:hAnsi="Times New Roman"/>
          <w:sz w:val="24"/>
          <w:szCs w:val="24"/>
        </w:rPr>
        <w:lastRenderedPageBreak/>
        <w:t xml:space="preserve">Details of these projections are in Appendix 1.  </w:t>
      </w:r>
    </w:p>
    <w:p w:rsidR="00B02EA6" w:rsidRPr="002F4F00" w:rsidRDefault="00B02EA6" w:rsidP="002F4F00">
      <w:pPr>
        <w:ind w:left="0"/>
        <w:rPr>
          <w:rFonts w:ascii="Times New Roman" w:hAnsi="Times New Roman"/>
          <w:sz w:val="24"/>
          <w:szCs w:val="24"/>
        </w:rPr>
      </w:pPr>
      <w:r w:rsidRPr="002F4F00">
        <w:rPr>
          <w:rFonts w:ascii="Times New Roman" w:hAnsi="Times New Roman"/>
          <w:sz w:val="24"/>
          <w:szCs w:val="24"/>
        </w:rPr>
        <w:t>As with the 2014-19 historical simulation, our starting point for the baseline 2019-30 simulation is the standard long-run closure.  Table 5.1 indicates shocked variables and closure changes in the 2019-30 simulation.</w:t>
      </w:r>
      <w:r w:rsidR="002F4F00">
        <w:rPr>
          <w:rFonts w:ascii="Times New Roman" w:hAnsi="Times New Roman"/>
          <w:sz w:val="24"/>
          <w:szCs w:val="24"/>
        </w:rPr>
        <w:t xml:space="preserve"> </w:t>
      </w:r>
      <w:r w:rsidRPr="002F4F00">
        <w:rPr>
          <w:rFonts w:ascii="Times New Roman" w:hAnsi="Times New Roman"/>
          <w:sz w:val="24"/>
          <w:szCs w:val="24"/>
        </w:rPr>
        <w:t xml:space="preserve"> </w:t>
      </w:r>
      <w:r w:rsidR="002F4F00">
        <w:rPr>
          <w:rStyle w:val="FootnoteReference"/>
          <w:rFonts w:ascii="Times New Roman" w:hAnsi="Times New Roman"/>
          <w:sz w:val="24"/>
          <w:szCs w:val="24"/>
        </w:rPr>
        <w:footnoteReference w:id="5"/>
      </w:r>
      <w:r w:rsidRPr="002F4F00">
        <w:rPr>
          <w:rFonts w:ascii="Times New Roman" w:hAnsi="Times New Roman"/>
          <w:sz w:val="24"/>
          <w:szCs w:val="24"/>
        </w:rPr>
        <w:t xml:space="preserve"> </w:t>
      </w:r>
    </w:p>
    <w:p w:rsidR="00B02EA6" w:rsidRPr="002F4F00" w:rsidRDefault="00B02EA6" w:rsidP="002F4F00">
      <w:pPr>
        <w:ind w:left="0"/>
        <w:rPr>
          <w:rFonts w:ascii="Times New Roman" w:hAnsi="Times New Roman"/>
          <w:i/>
          <w:sz w:val="24"/>
          <w:szCs w:val="24"/>
        </w:rPr>
      </w:pPr>
      <w:r w:rsidRPr="002F4F00">
        <w:rPr>
          <w:rFonts w:ascii="Times New Roman" w:hAnsi="Times New Roman"/>
          <w:i/>
          <w:sz w:val="24"/>
          <w:szCs w:val="24"/>
        </w:rPr>
        <w:t>Part 1 of Table 5.1:  Real GDP and supply-side determinants</w:t>
      </w:r>
    </w:p>
    <w:p w:rsidR="00B02EA6" w:rsidRPr="002F4F00" w:rsidRDefault="00B02EA6" w:rsidP="002F4F00">
      <w:pPr>
        <w:ind w:left="0"/>
        <w:rPr>
          <w:rFonts w:ascii="Times New Roman" w:hAnsi="Times New Roman"/>
          <w:b/>
          <w:sz w:val="24"/>
          <w:szCs w:val="24"/>
        </w:rPr>
      </w:pPr>
      <w:r w:rsidRPr="002F4F00">
        <w:rPr>
          <w:rFonts w:ascii="Times New Roman" w:hAnsi="Times New Roman"/>
          <w:i/>
          <w:sz w:val="24"/>
          <w:szCs w:val="24"/>
        </w:rPr>
        <w:t>Panel 1: real GDP.</w:t>
      </w:r>
      <w:r w:rsidRPr="002F4F00">
        <w:rPr>
          <w:rFonts w:ascii="Times New Roman" w:hAnsi="Times New Roman"/>
          <w:sz w:val="24"/>
          <w:szCs w:val="24"/>
        </w:rPr>
        <w:t xml:space="preserve">  This panel corresponds to panel 1 in Table 4.1: we exogenize real GDP in each region and endogenize primary-factor technical change.  This enabled us to introduce IMF projections for real GDP movements.  These movements can be seen in the Period 2 section of Table 6.1. </w:t>
      </w:r>
    </w:p>
    <w:p w:rsidR="00B02EA6" w:rsidRPr="002F4F00" w:rsidRDefault="00B02EA6" w:rsidP="002F4F00">
      <w:pPr>
        <w:ind w:left="0"/>
        <w:rPr>
          <w:rFonts w:ascii="Times New Roman" w:hAnsi="Times New Roman"/>
          <w:sz w:val="24"/>
          <w:szCs w:val="24"/>
        </w:rPr>
      </w:pPr>
      <w:r w:rsidRPr="002F4F00">
        <w:rPr>
          <w:rFonts w:ascii="Times New Roman" w:hAnsi="Times New Roman"/>
          <w:i/>
          <w:sz w:val="24"/>
          <w:szCs w:val="24"/>
        </w:rPr>
        <w:t>Panel 2: employment and population.</w:t>
      </w:r>
      <w:r w:rsidRPr="002F4F00">
        <w:rPr>
          <w:rFonts w:ascii="Times New Roman" w:hAnsi="Times New Roman"/>
          <w:sz w:val="24"/>
          <w:szCs w:val="24"/>
        </w:rPr>
        <w:t xml:space="preserve">  This panel corresponds to panel 3 in Table 4.1: we introduce shocks to employment and population.  No closure changes are required.  </w:t>
      </w:r>
    </w:p>
    <w:p w:rsidR="00B02EA6" w:rsidRPr="002F4F00" w:rsidRDefault="00B02EA6" w:rsidP="002F4F00">
      <w:pPr>
        <w:ind w:left="0"/>
        <w:rPr>
          <w:rFonts w:ascii="Times New Roman" w:hAnsi="Times New Roman"/>
          <w:sz w:val="24"/>
          <w:szCs w:val="24"/>
        </w:rPr>
      </w:pPr>
      <w:r w:rsidRPr="002F4F00">
        <w:rPr>
          <w:rFonts w:ascii="Times New Roman" w:hAnsi="Times New Roman"/>
          <w:sz w:val="24"/>
          <w:szCs w:val="24"/>
        </w:rPr>
        <w:t xml:space="preserve">Both sets of shocks were taken from SSP2, described by IIASA as the “medium” scenario.  The shocks for employment are in fact IIASA projections for working-age population.  We assume that employment in each region will move in the same way as working-age population.  The population and working-age population (employment) growth rates can be seen in the Period 2 section of Table 6.1.     </w:t>
      </w:r>
    </w:p>
    <w:p w:rsidR="00B02EA6" w:rsidRPr="002F4F00" w:rsidRDefault="00B02EA6" w:rsidP="002F4F00">
      <w:pPr>
        <w:ind w:left="0"/>
        <w:rPr>
          <w:rFonts w:ascii="Times New Roman" w:hAnsi="Times New Roman"/>
          <w:sz w:val="24"/>
          <w:szCs w:val="24"/>
        </w:rPr>
      </w:pPr>
      <w:r w:rsidRPr="002F4F00">
        <w:rPr>
          <w:rFonts w:ascii="Times New Roman" w:hAnsi="Times New Roman"/>
          <w:i/>
          <w:sz w:val="24"/>
          <w:szCs w:val="24"/>
        </w:rPr>
        <w:t>Panel 3: land and natural resources.</w:t>
      </w:r>
      <w:r w:rsidRPr="002F4F00">
        <w:rPr>
          <w:rFonts w:ascii="Times New Roman" w:hAnsi="Times New Roman"/>
          <w:sz w:val="24"/>
          <w:szCs w:val="24"/>
        </w:rPr>
        <w:t xml:space="preserve">  As explained in connection with panels 4 and 5 in Table 4.1, land and natural resources can be reallocated among using industries, but consistent with normal GTAP practice, we assume that the total availability of each of these factors in each region is fixed.  </w:t>
      </w:r>
    </w:p>
    <w:p w:rsidR="00B02EA6" w:rsidRPr="002F4F00" w:rsidRDefault="00B02EA6" w:rsidP="002F4F00">
      <w:pPr>
        <w:ind w:left="0"/>
        <w:rPr>
          <w:rFonts w:ascii="Times New Roman" w:hAnsi="Times New Roman"/>
          <w:sz w:val="24"/>
          <w:szCs w:val="24"/>
        </w:rPr>
      </w:pPr>
      <w:r w:rsidRPr="002F4F00">
        <w:rPr>
          <w:rFonts w:ascii="Times New Roman" w:hAnsi="Times New Roman"/>
          <w:i/>
          <w:sz w:val="24"/>
          <w:szCs w:val="24"/>
        </w:rPr>
        <w:t xml:space="preserve">Panel 4: Twist in capital-labour technology.  </w:t>
      </w:r>
      <w:r w:rsidRPr="002F4F00">
        <w:rPr>
          <w:rFonts w:ascii="Times New Roman" w:hAnsi="Times New Roman"/>
          <w:sz w:val="24"/>
          <w:szCs w:val="24"/>
        </w:rPr>
        <w:t xml:space="preserve">This panel corresponds to panel 6 in Table 4.1.  As in the 2014-19 simulation, in the 2019-30 simulation we introduce capital-using technology bias by extrapolating the bias for each region estimated for 2004-14.  Again, we make the twist-related technological changes in each industry j and region r cost neutral.  </w:t>
      </w:r>
    </w:p>
    <w:p w:rsidR="00B02EA6" w:rsidRDefault="00B02EA6" w:rsidP="002F4F00">
      <w:pPr>
        <w:ind w:left="0"/>
        <w:rPr>
          <w:rFonts w:ascii="Times New Roman" w:hAnsi="Times New Roman"/>
          <w:sz w:val="24"/>
          <w:szCs w:val="24"/>
        </w:rPr>
      </w:pPr>
      <w:r w:rsidRPr="001A73E5">
        <w:rPr>
          <w:rFonts w:ascii="Times New Roman" w:hAnsi="Times New Roman"/>
          <w:i/>
          <w:sz w:val="24"/>
          <w:szCs w:val="24"/>
        </w:rPr>
        <w:t>P</w:t>
      </w:r>
      <w:r>
        <w:rPr>
          <w:rFonts w:ascii="Times New Roman" w:hAnsi="Times New Roman"/>
          <w:i/>
          <w:sz w:val="24"/>
          <w:szCs w:val="24"/>
        </w:rPr>
        <w:t xml:space="preserve">anel 5: global price level.  </w:t>
      </w:r>
      <w:r>
        <w:rPr>
          <w:rFonts w:ascii="Times New Roman" w:hAnsi="Times New Roman"/>
          <w:sz w:val="24"/>
          <w:szCs w:val="24"/>
        </w:rPr>
        <w:t xml:space="preserve">As mentioned in point (i) in section 3, the numeraire in the standard long-run closure is the nominal value of global GDP.  We imposed the IMF forecast for this variable.  In combination with the IMF forecasts for regional real GDPs imposed in panel 1, our 2019-30 simulation gave an increase in the world price of GDP in $US of </w:t>
      </w:r>
      <w:r w:rsidRPr="00B02EA6">
        <w:rPr>
          <w:rFonts w:ascii="Times New Roman" w:hAnsi="Times New Roman"/>
          <w:sz w:val="24"/>
          <w:szCs w:val="24"/>
        </w:rPr>
        <w:t>28.6</w:t>
      </w:r>
      <w:r>
        <w:rPr>
          <w:rFonts w:ascii="Times New Roman" w:hAnsi="Times New Roman"/>
          <w:sz w:val="24"/>
          <w:szCs w:val="24"/>
        </w:rPr>
        <w:t xml:space="preserve"> per cent</w:t>
      </w:r>
      <w:r w:rsidR="002F4F00">
        <w:rPr>
          <w:rFonts w:ascii="Times New Roman" w:hAnsi="Times New Roman"/>
          <w:sz w:val="24"/>
          <w:szCs w:val="24"/>
        </w:rPr>
        <w:t>.</w:t>
      </w:r>
    </w:p>
    <w:p w:rsidR="002F4F00" w:rsidRPr="000953C7" w:rsidRDefault="002F4F00" w:rsidP="002F4F00">
      <w:pPr>
        <w:ind w:left="0"/>
        <w:rPr>
          <w:rFonts w:ascii="Times New Roman" w:hAnsi="Times New Roman"/>
          <w:i/>
          <w:sz w:val="24"/>
          <w:szCs w:val="24"/>
        </w:rPr>
      </w:pPr>
      <w:r w:rsidRPr="000953C7">
        <w:rPr>
          <w:rFonts w:ascii="Times New Roman" w:hAnsi="Times New Roman"/>
          <w:i/>
          <w:sz w:val="24"/>
          <w:szCs w:val="24"/>
        </w:rPr>
        <w:t>Part 2 of Table 5.1:  Real private and public consumption</w:t>
      </w:r>
    </w:p>
    <w:p w:rsidR="002F4F00" w:rsidRDefault="002F4F00" w:rsidP="002F4F00">
      <w:pPr>
        <w:ind w:left="0"/>
        <w:rPr>
          <w:rFonts w:ascii="Times New Roman" w:hAnsi="Times New Roman"/>
          <w:sz w:val="24"/>
          <w:szCs w:val="24"/>
        </w:rPr>
      </w:pPr>
      <w:r>
        <w:rPr>
          <w:rFonts w:ascii="Times New Roman" w:hAnsi="Times New Roman"/>
          <w:i/>
          <w:sz w:val="24"/>
          <w:szCs w:val="24"/>
        </w:rPr>
        <w:t xml:space="preserve">Panel 6: adjustment of consumption propensities.  </w:t>
      </w:r>
      <w:r>
        <w:rPr>
          <w:rFonts w:ascii="Times New Roman" w:hAnsi="Times New Roman"/>
          <w:sz w:val="24"/>
          <w:szCs w:val="24"/>
        </w:rPr>
        <w:t xml:space="preserve">Table 5.2 shows average propensities to consume in 2019.  These are calculated as the ratio of private plus public consumption to net national income.  In 2019, the consumption propensities varied from lows of </w:t>
      </w:r>
      <w:r w:rsidRPr="00B02EA6">
        <w:rPr>
          <w:rFonts w:ascii="Times New Roman" w:hAnsi="Times New Roman"/>
          <w:sz w:val="24"/>
          <w:szCs w:val="24"/>
        </w:rPr>
        <w:t>0.712 and 0.645</w:t>
      </w:r>
      <w:r>
        <w:rPr>
          <w:rFonts w:ascii="Times New Roman" w:hAnsi="Times New Roman"/>
          <w:sz w:val="24"/>
          <w:szCs w:val="24"/>
        </w:rPr>
        <w:t xml:space="preserve"> for Saudi Arabia and China to a high of </w:t>
      </w:r>
      <w:r w:rsidRPr="0086198F">
        <w:rPr>
          <w:rFonts w:ascii="Times New Roman" w:hAnsi="Times New Roman"/>
          <w:sz w:val="24"/>
          <w:szCs w:val="24"/>
        </w:rPr>
        <w:t>1.003</w:t>
      </w:r>
      <w:r>
        <w:rPr>
          <w:rFonts w:ascii="Times New Roman" w:hAnsi="Times New Roman"/>
          <w:sz w:val="24"/>
          <w:szCs w:val="24"/>
        </w:rPr>
        <w:t xml:space="preserve"> for Mexico.  The average across all regions was 0.857 implying that 14.3 per cent of world income is saved and devoted to investment.  </w:t>
      </w:r>
    </w:p>
    <w:p w:rsidR="002F4F00" w:rsidRPr="00B02EA6" w:rsidRDefault="002F4F00" w:rsidP="002F4F00">
      <w:pPr>
        <w:ind w:left="0"/>
        <w:rPr>
          <w:rFonts w:ascii="Times New Roman" w:hAnsi="Times New Roman"/>
          <w:sz w:val="24"/>
          <w:szCs w:val="24"/>
        </w:rPr>
      </w:pPr>
      <w:r>
        <w:rPr>
          <w:rFonts w:ascii="Times New Roman" w:hAnsi="Times New Roman"/>
          <w:sz w:val="24"/>
          <w:szCs w:val="24"/>
        </w:rPr>
        <w:t xml:space="preserve">In the 2019-30 simulation, we assumed that regional average propensities to consume will move towards the world average.  High savers such as Saudi Arabia and China will consume </w:t>
      </w:r>
    </w:p>
    <w:p w:rsidR="00B02EA6" w:rsidRDefault="00B02EA6">
      <w:pPr>
        <w:spacing w:before="0" w:line="240" w:lineRule="auto"/>
        <w:ind w:left="0"/>
        <w:rPr>
          <w:rFonts w:ascii="Times New Roman" w:hAnsi="Times New Roman"/>
          <w:b/>
          <w:i/>
          <w:sz w:val="24"/>
          <w:szCs w:val="24"/>
        </w:rPr>
      </w:pPr>
      <w:r>
        <w:rPr>
          <w:rFonts w:ascii="Times New Roman" w:hAnsi="Times New Roman"/>
          <w:b/>
          <w:i/>
          <w:sz w:val="24"/>
          <w:szCs w:val="24"/>
        </w:rPr>
        <w:br w:type="page"/>
      </w:r>
    </w:p>
    <w:p w:rsidR="00CB5068" w:rsidRPr="002F7461" w:rsidRDefault="00CB5068" w:rsidP="00CB5068">
      <w:pPr>
        <w:ind w:left="0"/>
        <w:jc w:val="center"/>
        <w:rPr>
          <w:rFonts w:ascii="Times New Roman" w:hAnsi="Times New Roman"/>
          <w:b/>
          <w:i/>
          <w:sz w:val="24"/>
          <w:szCs w:val="24"/>
        </w:rPr>
      </w:pPr>
      <w:r>
        <w:rPr>
          <w:rFonts w:ascii="Times New Roman" w:hAnsi="Times New Roman"/>
          <w:b/>
          <w:i/>
          <w:sz w:val="24"/>
          <w:szCs w:val="24"/>
        </w:rPr>
        <w:lastRenderedPageBreak/>
        <w:t>Table 5.1.  Shocked variables and closure swaps for the 2019-30 simulation</w:t>
      </w:r>
    </w:p>
    <w:tbl>
      <w:tblPr>
        <w:tblW w:w="9495" w:type="dxa"/>
        <w:tblInd w:w="-142" w:type="dxa"/>
        <w:tblBorders>
          <w:top w:val="single" w:sz="18" w:space="0" w:color="7F7F7F"/>
          <w:bottom w:val="single" w:sz="18" w:space="0" w:color="7F7F7F"/>
          <w:insideH w:val="single" w:sz="4" w:space="0" w:color="7F7F7F"/>
          <w:insideV w:val="single" w:sz="4" w:space="0" w:color="7F7F7F"/>
        </w:tblBorders>
        <w:tblLayout w:type="fixed"/>
        <w:tblLook w:val="04A0" w:firstRow="1" w:lastRow="0" w:firstColumn="1" w:lastColumn="0" w:noHBand="0" w:noVBand="1"/>
      </w:tblPr>
      <w:tblGrid>
        <w:gridCol w:w="993"/>
        <w:gridCol w:w="1701"/>
        <w:gridCol w:w="1404"/>
        <w:gridCol w:w="1217"/>
        <w:gridCol w:w="1639"/>
        <w:gridCol w:w="2532"/>
        <w:gridCol w:w="9"/>
      </w:tblGrid>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Panel no</w:t>
            </w:r>
          </w:p>
        </w:tc>
        <w:tc>
          <w:tcPr>
            <w:tcW w:w="1701"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Exo variable</w:t>
            </w:r>
          </w:p>
        </w:tc>
        <w:tc>
          <w:tcPr>
            <w:tcW w:w="1404"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Description</w:t>
            </w:r>
          </w:p>
        </w:tc>
        <w:tc>
          <w:tcPr>
            <w:tcW w:w="1217" w:type="dxa"/>
            <w:tcBorders>
              <w:top w:val="single" w:sz="18"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rPr>
                <w:rFonts w:ascii="Times New Roman" w:hAnsi="Times New Roman"/>
                <w:b/>
                <w:sz w:val="24"/>
                <w:szCs w:val="24"/>
              </w:rPr>
            </w:pPr>
            <w:r w:rsidRPr="00C600BB">
              <w:rPr>
                <w:rFonts w:ascii="Times New Roman" w:hAnsi="Times New Roman"/>
                <w:b/>
                <w:sz w:val="24"/>
                <w:szCs w:val="24"/>
              </w:rPr>
              <w:t>Source for shock</w:t>
            </w:r>
          </w:p>
        </w:tc>
        <w:tc>
          <w:tcPr>
            <w:tcW w:w="1639" w:type="dxa"/>
            <w:tcBorders>
              <w:top w:val="single" w:sz="18"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Swap variable</w:t>
            </w:r>
          </w:p>
          <w:p w:rsidR="00CB5068" w:rsidRPr="00C600BB" w:rsidRDefault="00CB5068" w:rsidP="00C600BB">
            <w:pPr>
              <w:spacing w:before="0" w:line="240" w:lineRule="auto"/>
              <w:ind w:left="0"/>
              <w:jc w:val="center"/>
              <w:rPr>
                <w:rFonts w:ascii="Times New Roman" w:hAnsi="Times New Roman"/>
                <w:i/>
                <w:sz w:val="24"/>
                <w:szCs w:val="24"/>
              </w:rPr>
            </w:pPr>
            <w:r w:rsidRPr="00C600BB">
              <w:rPr>
                <w:rFonts w:ascii="Times New Roman" w:hAnsi="Times New Roman"/>
                <w:i/>
                <w:sz w:val="24"/>
                <w:szCs w:val="24"/>
              </w:rPr>
              <w:t>(goes  endo)</w:t>
            </w:r>
          </w:p>
        </w:tc>
        <w:tc>
          <w:tcPr>
            <w:tcW w:w="2532"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 xml:space="preserve">Description </w:t>
            </w: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(1)</w:t>
            </w:r>
          </w:p>
        </w:tc>
        <w:tc>
          <w:tcPr>
            <w:tcW w:w="1701"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(2)</w:t>
            </w:r>
          </w:p>
        </w:tc>
        <w:tc>
          <w:tcPr>
            <w:tcW w:w="1404"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(3)</w:t>
            </w:r>
          </w:p>
        </w:tc>
        <w:tc>
          <w:tcPr>
            <w:tcW w:w="1217" w:type="dxa"/>
            <w:tcBorders>
              <w:top w:val="single" w:sz="4" w:space="0" w:color="7F7F7F"/>
              <w:bottom w:val="single" w:sz="18"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(4)</w:t>
            </w:r>
          </w:p>
        </w:tc>
        <w:tc>
          <w:tcPr>
            <w:tcW w:w="1639" w:type="dxa"/>
            <w:tcBorders>
              <w:top w:val="single" w:sz="4" w:space="0" w:color="7F7F7F"/>
              <w:left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(5)</w:t>
            </w:r>
          </w:p>
        </w:tc>
        <w:tc>
          <w:tcPr>
            <w:tcW w:w="2532"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sz w:val="24"/>
                <w:szCs w:val="24"/>
              </w:rPr>
            </w:pPr>
            <w:r w:rsidRPr="00C600BB">
              <w:rPr>
                <w:rFonts w:ascii="Times New Roman" w:hAnsi="Times New Roman"/>
                <w:b/>
                <w:sz w:val="24"/>
                <w:szCs w:val="24"/>
              </w:rPr>
              <w:t>(6)</w:t>
            </w:r>
          </w:p>
        </w:tc>
      </w:tr>
      <w:tr w:rsidR="0083655D" w:rsidRPr="00C600BB" w:rsidTr="00C600BB">
        <w:tc>
          <w:tcPr>
            <w:tcW w:w="993" w:type="dxa"/>
            <w:tcBorders>
              <w:top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b/>
                <w:i/>
                <w:sz w:val="20"/>
                <w:szCs w:val="20"/>
              </w:rPr>
            </w:pPr>
            <w:r w:rsidRPr="00C600BB">
              <w:rPr>
                <w:rFonts w:ascii="Times New Roman" w:hAnsi="Times New Roman"/>
                <w:b/>
                <w:i/>
                <w:sz w:val="20"/>
                <w:szCs w:val="20"/>
              </w:rPr>
              <w:t>Part 1:</w:t>
            </w:r>
          </w:p>
        </w:tc>
        <w:tc>
          <w:tcPr>
            <w:tcW w:w="8502" w:type="dxa"/>
            <w:gridSpan w:val="6"/>
            <w:tcBorders>
              <w:top w:val="single" w:sz="18" w:space="0" w:color="7F7F7F"/>
              <w:bottom w:val="single" w:sz="18" w:space="0" w:color="7F7F7F"/>
            </w:tcBorders>
            <w:shd w:val="clear" w:color="auto" w:fill="auto"/>
          </w:tcPr>
          <w:p w:rsidR="00CB5068" w:rsidRPr="00C600BB" w:rsidRDefault="00CB5068" w:rsidP="00C600BB">
            <w:pPr>
              <w:spacing w:before="0" w:line="240" w:lineRule="auto"/>
              <w:ind w:left="0"/>
              <w:rPr>
                <w:rFonts w:ascii="Times New Roman" w:hAnsi="Times New Roman"/>
                <w:b/>
                <w:i/>
                <w:sz w:val="20"/>
                <w:szCs w:val="20"/>
              </w:rPr>
            </w:pPr>
            <w:r w:rsidRPr="00C600BB">
              <w:rPr>
                <w:rFonts w:ascii="Times New Roman" w:hAnsi="Times New Roman"/>
                <w:b/>
                <w:i/>
                <w:sz w:val="20"/>
                <w:szCs w:val="20"/>
              </w:rPr>
              <w:t>Real GDP and supply-side determinants</w:t>
            </w:r>
          </w:p>
        </w:tc>
      </w:tr>
      <w:tr w:rsidR="0083655D" w:rsidRPr="00C600BB" w:rsidTr="00C600BB">
        <w:trPr>
          <w:gridAfter w:val="1"/>
          <w:wAfter w:w="9" w:type="dxa"/>
        </w:trPr>
        <w:tc>
          <w:tcPr>
            <w:tcW w:w="993" w:type="dxa"/>
            <w:tcBorders>
              <w:top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1</w:t>
            </w:r>
          </w:p>
        </w:tc>
        <w:tc>
          <w:tcPr>
            <w:tcW w:w="1701" w:type="dxa"/>
            <w:tcBorders>
              <w:top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qgdp(r)</w:t>
            </w:r>
          </w:p>
        </w:tc>
        <w:tc>
          <w:tcPr>
            <w:tcW w:w="1404" w:type="dxa"/>
            <w:tcBorders>
              <w:top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Real GDP</w:t>
            </w:r>
          </w:p>
        </w:tc>
        <w:tc>
          <w:tcPr>
            <w:tcW w:w="1217" w:type="dxa"/>
            <w:tcBorders>
              <w:top w:val="single" w:sz="18" w:space="0" w:color="7F7F7F"/>
              <w:bottom w:val="single" w:sz="18"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IMF projections</w:t>
            </w:r>
          </w:p>
          <w:p w:rsidR="00CB5068" w:rsidRPr="00C600BB" w:rsidRDefault="00CB5068" w:rsidP="00C600BB">
            <w:pPr>
              <w:spacing w:before="0" w:line="240" w:lineRule="auto"/>
              <w:ind w:left="0"/>
              <w:jc w:val="center"/>
              <w:rPr>
                <w:rFonts w:ascii="Times New Roman" w:hAnsi="Times New Roman"/>
                <w:sz w:val="20"/>
                <w:szCs w:val="20"/>
                <w:vertAlign w:val="superscript"/>
              </w:rPr>
            </w:pPr>
          </w:p>
        </w:tc>
        <w:tc>
          <w:tcPr>
            <w:tcW w:w="1639" w:type="dxa"/>
            <w:tcBorders>
              <w:top w:val="single" w:sz="18" w:space="0" w:color="7F7F7F"/>
              <w:left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afereg(r)</w:t>
            </w:r>
          </w:p>
        </w:tc>
        <w:tc>
          <w:tcPr>
            <w:tcW w:w="2532" w:type="dxa"/>
            <w:tcBorders>
              <w:top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Primary factor tech change by region</w:t>
            </w:r>
          </w:p>
        </w:tc>
      </w:tr>
      <w:tr w:rsidR="0083655D" w:rsidRPr="00C600BB" w:rsidTr="00C600BB">
        <w:trPr>
          <w:gridAfter w:val="1"/>
          <w:wAfter w:w="9" w:type="dxa"/>
          <w:trHeight w:val="934"/>
        </w:trPr>
        <w:tc>
          <w:tcPr>
            <w:tcW w:w="993"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2</w:t>
            </w:r>
          </w:p>
        </w:tc>
        <w:tc>
          <w:tcPr>
            <w:tcW w:w="1701"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lsreg(r)</w:t>
            </w:r>
          </w:p>
        </w:tc>
        <w:tc>
          <w:tcPr>
            <w:tcW w:w="1404"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Employment, same as labour supply</w:t>
            </w:r>
          </w:p>
        </w:tc>
        <w:tc>
          <w:tcPr>
            <w:tcW w:w="1217" w:type="dxa"/>
            <w:tcBorders>
              <w:top w:val="single" w:sz="18"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SSP2 projections for working age pop</w:t>
            </w:r>
          </w:p>
        </w:tc>
        <w:tc>
          <w:tcPr>
            <w:tcW w:w="1639" w:type="dxa"/>
            <w:tcBorders>
              <w:top w:val="single" w:sz="18"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pop(r)</w:t>
            </w:r>
          </w:p>
        </w:tc>
        <w:tc>
          <w:tcPr>
            <w:tcW w:w="1404"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Population</w:t>
            </w:r>
          </w:p>
        </w:tc>
        <w:tc>
          <w:tcPr>
            <w:tcW w:w="1217" w:type="dxa"/>
            <w:tcBorders>
              <w:top w:val="single" w:sz="4" w:space="0" w:color="7F7F7F"/>
              <w:bottom w:val="single" w:sz="18"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SSP2 projections </w:t>
            </w:r>
          </w:p>
        </w:tc>
        <w:tc>
          <w:tcPr>
            <w:tcW w:w="1639" w:type="dxa"/>
            <w:tcBorders>
              <w:top w:val="single" w:sz="4" w:space="0" w:color="7F7F7F"/>
              <w:left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18"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3</w:t>
            </w:r>
          </w:p>
        </w:tc>
        <w:tc>
          <w:tcPr>
            <w:tcW w:w="1701" w:type="dxa"/>
            <w:tcBorders>
              <w:top w:val="single" w:sz="18"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qo(land,r)</w:t>
            </w:r>
          </w:p>
        </w:tc>
        <w:tc>
          <w:tcPr>
            <w:tcW w:w="1404" w:type="dxa"/>
            <w:tcBorders>
              <w:top w:val="single" w:sz="18"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Supply of land </w:t>
            </w:r>
          </w:p>
        </w:tc>
        <w:tc>
          <w:tcPr>
            <w:tcW w:w="1217" w:type="dxa"/>
            <w:tcBorders>
              <w:top w:val="single" w:sz="18" w:space="0" w:color="7F7F7F"/>
              <w:bottom w:val="single" w:sz="2"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18" w:space="0" w:color="7F7F7F"/>
              <w:left w:val="single" w:sz="18"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18"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2"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c>
          <w:tcPr>
            <w:tcW w:w="1701" w:type="dxa"/>
            <w:tcBorders>
              <w:top w:val="single" w:sz="2"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qo(natres,r)</w:t>
            </w:r>
          </w:p>
        </w:tc>
        <w:tc>
          <w:tcPr>
            <w:tcW w:w="1404" w:type="dxa"/>
            <w:tcBorders>
              <w:top w:val="single" w:sz="2"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Supply of natural resources</w:t>
            </w:r>
          </w:p>
        </w:tc>
        <w:tc>
          <w:tcPr>
            <w:tcW w:w="1217" w:type="dxa"/>
            <w:tcBorders>
              <w:top w:val="single" w:sz="2" w:space="0" w:color="7F7F7F"/>
              <w:bottom w:val="single" w:sz="18"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2" w:space="0" w:color="7F7F7F"/>
              <w:left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2"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4</w:t>
            </w:r>
          </w:p>
        </w:tc>
        <w:tc>
          <w:tcPr>
            <w:tcW w:w="1701"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twistKL(r)</w:t>
            </w:r>
          </w:p>
        </w:tc>
        <w:tc>
          <w:tcPr>
            <w:tcW w:w="1404"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K/L technology twist</w:t>
            </w:r>
          </w:p>
        </w:tc>
        <w:tc>
          <w:tcPr>
            <w:tcW w:w="1217" w:type="dxa"/>
            <w:tcBorders>
              <w:top w:val="single" w:sz="18"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Extrapolate from 2004-14</w:t>
            </w:r>
          </w:p>
        </w:tc>
        <w:tc>
          <w:tcPr>
            <w:tcW w:w="1639" w:type="dxa"/>
            <w:tcBorders>
              <w:top w:val="single" w:sz="18"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5</w:t>
            </w:r>
          </w:p>
        </w:tc>
        <w:tc>
          <w:tcPr>
            <w:tcW w:w="1701"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wgdpg</w:t>
            </w:r>
          </w:p>
        </w:tc>
        <w:tc>
          <w:tcPr>
            <w:tcW w:w="1404"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Nominal GDP for world</w:t>
            </w:r>
          </w:p>
        </w:tc>
        <w:tc>
          <w:tcPr>
            <w:tcW w:w="1217" w:type="dxa"/>
            <w:tcBorders>
              <w:top w:val="single" w:sz="18"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IMF projections</w:t>
            </w:r>
          </w:p>
        </w:tc>
        <w:tc>
          <w:tcPr>
            <w:tcW w:w="1639" w:type="dxa"/>
            <w:tcBorders>
              <w:top w:val="single" w:sz="18"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No swap</w:t>
            </w:r>
          </w:p>
        </w:tc>
        <w:tc>
          <w:tcPr>
            <w:tcW w:w="2532"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r>
      <w:tr w:rsidR="0083655D" w:rsidRPr="00C600BB" w:rsidTr="00C600BB">
        <w:tc>
          <w:tcPr>
            <w:tcW w:w="9495" w:type="dxa"/>
            <w:gridSpan w:val="7"/>
            <w:tcBorders>
              <w:top w:val="single" w:sz="18" w:space="0" w:color="7F7F7F"/>
              <w:left w:val="nil"/>
              <w:bottom w:val="single" w:sz="18" w:space="0" w:color="7F7F7F"/>
            </w:tcBorders>
            <w:shd w:val="clear" w:color="auto" w:fill="auto"/>
          </w:tcPr>
          <w:p w:rsidR="00CB5068" w:rsidRPr="00C600BB" w:rsidRDefault="00CB5068" w:rsidP="00C600BB">
            <w:pPr>
              <w:spacing w:before="60" w:after="60" w:line="240" w:lineRule="auto"/>
              <w:ind w:left="23"/>
              <w:rPr>
                <w:rFonts w:ascii="Times New Roman" w:hAnsi="Times New Roman"/>
                <w:sz w:val="20"/>
                <w:szCs w:val="20"/>
              </w:rPr>
            </w:pPr>
            <w:r w:rsidRPr="00C600BB">
              <w:rPr>
                <w:rFonts w:ascii="Times New Roman" w:hAnsi="Times New Roman"/>
                <w:b/>
                <w:i/>
                <w:sz w:val="20"/>
                <w:szCs w:val="20"/>
              </w:rPr>
              <w:t>Part 2:  Real private and public consumption</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6</w:t>
            </w:r>
          </w:p>
        </w:tc>
        <w:tc>
          <w:tcPr>
            <w:tcW w:w="1701"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f_apcnnp(r)</w:t>
            </w:r>
          </w:p>
        </w:tc>
        <w:tc>
          <w:tcPr>
            <w:tcW w:w="1404"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Activates adjustment of apcnnp’s towards world mean</w:t>
            </w:r>
          </w:p>
        </w:tc>
        <w:tc>
          <w:tcPr>
            <w:tcW w:w="1217" w:type="dxa"/>
            <w:tcBorders>
              <w:top w:val="single" w:sz="18"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18"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apcnnp(r)</w:t>
            </w:r>
          </w:p>
        </w:tc>
        <w:tc>
          <w:tcPr>
            <w:tcW w:w="2532"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Average Hhld  propensity to consume out of net national income</w:t>
            </w:r>
          </w:p>
        </w:tc>
      </w:tr>
      <w:tr w:rsidR="0083655D" w:rsidRPr="00C600BB" w:rsidTr="00C600BB">
        <w:trPr>
          <w:gridAfter w:val="1"/>
          <w:wAfter w:w="9" w:type="dxa"/>
        </w:trPr>
        <w:tc>
          <w:tcPr>
            <w:tcW w:w="993" w:type="dxa"/>
            <w:tcBorders>
              <w:top w:val="single" w:sz="4"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f_rcrgr(r)</w:t>
            </w:r>
          </w:p>
        </w:tc>
        <w:tc>
          <w:tcPr>
            <w:tcW w:w="1404" w:type="dxa"/>
            <w:tcBorders>
              <w:top w:val="single" w:sz="4"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Ratio, real priv. to gov. consumption</w:t>
            </w:r>
          </w:p>
        </w:tc>
        <w:tc>
          <w:tcPr>
            <w:tcW w:w="1217" w:type="dxa"/>
            <w:tcBorders>
              <w:top w:val="single" w:sz="4" w:space="0" w:color="7F7F7F"/>
              <w:bottom w:val="single" w:sz="2"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dpgov(r)</w:t>
            </w:r>
          </w:p>
        </w:tc>
        <w:tc>
          <w:tcPr>
            <w:tcW w:w="2532" w:type="dxa"/>
            <w:tcBorders>
              <w:top w:val="single" w:sz="4" w:space="0" w:color="7F7F7F"/>
              <w:bottom w:val="single" w:sz="2"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Average Govt  propensity to consume out of net national product</w:t>
            </w:r>
          </w:p>
        </w:tc>
      </w:tr>
      <w:tr w:rsidR="00CB5068" w:rsidRPr="00C600BB" w:rsidTr="00C600BB">
        <w:tc>
          <w:tcPr>
            <w:tcW w:w="9495" w:type="dxa"/>
            <w:gridSpan w:val="7"/>
            <w:tcBorders>
              <w:top w:val="single" w:sz="18" w:space="0" w:color="7F7F7F"/>
              <w:bottom w:val="single" w:sz="18" w:space="0" w:color="7F7F7F"/>
            </w:tcBorders>
            <w:shd w:val="clear" w:color="auto" w:fill="auto"/>
          </w:tcPr>
          <w:p w:rsidR="00CB5068" w:rsidRPr="00C600BB" w:rsidRDefault="00CB5068" w:rsidP="00C600BB">
            <w:pPr>
              <w:spacing w:before="60" w:after="60" w:line="240" w:lineRule="auto"/>
              <w:ind w:left="23"/>
              <w:rPr>
                <w:rFonts w:ascii="Times New Roman" w:hAnsi="Times New Roman"/>
                <w:sz w:val="20"/>
                <w:szCs w:val="20"/>
              </w:rPr>
            </w:pPr>
            <w:r w:rsidRPr="00C600BB">
              <w:rPr>
                <w:rFonts w:ascii="Times New Roman" w:hAnsi="Times New Roman"/>
                <w:b/>
                <w:i/>
                <w:sz w:val="20"/>
                <w:szCs w:val="20"/>
              </w:rPr>
              <w:t xml:space="preserve">Part 3:  Fossil fuels </w:t>
            </w:r>
          </w:p>
        </w:tc>
      </w:tr>
      <w:tr w:rsidR="0083655D" w:rsidRPr="00C600BB" w:rsidTr="00C600BB">
        <w:trPr>
          <w:gridAfter w:val="1"/>
          <w:wAfter w:w="9" w:type="dxa"/>
        </w:trPr>
        <w:tc>
          <w:tcPr>
            <w:tcW w:w="993"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7</w:t>
            </w:r>
          </w:p>
        </w:tc>
        <w:tc>
          <w:tcPr>
            <w:tcW w:w="1701" w:type="dxa"/>
            <w:tcBorders>
              <w:top w:val="single" w:sz="18" w:space="0" w:color="7F7F7F"/>
              <w:bottom w:val="single" w:sz="4" w:space="0" w:color="7F7F7F"/>
            </w:tcBorders>
            <w:shd w:val="clear" w:color="auto" w:fill="auto"/>
          </w:tcPr>
          <w:p w:rsidR="00CB5068" w:rsidRPr="00C600BB" w:rsidRDefault="005F0E17" w:rsidP="00C600BB">
            <w:pPr>
              <w:spacing w:before="0" w:line="240" w:lineRule="auto"/>
              <w:ind w:left="0"/>
              <w:jc w:val="center"/>
              <w:rPr>
                <w:rFonts w:ascii="Times New Roman" w:hAnsi="Times New Roman"/>
                <w:sz w:val="20"/>
                <w:szCs w:val="20"/>
              </w:rPr>
            </w:pPr>
            <w:r>
              <w:rPr>
                <w:rFonts w:ascii="Times New Roman" w:hAnsi="Times New Roman"/>
                <w:sz w:val="20"/>
                <w:szCs w:val="20"/>
              </w:rPr>
              <w:t>q</w:t>
            </w:r>
            <w:r w:rsidR="00CB5068" w:rsidRPr="00C600BB">
              <w:rPr>
                <w:rFonts w:ascii="Times New Roman" w:hAnsi="Times New Roman"/>
                <w:sz w:val="20"/>
                <w:szCs w:val="20"/>
              </w:rPr>
              <w:t>absorb2(Foss, Reg2)</w:t>
            </w:r>
          </w:p>
        </w:tc>
        <w:tc>
          <w:tcPr>
            <w:tcW w:w="1404"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Use of coal, oil and gas in 8 aggregated regions (Reg2)</w:t>
            </w:r>
          </w:p>
        </w:tc>
        <w:tc>
          <w:tcPr>
            <w:tcW w:w="1217" w:type="dxa"/>
            <w:tcBorders>
              <w:top w:val="single" w:sz="18"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 xml:space="preserve">IEA projections  </w:t>
            </w:r>
          </w:p>
        </w:tc>
        <w:tc>
          <w:tcPr>
            <w:tcW w:w="1639" w:type="dxa"/>
            <w:tcBorders>
              <w:top w:val="single" w:sz="18"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a_int2(Foss, Reg2)</w:t>
            </w:r>
          </w:p>
        </w:tc>
        <w:tc>
          <w:tcPr>
            <w:tcW w:w="2532" w:type="dxa"/>
            <w:tcBorders>
              <w:top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Demand shifts in favour or against coal, oil and gas in the eight Reg2 regions</w:t>
            </w:r>
          </w:p>
        </w:tc>
      </w:tr>
      <w:tr w:rsidR="0083655D" w:rsidRPr="00C600BB" w:rsidTr="00C600BB">
        <w:trPr>
          <w:gridAfter w:val="1"/>
          <w:wAfter w:w="9" w:type="dxa"/>
          <w:trHeight w:val="761"/>
        </w:trPr>
        <w:tc>
          <w:tcPr>
            <w:tcW w:w="993"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f_a_int(Foss,r)</w:t>
            </w:r>
          </w:p>
        </w:tc>
        <w:tc>
          <w:tcPr>
            <w:tcW w:w="1404"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Imparts demand shifts to industries in 13 regions</w:t>
            </w:r>
          </w:p>
        </w:tc>
        <w:tc>
          <w:tcPr>
            <w:tcW w:w="1217" w:type="dxa"/>
            <w:tcBorders>
              <w:top w:val="single" w:sz="4"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a_int(Foss,r)</w:t>
            </w:r>
          </w:p>
        </w:tc>
        <w:tc>
          <w:tcPr>
            <w:tcW w:w="2532"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Demand shifts in favour or against coal, oil and gas in inds in the 13 Reg regions</w:t>
            </w:r>
          </w:p>
        </w:tc>
      </w:tr>
      <w:tr w:rsidR="0083655D" w:rsidRPr="00C600BB" w:rsidTr="00C600BB">
        <w:trPr>
          <w:gridAfter w:val="1"/>
          <w:wAfter w:w="9" w:type="dxa"/>
          <w:trHeight w:val="761"/>
        </w:trPr>
        <w:tc>
          <w:tcPr>
            <w:tcW w:w="993"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f3_aint(Foss,r)</w:t>
            </w:r>
          </w:p>
        </w:tc>
        <w:tc>
          <w:tcPr>
            <w:tcW w:w="1404"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Imparts demand shifts to H’hlds in 13 regions</w:t>
            </w:r>
          </w:p>
        </w:tc>
        <w:tc>
          <w:tcPr>
            <w:tcW w:w="1217" w:type="dxa"/>
            <w:tcBorders>
              <w:top w:val="single" w:sz="4"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a3com(Foss,r)</w:t>
            </w:r>
          </w:p>
        </w:tc>
        <w:tc>
          <w:tcPr>
            <w:tcW w:w="2532"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Demand shifts in favour or against coal, oil and gas by H’hlds in the 13 Reg regions</w:t>
            </w:r>
          </w:p>
        </w:tc>
      </w:tr>
      <w:tr w:rsidR="0083655D" w:rsidRPr="00C600BB" w:rsidTr="00C600BB">
        <w:trPr>
          <w:gridAfter w:val="1"/>
          <w:wAfter w:w="9" w:type="dxa"/>
          <w:trHeight w:val="761"/>
        </w:trPr>
        <w:tc>
          <w:tcPr>
            <w:tcW w:w="993"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f5_aint(Foss,r)</w:t>
            </w:r>
          </w:p>
        </w:tc>
        <w:tc>
          <w:tcPr>
            <w:tcW w:w="1404"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Imparts demand shifts to Gov in 13 regions</w:t>
            </w:r>
          </w:p>
        </w:tc>
        <w:tc>
          <w:tcPr>
            <w:tcW w:w="1217" w:type="dxa"/>
            <w:tcBorders>
              <w:top w:val="single" w:sz="4" w:space="0" w:color="7F7F7F"/>
              <w:bottom w:val="single" w:sz="4"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f_qg(Foss,r)</w:t>
            </w:r>
          </w:p>
        </w:tc>
        <w:tc>
          <w:tcPr>
            <w:tcW w:w="2532" w:type="dxa"/>
            <w:tcBorders>
              <w:top w:val="single" w:sz="4" w:space="0" w:color="7F7F7F"/>
              <w:bottom w:val="single" w:sz="4"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Demand shifts in favour or against coal, oil and gas by Gov in the 13 Reg regions</w:t>
            </w:r>
          </w:p>
        </w:tc>
      </w:tr>
      <w:tr w:rsidR="0083655D" w:rsidRPr="00C600BB" w:rsidTr="00C600BB">
        <w:trPr>
          <w:gridAfter w:val="1"/>
          <w:wAfter w:w="9" w:type="dxa"/>
          <w:trHeight w:val="761"/>
        </w:trPr>
        <w:tc>
          <w:tcPr>
            <w:tcW w:w="993"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p>
        </w:tc>
        <w:tc>
          <w:tcPr>
            <w:tcW w:w="1701"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f_neut(j,r)</w:t>
            </w:r>
          </w:p>
        </w:tc>
        <w:tc>
          <w:tcPr>
            <w:tcW w:w="1404"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Neutralizes fossil fuel saving by inds</w:t>
            </w:r>
          </w:p>
        </w:tc>
        <w:tc>
          <w:tcPr>
            <w:tcW w:w="1217" w:type="dxa"/>
            <w:tcBorders>
              <w:top w:val="single" w:sz="4" w:space="0" w:color="7F7F7F"/>
              <w:bottom w:val="single" w:sz="18" w:space="0" w:color="7F7F7F"/>
              <w:right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Zero shock</w:t>
            </w:r>
          </w:p>
        </w:tc>
        <w:tc>
          <w:tcPr>
            <w:tcW w:w="1639" w:type="dxa"/>
            <w:tcBorders>
              <w:top w:val="single" w:sz="4" w:space="0" w:color="7F7F7F"/>
              <w:left w:val="single" w:sz="18"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a_neut(j,r)</w:t>
            </w:r>
          </w:p>
        </w:tc>
        <w:tc>
          <w:tcPr>
            <w:tcW w:w="2532" w:type="dxa"/>
            <w:tcBorders>
              <w:top w:val="single" w:sz="4" w:space="0" w:color="7F7F7F"/>
              <w:bottom w:val="single" w:sz="18" w:space="0" w:color="7F7F7F"/>
            </w:tcBorders>
            <w:shd w:val="clear" w:color="auto" w:fill="auto"/>
          </w:tcPr>
          <w:p w:rsidR="00CB5068" w:rsidRPr="00C600BB" w:rsidRDefault="00CB5068" w:rsidP="00C600BB">
            <w:pPr>
              <w:spacing w:before="0" w:line="240" w:lineRule="auto"/>
              <w:ind w:left="0"/>
              <w:jc w:val="center"/>
              <w:rPr>
                <w:rFonts w:ascii="Times New Roman" w:hAnsi="Times New Roman"/>
                <w:sz w:val="20"/>
                <w:szCs w:val="20"/>
              </w:rPr>
            </w:pPr>
            <w:r w:rsidRPr="00C600BB">
              <w:rPr>
                <w:rFonts w:ascii="Times New Roman" w:hAnsi="Times New Roman"/>
                <w:sz w:val="20"/>
                <w:szCs w:val="20"/>
              </w:rPr>
              <w:t>Technical change to offset fossil-fuel saving tech change</w:t>
            </w:r>
          </w:p>
        </w:tc>
      </w:tr>
    </w:tbl>
    <w:p w:rsidR="002F4F00" w:rsidRDefault="002F4F00" w:rsidP="002F4F00">
      <w:pPr>
        <w:ind w:left="0"/>
        <w:rPr>
          <w:rFonts w:ascii="Times New Roman" w:hAnsi="Times New Roman"/>
          <w:sz w:val="24"/>
          <w:szCs w:val="24"/>
        </w:rPr>
      </w:pPr>
      <w:r>
        <w:rPr>
          <w:rFonts w:ascii="Times New Roman" w:hAnsi="Times New Roman"/>
          <w:sz w:val="24"/>
          <w:szCs w:val="24"/>
        </w:rPr>
        <w:lastRenderedPageBreak/>
        <w:t xml:space="preserve">more of their income and low savers such as Mexico will tighten their belts.  </w:t>
      </w:r>
      <w:r w:rsidRPr="00512DA8">
        <w:rPr>
          <w:rFonts w:ascii="Times New Roman" w:hAnsi="Times New Roman"/>
          <w:sz w:val="24"/>
          <w:szCs w:val="24"/>
        </w:rPr>
        <w:t>We also assumed that average propensities to consume will rise in regions in which there is a tendency for wealth to grow relative to GDP, where wealth is the value of capital in the region less the region’s net foreign liabilities.  Without this wealth affect, our simulations gave unrealistic values for some regions for wealth and net foreign liabilities.</w:t>
      </w:r>
      <w:r>
        <w:rPr>
          <w:rFonts w:ascii="Times New Roman" w:hAnsi="Times New Roman"/>
          <w:sz w:val="24"/>
          <w:szCs w:val="24"/>
        </w:rPr>
        <w:t xml:space="preserve">  </w:t>
      </w:r>
    </w:p>
    <w:p w:rsidR="00987402" w:rsidRDefault="000D1CCF" w:rsidP="00A74E15">
      <w:pPr>
        <w:ind w:left="0"/>
        <w:rPr>
          <w:rFonts w:ascii="Times New Roman" w:hAnsi="Times New Roman"/>
          <w:sz w:val="24"/>
          <w:szCs w:val="24"/>
        </w:rPr>
      </w:pPr>
      <w:r>
        <w:rPr>
          <w:rFonts w:ascii="Times New Roman" w:hAnsi="Times New Roman"/>
          <w:sz w:val="24"/>
          <w:szCs w:val="24"/>
        </w:rPr>
        <w:t xml:space="preserve">We </w:t>
      </w:r>
      <w:r w:rsidR="00987402">
        <w:rPr>
          <w:rFonts w:ascii="Times New Roman" w:hAnsi="Times New Roman"/>
          <w:sz w:val="24"/>
          <w:szCs w:val="24"/>
        </w:rPr>
        <w:t>implement</w:t>
      </w:r>
      <w:r>
        <w:rPr>
          <w:rFonts w:ascii="Times New Roman" w:hAnsi="Times New Roman"/>
          <w:sz w:val="24"/>
          <w:szCs w:val="24"/>
        </w:rPr>
        <w:t>ed</w:t>
      </w:r>
      <w:r w:rsidR="00987402">
        <w:rPr>
          <w:rFonts w:ascii="Times New Roman" w:hAnsi="Times New Roman"/>
          <w:sz w:val="24"/>
          <w:szCs w:val="24"/>
        </w:rPr>
        <w:t xml:space="preserve"> </w:t>
      </w:r>
      <w:r w:rsidR="003B72E1">
        <w:rPr>
          <w:rFonts w:ascii="Times New Roman" w:hAnsi="Times New Roman"/>
          <w:sz w:val="24"/>
          <w:szCs w:val="24"/>
        </w:rPr>
        <w:t xml:space="preserve">our consumption </w:t>
      </w:r>
      <w:r w:rsidR="00987402">
        <w:rPr>
          <w:rFonts w:ascii="Times New Roman" w:hAnsi="Times New Roman"/>
          <w:sz w:val="24"/>
          <w:szCs w:val="24"/>
        </w:rPr>
        <w:t>assumption</w:t>
      </w:r>
      <w:r w:rsidR="003B72E1">
        <w:rPr>
          <w:rFonts w:ascii="Times New Roman" w:hAnsi="Times New Roman"/>
          <w:sz w:val="24"/>
          <w:szCs w:val="24"/>
        </w:rPr>
        <w:t>s</w:t>
      </w:r>
      <w:r w:rsidR="00987402">
        <w:rPr>
          <w:rFonts w:ascii="Times New Roman" w:hAnsi="Times New Roman"/>
          <w:sz w:val="24"/>
          <w:szCs w:val="24"/>
        </w:rPr>
        <w:t xml:space="preserve"> </w:t>
      </w:r>
      <w:r>
        <w:rPr>
          <w:rFonts w:ascii="Times New Roman" w:hAnsi="Times New Roman"/>
          <w:sz w:val="24"/>
          <w:szCs w:val="24"/>
        </w:rPr>
        <w:t xml:space="preserve">via </w:t>
      </w:r>
      <w:r w:rsidR="00987402">
        <w:rPr>
          <w:rFonts w:ascii="Times New Roman" w:hAnsi="Times New Roman"/>
          <w:sz w:val="24"/>
          <w:szCs w:val="24"/>
        </w:rPr>
        <w:t>the equation</w:t>
      </w:r>
      <w:r>
        <w:rPr>
          <w:rFonts w:ascii="Times New Roman" w:hAnsi="Times New Roman"/>
          <w:sz w:val="24"/>
          <w:szCs w:val="24"/>
        </w:rPr>
        <w:t>s</w:t>
      </w:r>
      <w:r w:rsidR="00987402">
        <w:rPr>
          <w:rFonts w:ascii="Times New Roman" w:hAnsi="Times New Roman"/>
          <w:sz w:val="24"/>
          <w:szCs w:val="24"/>
        </w:rPr>
        <w:t>:</w:t>
      </w:r>
    </w:p>
    <w:p w:rsidR="00987402" w:rsidRDefault="003B72E1" w:rsidP="003D371E">
      <w:pPr>
        <w:tabs>
          <w:tab w:val="left" w:pos="851"/>
          <w:tab w:val="right" w:pos="8789"/>
        </w:tabs>
        <w:ind w:left="0"/>
        <w:rPr>
          <w:rFonts w:ascii="Times New Roman" w:hAnsi="Times New Roman"/>
          <w:sz w:val="24"/>
          <w:szCs w:val="24"/>
        </w:rPr>
      </w:pPr>
      <w:r w:rsidRPr="003D371E">
        <w:rPr>
          <w:rFonts w:ascii="Times New Roman" w:hAnsi="Times New Roman"/>
          <w:position w:val="-52"/>
          <w:sz w:val="24"/>
          <w:szCs w:val="24"/>
        </w:rPr>
        <w:object w:dxaOrig="7000" w:dyaOrig="1160">
          <v:shape id="_x0000_i1045" type="#_x0000_t75" style="width:351.75pt;height:63.75pt" o:ole="">
            <v:imagedata r:id="rId54" o:title=""/>
          </v:shape>
          <o:OLEObject Type="Embed" ProgID="Equation.DSMT4" ShapeID="_x0000_i1045" DrawAspect="Content" ObjectID="_1774671666" r:id="rId55"/>
        </w:object>
      </w:r>
      <w:r w:rsidR="00987402">
        <w:rPr>
          <w:rFonts w:ascii="Times New Roman" w:hAnsi="Times New Roman"/>
          <w:sz w:val="24"/>
          <w:szCs w:val="24"/>
        </w:rPr>
        <w:t xml:space="preserve">   r</w:t>
      </w:r>
      <w:r w:rsidR="00987402">
        <w:rPr>
          <w:rFonts w:ascii="Times New Roman" w:hAnsi="Times New Roman"/>
          <w:sz w:val="24"/>
          <w:szCs w:val="24"/>
        </w:rPr>
        <w:sym w:font="Symbol" w:char="F0CE"/>
      </w:r>
      <w:r w:rsidR="00987402">
        <w:rPr>
          <w:rFonts w:ascii="Times New Roman" w:hAnsi="Times New Roman"/>
          <w:sz w:val="24"/>
          <w:szCs w:val="24"/>
        </w:rPr>
        <w:t>Reg</w:t>
      </w:r>
      <w:r w:rsidR="00987402">
        <w:rPr>
          <w:rFonts w:ascii="Times New Roman" w:hAnsi="Times New Roman"/>
          <w:sz w:val="24"/>
          <w:szCs w:val="24"/>
        </w:rPr>
        <w:tab/>
        <w:t>(</w:t>
      </w:r>
      <w:r w:rsidR="003D65D0">
        <w:rPr>
          <w:rFonts w:ascii="Times New Roman" w:hAnsi="Times New Roman"/>
          <w:sz w:val="24"/>
          <w:szCs w:val="24"/>
        </w:rPr>
        <w:t>5</w:t>
      </w:r>
      <w:r w:rsidR="00987402">
        <w:rPr>
          <w:rFonts w:ascii="Times New Roman" w:hAnsi="Times New Roman"/>
          <w:sz w:val="24"/>
          <w:szCs w:val="24"/>
        </w:rPr>
        <w:t>.1)</w:t>
      </w:r>
    </w:p>
    <w:p w:rsidR="000D1CCF" w:rsidRDefault="007201AD" w:rsidP="000D1CCF">
      <w:pPr>
        <w:tabs>
          <w:tab w:val="left" w:pos="851"/>
          <w:tab w:val="right" w:pos="8789"/>
        </w:tabs>
        <w:ind w:left="0"/>
        <w:rPr>
          <w:rFonts w:ascii="Times New Roman" w:hAnsi="Times New Roman"/>
          <w:sz w:val="24"/>
          <w:szCs w:val="24"/>
        </w:rPr>
      </w:pPr>
      <w:r>
        <w:rPr>
          <w:rFonts w:ascii="Times New Roman" w:hAnsi="Times New Roman"/>
          <w:sz w:val="24"/>
          <w:szCs w:val="24"/>
        </w:rPr>
        <w:t xml:space="preserve"> </w:t>
      </w:r>
      <w:r w:rsidR="000D1CCF">
        <w:rPr>
          <w:rFonts w:ascii="Times New Roman" w:hAnsi="Times New Roman"/>
          <w:sz w:val="24"/>
          <w:szCs w:val="24"/>
        </w:rPr>
        <w:tab/>
      </w:r>
      <w:r w:rsidR="000D1CCF" w:rsidRPr="000D1CCF">
        <w:rPr>
          <w:rFonts w:ascii="Times New Roman" w:hAnsi="Times New Roman"/>
          <w:position w:val="-10"/>
          <w:sz w:val="24"/>
          <w:szCs w:val="24"/>
        </w:rPr>
        <w:object w:dxaOrig="2480" w:dyaOrig="320">
          <v:shape id="_x0000_i1046" type="#_x0000_t75" style="width:123.75pt;height:17.25pt" o:ole="">
            <v:imagedata r:id="rId56" o:title=""/>
          </v:shape>
          <o:OLEObject Type="Embed" ProgID="Equation.DSMT4" ShapeID="_x0000_i1046" DrawAspect="Content" ObjectID="_1774671667" r:id="rId57"/>
        </w:object>
      </w:r>
      <w:r w:rsidR="000D1CCF">
        <w:rPr>
          <w:rFonts w:ascii="Times New Roman" w:hAnsi="Times New Roman"/>
          <w:sz w:val="24"/>
          <w:szCs w:val="24"/>
        </w:rPr>
        <w:t xml:space="preserve">   </w:t>
      </w:r>
      <w:r w:rsidR="003B72E1">
        <w:rPr>
          <w:rFonts w:ascii="Times New Roman" w:hAnsi="Times New Roman"/>
          <w:sz w:val="24"/>
          <w:szCs w:val="24"/>
        </w:rPr>
        <w:t xml:space="preserve"> </w:t>
      </w:r>
      <w:r w:rsidR="000D1CCF">
        <w:rPr>
          <w:rFonts w:ascii="Times New Roman" w:hAnsi="Times New Roman"/>
          <w:sz w:val="24"/>
          <w:szCs w:val="24"/>
        </w:rPr>
        <w:t>r</w:t>
      </w:r>
      <w:r w:rsidR="000D1CCF">
        <w:rPr>
          <w:rFonts w:ascii="Times New Roman" w:hAnsi="Times New Roman"/>
          <w:sz w:val="24"/>
          <w:szCs w:val="24"/>
        </w:rPr>
        <w:sym w:font="Symbol" w:char="F0CE"/>
      </w:r>
      <w:r w:rsidR="000D1CCF">
        <w:rPr>
          <w:rFonts w:ascii="Times New Roman" w:hAnsi="Times New Roman"/>
          <w:sz w:val="24"/>
          <w:szCs w:val="24"/>
        </w:rPr>
        <w:t>Reg</w:t>
      </w:r>
      <w:r w:rsidR="000D1CCF">
        <w:rPr>
          <w:rFonts w:ascii="Times New Roman" w:hAnsi="Times New Roman"/>
          <w:sz w:val="24"/>
          <w:szCs w:val="24"/>
        </w:rPr>
        <w:tab/>
        <w:t>(</w:t>
      </w:r>
      <w:r w:rsidR="003D65D0">
        <w:rPr>
          <w:rFonts w:ascii="Times New Roman" w:hAnsi="Times New Roman"/>
          <w:sz w:val="24"/>
          <w:szCs w:val="24"/>
        </w:rPr>
        <w:t>5</w:t>
      </w:r>
      <w:r w:rsidR="000D1CCF">
        <w:rPr>
          <w:rFonts w:ascii="Times New Roman" w:hAnsi="Times New Roman"/>
          <w:sz w:val="24"/>
          <w:szCs w:val="24"/>
        </w:rPr>
        <w:t>.2)</w:t>
      </w:r>
    </w:p>
    <w:p w:rsidR="00A74E15" w:rsidRDefault="000D1CCF" w:rsidP="00A74E15">
      <w:pPr>
        <w:ind w:left="0"/>
        <w:rPr>
          <w:rFonts w:ascii="Times New Roman" w:hAnsi="Times New Roman"/>
          <w:sz w:val="24"/>
          <w:szCs w:val="24"/>
        </w:rPr>
      </w:pPr>
      <w:r>
        <w:rPr>
          <w:rFonts w:ascii="Times New Roman" w:hAnsi="Times New Roman"/>
          <w:sz w:val="24"/>
          <w:szCs w:val="24"/>
        </w:rPr>
        <w:t>In these equations:</w:t>
      </w:r>
    </w:p>
    <w:p w:rsidR="000D1CCF" w:rsidRDefault="000D1CCF" w:rsidP="000D1CCF">
      <w:pPr>
        <w:spacing w:before="0"/>
        <w:ind w:left="284"/>
        <w:rPr>
          <w:rFonts w:ascii="Times New Roman" w:hAnsi="Times New Roman"/>
          <w:sz w:val="24"/>
          <w:szCs w:val="24"/>
        </w:rPr>
      </w:pPr>
      <w:r>
        <w:rPr>
          <w:rFonts w:ascii="Times New Roman" w:hAnsi="Times New Roman"/>
          <w:sz w:val="24"/>
          <w:szCs w:val="24"/>
        </w:rPr>
        <w:t>apcnnp(r) is the percentage change between 2019 and 2030 in the private average propensity to consume (the ratio of private consumption to net national income);</w:t>
      </w:r>
    </w:p>
    <w:p w:rsidR="000D1CCF" w:rsidRDefault="000D1CCF" w:rsidP="000D1CCF">
      <w:pPr>
        <w:spacing w:before="0"/>
        <w:ind w:left="284"/>
        <w:rPr>
          <w:rFonts w:ascii="Times New Roman" w:hAnsi="Times New Roman"/>
          <w:sz w:val="24"/>
          <w:szCs w:val="24"/>
        </w:rPr>
      </w:pPr>
      <w:r>
        <w:rPr>
          <w:rFonts w:ascii="Times New Roman" w:hAnsi="Times New Roman"/>
          <w:sz w:val="24"/>
          <w:szCs w:val="24"/>
        </w:rPr>
        <w:t>APCW is the world average propensity to consume in 2019 (0.8</w:t>
      </w:r>
      <w:r w:rsidR="00E4413A">
        <w:rPr>
          <w:rFonts w:ascii="Times New Roman" w:hAnsi="Times New Roman"/>
          <w:sz w:val="24"/>
          <w:szCs w:val="24"/>
        </w:rPr>
        <w:t>57</w:t>
      </w:r>
      <w:r>
        <w:rPr>
          <w:rFonts w:ascii="Times New Roman" w:hAnsi="Times New Roman"/>
          <w:sz w:val="24"/>
          <w:szCs w:val="24"/>
        </w:rPr>
        <w:t xml:space="preserve">, see Table </w:t>
      </w:r>
      <w:r w:rsidR="003572EB">
        <w:rPr>
          <w:rFonts w:ascii="Times New Roman" w:hAnsi="Times New Roman"/>
          <w:sz w:val="24"/>
          <w:szCs w:val="24"/>
        </w:rPr>
        <w:t>5</w:t>
      </w:r>
      <w:r>
        <w:rPr>
          <w:rFonts w:ascii="Times New Roman" w:hAnsi="Times New Roman"/>
          <w:sz w:val="24"/>
          <w:szCs w:val="24"/>
        </w:rPr>
        <w:t xml:space="preserve">.2); </w:t>
      </w:r>
    </w:p>
    <w:p w:rsidR="000D1CCF" w:rsidRDefault="000D1CCF" w:rsidP="000D1CCF">
      <w:pPr>
        <w:spacing w:before="0"/>
        <w:ind w:left="284"/>
        <w:rPr>
          <w:rFonts w:ascii="Times New Roman" w:hAnsi="Times New Roman"/>
          <w:sz w:val="24"/>
          <w:szCs w:val="24"/>
        </w:rPr>
      </w:pPr>
      <w:r>
        <w:rPr>
          <w:rFonts w:ascii="Times New Roman" w:hAnsi="Times New Roman"/>
          <w:sz w:val="24"/>
          <w:szCs w:val="24"/>
        </w:rPr>
        <w:t>APC(r) is the average propensity to consume in region r in 2019 (</w:t>
      </w:r>
      <w:r w:rsidR="00E4413A">
        <w:rPr>
          <w:rFonts w:ascii="Times New Roman" w:hAnsi="Times New Roman"/>
          <w:sz w:val="24"/>
          <w:szCs w:val="24"/>
        </w:rPr>
        <w:t xml:space="preserve">see </w:t>
      </w:r>
      <w:r>
        <w:rPr>
          <w:rFonts w:ascii="Times New Roman" w:hAnsi="Times New Roman"/>
          <w:sz w:val="24"/>
          <w:szCs w:val="24"/>
        </w:rPr>
        <w:t xml:space="preserve">Table </w:t>
      </w:r>
      <w:r w:rsidR="003572EB">
        <w:rPr>
          <w:rFonts w:ascii="Times New Roman" w:hAnsi="Times New Roman"/>
          <w:sz w:val="24"/>
          <w:szCs w:val="24"/>
        </w:rPr>
        <w:t>5</w:t>
      </w:r>
      <w:r>
        <w:rPr>
          <w:rFonts w:ascii="Times New Roman" w:hAnsi="Times New Roman"/>
          <w:sz w:val="24"/>
          <w:szCs w:val="24"/>
        </w:rPr>
        <w:t>.2);</w:t>
      </w:r>
    </w:p>
    <w:p w:rsidR="003B72E1" w:rsidRDefault="003B72E1" w:rsidP="000D1CCF">
      <w:pPr>
        <w:spacing w:before="0"/>
        <w:ind w:left="284"/>
        <w:rPr>
          <w:rFonts w:ascii="Times New Roman" w:hAnsi="Times New Roman"/>
          <w:sz w:val="24"/>
          <w:szCs w:val="24"/>
        </w:rPr>
      </w:pPr>
      <w:r>
        <w:rPr>
          <w:rFonts w:ascii="Times New Roman" w:hAnsi="Times New Roman"/>
          <w:sz w:val="24"/>
          <w:szCs w:val="24"/>
        </w:rPr>
        <w:t>wqh(r) is the simulated percentage increase in nominal wealth in region r between 2019 and 2030;</w:t>
      </w:r>
    </w:p>
    <w:p w:rsidR="003B72E1" w:rsidRDefault="003B72E1" w:rsidP="003B72E1">
      <w:pPr>
        <w:spacing w:before="0"/>
        <w:ind w:left="284"/>
        <w:rPr>
          <w:rFonts w:ascii="Times New Roman" w:hAnsi="Times New Roman"/>
          <w:sz w:val="24"/>
          <w:szCs w:val="24"/>
        </w:rPr>
      </w:pPr>
      <w:r>
        <w:rPr>
          <w:rFonts w:ascii="Times New Roman" w:hAnsi="Times New Roman"/>
          <w:sz w:val="24"/>
          <w:szCs w:val="24"/>
        </w:rPr>
        <w:t>wgdp(r) is the simulated percentage increase in nominal GDP in region r between 2019 and 2030;</w:t>
      </w:r>
    </w:p>
    <w:p w:rsidR="003B72E1" w:rsidRDefault="003B72E1" w:rsidP="003B72E1">
      <w:pPr>
        <w:spacing w:before="0"/>
        <w:ind w:left="284"/>
        <w:rPr>
          <w:rFonts w:ascii="Times New Roman" w:hAnsi="Times New Roman"/>
          <w:sz w:val="24"/>
          <w:szCs w:val="24"/>
        </w:rPr>
      </w:pPr>
      <w:r>
        <w:rPr>
          <w:rFonts w:ascii="Times New Roman" w:hAnsi="Times New Roman"/>
          <w:sz w:val="24"/>
          <w:szCs w:val="24"/>
        </w:rPr>
        <w:t>ADJ1 and ADJ2 are adjustment parameter</w:t>
      </w:r>
      <w:r w:rsidR="00051CCC">
        <w:rPr>
          <w:rFonts w:ascii="Times New Roman" w:hAnsi="Times New Roman"/>
          <w:sz w:val="24"/>
          <w:szCs w:val="24"/>
        </w:rPr>
        <w:t>s</w:t>
      </w:r>
      <w:r>
        <w:rPr>
          <w:rFonts w:ascii="Times New Roman" w:hAnsi="Times New Roman"/>
          <w:sz w:val="24"/>
          <w:szCs w:val="24"/>
        </w:rPr>
        <w:t xml:space="preserve"> set at 0.2 and 0.5; </w:t>
      </w:r>
    </w:p>
    <w:p w:rsidR="000D1CCF" w:rsidRDefault="000D1CCF" w:rsidP="000D1CCF">
      <w:pPr>
        <w:spacing w:before="0"/>
        <w:ind w:left="284"/>
        <w:rPr>
          <w:rFonts w:ascii="Times New Roman" w:hAnsi="Times New Roman"/>
          <w:sz w:val="24"/>
          <w:szCs w:val="24"/>
        </w:rPr>
      </w:pPr>
      <w:r>
        <w:rPr>
          <w:rFonts w:ascii="Times New Roman" w:hAnsi="Times New Roman"/>
          <w:sz w:val="24"/>
          <w:szCs w:val="24"/>
        </w:rPr>
        <w:t>f_apcnnp(r) is a shift variable;</w:t>
      </w:r>
    </w:p>
    <w:p w:rsidR="000D1CCF" w:rsidRDefault="000D1CCF" w:rsidP="000D1CCF">
      <w:pPr>
        <w:spacing w:before="0"/>
        <w:ind w:left="284"/>
        <w:rPr>
          <w:rFonts w:ascii="Times New Roman" w:hAnsi="Times New Roman"/>
          <w:sz w:val="24"/>
          <w:szCs w:val="24"/>
        </w:rPr>
      </w:pPr>
      <w:r>
        <w:rPr>
          <w:rFonts w:ascii="Times New Roman" w:hAnsi="Times New Roman"/>
          <w:sz w:val="24"/>
          <w:szCs w:val="24"/>
        </w:rPr>
        <w:t>cr(r) and gr(r) are the percentage changes between 2019 and 2030 in real private and real government consumption</w:t>
      </w:r>
      <w:r w:rsidR="00BA4300">
        <w:rPr>
          <w:rFonts w:ascii="Times New Roman" w:hAnsi="Times New Roman"/>
          <w:sz w:val="24"/>
          <w:szCs w:val="24"/>
        </w:rPr>
        <w:t xml:space="preserve">; and </w:t>
      </w:r>
    </w:p>
    <w:p w:rsidR="00BA4300" w:rsidRDefault="00BA4300" w:rsidP="000D1CCF">
      <w:pPr>
        <w:spacing w:before="0"/>
        <w:ind w:left="284"/>
        <w:rPr>
          <w:rFonts w:ascii="Times New Roman" w:hAnsi="Times New Roman"/>
          <w:sz w:val="24"/>
          <w:szCs w:val="24"/>
        </w:rPr>
      </w:pPr>
      <w:r>
        <w:rPr>
          <w:rFonts w:ascii="Times New Roman" w:hAnsi="Times New Roman"/>
          <w:sz w:val="24"/>
          <w:szCs w:val="24"/>
        </w:rPr>
        <w:t>f_rcrgr(r) is the</w:t>
      </w:r>
      <w:r w:rsidR="003C1A03">
        <w:rPr>
          <w:rFonts w:ascii="Times New Roman" w:hAnsi="Times New Roman"/>
          <w:sz w:val="24"/>
          <w:szCs w:val="24"/>
        </w:rPr>
        <w:t xml:space="preserve"> percentage change in the</w:t>
      </w:r>
      <w:r>
        <w:rPr>
          <w:rFonts w:ascii="Times New Roman" w:hAnsi="Times New Roman"/>
          <w:sz w:val="24"/>
          <w:szCs w:val="24"/>
        </w:rPr>
        <w:t xml:space="preserve"> ratio of real private consumption to real public consumption.  </w:t>
      </w:r>
    </w:p>
    <w:p w:rsidR="00CB5068" w:rsidRDefault="005F3A84" w:rsidP="005F3A84">
      <w:pPr>
        <w:ind w:left="0"/>
        <w:rPr>
          <w:rFonts w:ascii="Times New Roman" w:hAnsi="Times New Roman"/>
          <w:sz w:val="24"/>
          <w:szCs w:val="24"/>
        </w:rPr>
      </w:pPr>
      <w:r>
        <w:rPr>
          <w:rFonts w:ascii="Times New Roman" w:hAnsi="Times New Roman"/>
          <w:sz w:val="24"/>
          <w:szCs w:val="24"/>
        </w:rPr>
        <w:t xml:space="preserve">In the standard long-run closure, apcnnp(r) is exogenous and f_apcnnp(r) is endogenous.  With this setup, equation (5.1) has no effect on simulation results.  As can be seen in panel 6 of Table 5.1, in the 2019-30 simulation we exogenized f_apcnnp(r) with a zero shock and </w:t>
      </w:r>
      <w:r w:rsidR="00CB5068">
        <w:rPr>
          <w:rFonts w:ascii="Times New Roman" w:hAnsi="Times New Roman"/>
          <w:sz w:val="24"/>
          <w:szCs w:val="24"/>
        </w:rPr>
        <w:t>endogenized apcnnp(r).  Thus, we assumed that the percentage movement in apcnnp(r) will be determined as 0.2 times the 2019 percentage gap between the world APC and r’s APC</w:t>
      </w:r>
      <w:r w:rsidR="003B72E1">
        <w:rPr>
          <w:rFonts w:ascii="Times New Roman" w:hAnsi="Times New Roman"/>
          <w:sz w:val="24"/>
          <w:szCs w:val="24"/>
        </w:rPr>
        <w:t xml:space="preserve"> </w:t>
      </w:r>
      <w:r w:rsidR="003B72E1">
        <w:rPr>
          <w:rFonts w:ascii="Times New Roman" w:hAnsi="Times New Roman"/>
          <w:i/>
          <w:sz w:val="24"/>
          <w:szCs w:val="24"/>
        </w:rPr>
        <w:t>plus</w:t>
      </w:r>
      <w:r w:rsidR="003B72E1">
        <w:rPr>
          <w:rFonts w:ascii="Times New Roman" w:hAnsi="Times New Roman"/>
          <w:sz w:val="24"/>
          <w:szCs w:val="24"/>
        </w:rPr>
        <w:t xml:space="preserve"> 0.5 times the </w:t>
      </w:r>
      <w:r w:rsidR="002A0D03">
        <w:rPr>
          <w:rFonts w:ascii="Times New Roman" w:hAnsi="Times New Roman"/>
          <w:sz w:val="24"/>
          <w:szCs w:val="24"/>
        </w:rPr>
        <w:t xml:space="preserve">simulated </w:t>
      </w:r>
      <w:r w:rsidR="003B72E1">
        <w:rPr>
          <w:rFonts w:ascii="Times New Roman" w:hAnsi="Times New Roman"/>
          <w:sz w:val="24"/>
          <w:szCs w:val="24"/>
        </w:rPr>
        <w:t xml:space="preserve">percentage growth between 2019 and 2030 in </w:t>
      </w:r>
      <w:r w:rsidR="002A0D03">
        <w:rPr>
          <w:rFonts w:ascii="Times New Roman" w:hAnsi="Times New Roman"/>
          <w:sz w:val="24"/>
          <w:szCs w:val="24"/>
        </w:rPr>
        <w:t xml:space="preserve">r’s </w:t>
      </w:r>
      <w:r w:rsidR="003B72E1">
        <w:rPr>
          <w:rFonts w:ascii="Times New Roman" w:hAnsi="Times New Roman"/>
          <w:sz w:val="24"/>
          <w:szCs w:val="24"/>
        </w:rPr>
        <w:t>wealth to GDP ratio.</w:t>
      </w:r>
      <w:r w:rsidR="00CB5068">
        <w:rPr>
          <w:rFonts w:ascii="Times New Roman" w:hAnsi="Times New Roman"/>
          <w:sz w:val="24"/>
          <w:szCs w:val="24"/>
        </w:rPr>
        <w:t xml:space="preserve">  </w:t>
      </w:r>
    </w:p>
    <w:p w:rsidR="002F4F00" w:rsidRDefault="002F4F00" w:rsidP="002F4F00">
      <w:pPr>
        <w:ind w:left="0"/>
        <w:rPr>
          <w:rFonts w:ascii="Times New Roman" w:hAnsi="Times New Roman"/>
          <w:sz w:val="24"/>
          <w:szCs w:val="24"/>
        </w:rPr>
      </w:pPr>
      <w:r>
        <w:rPr>
          <w:rFonts w:ascii="Times New Roman" w:hAnsi="Times New Roman"/>
          <w:sz w:val="24"/>
          <w:szCs w:val="24"/>
        </w:rPr>
        <w:t xml:space="preserve">A natural assumption at this stage was to give the average propensity to consume for government the same percentage change as for households.  However, this led to unsatisfactory results in some regions for the movement in the ratio of real private consumption to real government consumption.  Consequently, we decided to assume directly that real private and public consumption move together.  As shown in panel 6 we did this by exogenizing f_rcrgr(r), with zero shock, and endogenizing government average propensities to consume, dpgov(r).  </w:t>
      </w:r>
    </w:p>
    <w:p w:rsidR="002F4F00" w:rsidRDefault="002F4F00" w:rsidP="002F4F00">
      <w:pPr>
        <w:ind w:left="0"/>
        <w:rPr>
          <w:rFonts w:ascii="Times New Roman" w:hAnsi="Times New Roman"/>
          <w:sz w:val="24"/>
          <w:szCs w:val="24"/>
        </w:rPr>
      </w:pPr>
    </w:p>
    <w:p w:rsidR="002F4F00" w:rsidRDefault="002F4F00">
      <w:pPr>
        <w:spacing w:before="0" w:line="240" w:lineRule="auto"/>
        <w:ind w:left="0"/>
        <w:rPr>
          <w:rFonts w:ascii="Times New Roman" w:hAnsi="Times New Roman"/>
          <w:b/>
          <w:i/>
          <w:sz w:val="24"/>
          <w:szCs w:val="24"/>
        </w:rPr>
      </w:pPr>
      <w:r>
        <w:rPr>
          <w:rFonts w:ascii="Times New Roman" w:hAnsi="Times New Roman"/>
          <w:b/>
          <w:i/>
          <w:sz w:val="24"/>
          <w:szCs w:val="24"/>
        </w:rPr>
        <w:br w:type="page"/>
      </w:r>
    </w:p>
    <w:p w:rsidR="002F4F00" w:rsidRPr="00FF1563" w:rsidRDefault="002F4F00" w:rsidP="002F4F00">
      <w:pPr>
        <w:ind w:left="0"/>
        <w:jc w:val="center"/>
        <w:rPr>
          <w:rFonts w:ascii="Times New Roman" w:hAnsi="Times New Roman"/>
          <w:b/>
          <w:i/>
          <w:sz w:val="24"/>
          <w:szCs w:val="24"/>
        </w:rPr>
      </w:pPr>
      <w:r>
        <w:rPr>
          <w:rFonts w:ascii="Times New Roman" w:hAnsi="Times New Roman"/>
          <w:b/>
          <w:i/>
          <w:sz w:val="24"/>
          <w:szCs w:val="24"/>
        </w:rPr>
        <w:lastRenderedPageBreak/>
        <w:t xml:space="preserve">Table 5.2.  Consumption propensities   </w:t>
      </w:r>
    </w:p>
    <w:tbl>
      <w:tblPr>
        <w:tblW w:w="0" w:type="auto"/>
        <w:tblInd w:w="2127" w:type="dxa"/>
        <w:tblLook w:val="04A0" w:firstRow="1" w:lastRow="0" w:firstColumn="1" w:lastColumn="0" w:noHBand="0" w:noVBand="1"/>
      </w:tblPr>
      <w:tblGrid>
        <w:gridCol w:w="1980"/>
        <w:gridCol w:w="2131"/>
      </w:tblGrid>
      <w:tr w:rsidR="002F4F00" w:rsidRPr="00C600BB" w:rsidTr="0072488F">
        <w:trPr>
          <w:trHeight w:val="742"/>
        </w:trPr>
        <w:tc>
          <w:tcPr>
            <w:tcW w:w="1980" w:type="dxa"/>
            <w:tcBorders>
              <w:top w:val="single" w:sz="18" w:space="0" w:color="7F7F7F"/>
              <w:right w:val="single" w:sz="18" w:space="0" w:color="7F7F7F"/>
            </w:tcBorders>
            <w:shd w:val="clear" w:color="auto" w:fill="auto"/>
            <w:vAlign w:val="bottom"/>
          </w:tcPr>
          <w:p w:rsidR="002F4F00" w:rsidRPr="00556594" w:rsidRDefault="002F4F00" w:rsidP="0072488F">
            <w:pPr>
              <w:spacing w:before="0" w:line="240" w:lineRule="auto"/>
              <w:ind w:left="36"/>
              <w:rPr>
                <w:rFonts w:ascii="Times New Roman" w:hAnsi="Times New Roman"/>
                <w:color w:val="000000"/>
                <w:sz w:val="20"/>
                <w:szCs w:val="20"/>
              </w:rPr>
            </w:pPr>
          </w:p>
        </w:tc>
        <w:tc>
          <w:tcPr>
            <w:tcW w:w="2131" w:type="dxa"/>
            <w:tcBorders>
              <w:top w:val="single" w:sz="18" w:space="0" w:color="7F7F7F"/>
              <w:left w:val="single" w:sz="18" w:space="0" w:color="7F7F7F"/>
            </w:tcBorders>
            <w:shd w:val="clear" w:color="auto" w:fill="auto"/>
          </w:tcPr>
          <w:p w:rsidR="002F4F00" w:rsidRPr="00556594" w:rsidRDefault="002F4F00" w:rsidP="0072488F">
            <w:pPr>
              <w:spacing w:before="0" w:line="240" w:lineRule="auto"/>
              <w:ind w:left="36"/>
              <w:jc w:val="center"/>
              <w:rPr>
                <w:rFonts w:ascii="Times New Roman" w:hAnsi="Times New Roman"/>
                <w:color w:val="000000"/>
                <w:sz w:val="20"/>
                <w:szCs w:val="20"/>
              </w:rPr>
            </w:pPr>
            <w:r w:rsidRPr="00556594">
              <w:rPr>
                <w:rFonts w:ascii="Times New Roman" w:hAnsi="Times New Roman"/>
                <w:color w:val="000000"/>
                <w:sz w:val="20"/>
                <w:szCs w:val="20"/>
              </w:rPr>
              <w:t>Ratio, Private plus public consumption to NNP in 2019</w:t>
            </w:r>
          </w:p>
        </w:tc>
      </w:tr>
      <w:tr w:rsidR="002F4F00" w:rsidRPr="00C600BB" w:rsidTr="0072488F">
        <w:tc>
          <w:tcPr>
            <w:tcW w:w="1980" w:type="dxa"/>
            <w:tcBorders>
              <w:bottom w:val="single" w:sz="18" w:space="0" w:color="7F7F7F"/>
              <w:right w:val="single" w:sz="18" w:space="0" w:color="7F7F7F"/>
            </w:tcBorders>
            <w:shd w:val="clear" w:color="auto" w:fill="auto"/>
            <w:vAlign w:val="bottom"/>
          </w:tcPr>
          <w:p w:rsidR="002F4F00" w:rsidRPr="00556594" w:rsidRDefault="002F4F00" w:rsidP="0072488F">
            <w:pPr>
              <w:spacing w:before="0" w:line="240" w:lineRule="auto"/>
              <w:ind w:left="36"/>
              <w:rPr>
                <w:rFonts w:ascii="Times New Roman" w:hAnsi="Times New Roman"/>
                <w:color w:val="000000"/>
                <w:sz w:val="20"/>
                <w:szCs w:val="20"/>
              </w:rPr>
            </w:pPr>
          </w:p>
        </w:tc>
        <w:tc>
          <w:tcPr>
            <w:tcW w:w="2131" w:type="dxa"/>
            <w:tcBorders>
              <w:left w:val="single" w:sz="18" w:space="0" w:color="7F7F7F"/>
              <w:bottom w:val="single" w:sz="18" w:space="0" w:color="7F7F7F"/>
            </w:tcBorders>
            <w:shd w:val="clear" w:color="auto" w:fill="auto"/>
          </w:tcPr>
          <w:p w:rsidR="002F4F00" w:rsidRPr="00556594" w:rsidRDefault="002F4F00" w:rsidP="0072488F">
            <w:pPr>
              <w:spacing w:before="0" w:line="240" w:lineRule="auto"/>
              <w:ind w:left="36"/>
              <w:jc w:val="center"/>
              <w:rPr>
                <w:rFonts w:ascii="Times New Roman" w:hAnsi="Times New Roman"/>
                <w:color w:val="000000"/>
                <w:sz w:val="20"/>
                <w:szCs w:val="20"/>
              </w:rPr>
            </w:pPr>
            <w:r w:rsidRPr="00556594">
              <w:rPr>
                <w:rFonts w:ascii="Times New Roman" w:hAnsi="Times New Roman"/>
                <w:color w:val="000000"/>
                <w:sz w:val="20"/>
                <w:szCs w:val="20"/>
              </w:rPr>
              <w:t>RAT_CYB</w:t>
            </w:r>
          </w:p>
        </w:tc>
      </w:tr>
      <w:tr w:rsidR="002F4F00" w:rsidRPr="00C600BB" w:rsidTr="0072488F">
        <w:tc>
          <w:tcPr>
            <w:tcW w:w="1980" w:type="dxa"/>
            <w:tcBorders>
              <w:top w:val="single" w:sz="18" w:space="0" w:color="7F7F7F"/>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USA</w:t>
            </w:r>
          </w:p>
        </w:tc>
        <w:tc>
          <w:tcPr>
            <w:tcW w:w="2131" w:type="dxa"/>
            <w:tcBorders>
              <w:top w:val="single" w:sz="18" w:space="0" w:color="7F7F7F"/>
              <w:left w:val="single" w:sz="18" w:space="0" w:color="7F7F7F"/>
            </w:tcBorders>
            <w:shd w:val="clear" w:color="auto" w:fill="auto"/>
            <w:vAlign w:val="center"/>
          </w:tcPr>
          <w:p w:rsidR="002F4F00" w:rsidRPr="00D7248C" w:rsidRDefault="002F4F00" w:rsidP="0072488F">
            <w:pPr>
              <w:spacing w:before="0"/>
              <w:ind w:left="0"/>
              <w:jc w:val="right"/>
              <w:rPr>
                <w:rFonts w:ascii="Times New Roman" w:hAnsi="Times New Roman"/>
                <w:color w:val="000000"/>
                <w:sz w:val="20"/>
                <w:szCs w:val="20"/>
                <w:lang w:eastAsia="en-AU"/>
              </w:rPr>
            </w:pPr>
            <w:r w:rsidRPr="00D7248C">
              <w:rPr>
                <w:rFonts w:ascii="Times New Roman" w:hAnsi="Times New Roman"/>
                <w:color w:val="000000"/>
                <w:sz w:val="20"/>
                <w:szCs w:val="20"/>
              </w:rPr>
              <w:t>0.962</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Canada</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0.876</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Mexico</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1.003</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China</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0.645</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Japan</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0.840</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SKorea</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0.789</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India</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0.872</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France</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0.915</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Germany</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0.830</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UK</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0.988</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RoEU</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0.899</w:t>
            </w:r>
          </w:p>
        </w:tc>
      </w:tr>
      <w:tr w:rsidR="002F4F00" w:rsidRPr="00C600BB" w:rsidTr="0072488F">
        <w:tc>
          <w:tcPr>
            <w:tcW w:w="1980" w:type="dxa"/>
            <w:tcBorders>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SaudiArabia</w:t>
            </w:r>
          </w:p>
        </w:tc>
        <w:tc>
          <w:tcPr>
            <w:tcW w:w="2131" w:type="dxa"/>
            <w:tcBorders>
              <w:left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0.712</w:t>
            </w:r>
          </w:p>
        </w:tc>
      </w:tr>
      <w:tr w:rsidR="002F4F00" w:rsidRPr="00C600BB" w:rsidTr="0072488F">
        <w:tc>
          <w:tcPr>
            <w:tcW w:w="1980" w:type="dxa"/>
            <w:tcBorders>
              <w:bottom w:val="single" w:sz="18" w:space="0" w:color="7F7F7F"/>
              <w:right w:val="single" w:sz="18" w:space="0" w:color="7F7F7F"/>
            </w:tcBorders>
            <w:shd w:val="clear" w:color="auto" w:fill="auto"/>
            <w:vAlign w:val="bottom"/>
          </w:tcPr>
          <w:p w:rsidR="002F4F00" w:rsidRPr="00556594" w:rsidRDefault="002F4F00" w:rsidP="0072488F">
            <w:pPr>
              <w:spacing w:before="0" w:line="240" w:lineRule="auto"/>
              <w:ind w:left="29"/>
              <w:rPr>
                <w:rFonts w:ascii="Times New Roman" w:hAnsi="Times New Roman"/>
                <w:color w:val="000000"/>
                <w:sz w:val="20"/>
                <w:szCs w:val="20"/>
              </w:rPr>
            </w:pPr>
            <w:r w:rsidRPr="00556594">
              <w:rPr>
                <w:rFonts w:ascii="Times New Roman" w:hAnsi="Times New Roman"/>
                <w:color w:val="000000"/>
                <w:sz w:val="20"/>
                <w:szCs w:val="20"/>
              </w:rPr>
              <w:t>RoW</w:t>
            </w:r>
          </w:p>
        </w:tc>
        <w:tc>
          <w:tcPr>
            <w:tcW w:w="2131" w:type="dxa"/>
            <w:tcBorders>
              <w:left w:val="single" w:sz="18" w:space="0" w:color="7F7F7F"/>
              <w:bottom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0.855</w:t>
            </w:r>
          </w:p>
        </w:tc>
      </w:tr>
      <w:tr w:rsidR="002F4F00" w:rsidRPr="00C600BB" w:rsidTr="0072488F">
        <w:tc>
          <w:tcPr>
            <w:tcW w:w="1980" w:type="dxa"/>
            <w:tcBorders>
              <w:top w:val="single" w:sz="18" w:space="0" w:color="7F7F7F"/>
              <w:bottom w:val="single" w:sz="18" w:space="0" w:color="7F7F7F"/>
              <w:right w:val="single" w:sz="18" w:space="0" w:color="7F7F7F"/>
            </w:tcBorders>
            <w:shd w:val="clear" w:color="auto" w:fill="auto"/>
            <w:vAlign w:val="bottom"/>
          </w:tcPr>
          <w:p w:rsidR="002F4F00" w:rsidRPr="00556594" w:rsidRDefault="002F4F00" w:rsidP="0072488F">
            <w:pPr>
              <w:spacing w:before="0" w:line="240" w:lineRule="auto"/>
              <w:ind w:left="36"/>
              <w:rPr>
                <w:rFonts w:ascii="Times New Roman" w:hAnsi="Times New Roman"/>
                <w:color w:val="000000"/>
                <w:sz w:val="20"/>
                <w:szCs w:val="20"/>
              </w:rPr>
            </w:pPr>
            <w:r w:rsidRPr="00556594">
              <w:rPr>
                <w:rFonts w:ascii="Times New Roman" w:hAnsi="Times New Roman"/>
                <w:color w:val="000000"/>
                <w:sz w:val="20"/>
                <w:szCs w:val="20"/>
              </w:rPr>
              <w:t>World average</w:t>
            </w:r>
          </w:p>
        </w:tc>
        <w:tc>
          <w:tcPr>
            <w:tcW w:w="2131" w:type="dxa"/>
            <w:tcBorders>
              <w:top w:val="single" w:sz="18" w:space="0" w:color="7F7F7F"/>
              <w:left w:val="single" w:sz="18" w:space="0" w:color="7F7F7F"/>
              <w:bottom w:val="single" w:sz="18" w:space="0" w:color="7F7F7F"/>
            </w:tcBorders>
            <w:shd w:val="clear" w:color="auto" w:fill="auto"/>
            <w:vAlign w:val="center"/>
          </w:tcPr>
          <w:p w:rsidR="002F4F00" w:rsidRPr="00D7248C" w:rsidRDefault="002F4F00" w:rsidP="0072488F">
            <w:pPr>
              <w:spacing w:before="0"/>
              <w:jc w:val="right"/>
              <w:rPr>
                <w:rFonts w:ascii="Times New Roman" w:hAnsi="Times New Roman"/>
                <w:color w:val="000000"/>
                <w:sz w:val="20"/>
                <w:szCs w:val="20"/>
              </w:rPr>
            </w:pPr>
            <w:r w:rsidRPr="00D7248C">
              <w:rPr>
                <w:rFonts w:ascii="Times New Roman" w:hAnsi="Times New Roman"/>
                <w:color w:val="000000"/>
                <w:sz w:val="20"/>
                <w:szCs w:val="20"/>
              </w:rPr>
              <w:t>0.857</w:t>
            </w:r>
          </w:p>
        </w:tc>
      </w:tr>
    </w:tbl>
    <w:p w:rsidR="002F4F00" w:rsidRDefault="002F4F00" w:rsidP="002F4F00">
      <w:pPr>
        <w:spacing w:before="0"/>
        <w:ind w:left="0"/>
        <w:rPr>
          <w:rFonts w:ascii="Times New Roman" w:hAnsi="Times New Roman"/>
          <w:sz w:val="24"/>
          <w:szCs w:val="24"/>
        </w:rPr>
      </w:pPr>
    </w:p>
    <w:p w:rsidR="00713F61" w:rsidRPr="000953C7" w:rsidRDefault="00713F61" w:rsidP="00713F61">
      <w:pPr>
        <w:ind w:left="0"/>
        <w:rPr>
          <w:rFonts w:ascii="Times New Roman" w:hAnsi="Times New Roman"/>
          <w:i/>
          <w:sz w:val="24"/>
          <w:szCs w:val="24"/>
        </w:rPr>
      </w:pPr>
      <w:r w:rsidRPr="000953C7">
        <w:rPr>
          <w:rFonts w:ascii="Times New Roman" w:hAnsi="Times New Roman"/>
          <w:i/>
          <w:sz w:val="24"/>
          <w:szCs w:val="24"/>
        </w:rPr>
        <w:t>Part 3</w:t>
      </w:r>
      <w:r w:rsidR="000953C7" w:rsidRPr="000953C7">
        <w:rPr>
          <w:rFonts w:ascii="Times New Roman" w:hAnsi="Times New Roman"/>
          <w:i/>
          <w:sz w:val="24"/>
          <w:szCs w:val="24"/>
        </w:rPr>
        <w:t xml:space="preserve"> of Table 5.1</w:t>
      </w:r>
      <w:r w:rsidRPr="000953C7">
        <w:rPr>
          <w:rFonts w:ascii="Times New Roman" w:hAnsi="Times New Roman"/>
          <w:i/>
          <w:sz w:val="24"/>
          <w:szCs w:val="24"/>
        </w:rPr>
        <w:t>:  Fossil fuels</w:t>
      </w:r>
    </w:p>
    <w:p w:rsidR="00B54D87" w:rsidRDefault="00713F61" w:rsidP="00AB606D">
      <w:pPr>
        <w:ind w:left="0"/>
        <w:rPr>
          <w:rFonts w:ascii="Times New Roman" w:hAnsi="Times New Roman"/>
          <w:sz w:val="24"/>
          <w:szCs w:val="24"/>
        </w:rPr>
      </w:pPr>
      <w:r>
        <w:rPr>
          <w:rFonts w:ascii="Times New Roman" w:hAnsi="Times New Roman"/>
          <w:i/>
          <w:sz w:val="24"/>
          <w:szCs w:val="24"/>
        </w:rPr>
        <w:t xml:space="preserve">Panel </w:t>
      </w:r>
      <w:r w:rsidR="00FE77C8">
        <w:rPr>
          <w:rFonts w:ascii="Times New Roman" w:hAnsi="Times New Roman"/>
          <w:i/>
          <w:sz w:val="24"/>
          <w:szCs w:val="24"/>
        </w:rPr>
        <w:t>7</w:t>
      </w:r>
      <w:r>
        <w:rPr>
          <w:rFonts w:ascii="Times New Roman" w:hAnsi="Times New Roman"/>
          <w:i/>
          <w:sz w:val="24"/>
          <w:szCs w:val="24"/>
        </w:rPr>
        <w:t xml:space="preserve">: fossil-fuel use by region.  </w:t>
      </w:r>
      <w:r w:rsidR="00FF2B26">
        <w:rPr>
          <w:rFonts w:ascii="Times New Roman" w:hAnsi="Times New Roman"/>
          <w:sz w:val="24"/>
          <w:szCs w:val="24"/>
        </w:rPr>
        <w:t xml:space="preserve">IEA </w:t>
      </w:r>
      <w:r w:rsidR="00652246">
        <w:rPr>
          <w:rFonts w:ascii="Times New Roman" w:hAnsi="Times New Roman"/>
          <w:sz w:val="24"/>
          <w:szCs w:val="24"/>
        </w:rPr>
        <w:t xml:space="preserve">publishes forecasts of energy demands by region.  We use their </w:t>
      </w:r>
      <w:r w:rsidR="00FF2B26">
        <w:rPr>
          <w:rFonts w:ascii="Times New Roman" w:hAnsi="Times New Roman"/>
          <w:sz w:val="24"/>
          <w:szCs w:val="24"/>
        </w:rPr>
        <w:t>Stated Policies Scenarios (STEPS)</w:t>
      </w:r>
      <w:r w:rsidR="00652246">
        <w:rPr>
          <w:rFonts w:ascii="Times New Roman" w:hAnsi="Times New Roman"/>
          <w:sz w:val="24"/>
          <w:szCs w:val="24"/>
        </w:rPr>
        <w:t xml:space="preserve"> for percentage changes in coal, oil and gas absorption by region for 2019 to 2030.  The relevant regions in the </w:t>
      </w:r>
      <w:r w:rsidR="00FF2B26">
        <w:rPr>
          <w:rFonts w:ascii="Times New Roman" w:hAnsi="Times New Roman"/>
          <w:sz w:val="24"/>
          <w:szCs w:val="24"/>
        </w:rPr>
        <w:t>IEA</w:t>
      </w:r>
      <w:r w:rsidR="00B54D87">
        <w:rPr>
          <w:rFonts w:ascii="Times New Roman" w:hAnsi="Times New Roman"/>
          <w:sz w:val="24"/>
          <w:szCs w:val="24"/>
        </w:rPr>
        <w:t xml:space="preserve"> </w:t>
      </w:r>
      <w:r w:rsidR="00652246">
        <w:rPr>
          <w:rFonts w:ascii="Times New Roman" w:hAnsi="Times New Roman"/>
          <w:sz w:val="24"/>
          <w:szCs w:val="24"/>
        </w:rPr>
        <w:t xml:space="preserve">forecasts available to us are USA, China, Japan, India, Rest of North America (Canada plus Mexico), EU, Middle East and Rest of World.  </w:t>
      </w:r>
    </w:p>
    <w:p w:rsidR="00713F61" w:rsidRDefault="00652246" w:rsidP="00AB606D">
      <w:pPr>
        <w:ind w:left="0"/>
        <w:rPr>
          <w:rFonts w:ascii="Times New Roman" w:hAnsi="Times New Roman"/>
          <w:sz w:val="24"/>
          <w:szCs w:val="24"/>
        </w:rPr>
      </w:pPr>
      <w:r>
        <w:rPr>
          <w:rFonts w:ascii="Times New Roman" w:hAnsi="Times New Roman"/>
          <w:sz w:val="24"/>
          <w:szCs w:val="24"/>
        </w:rPr>
        <w:t>To absorb th</w:t>
      </w:r>
      <w:r w:rsidR="001930DF">
        <w:rPr>
          <w:rFonts w:ascii="Times New Roman" w:hAnsi="Times New Roman"/>
          <w:sz w:val="24"/>
          <w:szCs w:val="24"/>
        </w:rPr>
        <w:t>e</w:t>
      </w:r>
      <w:r>
        <w:rPr>
          <w:rFonts w:ascii="Times New Roman" w:hAnsi="Times New Roman"/>
          <w:sz w:val="24"/>
          <w:szCs w:val="24"/>
        </w:rPr>
        <w:t xml:space="preserve"> </w:t>
      </w:r>
      <w:r w:rsidR="00FF2B26">
        <w:rPr>
          <w:rFonts w:ascii="Times New Roman" w:hAnsi="Times New Roman"/>
          <w:sz w:val="24"/>
          <w:szCs w:val="24"/>
        </w:rPr>
        <w:t>STEPS</w:t>
      </w:r>
      <w:r>
        <w:rPr>
          <w:rFonts w:ascii="Times New Roman" w:hAnsi="Times New Roman"/>
          <w:sz w:val="24"/>
          <w:szCs w:val="24"/>
        </w:rPr>
        <w:t xml:space="preserve"> forecasts we first added equations to our model that define </w:t>
      </w:r>
      <w:r w:rsidR="00B54D87">
        <w:rPr>
          <w:rFonts w:ascii="Times New Roman" w:hAnsi="Times New Roman"/>
          <w:sz w:val="24"/>
          <w:szCs w:val="24"/>
        </w:rPr>
        <w:t xml:space="preserve">percentage changes in </w:t>
      </w:r>
      <w:r>
        <w:rPr>
          <w:rFonts w:ascii="Times New Roman" w:hAnsi="Times New Roman"/>
          <w:sz w:val="24"/>
          <w:szCs w:val="24"/>
        </w:rPr>
        <w:t>coal, oil and gas use in these 8 regions.  For USA, China, Japan, India and Rest of World, there was no problem</w:t>
      </w:r>
      <w:r w:rsidR="00B54D87">
        <w:rPr>
          <w:rFonts w:ascii="Times New Roman" w:hAnsi="Times New Roman"/>
          <w:sz w:val="24"/>
          <w:szCs w:val="24"/>
        </w:rPr>
        <w:t xml:space="preserve">.  Our model already identified percentage changes in demands in these </w:t>
      </w:r>
      <w:r>
        <w:rPr>
          <w:rFonts w:ascii="Times New Roman" w:hAnsi="Times New Roman"/>
          <w:sz w:val="24"/>
          <w:szCs w:val="24"/>
        </w:rPr>
        <w:t>region</w:t>
      </w:r>
      <w:r w:rsidR="00B54D87">
        <w:rPr>
          <w:rFonts w:ascii="Times New Roman" w:hAnsi="Times New Roman"/>
          <w:sz w:val="24"/>
          <w:szCs w:val="24"/>
        </w:rPr>
        <w:t>s</w:t>
      </w:r>
      <w:r>
        <w:rPr>
          <w:rFonts w:ascii="Times New Roman" w:hAnsi="Times New Roman"/>
          <w:sz w:val="24"/>
          <w:szCs w:val="24"/>
        </w:rPr>
        <w:t xml:space="preserve">.  For </w:t>
      </w:r>
      <w:r w:rsidR="00FF2B26">
        <w:rPr>
          <w:rFonts w:ascii="Times New Roman" w:hAnsi="Times New Roman"/>
          <w:sz w:val="24"/>
          <w:szCs w:val="24"/>
        </w:rPr>
        <w:t xml:space="preserve">IEA </w:t>
      </w:r>
      <w:r>
        <w:rPr>
          <w:rFonts w:ascii="Times New Roman" w:hAnsi="Times New Roman"/>
          <w:sz w:val="24"/>
          <w:szCs w:val="24"/>
        </w:rPr>
        <w:t xml:space="preserve">region Rest of North America, we defined </w:t>
      </w:r>
      <w:r w:rsidR="00B54D87">
        <w:rPr>
          <w:rFonts w:ascii="Times New Roman" w:hAnsi="Times New Roman"/>
          <w:sz w:val="24"/>
          <w:szCs w:val="24"/>
        </w:rPr>
        <w:t xml:space="preserve">the percentage changes in use </w:t>
      </w:r>
      <w:r>
        <w:rPr>
          <w:rFonts w:ascii="Times New Roman" w:hAnsi="Times New Roman"/>
          <w:sz w:val="24"/>
          <w:szCs w:val="24"/>
        </w:rPr>
        <w:t xml:space="preserve">as the </w:t>
      </w:r>
      <w:r w:rsidR="00B54D87">
        <w:rPr>
          <w:rFonts w:ascii="Times New Roman" w:hAnsi="Times New Roman"/>
          <w:sz w:val="24"/>
          <w:szCs w:val="24"/>
        </w:rPr>
        <w:t xml:space="preserve">percentage changes in the </w:t>
      </w:r>
      <w:r>
        <w:rPr>
          <w:rFonts w:ascii="Times New Roman" w:hAnsi="Times New Roman"/>
          <w:sz w:val="24"/>
          <w:szCs w:val="24"/>
        </w:rPr>
        <w:t>sum</w:t>
      </w:r>
      <w:r w:rsidR="00B54D87">
        <w:rPr>
          <w:rFonts w:ascii="Times New Roman" w:hAnsi="Times New Roman"/>
          <w:sz w:val="24"/>
          <w:szCs w:val="24"/>
        </w:rPr>
        <w:t>s</w:t>
      </w:r>
      <w:r>
        <w:rPr>
          <w:rFonts w:ascii="Times New Roman" w:hAnsi="Times New Roman"/>
          <w:sz w:val="24"/>
          <w:szCs w:val="24"/>
        </w:rPr>
        <w:t xml:space="preserve"> of demands in Mexico and Canada.  For </w:t>
      </w:r>
      <w:r w:rsidR="00FF2B26">
        <w:rPr>
          <w:rFonts w:ascii="Times New Roman" w:hAnsi="Times New Roman"/>
          <w:sz w:val="24"/>
          <w:szCs w:val="24"/>
        </w:rPr>
        <w:t xml:space="preserve">IEA </w:t>
      </w:r>
      <w:r>
        <w:rPr>
          <w:rFonts w:ascii="Times New Roman" w:hAnsi="Times New Roman"/>
          <w:sz w:val="24"/>
          <w:szCs w:val="24"/>
        </w:rPr>
        <w:t>region EU</w:t>
      </w:r>
      <w:r w:rsidR="005F3A84">
        <w:rPr>
          <w:rFonts w:ascii="Times New Roman" w:hAnsi="Times New Roman"/>
          <w:sz w:val="24"/>
          <w:szCs w:val="24"/>
        </w:rPr>
        <w:t>,</w:t>
      </w:r>
      <w:r>
        <w:rPr>
          <w:rFonts w:ascii="Times New Roman" w:hAnsi="Times New Roman"/>
          <w:sz w:val="24"/>
          <w:szCs w:val="24"/>
        </w:rPr>
        <w:t xml:space="preserve"> we defined </w:t>
      </w:r>
      <w:r w:rsidR="00B54D87">
        <w:rPr>
          <w:rFonts w:ascii="Times New Roman" w:hAnsi="Times New Roman"/>
          <w:sz w:val="24"/>
          <w:szCs w:val="24"/>
        </w:rPr>
        <w:t>the percentage changes in use as the sums of the percentage changes in d</w:t>
      </w:r>
      <w:r>
        <w:rPr>
          <w:rFonts w:ascii="Times New Roman" w:hAnsi="Times New Roman"/>
          <w:sz w:val="24"/>
          <w:szCs w:val="24"/>
        </w:rPr>
        <w:t xml:space="preserve">emands in France, Germany, </w:t>
      </w:r>
      <w:r w:rsidR="00B54D87">
        <w:rPr>
          <w:rFonts w:ascii="Times New Roman" w:hAnsi="Times New Roman"/>
          <w:sz w:val="24"/>
          <w:szCs w:val="24"/>
        </w:rPr>
        <w:t xml:space="preserve">UK and RoEU.  For </w:t>
      </w:r>
      <w:r w:rsidR="00FF2B26">
        <w:rPr>
          <w:rFonts w:ascii="Times New Roman" w:hAnsi="Times New Roman"/>
          <w:sz w:val="24"/>
          <w:szCs w:val="24"/>
        </w:rPr>
        <w:t>IEA</w:t>
      </w:r>
      <w:r w:rsidR="00B54D87">
        <w:rPr>
          <w:rFonts w:ascii="Times New Roman" w:hAnsi="Times New Roman"/>
          <w:sz w:val="24"/>
          <w:szCs w:val="24"/>
        </w:rPr>
        <w:t xml:space="preserve"> region Middle East</w:t>
      </w:r>
      <w:r w:rsidR="005F3A84">
        <w:rPr>
          <w:rFonts w:ascii="Times New Roman" w:hAnsi="Times New Roman"/>
          <w:sz w:val="24"/>
          <w:szCs w:val="24"/>
        </w:rPr>
        <w:t>,</w:t>
      </w:r>
      <w:r w:rsidR="00B54D87">
        <w:rPr>
          <w:rFonts w:ascii="Times New Roman" w:hAnsi="Times New Roman"/>
          <w:sz w:val="24"/>
          <w:szCs w:val="24"/>
        </w:rPr>
        <w:t xml:space="preserve"> we defined the percentage changes in use as the percentage changes in demands in Saudi Arabia.  </w:t>
      </w:r>
    </w:p>
    <w:p w:rsidR="00BD1EA1" w:rsidRDefault="00BD1EA1" w:rsidP="00AB606D">
      <w:pPr>
        <w:ind w:left="0"/>
        <w:rPr>
          <w:rFonts w:ascii="Times New Roman" w:hAnsi="Times New Roman"/>
          <w:sz w:val="24"/>
          <w:szCs w:val="24"/>
        </w:rPr>
      </w:pPr>
      <w:r>
        <w:rPr>
          <w:rFonts w:ascii="Times New Roman" w:hAnsi="Times New Roman"/>
          <w:sz w:val="24"/>
          <w:szCs w:val="24"/>
        </w:rPr>
        <w:t xml:space="preserve">Next, we shocked the use of coal, oil and gas in the 8 </w:t>
      </w:r>
      <w:r w:rsidR="00FF2B26">
        <w:rPr>
          <w:rFonts w:ascii="Times New Roman" w:hAnsi="Times New Roman"/>
          <w:sz w:val="24"/>
          <w:szCs w:val="24"/>
        </w:rPr>
        <w:t>IEA</w:t>
      </w:r>
      <w:r>
        <w:rPr>
          <w:rFonts w:ascii="Times New Roman" w:hAnsi="Times New Roman"/>
          <w:sz w:val="24"/>
          <w:szCs w:val="24"/>
        </w:rPr>
        <w:t xml:space="preserve"> regions with the percentage changes implied by the </w:t>
      </w:r>
      <w:r w:rsidR="00FF2B26">
        <w:rPr>
          <w:rFonts w:ascii="Times New Roman" w:hAnsi="Times New Roman"/>
          <w:sz w:val="24"/>
          <w:szCs w:val="24"/>
        </w:rPr>
        <w:t xml:space="preserve">STEPS </w:t>
      </w:r>
      <w:r>
        <w:rPr>
          <w:rFonts w:ascii="Times New Roman" w:hAnsi="Times New Roman"/>
          <w:sz w:val="24"/>
          <w:szCs w:val="24"/>
        </w:rPr>
        <w:t xml:space="preserve">forecasts.  To absorb these shocks, we endogenized </w:t>
      </w:r>
      <w:r w:rsidR="001930DF">
        <w:rPr>
          <w:rFonts w:ascii="Times New Roman" w:hAnsi="Times New Roman"/>
          <w:sz w:val="24"/>
          <w:szCs w:val="24"/>
        </w:rPr>
        <w:t xml:space="preserve">relevant </w:t>
      </w:r>
      <w:r>
        <w:rPr>
          <w:rFonts w:ascii="Times New Roman" w:hAnsi="Times New Roman"/>
          <w:sz w:val="24"/>
          <w:szCs w:val="24"/>
        </w:rPr>
        <w:t xml:space="preserve">technology and preference variables applying to all agents in each of the 8 regions.  </w:t>
      </w:r>
    </w:p>
    <w:p w:rsidR="00BD1EA1" w:rsidRDefault="00BD1EA1" w:rsidP="00AB606D">
      <w:pPr>
        <w:ind w:left="0"/>
        <w:rPr>
          <w:rFonts w:ascii="Times New Roman" w:hAnsi="Times New Roman"/>
          <w:sz w:val="24"/>
          <w:szCs w:val="24"/>
        </w:rPr>
      </w:pPr>
      <w:r>
        <w:rPr>
          <w:rFonts w:ascii="Times New Roman" w:hAnsi="Times New Roman"/>
          <w:sz w:val="24"/>
          <w:szCs w:val="24"/>
        </w:rPr>
        <w:t xml:space="preserve">As shown in panel </w:t>
      </w:r>
      <w:r w:rsidR="00FE77C8">
        <w:rPr>
          <w:rFonts w:ascii="Times New Roman" w:hAnsi="Times New Roman"/>
          <w:sz w:val="24"/>
          <w:szCs w:val="24"/>
        </w:rPr>
        <w:t>7</w:t>
      </w:r>
      <w:r>
        <w:rPr>
          <w:rFonts w:ascii="Times New Roman" w:hAnsi="Times New Roman"/>
          <w:sz w:val="24"/>
          <w:szCs w:val="24"/>
        </w:rPr>
        <w:t>, we exogenized and shocked absorb2(Foss,Reg2) and endogenized a_int2(Foss,Reg2) where</w:t>
      </w:r>
    </w:p>
    <w:p w:rsidR="00BD1EA1" w:rsidRDefault="00BD1EA1" w:rsidP="00BD1EA1">
      <w:pPr>
        <w:spacing w:before="0"/>
        <w:ind w:left="284"/>
        <w:rPr>
          <w:rFonts w:ascii="Times New Roman" w:hAnsi="Times New Roman"/>
          <w:sz w:val="24"/>
          <w:szCs w:val="24"/>
        </w:rPr>
      </w:pPr>
      <w:r>
        <w:rPr>
          <w:rFonts w:ascii="Times New Roman" w:hAnsi="Times New Roman"/>
          <w:sz w:val="24"/>
          <w:szCs w:val="24"/>
        </w:rPr>
        <w:t>absorb2(Foss,Reg2) refers to the percentage change</w:t>
      </w:r>
      <w:r w:rsidR="003C1A03">
        <w:rPr>
          <w:rFonts w:ascii="Times New Roman" w:hAnsi="Times New Roman"/>
          <w:sz w:val="24"/>
          <w:szCs w:val="24"/>
        </w:rPr>
        <w:t>s</w:t>
      </w:r>
      <w:r>
        <w:rPr>
          <w:rFonts w:ascii="Times New Roman" w:hAnsi="Times New Roman"/>
          <w:sz w:val="24"/>
          <w:szCs w:val="24"/>
        </w:rPr>
        <w:t xml:space="preserve"> in the use of coal, oil and gas (the commodities in the set Foss) in the regions in Reg2 (the 8 </w:t>
      </w:r>
      <w:r w:rsidR="00FF2B26">
        <w:rPr>
          <w:rFonts w:ascii="Times New Roman" w:hAnsi="Times New Roman"/>
          <w:sz w:val="24"/>
          <w:szCs w:val="24"/>
        </w:rPr>
        <w:t xml:space="preserve">IEA </w:t>
      </w:r>
      <w:r>
        <w:rPr>
          <w:rFonts w:ascii="Times New Roman" w:hAnsi="Times New Roman"/>
          <w:sz w:val="24"/>
          <w:szCs w:val="24"/>
        </w:rPr>
        <w:t>regions); and</w:t>
      </w:r>
    </w:p>
    <w:p w:rsidR="00BD1EA1" w:rsidRDefault="00BD1EA1" w:rsidP="00BD1EA1">
      <w:pPr>
        <w:spacing w:before="0"/>
        <w:ind w:left="284"/>
        <w:rPr>
          <w:rFonts w:ascii="Times New Roman" w:hAnsi="Times New Roman"/>
          <w:sz w:val="24"/>
          <w:szCs w:val="24"/>
        </w:rPr>
      </w:pPr>
      <w:r>
        <w:rPr>
          <w:rFonts w:ascii="Times New Roman" w:hAnsi="Times New Roman"/>
          <w:sz w:val="24"/>
          <w:szCs w:val="24"/>
        </w:rPr>
        <w:t xml:space="preserve">a_int2(Foss,Reg2) refers to the percentage </w:t>
      </w:r>
      <w:r w:rsidR="00D55F80">
        <w:rPr>
          <w:rFonts w:ascii="Times New Roman" w:hAnsi="Times New Roman"/>
          <w:sz w:val="24"/>
          <w:szCs w:val="24"/>
        </w:rPr>
        <w:t>reduction</w:t>
      </w:r>
      <w:r>
        <w:rPr>
          <w:rFonts w:ascii="Times New Roman" w:hAnsi="Times New Roman"/>
          <w:sz w:val="24"/>
          <w:szCs w:val="24"/>
        </w:rPr>
        <w:t xml:space="preserve"> in the use of coal, oil and gas per unit of activity by each agent in rr for rr in Reg2. </w:t>
      </w:r>
    </w:p>
    <w:p w:rsidR="00BD1EA1" w:rsidRDefault="00BD1EA1" w:rsidP="00BD1EA1">
      <w:pPr>
        <w:spacing w:before="0"/>
        <w:ind w:left="0"/>
        <w:rPr>
          <w:rFonts w:ascii="Times New Roman" w:hAnsi="Times New Roman"/>
          <w:sz w:val="24"/>
          <w:szCs w:val="24"/>
        </w:rPr>
      </w:pPr>
      <w:r>
        <w:rPr>
          <w:rFonts w:ascii="Times New Roman" w:hAnsi="Times New Roman"/>
          <w:sz w:val="24"/>
          <w:szCs w:val="24"/>
        </w:rPr>
        <w:t xml:space="preserve">In spreading </w:t>
      </w:r>
      <w:r w:rsidR="00C042EE">
        <w:rPr>
          <w:rFonts w:ascii="Times New Roman" w:hAnsi="Times New Roman"/>
          <w:sz w:val="24"/>
          <w:szCs w:val="24"/>
        </w:rPr>
        <w:t xml:space="preserve">a_int2(c,rr) </w:t>
      </w:r>
      <w:r>
        <w:rPr>
          <w:rFonts w:ascii="Times New Roman" w:hAnsi="Times New Roman"/>
          <w:sz w:val="24"/>
          <w:szCs w:val="24"/>
        </w:rPr>
        <w:t xml:space="preserve">movements for fossil commodity c to all agents </w:t>
      </w:r>
      <w:r w:rsidR="00C042EE">
        <w:rPr>
          <w:rFonts w:ascii="Times New Roman" w:hAnsi="Times New Roman"/>
          <w:sz w:val="24"/>
          <w:szCs w:val="24"/>
        </w:rPr>
        <w:t xml:space="preserve">in the regions at the 13 level we defined a_int(Foss, r) by the equation: </w:t>
      </w:r>
      <w:r>
        <w:rPr>
          <w:rFonts w:ascii="Times New Roman" w:hAnsi="Times New Roman"/>
          <w:sz w:val="24"/>
          <w:szCs w:val="24"/>
        </w:rPr>
        <w:t xml:space="preserve"> </w:t>
      </w:r>
    </w:p>
    <w:p w:rsidR="0084323C" w:rsidRDefault="0084323C" w:rsidP="0084323C">
      <w:pPr>
        <w:tabs>
          <w:tab w:val="left" w:pos="851"/>
          <w:tab w:val="right" w:pos="8789"/>
        </w:tabs>
        <w:ind w:left="0"/>
        <w:rPr>
          <w:rFonts w:ascii="Times New Roman" w:hAnsi="Times New Roman"/>
          <w:sz w:val="24"/>
          <w:szCs w:val="24"/>
        </w:rPr>
      </w:pPr>
      <w:r>
        <w:rPr>
          <w:rFonts w:ascii="Times New Roman" w:hAnsi="Times New Roman"/>
          <w:sz w:val="24"/>
          <w:szCs w:val="24"/>
        </w:rPr>
        <w:tab/>
      </w:r>
      <w:r w:rsidRPr="00062830">
        <w:rPr>
          <w:rFonts w:ascii="Times New Roman" w:hAnsi="Times New Roman"/>
          <w:position w:val="-10"/>
          <w:sz w:val="24"/>
          <w:szCs w:val="24"/>
        </w:rPr>
        <w:object w:dxaOrig="5720" w:dyaOrig="320">
          <v:shape id="_x0000_i1047" type="#_x0000_t75" style="width:285pt;height:17.25pt" o:ole="">
            <v:imagedata r:id="rId58" o:title=""/>
          </v:shape>
          <o:OLEObject Type="Embed" ProgID="Equation.DSMT4" ShapeID="_x0000_i1047" DrawAspect="Content" ObjectID="_1774671668" r:id="rId59"/>
        </w:object>
      </w:r>
      <w:r>
        <w:rPr>
          <w:rFonts w:ascii="Times New Roman" w:hAnsi="Times New Roman"/>
          <w:sz w:val="24"/>
          <w:szCs w:val="24"/>
        </w:rPr>
        <w:t xml:space="preserve">   r</w:t>
      </w:r>
      <w:r>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w:t>
      </w:r>
      <w:r w:rsidR="003572EB">
        <w:rPr>
          <w:rFonts w:ascii="Times New Roman" w:hAnsi="Times New Roman"/>
          <w:sz w:val="24"/>
          <w:szCs w:val="24"/>
        </w:rPr>
        <w:t>5</w:t>
      </w:r>
      <w:r>
        <w:rPr>
          <w:rFonts w:ascii="Times New Roman" w:hAnsi="Times New Roman"/>
          <w:sz w:val="24"/>
          <w:szCs w:val="24"/>
        </w:rPr>
        <w:t>.3)</w:t>
      </w:r>
    </w:p>
    <w:p w:rsidR="0084323C" w:rsidRDefault="0084323C" w:rsidP="0084323C">
      <w:pPr>
        <w:spacing w:before="0"/>
        <w:ind w:left="0"/>
        <w:rPr>
          <w:rFonts w:ascii="Times New Roman" w:hAnsi="Times New Roman"/>
          <w:sz w:val="24"/>
          <w:szCs w:val="24"/>
        </w:rPr>
      </w:pPr>
      <w:r>
        <w:rPr>
          <w:rFonts w:ascii="Times New Roman" w:hAnsi="Times New Roman"/>
          <w:sz w:val="24"/>
          <w:szCs w:val="24"/>
        </w:rPr>
        <w:lastRenderedPageBreak/>
        <w:t>where</w:t>
      </w:r>
    </w:p>
    <w:p w:rsidR="00505CF6" w:rsidRPr="00505CF6" w:rsidRDefault="00505CF6" w:rsidP="00505CF6">
      <w:pPr>
        <w:spacing w:before="0"/>
        <w:ind w:left="284"/>
        <w:rPr>
          <w:rFonts w:ascii="Times New Roman" w:hAnsi="Times New Roman"/>
          <w:sz w:val="24"/>
          <w:szCs w:val="24"/>
        </w:rPr>
      </w:pPr>
      <w:r>
        <w:rPr>
          <w:rFonts w:ascii="Times New Roman" w:hAnsi="Times New Roman"/>
          <w:sz w:val="24"/>
          <w:szCs w:val="24"/>
        </w:rPr>
        <w:t>a_int(Foss,r) is the percentage reduction in the use of coal, oil and gas per unit of activity in industries in the 13-order region r (r</w:t>
      </w:r>
      <w:r>
        <w:rPr>
          <w:rFonts w:ascii="Times New Roman" w:hAnsi="Times New Roman"/>
          <w:sz w:val="24"/>
          <w:szCs w:val="24"/>
        </w:rPr>
        <w:sym w:font="Symbol" w:char="F0CE"/>
      </w:r>
      <w:r>
        <w:rPr>
          <w:rFonts w:ascii="Times New Roman" w:hAnsi="Times New Roman"/>
          <w:sz w:val="24"/>
          <w:szCs w:val="24"/>
        </w:rPr>
        <w:t>Reg);</w:t>
      </w:r>
    </w:p>
    <w:p w:rsidR="00FE77C8" w:rsidRDefault="00FE77C8" w:rsidP="00FE77C8">
      <w:pPr>
        <w:spacing w:before="0"/>
        <w:ind w:left="284"/>
        <w:rPr>
          <w:rFonts w:ascii="Times New Roman" w:hAnsi="Times New Roman"/>
          <w:sz w:val="24"/>
          <w:szCs w:val="24"/>
        </w:rPr>
      </w:pPr>
      <w:r>
        <w:rPr>
          <w:rFonts w:ascii="Times New Roman" w:hAnsi="Times New Roman"/>
          <w:sz w:val="24"/>
          <w:szCs w:val="24"/>
        </w:rPr>
        <w:t xml:space="preserve">MAP(r) is the 8-order region in Reg2 associated with r as indicated in Table </w:t>
      </w:r>
      <w:r w:rsidR="003572EB">
        <w:rPr>
          <w:rFonts w:ascii="Times New Roman" w:hAnsi="Times New Roman"/>
          <w:sz w:val="24"/>
          <w:szCs w:val="24"/>
        </w:rPr>
        <w:t>5</w:t>
      </w:r>
      <w:r>
        <w:rPr>
          <w:rFonts w:ascii="Times New Roman" w:hAnsi="Times New Roman"/>
          <w:sz w:val="24"/>
          <w:szCs w:val="24"/>
        </w:rPr>
        <w:t xml:space="preserve">.3; and </w:t>
      </w:r>
    </w:p>
    <w:p w:rsidR="00FE77C8" w:rsidRDefault="00FE77C8" w:rsidP="00FE77C8">
      <w:pPr>
        <w:spacing w:before="0"/>
        <w:ind w:left="284"/>
        <w:rPr>
          <w:rFonts w:ascii="Times New Roman" w:hAnsi="Times New Roman"/>
          <w:sz w:val="24"/>
          <w:szCs w:val="24"/>
        </w:rPr>
      </w:pPr>
      <w:r>
        <w:rPr>
          <w:rFonts w:ascii="Times New Roman" w:hAnsi="Times New Roman"/>
          <w:sz w:val="24"/>
          <w:szCs w:val="24"/>
        </w:rPr>
        <w:t xml:space="preserve">f_a_int(Foss,r) is a shift variable.  </w:t>
      </w:r>
    </w:p>
    <w:p w:rsidR="00062830" w:rsidRDefault="00FE77C8" w:rsidP="002F4F00">
      <w:pPr>
        <w:ind w:left="0"/>
        <w:rPr>
          <w:rFonts w:ascii="Times New Roman" w:hAnsi="Times New Roman"/>
          <w:sz w:val="24"/>
          <w:szCs w:val="24"/>
        </w:rPr>
      </w:pPr>
      <w:r>
        <w:rPr>
          <w:rFonts w:ascii="Times New Roman" w:hAnsi="Times New Roman"/>
          <w:sz w:val="24"/>
          <w:szCs w:val="24"/>
        </w:rPr>
        <w:t xml:space="preserve">In the standard long-run closure f_a_int(Foss,r) is endogenous and a_int(Foss,r) is exogenous.  As indicated in panel 7 of Table </w:t>
      </w:r>
      <w:r w:rsidR="003572EB">
        <w:rPr>
          <w:rFonts w:ascii="Times New Roman" w:hAnsi="Times New Roman"/>
          <w:sz w:val="24"/>
          <w:szCs w:val="24"/>
        </w:rPr>
        <w:t>5</w:t>
      </w:r>
      <w:r>
        <w:rPr>
          <w:rFonts w:ascii="Times New Roman" w:hAnsi="Times New Roman"/>
          <w:sz w:val="24"/>
          <w:szCs w:val="24"/>
        </w:rPr>
        <w:t xml:space="preserve">.1, in the 2019-30 simulation, f_a_int(Foss,r) is </w:t>
      </w:r>
      <w:r w:rsidR="002C38F0">
        <w:rPr>
          <w:rFonts w:ascii="Times New Roman" w:hAnsi="Times New Roman"/>
          <w:sz w:val="24"/>
          <w:szCs w:val="24"/>
        </w:rPr>
        <w:t>exogenous, with zero shock</w:t>
      </w:r>
      <w:r w:rsidR="00AF49FE">
        <w:rPr>
          <w:rFonts w:ascii="Times New Roman" w:hAnsi="Times New Roman"/>
          <w:sz w:val="24"/>
          <w:szCs w:val="24"/>
        </w:rPr>
        <w:t>,</w:t>
      </w:r>
      <w:r w:rsidR="002C38F0">
        <w:rPr>
          <w:rFonts w:ascii="Times New Roman" w:hAnsi="Times New Roman"/>
          <w:sz w:val="24"/>
          <w:szCs w:val="24"/>
        </w:rPr>
        <w:t xml:space="preserve"> and a_int(Foss,r) is endogenous.  With this setup, a_int(Foss,r) receives the appropriate </w:t>
      </w:r>
      <w:r w:rsidR="001930DF">
        <w:rPr>
          <w:rFonts w:ascii="Times New Roman" w:hAnsi="Times New Roman"/>
          <w:sz w:val="24"/>
          <w:szCs w:val="24"/>
        </w:rPr>
        <w:t>shock</w:t>
      </w:r>
      <w:r w:rsidR="002C38F0">
        <w:rPr>
          <w:rFonts w:ascii="Times New Roman" w:hAnsi="Times New Roman"/>
          <w:sz w:val="24"/>
          <w:szCs w:val="24"/>
        </w:rPr>
        <w:t xml:space="preserve"> from a_int2.  </w:t>
      </w:r>
      <w:r w:rsidR="00AF49FE">
        <w:rPr>
          <w:rFonts w:ascii="Times New Roman" w:hAnsi="Times New Roman"/>
          <w:sz w:val="24"/>
          <w:szCs w:val="24"/>
        </w:rPr>
        <w:t xml:space="preserve"> </w:t>
      </w:r>
    </w:p>
    <w:p w:rsidR="002C38F0" w:rsidRDefault="002C38F0" w:rsidP="002C38F0">
      <w:pPr>
        <w:ind w:left="0"/>
        <w:rPr>
          <w:rFonts w:ascii="Times New Roman" w:hAnsi="Times New Roman"/>
          <w:sz w:val="24"/>
          <w:szCs w:val="24"/>
        </w:rPr>
      </w:pPr>
      <w:r>
        <w:rPr>
          <w:rFonts w:ascii="Times New Roman" w:hAnsi="Times New Roman"/>
          <w:sz w:val="24"/>
          <w:szCs w:val="24"/>
        </w:rPr>
        <w:t xml:space="preserve">We let a_int(Foss,r) drive the preferences of households and governments via the equations </w:t>
      </w:r>
    </w:p>
    <w:p w:rsidR="002C38F0" w:rsidRDefault="002C38F0" w:rsidP="002C38F0">
      <w:pPr>
        <w:tabs>
          <w:tab w:val="left" w:pos="851"/>
          <w:tab w:val="right" w:pos="8789"/>
        </w:tabs>
        <w:ind w:left="0"/>
        <w:rPr>
          <w:rFonts w:ascii="Times New Roman" w:hAnsi="Times New Roman"/>
          <w:sz w:val="24"/>
          <w:szCs w:val="24"/>
        </w:rPr>
      </w:pPr>
      <w:r>
        <w:rPr>
          <w:rFonts w:ascii="Times New Roman" w:hAnsi="Times New Roman"/>
          <w:sz w:val="24"/>
          <w:szCs w:val="24"/>
        </w:rPr>
        <w:tab/>
      </w:r>
      <w:r w:rsidR="00D55F80" w:rsidRPr="00062830">
        <w:rPr>
          <w:rFonts w:ascii="Times New Roman" w:hAnsi="Times New Roman"/>
          <w:position w:val="-10"/>
          <w:sz w:val="24"/>
          <w:szCs w:val="24"/>
        </w:rPr>
        <w:object w:dxaOrig="4020" w:dyaOrig="320">
          <v:shape id="_x0000_i1048" type="#_x0000_t75" style="width:202.5pt;height:17.25pt" o:ole="">
            <v:imagedata r:id="rId60" o:title=""/>
          </v:shape>
          <o:OLEObject Type="Embed" ProgID="Equation.DSMT4" ShapeID="_x0000_i1048" DrawAspect="Content" ObjectID="_1774671669" r:id="rId61"/>
        </w:object>
      </w:r>
      <w:r>
        <w:rPr>
          <w:rFonts w:ascii="Times New Roman" w:hAnsi="Times New Roman"/>
          <w:sz w:val="24"/>
          <w:szCs w:val="24"/>
        </w:rPr>
        <w:t xml:space="preserve">   </w:t>
      </w:r>
      <w:r w:rsidR="00337A81">
        <w:rPr>
          <w:rFonts w:ascii="Times New Roman" w:hAnsi="Times New Roman"/>
          <w:sz w:val="24"/>
          <w:szCs w:val="24"/>
        </w:rPr>
        <w:t>for c</w:t>
      </w:r>
      <w:r w:rsidR="00337A81">
        <w:rPr>
          <w:rFonts w:ascii="Times New Roman" w:hAnsi="Times New Roman"/>
          <w:sz w:val="24"/>
          <w:szCs w:val="24"/>
        </w:rPr>
        <w:sym w:font="Symbol" w:char="F0CE"/>
      </w:r>
      <w:r w:rsidR="00337A81">
        <w:rPr>
          <w:rFonts w:ascii="Times New Roman" w:hAnsi="Times New Roman"/>
          <w:sz w:val="24"/>
          <w:szCs w:val="24"/>
        </w:rPr>
        <w:t xml:space="preserve">Foss,  </w:t>
      </w:r>
      <w:r>
        <w:rPr>
          <w:rFonts w:ascii="Times New Roman" w:hAnsi="Times New Roman"/>
          <w:sz w:val="24"/>
          <w:szCs w:val="24"/>
        </w:rPr>
        <w:t>r</w:t>
      </w:r>
      <w:r>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w:t>
      </w:r>
      <w:r w:rsidR="003572EB">
        <w:rPr>
          <w:rFonts w:ascii="Times New Roman" w:hAnsi="Times New Roman"/>
          <w:sz w:val="24"/>
          <w:szCs w:val="24"/>
        </w:rPr>
        <w:t>5</w:t>
      </w:r>
      <w:r>
        <w:rPr>
          <w:rFonts w:ascii="Times New Roman" w:hAnsi="Times New Roman"/>
          <w:sz w:val="24"/>
          <w:szCs w:val="24"/>
        </w:rPr>
        <w:t>.</w:t>
      </w:r>
      <w:r w:rsidR="00337A81">
        <w:rPr>
          <w:rFonts w:ascii="Times New Roman" w:hAnsi="Times New Roman"/>
          <w:sz w:val="24"/>
          <w:szCs w:val="24"/>
        </w:rPr>
        <w:t>4</w:t>
      </w:r>
      <w:r>
        <w:rPr>
          <w:rFonts w:ascii="Times New Roman" w:hAnsi="Times New Roman"/>
          <w:sz w:val="24"/>
          <w:szCs w:val="24"/>
        </w:rPr>
        <w:t>)</w:t>
      </w:r>
    </w:p>
    <w:p w:rsidR="002C38F0" w:rsidRDefault="00337A81" w:rsidP="002C38F0">
      <w:pPr>
        <w:ind w:left="0"/>
        <w:rPr>
          <w:rFonts w:ascii="Times New Roman" w:hAnsi="Times New Roman"/>
          <w:sz w:val="24"/>
          <w:szCs w:val="24"/>
        </w:rPr>
      </w:pPr>
      <w:r>
        <w:rPr>
          <w:rFonts w:ascii="Times New Roman" w:hAnsi="Times New Roman"/>
          <w:sz w:val="24"/>
          <w:szCs w:val="24"/>
        </w:rPr>
        <w:t>and</w:t>
      </w:r>
    </w:p>
    <w:p w:rsidR="005F3A84" w:rsidRDefault="00337A81" w:rsidP="00337A81">
      <w:pPr>
        <w:tabs>
          <w:tab w:val="left" w:pos="851"/>
          <w:tab w:val="right" w:pos="8789"/>
        </w:tabs>
        <w:ind w:left="0"/>
        <w:rPr>
          <w:rFonts w:ascii="Times New Roman" w:hAnsi="Times New Roman"/>
          <w:sz w:val="24"/>
          <w:szCs w:val="24"/>
        </w:rPr>
      </w:pPr>
      <w:r>
        <w:rPr>
          <w:rFonts w:ascii="Times New Roman" w:hAnsi="Times New Roman"/>
          <w:sz w:val="24"/>
          <w:szCs w:val="24"/>
        </w:rPr>
        <w:tab/>
      </w:r>
      <w:r w:rsidR="00D55F80" w:rsidRPr="00062830">
        <w:rPr>
          <w:rFonts w:ascii="Times New Roman" w:hAnsi="Times New Roman"/>
          <w:position w:val="-10"/>
          <w:sz w:val="24"/>
          <w:szCs w:val="24"/>
        </w:rPr>
        <w:object w:dxaOrig="3940" w:dyaOrig="320">
          <v:shape id="_x0000_i1049" type="#_x0000_t75" style="width:197.25pt;height:17.25pt" o:ole="">
            <v:imagedata r:id="rId62" o:title=""/>
          </v:shape>
          <o:OLEObject Type="Embed" ProgID="Equation.DSMT4" ShapeID="_x0000_i1049" DrawAspect="Content" ObjectID="_1774671670" r:id="rId63"/>
        </w:object>
      </w:r>
      <w:r>
        <w:rPr>
          <w:rFonts w:ascii="Times New Roman" w:hAnsi="Times New Roman"/>
          <w:sz w:val="24"/>
          <w:szCs w:val="24"/>
        </w:rPr>
        <w:t xml:space="preserve">   for c</w:t>
      </w:r>
      <w:r>
        <w:rPr>
          <w:rFonts w:ascii="Times New Roman" w:hAnsi="Times New Roman"/>
          <w:sz w:val="24"/>
          <w:szCs w:val="24"/>
        </w:rPr>
        <w:sym w:font="Symbol" w:char="F0CE"/>
      </w:r>
      <w:r>
        <w:rPr>
          <w:rFonts w:ascii="Times New Roman" w:hAnsi="Times New Roman"/>
          <w:sz w:val="24"/>
          <w:szCs w:val="24"/>
        </w:rPr>
        <w:t>Foss,  r</w:t>
      </w:r>
      <w:r>
        <w:rPr>
          <w:rFonts w:ascii="Times New Roman" w:hAnsi="Times New Roman"/>
          <w:sz w:val="24"/>
          <w:szCs w:val="24"/>
        </w:rPr>
        <w:sym w:font="Symbol" w:char="F0CE"/>
      </w:r>
      <w:r>
        <w:rPr>
          <w:rFonts w:ascii="Times New Roman" w:hAnsi="Times New Roman"/>
          <w:sz w:val="24"/>
          <w:szCs w:val="24"/>
        </w:rPr>
        <w:t>Reg</w:t>
      </w:r>
      <w:r>
        <w:rPr>
          <w:rFonts w:ascii="Times New Roman" w:hAnsi="Times New Roman"/>
          <w:sz w:val="24"/>
          <w:szCs w:val="24"/>
        </w:rPr>
        <w:tab/>
        <w:t>(</w:t>
      </w:r>
      <w:r w:rsidR="003572EB">
        <w:rPr>
          <w:rFonts w:ascii="Times New Roman" w:hAnsi="Times New Roman"/>
          <w:sz w:val="24"/>
          <w:szCs w:val="24"/>
        </w:rPr>
        <w:t>5</w:t>
      </w:r>
      <w:r>
        <w:rPr>
          <w:rFonts w:ascii="Times New Roman" w:hAnsi="Times New Roman"/>
          <w:sz w:val="24"/>
          <w:szCs w:val="24"/>
        </w:rPr>
        <w:t>.5)</w:t>
      </w:r>
    </w:p>
    <w:p w:rsidR="00337A81" w:rsidRDefault="005F3A84" w:rsidP="002C38F0">
      <w:pPr>
        <w:ind w:left="0"/>
        <w:rPr>
          <w:rFonts w:ascii="Times New Roman" w:hAnsi="Times New Roman"/>
          <w:sz w:val="24"/>
          <w:szCs w:val="24"/>
        </w:rPr>
      </w:pPr>
      <w:r>
        <w:rPr>
          <w:rFonts w:ascii="Times New Roman" w:hAnsi="Times New Roman"/>
          <w:sz w:val="24"/>
          <w:szCs w:val="24"/>
        </w:rPr>
        <w:t xml:space="preserve">In these equations, a3com(c,r) is a percentage change in private consumption of commodity c in region r beyond what can be explained by changes in incomes and prices.  A similar </w:t>
      </w:r>
      <w:r w:rsidR="00337A81">
        <w:rPr>
          <w:rFonts w:ascii="Times New Roman" w:hAnsi="Times New Roman"/>
          <w:sz w:val="24"/>
          <w:szCs w:val="24"/>
        </w:rPr>
        <w:t xml:space="preserve">definition applies to f_qg(c,r) for government consumption.  As we move from the standard long-run closure to the 2019-30 </w:t>
      </w:r>
      <w:r>
        <w:rPr>
          <w:rFonts w:ascii="Times New Roman" w:hAnsi="Times New Roman"/>
          <w:sz w:val="24"/>
          <w:szCs w:val="24"/>
        </w:rPr>
        <w:t xml:space="preserve">baseline </w:t>
      </w:r>
      <w:r w:rsidR="00337A81">
        <w:rPr>
          <w:rFonts w:ascii="Times New Roman" w:hAnsi="Times New Roman"/>
          <w:sz w:val="24"/>
          <w:szCs w:val="24"/>
        </w:rPr>
        <w:t xml:space="preserve">closure, the shift variables f3_aint(c,r) and f5_aint(c,r) are exogenized on zero shock and a3com(c,r) and f_qg(c,r) are endogenized.  </w:t>
      </w:r>
    </w:p>
    <w:p w:rsidR="00CF582E" w:rsidRDefault="00CF582E" w:rsidP="002C38F0">
      <w:pPr>
        <w:ind w:left="0"/>
        <w:rPr>
          <w:rFonts w:ascii="Times New Roman" w:hAnsi="Times New Roman"/>
          <w:sz w:val="24"/>
          <w:szCs w:val="24"/>
        </w:rPr>
      </w:pPr>
      <w:r>
        <w:rPr>
          <w:rFonts w:ascii="Times New Roman" w:hAnsi="Times New Roman"/>
          <w:sz w:val="24"/>
          <w:szCs w:val="24"/>
        </w:rPr>
        <w:t xml:space="preserve">As in panel 12 of Table </w:t>
      </w:r>
      <w:r w:rsidR="003572EB">
        <w:rPr>
          <w:rFonts w:ascii="Times New Roman" w:hAnsi="Times New Roman"/>
          <w:sz w:val="24"/>
          <w:szCs w:val="24"/>
        </w:rPr>
        <w:t>4</w:t>
      </w:r>
      <w:r>
        <w:rPr>
          <w:rFonts w:ascii="Times New Roman" w:hAnsi="Times New Roman"/>
          <w:sz w:val="24"/>
          <w:szCs w:val="24"/>
        </w:rPr>
        <w:t>.1 for the</w:t>
      </w:r>
      <w:r w:rsidR="00AF49FE">
        <w:rPr>
          <w:rFonts w:ascii="Times New Roman" w:hAnsi="Times New Roman"/>
          <w:sz w:val="24"/>
          <w:szCs w:val="24"/>
        </w:rPr>
        <w:t xml:space="preserve"> </w:t>
      </w:r>
      <w:r>
        <w:rPr>
          <w:rFonts w:ascii="Times New Roman" w:hAnsi="Times New Roman"/>
          <w:sz w:val="24"/>
          <w:szCs w:val="24"/>
        </w:rPr>
        <w:t>20</w:t>
      </w:r>
      <w:r w:rsidR="001A73E5">
        <w:rPr>
          <w:rFonts w:ascii="Times New Roman" w:hAnsi="Times New Roman"/>
          <w:sz w:val="24"/>
          <w:szCs w:val="24"/>
        </w:rPr>
        <w:t>1</w:t>
      </w:r>
      <w:r>
        <w:rPr>
          <w:rFonts w:ascii="Times New Roman" w:hAnsi="Times New Roman"/>
          <w:sz w:val="24"/>
          <w:szCs w:val="24"/>
        </w:rPr>
        <w:t>4-19 simulation, we cost neutralize the savings made by industries in their use of fossil fuel</w:t>
      </w:r>
      <w:r w:rsidR="001A73E5">
        <w:rPr>
          <w:rFonts w:ascii="Times New Roman" w:hAnsi="Times New Roman"/>
          <w:sz w:val="24"/>
          <w:szCs w:val="24"/>
        </w:rPr>
        <w:t>s</w:t>
      </w:r>
      <w:r>
        <w:rPr>
          <w:rFonts w:ascii="Times New Roman" w:hAnsi="Times New Roman"/>
          <w:sz w:val="24"/>
          <w:szCs w:val="24"/>
        </w:rPr>
        <w:t>.  We do this via a vari</w:t>
      </w:r>
      <w:r w:rsidR="001A73E5">
        <w:rPr>
          <w:rFonts w:ascii="Times New Roman" w:hAnsi="Times New Roman"/>
          <w:sz w:val="24"/>
          <w:szCs w:val="24"/>
        </w:rPr>
        <w:t>a</w:t>
      </w:r>
      <w:r>
        <w:rPr>
          <w:rFonts w:ascii="Times New Roman" w:hAnsi="Times New Roman"/>
          <w:sz w:val="24"/>
          <w:szCs w:val="24"/>
        </w:rPr>
        <w:t>nt of equation (</w:t>
      </w:r>
      <w:r w:rsidR="003572EB">
        <w:rPr>
          <w:rFonts w:ascii="Times New Roman" w:hAnsi="Times New Roman"/>
          <w:sz w:val="24"/>
          <w:szCs w:val="24"/>
        </w:rPr>
        <w:t>4</w:t>
      </w:r>
      <w:r>
        <w:rPr>
          <w:rFonts w:ascii="Times New Roman" w:hAnsi="Times New Roman"/>
          <w:sz w:val="24"/>
          <w:szCs w:val="24"/>
        </w:rPr>
        <w:t>.10)</w:t>
      </w:r>
      <w:r w:rsidR="001A73E5">
        <w:rPr>
          <w:rFonts w:ascii="Times New Roman" w:hAnsi="Times New Roman"/>
          <w:sz w:val="24"/>
          <w:szCs w:val="24"/>
        </w:rPr>
        <w:t>:</w:t>
      </w:r>
    </w:p>
    <w:p w:rsidR="00337A81" w:rsidRDefault="001A73E5" w:rsidP="00337A81">
      <w:pPr>
        <w:tabs>
          <w:tab w:val="right" w:pos="8931"/>
        </w:tabs>
        <w:ind w:left="0"/>
        <w:rPr>
          <w:rFonts w:ascii="Times New Roman" w:hAnsi="Times New Roman"/>
          <w:sz w:val="24"/>
          <w:szCs w:val="24"/>
        </w:rPr>
      </w:pPr>
      <w:r w:rsidRPr="00DA383E">
        <w:rPr>
          <w:rFonts w:ascii="Times New Roman" w:hAnsi="Times New Roman"/>
          <w:position w:val="-14"/>
          <w:sz w:val="24"/>
          <w:szCs w:val="24"/>
        </w:rPr>
        <w:object w:dxaOrig="8260" w:dyaOrig="400">
          <v:shape id="_x0000_i1050" type="#_x0000_t75" style="width:414pt;height:22.5pt" o:ole="">
            <v:imagedata r:id="rId64" o:title=""/>
          </v:shape>
          <o:OLEObject Type="Embed" ProgID="Equation.DSMT4" ShapeID="_x0000_i1050" DrawAspect="Content" ObjectID="_1774671671" r:id="rId65"/>
        </w:object>
      </w:r>
      <w:r w:rsidR="00337A81">
        <w:rPr>
          <w:rFonts w:ascii="Times New Roman" w:hAnsi="Times New Roman"/>
          <w:sz w:val="24"/>
          <w:szCs w:val="24"/>
        </w:rPr>
        <w:t xml:space="preserve"> </w:t>
      </w:r>
    </w:p>
    <w:p w:rsidR="00337A81" w:rsidRPr="00694991" w:rsidRDefault="00337A81" w:rsidP="00337A81">
      <w:pPr>
        <w:tabs>
          <w:tab w:val="left" w:pos="5529"/>
          <w:tab w:val="right" w:pos="8789"/>
        </w:tabs>
        <w:ind w:left="0"/>
      </w:pPr>
      <w:r w:rsidRPr="00694991">
        <w:rPr>
          <w:rFonts w:ascii="Times New Roman" w:hAnsi="Times New Roman"/>
          <w:b/>
          <w:sz w:val="24"/>
          <w:szCs w:val="24"/>
        </w:rPr>
        <w:tab/>
      </w:r>
      <w:r w:rsidRPr="00694991">
        <w:rPr>
          <w:rFonts w:ascii="Times New Roman" w:hAnsi="Times New Roman"/>
          <w:sz w:val="24"/>
          <w:szCs w:val="24"/>
        </w:rPr>
        <w:t xml:space="preserve"> for j</w:t>
      </w:r>
      <w:r w:rsidRPr="00694991">
        <w:rPr>
          <w:rFonts w:ascii="Times New Roman" w:hAnsi="Times New Roman"/>
          <w:sz w:val="24"/>
          <w:szCs w:val="24"/>
        </w:rPr>
        <w:sym w:font="Symbol" w:char="F0CE"/>
      </w:r>
      <w:r w:rsidRPr="00694991">
        <w:rPr>
          <w:rFonts w:ascii="Times New Roman" w:hAnsi="Times New Roman"/>
          <w:sz w:val="24"/>
          <w:szCs w:val="24"/>
        </w:rPr>
        <w:t>Ind, r</w:t>
      </w:r>
      <w:r w:rsidRPr="00694991">
        <w:rPr>
          <w:rFonts w:ascii="Times New Roman" w:hAnsi="Times New Roman"/>
          <w:sz w:val="24"/>
          <w:szCs w:val="24"/>
        </w:rPr>
        <w:sym w:font="Symbol" w:char="F0CE"/>
      </w:r>
      <w:r w:rsidRPr="00694991">
        <w:rPr>
          <w:rFonts w:ascii="Times New Roman" w:hAnsi="Times New Roman"/>
          <w:sz w:val="24"/>
          <w:szCs w:val="24"/>
        </w:rPr>
        <w:t>Reg</w:t>
      </w:r>
      <w:r w:rsidRPr="00694991">
        <w:rPr>
          <w:rFonts w:ascii="Times New Roman" w:hAnsi="Times New Roman"/>
          <w:sz w:val="24"/>
          <w:szCs w:val="24"/>
        </w:rPr>
        <w:tab/>
        <w:t>(</w:t>
      </w:r>
      <w:r w:rsidR="003572EB">
        <w:rPr>
          <w:rFonts w:ascii="Times New Roman" w:hAnsi="Times New Roman"/>
          <w:sz w:val="24"/>
          <w:szCs w:val="24"/>
        </w:rPr>
        <w:t>5</w:t>
      </w:r>
      <w:r w:rsidR="001A73E5" w:rsidRPr="00694991">
        <w:rPr>
          <w:rFonts w:ascii="Times New Roman" w:hAnsi="Times New Roman"/>
          <w:sz w:val="24"/>
          <w:szCs w:val="24"/>
        </w:rPr>
        <w:t>.6</w:t>
      </w:r>
      <w:r w:rsidRPr="00694991">
        <w:rPr>
          <w:rFonts w:ascii="Times New Roman" w:hAnsi="Times New Roman"/>
          <w:sz w:val="24"/>
          <w:szCs w:val="24"/>
        </w:rPr>
        <w:t>)</w:t>
      </w:r>
    </w:p>
    <w:p w:rsidR="00505CF6" w:rsidRDefault="003572EB" w:rsidP="00505CF6">
      <w:pPr>
        <w:ind w:left="0"/>
        <w:rPr>
          <w:rFonts w:ascii="Times New Roman" w:hAnsi="Times New Roman"/>
          <w:b/>
          <w:i/>
          <w:sz w:val="24"/>
          <w:szCs w:val="24"/>
        </w:rPr>
      </w:pPr>
      <w:r>
        <w:rPr>
          <w:rFonts w:ascii="Times New Roman" w:hAnsi="Times New Roman"/>
          <w:b/>
          <w:i/>
          <w:sz w:val="24"/>
          <w:szCs w:val="24"/>
        </w:rPr>
        <w:t>5</w:t>
      </w:r>
      <w:r w:rsidR="00505CF6">
        <w:rPr>
          <w:rFonts w:ascii="Times New Roman" w:hAnsi="Times New Roman"/>
          <w:b/>
          <w:i/>
          <w:sz w:val="24"/>
          <w:szCs w:val="24"/>
        </w:rPr>
        <w:t>.2</w:t>
      </w:r>
      <w:r w:rsidR="00505CF6" w:rsidRPr="00DF5970">
        <w:rPr>
          <w:rFonts w:ascii="Times New Roman" w:hAnsi="Times New Roman"/>
          <w:b/>
          <w:i/>
          <w:sz w:val="24"/>
          <w:szCs w:val="24"/>
        </w:rPr>
        <w:t xml:space="preserve">.  </w:t>
      </w:r>
      <w:r w:rsidR="00162C7D">
        <w:rPr>
          <w:rFonts w:ascii="Times New Roman" w:hAnsi="Times New Roman"/>
          <w:b/>
          <w:i/>
          <w:sz w:val="24"/>
          <w:szCs w:val="24"/>
        </w:rPr>
        <w:t xml:space="preserve">The 2030-40 and 2040-50 simulations </w:t>
      </w:r>
    </w:p>
    <w:p w:rsidR="007B3E37" w:rsidRDefault="00162C7D" w:rsidP="002633D1">
      <w:pPr>
        <w:ind w:left="0"/>
        <w:rPr>
          <w:rFonts w:ascii="Times New Roman" w:hAnsi="Times New Roman"/>
          <w:sz w:val="24"/>
          <w:szCs w:val="24"/>
        </w:rPr>
      </w:pPr>
      <w:r w:rsidRPr="002F4F00">
        <w:rPr>
          <w:rFonts w:ascii="Times New Roman" w:hAnsi="Times New Roman"/>
          <w:sz w:val="24"/>
          <w:szCs w:val="24"/>
        </w:rPr>
        <w:t xml:space="preserve">The closures for the 2030-40 and 2040-50 </w:t>
      </w:r>
      <w:r w:rsidR="005F3A84" w:rsidRPr="002F4F00">
        <w:rPr>
          <w:rFonts w:ascii="Times New Roman" w:hAnsi="Times New Roman"/>
          <w:sz w:val="24"/>
          <w:szCs w:val="24"/>
        </w:rPr>
        <w:t>baseline s</w:t>
      </w:r>
      <w:r w:rsidRPr="002F4F00">
        <w:rPr>
          <w:rFonts w:ascii="Times New Roman" w:hAnsi="Times New Roman"/>
          <w:sz w:val="24"/>
          <w:szCs w:val="24"/>
        </w:rPr>
        <w:t xml:space="preserve">imulations are the same as that for the 2019-30 </w:t>
      </w:r>
      <w:r w:rsidR="005F3A84" w:rsidRPr="002F4F00">
        <w:rPr>
          <w:rFonts w:ascii="Times New Roman" w:hAnsi="Times New Roman"/>
          <w:sz w:val="24"/>
          <w:szCs w:val="24"/>
        </w:rPr>
        <w:t xml:space="preserve">baseline </w:t>
      </w:r>
      <w:r w:rsidRPr="002F4F00">
        <w:rPr>
          <w:rFonts w:ascii="Times New Roman" w:hAnsi="Times New Roman"/>
          <w:sz w:val="24"/>
          <w:szCs w:val="24"/>
        </w:rPr>
        <w:t>simulation</w:t>
      </w:r>
      <w:r w:rsidR="007B3E37" w:rsidRPr="002F4F00">
        <w:rPr>
          <w:rFonts w:ascii="Times New Roman" w:hAnsi="Times New Roman"/>
          <w:sz w:val="24"/>
          <w:szCs w:val="24"/>
        </w:rPr>
        <w:t xml:space="preserve"> (see Table </w:t>
      </w:r>
      <w:r w:rsidR="003572EB" w:rsidRPr="002F4F00">
        <w:rPr>
          <w:rFonts w:ascii="Times New Roman" w:hAnsi="Times New Roman"/>
          <w:sz w:val="24"/>
          <w:szCs w:val="24"/>
        </w:rPr>
        <w:t>5</w:t>
      </w:r>
      <w:r w:rsidR="007B3E37" w:rsidRPr="002F4F00">
        <w:rPr>
          <w:rFonts w:ascii="Times New Roman" w:hAnsi="Times New Roman"/>
          <w:sz w:val="24"/>
          <w:szCs w:val="24"/>
        </w:rPr>
        <w:t>.1)</w:t>
      </w:r>
      <w:r w:rsidRPr="002F4F00">
        <w:rPr>
          <w:rFonts w:ascii="Times New Roman" w:hAnsi="Times New Roman"/>
          <w:sz w:val="24"/>
          <w:szCs w:val="24"/>
        </w:rPr>
        <w:t>.</w:t>
      </w:r>
      <w:r>
        <w:rPr>
          <w:rFonts w:ascii="Times New Roman" w:hAnsi="Times New Roman"/>
          <w:sz w:val="24"/>
          <w:szCs w:val="24"/>
        </w:rPr>
        <w:t xml:space="preserve">  </w:t>
      </w:r>
    </w:p>
    <w:p w:rsidR="00606C74" w:rsidRDefault="007B3E37" w:rsidP="00606C74">
      <w:pPr>
        <w:ind w:left="0"/>
        <w:rPr>
          <w:rFonts w:ascii="Times New Roman" w:hAnsi="Times New Roman"/>
          <w:sz w:val="24"/>
          <w:szCs w:val="24"/>
        </w:rPr>
      </w:pPr>
      <w:r>
        <w:rPr>
          <w:rFonts w:ascii="Times New Roman" w:hAnsi="Times New Roman"/>
          <w:sz w:val="24"/>
          <w:szCs w:val="24"/>
        </w:rPr>
        <w:t>In the 2030-40 and 2040-50 simulations, w</w:t>
      </w:r>
      <w:r w:rsidR="00162C7D">
        <w:rPr>
          <w:rFonts w:ascii="Times New Roman" w:hAnsi="Times New Roman"/>
          <w:sz w:val="24"/>
          <w:szCs w:val="24"/>
        </w:rPr>
        <w:t xml:space="preserve">e bring in </w:t>
      </w:r>
      <w:r>
        <w:rPr>
          <w:rFonts w:ascii="Times New Roman" w:hAnsi="Times New Roman"/>
          <w:sz w:val="24"/>
          <w:szCs w:val="24"/>
        </w:rPr>
        <w:t xml:space="preserve">IIASA’s SSP2 projections for </w:t>
      </w:r>
      <w:r w:rsidR="00162C7D">
        <w:rPr>
          <w:rFonts w:ascii="Times New Roman" w:hAnsi="Times New Roman"/>
          <w:sz w:val="24"/>
          <w:szCs w:val="24"/>
        </w:rPr>
        <w:t>employment</w:t>
      </w:r>
      <w:r>
        <w:rPr>
          <w:rFonts w:ascii="Times New Roman" w:hAnsi="Times New Roman"/>
          <w:sz w:val="24"/>
          <w:szCs w:val="24"/>
        </w:rPr>
        <w:t xml:space="preserve"> (working-age population),</w:t>
      </w:r>
      <w:r w:rsidR="00162C7D">
        <w:rPr>
          <w:rFonts w:ascii="Times New Roman" w:hAnsi="Times New Roman"/>
          <w:sz w:val="24"/>
          <w:szCs w:val="24"/>
        </w:rPr>
        <w:t xml:space="preserve"> population and </w:t>
      </w:r>
      <w:r w:rsidR="00FF2B26">
        <w:rPr>
          <w:rFonts w:ascii="Times New Roman" w:hAnsi="Times New Roman"/>
          <w:sz w:val="24"/>
          <w:szCs w:val="24"/>
        </w:rPr>
        <w:t xml:space="preserve">IEA’s STEPS projections </w:t>
      </w:r>
      <w:r w:rsidR="00162C7D">
        <w:rPr>
          <w:rFonts w:ascii="Times New Roman" w:hAnsi="Times New Roman"/>
          <w:sz w:val="24"/>
          <w:szCs w:val="24"/>
        </w:rPr>
        <w:t xml:space="preserve">fossil fuel use in each region.  </w:t>
      </w:r>
      <w:r>
        <w:rPr>
          <w:rFonts w:ascii="Times New Roman" w:hAnsi="Times New Roman"/>
          <w:sz w:val="24"/>
          <w:szCs w:val="24"/>
        </w:rPr>
        <w:t xml:space="preserve">The IMF does not publish GDP projections for these later periods.  In setting the percentage movements in real GDP for each region in the 2030-40 and 2040-50 simulations, we projected forward growth in GDP per worker combined with the SSP2 </w:t>
      </w:r>
      <w:r w:rsidR="00606C74">
        <w:rPr>
          <w:rFonts w:ascii="Times New Roman" w:hAnsi="Times New Roman"/>
          <w:sz w:val="24"/>
          <w:szCs w:val="24"/>
        </w:rPr>
        <w:t xml:space="preserve">forecasts for working-age population.  As explained in Appendix 1, the trends in GDP per worker were derived from data and forecasts covering most of the past decade and going out to 2028.  </w:t>
      </w:r>
    </w:p>
    <w:p w:rsidR="00606C74" w:rsidRDefault="00606C74" w:rsidP="00606C74">
      <w:pPr>
        <w:ind w:left="0"/>
        <w:rPr>
          <w:rFonts w:ascii="Times New Roman" w:hAnsi="Times New Roman"/>
          <w:sz w:val="24"/>
          <w:szCs w:val="24"/>
        </w:rPr>
      </w:pPr>
      <w:r w:rsidRPr="00F42FF6">
        <w:rPr>
          <w:rFonts w:ascii="Times New Roman" w:hAnsi="Times New Roman"/>
          <w:sz w:val="24"/>
          <w:szCs w:val="24"/>
        </w:rPr>
        <w:t xml:space="preserve">The employment, population and GDP forecasts used in our 2030-40 and 2040-50 simulations are in the Period 3 and 4 sections of Table 6.1.  We continue to assume that regional consumption propensities move </w:t>
      </w:r>
      <w:r>
        <w:rPr>
          <w:rFonts w:ascii="Times New Roman" w:hAnsi="Times New Roman"/>
          <w:sz w:val="24"/>
          <w:szCs w:val="24"/>
        </w:rPr>
        <w:t xml:space="preserve">in accordance with equations (5.1) and (5.2) </w:t>
      </w:r>
      <w:r w:rsidRPr="00F42FF6">
        <w:rPr>
          <w:rFonts w:ascii="Times New Roman" w:hAnsi="Times New Roman"/>
          <w:sz w:val="24"/>
          <w:szCs w:val="24"/>
        </w:rPr>
        <w:t>with the adjustment parameter</w:t>
      </w:r>
      <w:r>
        <w:rPr>
          <w:rFonts w:ascii="Times New Roman" w:hAnsi="Times New Roman"/>
          <w:sz w:val="24"/>
          <w:szCs w:val="24"/>
        </w:rPr>
        <w:t>s</w:t>
      </w:r>
      <w:r w:rsidRPr="00F42FF6">
        <w:rPr>
          <w:rFonts w:ascii="Times New Roman" w:hAnsi="Times New Roman"/>
          <w:sz w:val="24"/>
          <w:szCs w:val="24"/>
        </w:rPr>
        <w:t xml:space="preserve"> set on 0.2</w:t>
      </w:r>
      <w:r>
        <w:rPr>
          <w:rFonts w:ascii="Times New Roman" w:hAnsi="Times New Roman"/>
          <w:sz w:val="24"/>
          <w:szCs w:val="24"/>
        </w:rPr>
        <w:t xml:space="preserve"> and 0.5</w:t>
      </w:r>
      <w:r w:rsidRPr="00F42FF6">
        <w:rPr>
          <w:rFonts w:ascii="Times New Roman" w:hAnsi="Times New Roman"/>
          <w:sz w:val="24"/>
          <w:szCs w:val="24"/>
        </w:rPr>
        <w:t xml:space="preserve"> and we continue to adopt the capital-labour technology twists from the 2004-14 historical simulation.  In setting the numeraire, we assumed that global nominal GDP will grow between 2030 and 2050 at rates that maintain the global rate of inflation projected for 2019-30.</w:t>
      </w:r>
      <w:r>
        <w:rPr>
          <w:rFonts w:ascii="Times New Roman" w:hAnsi="Times New Roman"/>
          <w:sz w:val="24"/>
          <w:szCs w:val="24"/>
        </w:rPr>
        <w:t xml:space="preserve">  </w:t>
      </w:r>
    </w:p>
    <w:p w:rsidR="002F4F00" w:rsidRPr="00FF1563" w:rsidRDefault="002F4F00" w:rsidP="002F4F00">
      <w:pPr>
        <w:ind w:left="0"/>
        <w:jc w:val="center"/>
        <w:rPr>
          <w:rFonts w:ascii="Times New Roman" w:hAnsi="Times New Roman"/>
          <w:b/>
          <w:i/>
          <w:sz w:val="24"/>
          <w:szCs w:val="24"/>
        </w:rPr>
      </w:pPr>
      <w:r>
        <w:rPr>
          <w:rFonts w:ascii="Times New Roman" w:hAnsi="Times New Roman"/>
          <w:b/>
          <w:i/>
          <w:sz w:val="24"/>
          <w:szCs w:val="24"/>
        </w:rPr>
        <w:lastRenderedPageBreak/>
        <w:t>Table 5.3.  Map from 13-order regions to Reg2</w:t>
      </w:r>
    </w:p>
    <w:tbl>
      <w:tblPr>
        <w:tblW w:w="0" w:type="auto"/>
        <w:tblInd w:w="2268" w:type="dxa"/>
        <w:tblLook w:val="04A0" w:firstRow="1" w:lastRow="0" w:firstColumn="1" w:lastColumn="0" w:noHBand="0" w:noVBand="1"/>
      </w:tblPr>
      <w:tblGrid>
        <w:gridCol w:w="1980"/>
        <w:gridCol w:w="2840"/>
      </w:tblGrid>
      <w:tr w:rsidR="002F4F00" w:rsidRPr="00C600BB" w:rsidTr="0072488F">
        <w:tc>
          <w:tcPr>
            <w:tcW w:w="1980" w:type="dxa"/>
            <w:tcBorders>
              <w:top w:val="single" w:sz="18" w:space="0" w:color="7F7F7F"/>
              <w:bottom w:val="single" w:sz="18" w:space="0" w:color="7F7F7F"/>
              <w:right w:val="single" w:sz="18" w:space="0" w:color="7F7F7F"/>
            </w:tcBorders>
            <w:shd w:val="clear" w:color="auto" w:fill="auto"/>
            <w:vAlign w:val="bottom"/>
          </w:tcPr>
          <w:p w:rsidR="002F4F00" w:rsidRPr="00C600BB" w:rsidRDefault="002F4F00" w:rsidP="0072488F">
            <w:pPr>
              <w:spacing w:before="0" w:line="240" w:lineRule="auto"/>
              <w:ind w:left="456"/>
              <w:rPr>
                <w:rFonts w:cs="Calibri"/>
                <w:color w:val="000000"/>
              </w:rPr>
            </w:pPr>
            <w:r w:rsidRPr="00C600BB">
              <w:rPr>
                <w:rFonts w:cs="Calibri"/>
                <w:color w:val="000000"/>
              </w:rPr>
              <w:t>r</w:t>
            </w:r>
          </w:p>
        </w:tc>
        <w:tc>
          <w:tcPr>
            <w:tcW w:w="2840" w:type="dxa"/>
            <w:tcBorders>
              <w:top w:val="single" w:sz="18" w:space="0" w:color="7F7F7F"/>
              <w:left w:val="single" w:sz="18" w:space="0" w:color="7F7F7F"/>
              <w:bottom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Map(r)</w:t>
            </w:r>
          </w:p>
        </w:tc>
      </w:tr>
      <w:tr w:rsidR="002F4F00" w:rsidRPr="00C600BB" w:rsidTr="0072488F">
        <w:tc>
          <w:tcPr>
            <w:tcW w:w="1980" w:type="dxa"/>
            <w:tcBorders>
              <w:top w:val="single" w:sz="18" w:space="0" w:color="7F7F7F"/>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USA</w:t>
            </w:r>
          </w:p>
        </w:tc>
        <w:tc>
          <w:tcPr>
            <w:tcW w:w="2840" w:type="dxa"/>
            <w:tcBorders>
              <w:top w:val="single" w:sz="18" w:space="0" w:color="7F7F7F"/>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USA</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Canada</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Rest of North America</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Mexico</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Rest of North America</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China</w:t>
            </w:r>
          </w:p>
        </w:tc>
        <w:tc>
          <w:tcPr>
            <w:tcW w:w="2840" w:type="dxa"/>
            <w:tcBorders>
              <w:left w:val="single" w:sz="18" w:space="0" w:color="7F7F7F"/>
            </w:tcBorders>
            <w:shd w:val="clear" w:color="auto" w:fill="auto"/>
            <w:vAlign w:val="bottom"/>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China</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Japan</w:t>
            </w:r>
          </w:p>
        </w:tc>
        <w:tc>
          <w:tcPr>
            <w:tcW w:w="2840" w:type="dxa"/>
            <w:tcBorders>
              <w:left w:val="single" w:sz="18" w:space="0" w:color="7F7F7F"/>
            </w:tcBorders>
            <w:shd w:val="clear" w:color="auto" w:fill="auto"/>
            <w:vAlign w:val="bottom"/>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Japan</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SKorea</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Japan</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India</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India</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France</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EU</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Germany</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EU</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UK</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EU</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RoEU</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EU</w:t>
            </w:r>
          </w:p>
        </w:tc>
      </w:tr>
      <w:tr w:rsidR="002F4F00" w:rsidRPr="00C600BB" w:rsidTr="0072488F">
        <w:tc>
          <w:tcPr>
            <w:tcW w:w="1980" w:type="dxa"/>
            <w:tcBorders>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SaudiArabia</w:t>
            </w:r>
          </w:p>
        </w:tc>
        <w:tc>
          <w:tcPr>
            <w:tcW w:w="2840" w:type="dxa"/>
            <w:tcBorders>
              <w:left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Middle East</w:t>
            </w:r>
          </w:p>
        </w:tc>
      </w:tr>
      <w:tr w:rsidR="002F4F00" w:rsidRPr="00C600BB" w:rsidTr="0072488F">
        <w:tc>
          <w:tcPr>
            <w:tcW w:w="1980" w:type="dxa"/>
            <w:tcBorders>
              <w:bottom w:val="single" w:sz="18" w:space="0" w:color="7F7F7F"/>
              <w:right w:val="single" w:sz="18" w:space="0" w:color="7F7F7F"/>
            </w:tcBorders>
            <w:shd w:val="clear" w:color="auto" w:fill="auto"/>
            <w:vAlign w:val="bottom"/>
          </w:tcPr>
          <w:p w:rsidR="002F4F00" w:rsidRPr="00C600BB" w:rsidRDefault="002F4F00" w:rsidP="0072488F">
            <w:pPr>
              <w:spacing w:before="0" w:line="240" w:lineRule="auto"/>
              <w:ind w:left="456"/>
              <w:rPr>
                <w:rFonts w:ascii="Times New Roman" w:hAnsi="Times New Roman"/>
                <w:color w:val="000000"/>
                <w:sz w:val="20"/>
                <w:szCs w:val="20"/>
              </w:rPr>
            </w:pPr>
            <w:r w:rsidRPr="00C600BB">
              <w:rPr>
                <w:rFonts w:ascii="Times New Roman" w:hAnsi="Times New Roman"/>
                <w:color w:val="000000"/>
                <w:sz w:val="20"/>
                <w:szCs w:val="20"/>
              </w:rPr>
              <w:t>RoW</w:t>
            </w:r>
          </w:p>
        </w:tc>
        <w:tc>
          <w:tcPr>
            <w:tcW w:w="2840" w:type="dxa"/>
            <w:tcBorders>
              <w:left w:val="single" w:sz="18" w:space="0" w:color="7F7F7F"/>
              <w:bottom w:val="single" w:sz="18" w:space="0" w:color="7F7F7F"/>
            </w:tcBorders>
            <w:shd w:val="clear" w:color="auto" w:fill="auto"/>
          </w:tcPr>
          <w:p w:rsidR="002F4F00" w:rsidRPr="00C600BB" w:rsidRDefault="002F4F00" w:rsidP="0072488F">
            <w:pPr>
              <w:spacing w:before="0" w:line="240" w:lineRule="auto"/>
              <w:ind w:left="604"/>
              <w:rPr>
                <w:rFonts w:ascii="Times New Roman" w:hAnsi="Times New Roman"/>
                <w:color w:val="000000"/>
                <w:sz w:val="20"/>
                <w:szCs w:val="20"/>
              </w:rPr>
            </w:pPr>
            <w:r w:rsidRPr="00C600BB">
              <w:rPr>
                <w:rFonts w:ascii="Times New Roman" w:hAnsi="Times New Roman"/>
                <w:color w:val="000000"/>
                <w:sz w:val="20"/>
                <w:szCs w:val="20"/>
              </w:rPr>
              <w:t>RoW</w:t>
            </w:r>
          </w:p>
        </w:tc>
      </w:tr>
    </w:tbl>
    <w:p w:rsidR="002F4F00" w:rsidRDefault="002F4F00" w:rsidP="002633D1">
      <w:pPr>
        <w:ind w:left="0"/>
        <w:rPr>
          <w:rFonts w:ascii="Times New Roman" w:hAnsi="Times New Roman"/>
          <w:sz w:val="24"/>
          <w:szCs w:val="24"/>
        </w:rPr>
      </w:pPr>
    </w:p>
    <w:p w:rsidR="00505CF6" w:rsidRDefault="00603132" w:rsidP="002633D1">
      <w:pPr>
        <w:ind w:left="0"/>
        <w:rPr>
          <w:rFonts w:ascii="Times New Roman" w:hAnsi="Times New Roman"/>
          <w:b/>
          <w:sz w:val="24"/>
          <w:szCs w:val="24"/>
        </w:rPr>
      </w:pPr>
      <w:r>
        <w:rPr>
          <w:rFonts w:ascii="Times New Roman" w:hAnsi="Times New Roman"/>
          <w:b/>
          <w:sz w:val="24"/>
          <w:szCs w:val="24"/>
        </w:rPr>
        <w:t>6</w:t>
      </w:r>
      <w:r w:rsidR="00660A9E">
        <w:rPr>
          <w:rFonts w:ascii="Times New Roman" w:hAnsi="Times New Roman"/>
          <w:b/>
          <w:sz w:val="24"/>
          <w:szCs w:val="24"/>
        </w:rPr>
        <w:t>.  Results: baseline projections for 2019-30, 2030-40 and 2040-50</w:t>
      </w:r>
    </w:p>
    <w:p w:rsidR="00413F0E" w:rsidRDefault="005D6AC2" w:rsidP="00281134">
      <w:pPr>
        <w:ind w:left="0"/>
        <w:rPr>
          <w:rFonts w:ascii="Times New Roman" w:hAnsi="Times New Roman"/>
          <w:sz w:val="24"/>
          <w:szCs w:val="24"/>
        </w:rPr>
      </w:pPr>
      <w:r w:rsidRPr="005F3A84">
        <w:rPr>
          <w:rFonts w:ascii="Times New Roman" w:hAnsi="Times New Roman"/>
          <w:sz w:val="24"/>
          <w:szCs w:val="24"/>
        </w:rPr>
        <w:t xml:space="preserve">Tables </w:t>
      </w:r>
      <w:r w:rsidR="00EB1BF8" w:rsidRPr="005F3A84">
        <w:rPr>
          <w:rFonts w:ascii="Times New Roman" w:hAnsi="Times New Roman"/>
          <w:sz w:val="24"/>
          <w:szCs w:val="24"/>
        </w:rPr>
        <w:t>6</w:t>
      </w:r>
      <w:r w:rsidRPr="005F3A84">
        <w:rPr>
          <w:rFonts w:ascii="Times New Roman" w:hAnsi="Times New Roman"/>
          <w:sz w:val="24"/>
          <w:szCs w:val="24"/>
        </w:rPr>
        <w:t xml:space="preserve">.1 – </w:t>
      </w:r>
      <w:r w:rsidR="00EB1BF8" w:rsidRPr="005F3A84">
        <w:rPr>
          <w:rFonts w:ascii="Times New Roman" w:hAnsi="Times New Roman"/>
          <w:sz w:val="24"/>
          <w:szCs w:val="24"/>
        </w:rPr>
        <w:t>6</w:t>
      </w:r>
      <w:r w:rsidRPr="005F3A84">
        <w:rPr>
          <w:rFonts w:ascii="Times New Roman" w:hAnsi="Times New Roman"/>
          <w:sz w:val="24"/>
          <w:szCs w:val="24"/>
        </w:rPr>
        <w:t>.</w:t>
      </w:r>
      <w:r w:rsidR="00B61287" w:rsidRPr="005F3A84">
        <w:rPr>
          <w:rFonts w:ascii="Times New Roman" w:hAnsi="Times New Roman"/>
          <w:sz w:val="24"/>
          <w:szCs w:val="24"/>
        </w:rPr>
        <w:t>6</w:t>
      </w:r>
      <w:r w:rsidRPr="005F3A84">
        <w:rPr>
          <w:rFonts w:ascii="Times New Roman" w:hAnsi="Times New Roman"/>
          <w:sz w:val="24"/>
          <w:szCs w:val="24"/>
        </w:rPr>
        <w:t xml:space="preserve"> contain</w:t>
      </w:r>
      <w:r>
        <w:rPr>
          <w:rFonts w:ascii="Times New Roman" w:hAnsi="Times New Roman"/>
          <w:sz w:val="24"/>
          <w:szCs w:val="24"/>
        </w:rPr>
        <w:t xml:space="preserve"> results from the update simulation for 2014-19 and the baseline simulations for 2019-30, 2030-40 and 2040-50.  Results from the update simulation were discussed in section </w:t>
      </w:r>
      <w:r w:rsidR="00EB1BF8">
        <w:rPr>
          <w:rFonts w:ascii="Times New Roman" w:hAnsi="Times New Roman"/>
          <w:sz w:val="24"/>
          <w:szCs w:val="24"/>
        </w:rPr>
        <w:t>4</w:t>
      </w:r>
      <w:r>
        <w:rPr>
          <w:rFonts w:ascii="Times New Roman" w:hAnsi="Times New Roman"/>
          <w:sz w:val="24"/>
          <w:szCs w:val="24"/>
        </w:rPr>
        <w:t xml:space="preserve">, particularly section </w:t>
      </w:r>
      <w:r w:rsidR="00EB1BF8">
        <w:rPr>
          <w:rFonts w:ascii="Times New Roman" w:hAnsi="Times New Roman"/>
          <w:sz w:val="24"/>
          <w:szCs w:val="24"/>
        </w:rPr>
        <w:t>4</w:t>
      </w:r>
      <w:r>
        <w:rPr>
          <w:rFonts w:ascii="Times New Roman" w:hAnsi="Times New Roman"/>
          <w:sz w:val="24"/>
          <w:szCs w:val="24"/>
        </w:rPr>
        <w:t xml:space="preserve">.2.   In this section, we focus mainly on the </w:t>
      </w:r>
      <w:r w:rsidR="00EB1BF8">
        <w:rPr>
          <w:rFonts w:ascii="Times New Roman" w:hAnsi="Times New Roman"/>
          <w:sz w:val="24"/>
          <w:szCs w:val="24"/>
        </w:rPr>
        <w:t>three</w:t>
      </w:r>
      <w:r>
        <w:rPr>
          <w:rFonts w:ascii="Times New Roman" w:hAnsi="Times New Roman"/>
          <w:sz w:val="24"/>
          <w:szCs w:val="24"/>
        </w:rPr>
        <w:t xml:space="preserve"> simulations for future periods.  </w:t>
      </w:r>
    </w:p>
    <w:p w:rsidR="005D6AC2" w:rsidRDefault="005D6AC2" w:rsidP="00281134">
      <w:pPr>
        <w:ind w:left="0"/>
        <w:rPr>
          <w:rFonts w:ascii="Times New Roman" w:hAnsi="Times New Roman"/>
          <w:sz w:val="24"/>
          <w:szCs w:val="24"/>
        </w:rPr>
      </w:pPr>
      <w:r>
        <w:rPr>
          <w:rFonts w:ascii="Times New Roman" w:hAnsi="Times New Roman"/>
          <w:sz w:val="24"/>
          <w:szCs w:val="24"/>
        </w:rPr>
        <w:t>In the tables, the shaded columns are for variables that were exogenous in the simulations or only slightly adjusted to fulfil consistency conditions such as global exports summing to global imports.  To aid comparability across periods of different lengths, all results are expressed as average annual percentage changes.</w:t>
      </w:r>
      <w:r w:rsidR="00263B18">
        <w:rPr>
          <w:rFonts w:ascii="Times New Roman" w:hAnsi="Times New Roman"/>
          <w:sz w:val="24"/>
          <w:szCs w:val="24"/>
        </w:rPr>
        <w:t xml:space="preserve">  </w:t>
      </w:r>
    </w:p>
    <w:p w:rsidR="00263B18" w:rsidRDefault="00B213EA" w:rsidP="00263B18">
      <w:pPr>
        <w:ind w:left="0"/>
        <w:rPr>
          <w:rFonts w:ascii="Times New Roman" w:hAnsi="Times New Roman"/>
          <w:b/>
          <w:i/>
          <w:sz w:val="24"/>
          <w:szCs w:val="24"/>
        </w:rPr>
      </w:pPr>
      <w:r>
        <w:rPr>
          <w:rFonts w:ascii="Times New Roman" w:hAnsi="Times New Roman"/>
          <w:b/>
          <w:i/>
          <w:sz w:val="24"/>
          <w:szCs w:val="24"/>
        </w:rPr>
        <w:t xml:space="preserve">6.1.  </w:t>
      </w:r>
      <w:r w:rsidR="00263B18">
        <w:rPr>
          <w:rFonts w:ascii="Times New Roman" w:hAnsi="Times New Roman"/>
          <w:b/>
          <w:i/>
          <w:sz w:val="24"/>
          <w:szCs w:val="24"/>
        </w:rPr>
        <w:t>Real GDP</w:t>
      </w:r>
      <w:r w:rsidR="00D514CD">
        <w:rPr>
          <w:rFonts w:ascii="Times New Roman" w:hAnsi="Times New Roman"/>
          <w:b/>
          <w:i/>
          <w:sz w:val="24"/>
          <w:szCs w:val="24"/>
        </w:rPr>
        <w:t>, f</w:t>
      </w:r>
      <w:r w:rsidR="00263B18">
        <w:rPr>
          <w:rFonts w:ascii="Times New Roman" w:hAnsi="Times New Roman"/>
          <w:b/>
          <w:i/>
          <w:sz w:val="24"/>
          <w:szCs w:val="24"/>
        </w:rPr>
        <w:t xml:space="preserve">actor inputs and prices, and technology (Table </w:t>
      </w:r>
      <w:r w:rsidR="00EB1BF8">
        <w:rPr>
          <w:rFonts w:ascii="Times New Roman" w:hAnsi="Times New Roman"/>
          <w:b/>
          <w:i/>
          <w:sz w:val="24"/>
          <w:szCs w:val="24"/>
        </w:rPr>
        <w:t>6.1</w:t>
      </w:r>
      <w:r w:rsidR="00263B18">
        <w:rPr>
          <w:rFonts w:ascii="Times New Roman" w:hAnsi="Times New Roman"/>
          <w:b/>
          <w:i/>
          <w:sz w:val="24"/>
          <w:szCs w:val="24"/>
        </w:rPr>
        <w:t>)</w:t>
      </w:r>
    </w:p>
    <w:p w:rsidR="00263B18" w:rsidRPr="00B76FA6" w:rsidRDefault="00DA7E8C" w:rsidP="00B76FA6">
      <w:pPr>
        <w:ind w:left="0"/>
        <w:rPr>
          <w:rFonts w:ascii="Times New Roman" w:hAnsi="Times New Roman"/>
          <w:sz w:val="24"/>
          <w:szCs w:val="24"/>
        </w:rPr>
      </w:pPr>
      <w:r>
        <w:rPr>
          <w:rFonts w:ascii="Times New Roman" w:hAnsi="Times New Roman"/>
          <w:sz w:val="24"/>
          <w:szCs w:val="24"/>
        </w:rPr>
        <w:t xml:space="preserve">In terms of GDP, China and India were the fastest growing economies in 2014-19.  They remain in the first two positions in our baseline out to 2050.  However, growth in both </w:t>
      </w:r>
      <w:r w:rsidRPr="00B76FA6">
        <w:rPr>
          <w:rFonts w:ascii="Times New Roman" w:hAnsi="Times New Roman"/>
          <w:sz w:val="24"/>
          <w:szCs w:val="24"/>
        </w:rPr>
        <w:t xml:space="preserve">economies slows.  For China, average annual percentage growth in real GDP in the four periods identified in Table </w:t>
      </w:r>
      <w:r w:rsidR="006471A9" w:rsidRPr="00B76FA6">
        <w:rPr>
          <w:rFonts w:ascii="Times New Roman" w:hAnsi="Times New Roman"/>
          <w:sz w:val="24"/>
          <w:szCs w:val="24"/>
        </w:rPr>
        <w:t>6</w:t>
      </w:r>
      <w:r w:rsidRPr="00B76FA6">
        <w:rPr>
          <w:rFonts w:ascii="Times New Roman" w:hAnsi="Times New Roman"/>
          <w:sz w:val="24"/>
          <w:szCs w:val="24"/>
        </w:rPr>
        <w:t>.1 goes from 6.6</w:t>
      </w:r>
      <w:r w:rsidR="00F42FF6" w:rsidRPr="00B76FA6">
        <w:rPr>
          <w:rFonts w:ascii="Times New Roman" w:hAnsi="Times New Roman"/>
          <w:sz w:val="24"/>
          <w:szCs w:val="24"/>
        </w:rPr>
        <w:t>5</w:t>
      </w:r>
      <w:r w:rsidRPr="00B76FA6">
        <w:rPr>
          <w:rFonts w:ascii="Times New Roman" w:hAnsi="Times New Roman"/>
          <w:sz w:val="24"/>
          <w:szCs w:val="24"/>
        </w:rPr>
        <w:t xml:space="preserve"> to </w:t>
      </w:r>
      <w:r w:rsidR="001F4846" w:rsidRPr="00B76FA6">
        <w:rPr>
          <w:rFonts w:ascii="Times New Roman" w:hAnsi="Times New Roman"/>
          <w:sz w:val="24"/>
          <w:szCs w:val="24"/>
        </w:rPr>
        <w:t>4.16</w:t>
      </w:r>
      <w:r w:rsidRPr="00B76FA6">
        <w:rPr>
          <w:rFonts w:ascii="Times New Roman" w:hAnsi="Times New Roman"/>
          <w:sz w:val="24"/>
          <w:szCs w:val="24"/>
        </w:rPr>
        <w:t xml:space="preserve"> to 3.05 to 3.25.  The slowdown is explained by demographic factors, generating negative growth in employment (annual percentage growth rates of -0.04, -0.32, -1.18 and -0.99) and </w:t>
      </w:r>
      <w:r w:rsidR="00A45422" w:rsidRPr="00FB6C19">
        <w:rPr>
          <w:rFonts w:ascii="Times New Roman" w:hAnsi="Times New Roman"/>
          <w:sz w:val="24"/>
          <w:szCs w:val="24"/>
        </w:rPr>
        <w:t>associated reductions in capital growth (annual percentage growth rates of 9.</w:t>
      </w:r>
      <w:r w:rsidR="00095098" w:rsidRPr="00FB6C19">
        <w:rPr>
          <w:rFonts w:ascii="Times New Roman" w:hAnsi="Times New Roman"/>
          <w:sz w:val="24"/>
          <w:szCs w:val="24"/>
        </w:rPr>
        <w:t>6</w:t>
      </w:r>
      <w:r w:rsidR="006471A9" w:rsidRPr="00FB6C19">
        <w:rPr>
          <w:rFonts w:ascii="Times New Roman" w:hAnsi="Times New Roman"/>
          <w:sz w:val="24"/>
          <w:szCs w:val="24"/>
        </w:rPr>
        <w:t>1</w:t>
      </w:r>
      <w:r w:rsidR="00A45422" w:rsidRPr="00FB6C19">
        <w:rPr>
          <w:rFonts w:ascii="Times New Roman" w:hAnsi="Times New Roman"/>
          <w:sz w:val="24"/>
          <w:szCs w:val="24"/>
        </w:rPr>
        <w:t xml:space="preserve">, </w:t>
      </w:r>
      <w:r w:rsidR="00095098" w:rsidRPr="00FB6C19">
        <w:rPr>
          <w:rFonts w:ascii="Times New Roman" w:hAnsi="Times New Roman"/>
          <w:sz w:val="24"/>
          <w:szCs w:val="24"/>
        </w:rPr>
        <w:t>5.</w:t>
      </w:r>
      <w:r w:rsidR="00776E1E" w:rsidRPr="00FB6C19">
        <w:rPr>
          <w:rFonts w:ascii="Times New Roman" w:hAnsi="Times New Roman"/>
          <w:sz w:val="24"/>
          <w:szCs w:val="24"/>
        </w:rPr>
        <w:t>36</w:t>
      </w:r>
      <w:r w:rsidR="00A45422" w:rsidRPr="00FB6C19">
        <w:rPr>
          <w:rFonts w:ascii="Times New Roman" w:hAnsi="Times New Roman"/>
          <w:sz w:val="24"/>
          <w:szCs w:val="24"/>
        </w:rPr>
        <w:t>, 4</w:t>
      </w:r>
      <w:r w:rsidR="001F4846" w:rsidRPr="00FB6C19">
        <w:rPr>
          <w:rFonts w:ascii="Times New Roman" w:hAnsi="Times New Roman"/>
          <w:sz w:val="24"/>
          <w:szCs w:val="24"/>
        </w:rPr>
        <w:t>.</w:t>
      </w:r>
      <w:r w:rsidR="00776E1E" w:rsidRPr="00FB6C19">
        <w:rPr>
          <w:rFonts w:ascii="Times New Roman" w:hAnsi="Times New Roman"/>
          <w:sz w:val="24"/>
          <w:szCs w:val="24"/>
        </w:rPr>
        <w:t>09</w:t>
      </w:r>
      <w:r w:rsidR="00A45422" w:rsidRPr="00FB6C19">
        <w:rPr>
          <w:rFonts w:ascii="Times New Roman" w:hAnsi="Times New Roman"/>
          <w:sz w:val="24"/>
          <w:szCs w:val="24"/>
        </w:rPr>
        <w:t xml:space="preserve"> and </w:t>
      </w:r>
      <w:r w:rsidR="00095098" w:rsidRPr="00FB6C19">
        <w:rPr>
          <w:rFonts w:ascii="Times New Roman" w:hAnsi="Times New Roman"/>
          <w:sz w:val="24"/>
          <w:szCs w:val="24"/>
        </w:rPr>
        <w:t>3.</w:t>
      </w:r>
      <w:r w:rsidR="00776E1E" w:rsidRPr="00FB6C19">
        <w:rPr>
          <w:rFonts w:ascii="Times New Roman" w:hAnsi="Times New Roman"/>
          <w:sz w:val="24"/>
          <w:szCs w:val="24"/>
        </w:rPr>
        <w:t>94</w:t>
      </w:r>
      <w:r w:rsidR="00A45422" w:rsidRPr="00B76FA6">
        <w:rPr>
          <w:rFonts w:ascii="Times New Roman" w:hAnsi="Times New Roman"/>
          <w:sz w:val="24"/>
          <w:szCs w:val="24"/>
        </w:rPr>
        <w:t xml:space="preserve">).  Annual percentage contributions to Chinese </w:t>
      </w:r>
      <w:r w:rsidR="00A45422" w:rsidRPr="00FB6C19">
        <w:rPr>
          <w:rFonts w:ascii="Times New Roman" w:hAnsi="Times New Roman"/>
          <w:sz w:val="24"/>
          <w:szCs w:val="24"/>
        </w:rPr>
        <w:t>GDP growth from total factor productivity growth also flatten out (technology contributions of 1.</w:t>
      </w:r>
      <w:r w:rsidR="00776E1E" w:rsidRPr="00FB6C19">
        <w:rPr>
          <w:rFonts w:ascii="Times New Roman" w:hAnsi="Times New Roman"/>
          <w:sz w:val="24"/>
          <w:szCs w:val="24"/>
        </w:rPr>
        <w:t>85</w:t>
      </w:r>
      <w:r w:rsidR="00A45422" w:rsidRPr="00FB6C19">
        <w:rPr>
          <w:rFonts w:ascii="Times New Roman" w:hAnsi="Times New Roman"/>
          <w:sz w:val="24"/>
          <w:szCs w:val="24"/>
        </w:rPr>
        <w:t>, 1.</w:t>
      </w:r>
      <w:r w:rsidR="00776E1E" w:rsidRPr="00FB6C19">
        <w:rPr>
          <w:rFonts w:ascii="Times New Roman" w:hAnsi="Times New Roman"/>
          <w:sz w:val="24"/>
          <w:szCs w:val="24"/>
        </w:rPr>
        <w:t>57</w:t>
      </w:r>
      <w:r w:rsidR="00A45422" w:rsidRPr="00FB6C19">
        <w:rPr>
          <w:rFonts w:ascii="Times New Roman" w:hAnsi="Times New Roman"/>
          <w:sz w:val="24"/>
          <w:szCs w:val="24"/>
        </w:rPr>
        <w:t xml:space="preserve">, </w:t>
      </w:r>
      <w:r w:rsidR="00095098" w:rsidRPr="00FB6C19">
        <w:rPr>
          <w:rFonts w:ascii="Times New Roman" w:hAnsi="Times New Roman"/>
          <w:sz w:val="24"/>
          <w:szCs w:val="24"/>
        </w:rPr>
        <w:t>1.</w:t>
      </w:r>
      <w:r w:rsidR="00776E1E" w:rsidRPr="00FB6C19">
        <w:rPr>
          <w:rFonts w:ascii="Times New Roman" w:hAnsi="Times New Roman"/>
          <w:sz w:val="24"/>
          <w:szCs w:val="24"/>
        </w:rPr>
        <w:t>33</w:t>
      </w:r>
      <w:r w:rsidR="00A45422" w:rsidRPr="00FB6C19">
        <w:rPr>
          <w:rFonts w:ascii="Times New Roman" w:hAnsi="Times New Roman"/>
          <w:sz w:val="24"/>
          <w:szCs w:val="24"/>
        </w:rPr>
        <w:t xml:space="preserve"> and </w:t>
      </w:r>
      <w:r w:rsidR="00095098" w:rsidRPr="00FB6C19">
        <w:rPr>
          <w:rFonts w:ascii="Times New Roman" w:hAnsi="Times New Roman"/>
          <w:sz w:val="24"/>
          <w:szCs w:val="24"/>
        </w:rPr>
        <w:t>1.</w:t>
      </w:r>
      <w:r w:rsidR="00776E1E" w:rsidRPr="00FB6C19">
        <w:rPr>
          <w:rFonts w:ascii="Times New Roman" w:hAnsi="Times New Roman"/>
          <w:sz w:val="24"/>
          <w:szCs w:val="24"/>
        </w:rPr>
        <w:t>27</w:t>
      </w:r>
      <w:r w:rsidR="00A45422" w:rsidRPr="00B76FA6">
        <w:rPr>
          <w:rFonts w:ascii="Times New Roman" w:hAnsi="Times New Roman"/>
          <w:sz w:val="24"/>
          <w:szCs w:val="24"/>
        </w:rPr>
        <w:t xml:space="preserve"> per cent).  </w:t>
      </w:r>
    </w:p>
    <w:p w:rsidR="00A45422" w:rsidRPr="00B76FA6" w:rsidRDefault="00A45422" w:rsidP="00B76FA6">
      <w:pPr>
        <w:ind w:left="0"/>
        <w:rPr>
          <w:rFonts w:ascii="Times New Roman" w:hAnsi="Times New Roman"/>
          <w:sz w:val="24"/>
          <w:szCs w:val="24"/>
        </w:rPr>
      </w:pPr>
      <w:r w:rsidRPr="00B76FA6">
        <w:rPr>
          <w:rFonts w:ascii="Times New Roman" w:hAnsi="Times New Roman"/>
          <w:sz w:val="24"/>
          <w:szCs w:val="24"/>
        </w:rPr>
        <w:t>Relative to China, the slowdown in real GDP growth for India is less pronounced (6.19 per cent in 2014-19 down to 5.10 per cent in 2040-50</w:t>
      </w:r>
      <w:r w:rsidR="00776E1E" w:rsidRPr="00FB6C19">
        <w:rPr>
          <w:rFonts w:ascii="Times New Roman" w:hAnsi="Times New Roman"/>
          <w:sz w:val="24"/>
          <w:szCs w:val="24"/>
        </w:rPr>
        <w:t>)</w:t>
      </w:r>
      <w:r w:rsidRPr="00B76FA6">
        <w:rPr>
          <w:rFonts w:ascii="Times New Roman" w:hAnsi="Times New Roman"/>
          <w:sz w:val="24"/>
          <w:szCs w:val="24"/>
        </w:rPr>
        <w:t xml:space="preserve">.  For India, workforce growth remains positive and total factor productivity continues to contribute strongly.  </w:t>
      </w:r>
    </w:p>
    <w:p w:rsidR="00E8009E" w:rsidRPr="00B76FA6" w:rsidRDefault="000E465A" w:rsidP="00B76FA6">
      <w:pPr>
        <w:ind w:left="0"/>
        <w:rPr>
          <w:rFonts w:ascii="Times New Roman" w:hAnsi="Times New Roman"/>
          <w:sz w:val="24"/>
          <w:szCs w:val="24"/>
        </w:rPr>
      </w:pPr>
      <w:r w:rsidRPr="00B76FA6">
        <w:rPr>
          <w:rFonts w:ascii="Times New Roman" w:hAnsi="Times New Roman"/>
          <w:sz w:val="24"/>
          <w:szCs w:val="24"/>
        </w:rPr>
        <w:t xml:space="preserve">Japan is the slowest growing economy in our baseline, going from annual GDP growth of 0.86 per cent in 2014-19 to 0.23 per cent in 2040-50.  Throughout the four periods in Table </w:t>
      </w:r>
      <w:r w:rsidR="006471A9" w:rsidRPr="00B76FA6">
        <w:rPr>
          <w:rFonts w:ascii="Times New Roman" w:hAnsi="Times New Roman"/>
          <w:sz w:val="24"/>
          <w:szCs w:val="24"/>
        </w:rPr>
        <w:t>6</w:t>
      </w:r>
      <w:r w:rsidRPr="00B76FA6">
        <w:rPr>
          <w:rFonts w:ascii="Times New Roman" w:hAnsi="Times New Roman"/>
          <w:sz w:val="24"/>
          <w:szCs w:val="24"/>
        </w:rPr>
        <w:t xml:space="preserve">.1, Japan’s workforce declines quite rapidly with annual growth rates between -0.59 and </w:t>
      </w:r>
      <w:r w:rsidRPr="00B76FA6">
        <w:rPr>
          <w:rFonts w:ascii="Times New Roman" w:hAnsi="Times New Roman"/>
          <w:sz w:val="24"/>
          <w:szCs w:val="24"/>
        </w:rPr>
        <w:br/>
        <w:t>-1.24 per cent.  Capital growth is sluggish (annual growth of 1.</w:t>
      </w:r>
      <w:r w:rsidR="00095098" w:rsidRPr="00B76FA6">
        <w:rPr>
          <w:rFonts w:ascii="Times New Roman" w:hAnsi="Times New Roman"/>
          <w:sz w:val="24"/>
          <w:szCs w:val="24"/>
        </w:rPr>
        <w:t>37</w:t>
      </w:r>
      <w:r w:rsidRPr="00B76FA6">
        <w:rPr>
          <w:rFonts w:ascii="Times New Roman" w:hAnsi="Times New Roman"/>
          <w:sz w:val="24"/>
          <w:szCs w:val="24"/>
        </w:rPr>
        <w:t xml:space="preserve"> per cent </w:t>
      </w:r>
      <w:r w:rsidR="009F5F2C" w:rsidRPr="00B76FA6">
        <w:rPr>
          <w:rFonts w:ascii="Times New Roman" w:hAnsi="Times New Roman"/>
          <w:sz w:val="24"/>
          <w:szCs w:val="24"/>
        </w:rPr>
        <w:t xml:space="preserve">in 2019-30 falling to </w:t>
      </w:r>
      <w:r w:rsidR="009F5F2C" w:rsidRPr="00FB6C19">
        <w:rPr>
          <w:rFonts w:ascii="Times New Roman" w:hAnsi="Times New Roman"/>
          <w:sz w:val="24"/>
          <w:szCs w:val="24"/>
        </w:rPr>
        <w:t>0.</w:t>
      </w:r>
      <w:r w:rsidR="00EC631B" w:rsidRPr="00FB6C19">
        <w:rPr>
          <w:rFonts w:ascii="Times New Roman" w:hAnsi="Times New Roman"/>
          <w:sz w:val="24"/>
          <w:szCs w:val="24"/>
        </w:rPr>
        <w:t>17</w:t>
      </w:r>
      <w:r w:rsidR="009F5F2C" w:rsidRPr="00B76FA6">
        <w:rPr>
          <w:rFonts w:ascii="Times New Roman" w:hAnsi="Times New Roman"/>
          <w:sz w:val="24"/>
          <w:szCs w:val="24"/>
        </w:rPr>
        <w:t xml:space="preserve"> per cent in 2040-50.  The contributions to growth from total factor productivity are weak (</w:t>
      </w:r>
      <w:r w:rsidR="009F5F2C" w:rsidRPr="00FB6C19">
        <w:rPr>
          <w:rFonts w:ascii="Times New Roman" w:hAnsi="Times New Roman"/>
          <w:sz w:val="24"/>
          <w:szCs w:val="24"/>
        </w:rPr>
        <w:t>0.</w:t>
      </w:r>
      <w:r w:rsidR="00FB6C19" w:rsidRPr="00FB6C19">
        <w:rPr>
          <w:rFonts w:ascii="Times New Roman" w:hAnsi="Times New Roman"/>
          <w:sz w:val="24"/>
          <w:szCs w:val="24"/>
        </w:rPr>
        <w:t>66</w:t>
      </w:r>
      <w:r w:rsidR="009F5F2C" w:rsidRPr="00B76FA6">
        <w:rPr>
          <w:rFonts w:ascii="Times New Roman" w:hAnsi="Times New Roman"/>
          <w:sz w:val="24"/>
          <w:szCs w:val="24"/>
        </w:rPr>
        <w:t xml:space="preserve"> per cent or less in all periods).  </w:t>
      </w:r>
    </w:p>
    <w:p w:rsidR="00FB6C19" w:rsidRDefault="00FB6C19">
      <w:pPr>
        <w:spacing w:before="0" w:line="240" w:lineRule="auto"/>
        <w:ind w:left="0"/>
        <w:rPr>
          <w:rFonts w:ascii="Times New Roman" w:hAnsi="Times New Roman"/>
          <w:b/>
          <w:i/>
          <w:sz w:val="24"/>
          <w:szCs w:val="24"/>
        </w:rPr>
      </w:pPr>
      <w:r>
        <w:rPr>
          <w:rFonts w:ascii="Times New Roman" w:hAnsi="Times New Roman"/>
          <w:b/>
          <w:i/>
          <w:sz w:val="24"/>
          <w:szCs w:val="24"/>
        </w:rPr>
        <w:br w:type="page"/>
      </w:r>
    </w:p>
    <w:p w:rsidR="00DA230C" w:rsidRPr="00635440" w:rsidRDefault="00DA230C" w:rsidP="00DA230C">
      <w:pPr>
        <w:jc w:val="center"/>
        <w:rPr>
          <w:rFonts w:ascii="Times New Roman" w:hAnsi="Times New Roman"/>
          <w:b/>
          <w:i/>
          <w:sz w:val="24"/>
          <w:szCs w:val="24"/>
        </w:rPr>
      </w:pPr>
      <w:r>
        <w:rPr>
          <w:rFonts w:ascii="Times New Roman" w:hAnsi="Times New Roman"/>
          <w:b/>
          <w:i/>
          <w:sz w:val="24"/>
          <w:szCs w:val="24"/>
        </w:rPr>
        <w:lastRenderedPageBreak/>
        <w:t xml:space="preserve">Table 6.1.  Ave. annual % changes in real GDP, factor inputs &amp; prices, and technology </w:t>
      </w:r>
    </w:p>
    <w:tbl>
      <w:tblPr>
        <w:tblW w:w="0" w:type="auto"/>
        <w:tblInd w:w="-142" w:type="dxa"/>
        <w:tblBorders>
          <w:top w:val="single" w:sz="18" w:space="0" w:color="7F7F7F"/>
          <w:bottom w:val="single" w:sz="18" w:space="0" w:color="7F7F7F"/>
          <w:insideH w:val="single" w:sz="4" w:space="0" w:color="auto"/>
          <w:insideV w:val="single" w:sz="4" w:space="0" w:color="auto"/>
        </w:tblBorders>
        <w:tblLook w:val="04A0" w:firstRow="1" w:lastRow="0" w:firstColumn="1" w:lastColumn="0" w:noHBand="0" w:noVBand="1"/>
      </w:tblPr>
      <w:tblGrid>
        <w:gridCol w:w="1127"/>
        <w:gridCol w:w="1127"/>
        <w:gridCol w:w="1127"/>
        <w:gridCol w:w="1127"/>
        <w:gridCol w:w="1127"/>
        <w:gridCol w:w="1127"/>
        <w:gridCol w:w="1127"/>
        <w:gridCol w:w="1127"/>
      </w:tblGrid>
      <w:tr w:rsidR="00DA230C" w:rsidRPr="00C600BB" w:rsidTr="00013AC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rPr>
                <w:rFonts w:ascii="Times New Roman" w:hAnsi="Times New Roman"/>
                <w:color w:val="000000"/>
                <w:sz w:val="18"/>
                <w:szCs w:val="18"/>
              </w:rPr>
            </w:pPr>
            <w:r w:rsidRPr="00C600BB">
              <w:rPr>
                <w:rFonts w:ascii="Times New Roman" w:hAnsi="Times New Roman"/>
                <w:color w:val="000000"/>
                <w:sz w:val="18"/>
                <w:szCs w:val="18"/>
              </w:rPr>
              <w:t> </w:t>
            </w:r>
          </w:p>
        </w:t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Real GDP</w:t>
            </w:r>
          </w:p>
        </w:t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Capital</w:t>
            </w:r>
          </w:p>
        </w:t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Employment</w:t>
            </w:r>
          </w:p>
        </w:t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Population</w:t>
            </w:r>
          </w:p>
        </w:t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Tech cont</w:t>
            </w:r>
          </w:p>
        </w:t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ind w:left="-73"/>
              <w:jc w:val="center"/>
              <w:rPr>
                <w:rFonts w:ascii="Times New Roman" w:hAnsi="Times New Roman"/>
                <w:color w:val="000000"/>
                <w:sz w:val="18"/>
                <w:szCs w:val="18"/>
              </w:rPr>
            </w:pPr>
            <w:r w:rsidRPr="00C600BB">
              <w:rPr>
                <w:rFonts w:ascii="Times New Roman" w:hAnsi="Times New Roman"/>
                <w:color w:val="000000"/>
                <w:sz w:val="18"/>
                <w:szCs w:val="18"/>
              </w:rPr>
              <w:t>Real wage</w:t>
            </w:r>
          </w:p>
        </w:t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ind w:left="-73"/>
              <w:jc w:val="center"/>
              <w:rPr>
                <w:rFonts w:ascii="Times New Roman" w:hAnsi="Times New Roman"/>
                <w:color w:val="000000"/>
                <w:sz w:val="18"/>
                <w:szCs w:val="18"/>
              </w:rPr>
            </w:pPr>
            <w:r w:rsidRPr="00C600BB">
              <w:rPr>
                <w:rFonts w:ascii="Times New Roman" w:hAnsi="Times New Roman"/>
                <w:color w:val="000000"/>
                <w:sz w:val="18"/>
                <w:szCs w:val="18"/>
              </w:rPr>
              <w:t>RoR on cap</w:t>
            </w:r>
          </w:p>
        </w:tc>
      </w:tr>
      <w:tr w:rsidR="00DA230C" w:rsidRPr="00C600BB" w:rsidTr="00013AC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rPr>
                <w:rFonts w:ascii="Times New Roman" w:hAnsi="Times New Roman"/>
                <w:color w:val="000000"/>
                <w:sz w:val="18"/>
                <w:szCs w:val="18"/>
              </w:rPr>
            </w:pPr>
            <w:r w:rsidRPr="00C600BB">
              <w:rPr>
                <w:rFonts w:ascii="Times New Roman" w:hAnsi="Times New Roman"/>
                <w:color w:val="000000"/>
                <w:sz w:val="18"/>
                <w:szCs w:val="18"/>
              </w:rPr>
              <w:t> </w:t>
            </w:r>
          </w:p>
        </w:t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qgdp</w:t>
            </w:r>
          </w:p>
        </w:t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kb</w:t>
            </w:r>
          </w:p>
        </w:t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lsreg</w:t>
            </w:r>
          </w:p>
        </w:t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pop</w:t>
            </w:r>
          </w:p>
        </w:t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cont_tech</w:t>
            </w:r>
          </w:p>
        </w:t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realwager</w:t>
            </w:r>
          </w:p>
        </w:tc>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rorc</w:t>
            </w:r>
          </w:p>
        </w:tc>
      </w:tr>
      <w:tr w:rsidR="00DA230C" w:rsidRPr="00C600BB" w:rsidTr="00013ACC">
        <w:tc>
          <w:tcPr>
            <w:tcW w:w="9016" w:type="dxa"/>
            <w:gridSpan w:val="8"/>
            <w:tcBorders>
              <w:top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b/>
                <w:color w:val="000000"/>
                <w:sz w:val="18"/>
                <w:szCs w:val="18"/>
              </w:rPr>
            </w:pPr>
            <w:r w:rsidRPr="00C600BB">
              <w:rPr>
                <w:rFonts w:ascii="Times New Roman" w:hAnsi="Times New Roman"/>
                <w:b/>
                <w:color w:val="000000"/>
                <w:sz w:val="18"/>
                <w:szCs w:val="18"/>
              </w:rPr>
              <w:t>Period 1:  2014-19</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USA</w:t>
            </w:r>
          </w:p>
        </w:tc>
        <w:tc>
          <w:tcPr>
            <w:tcW w:w="1127" w:type="dxa"/>
            <w:shd w:val="clear" w:color="auto" w:fill="FFFFCC"/>
            <w:vAlign w:val="bottom"/>
          </w:tcPr>
          <w:p w:rsidR="00061955" w:rsidRPr="00061955" w:rsidRDefault="00061955" w:rsidP="00061955">
            <w:pPr>
              <w:spacing w:before="0" w:line="240" w:lineRule="auto"/>
              <w:ind w:left="0"/>
              <w:jc w:val="right"/>
              <w:rPr>
                <w:rFonts w:ascii="Times New Roman" w:hAnsi="Times New Roman"/>
                <w:color w:val="000000"/>
                <w:sz w:val="18"/>
                <w:szCs w:val="18"/>
                <w:lang w:eastAsia="en-AU"/>
              </w:rPr>
            </w:pPr>
            <w:r w:rsidRPr="00061955">
              <w:rPr>
                <w:rFonts w:ascii="Times New Roman" w:hAnsi="Times New Roman"/>
                <w:color w:val="000000"/>
                <w:sz w:val="18"/>
                <w:szCs w:val="18"/>
              </w:rPr>
              <w:t>2.40</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0.32</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0.62</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1.11</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2.91</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-0.49</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Canada</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1.88</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2.68</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0.59</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1.19</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0.38</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1.33</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-1.46</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Mexico</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1.99</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2.92</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1.27</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1.08</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-0.05</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3.05</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-5.03</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China</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6.65</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9.61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-0.04</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0.48</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1.85</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8.36</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-7.44</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Japan</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0.86</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1.42</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-0.73</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-0.14</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0.58</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3.04</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-2.09</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SKorea</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2.81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4.50</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0.40</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0.49</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4.32</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-3.54</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India</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6.19</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7.41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0.85</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1.13</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2.25</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6.58</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0.10</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France</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1.61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2.46</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-0.15</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0.33</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0.52</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2.90</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-2.24</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Germany</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1.71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2.21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0.52</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3.13</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-3.61</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UK</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2.04</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2.70</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0.67</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0.51</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3.46</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-4.86</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RoEU</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2.54</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2.44</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-0.64</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0.09</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1.28</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4.24</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-0.46</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SaudiArabia</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1.56</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5.84</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2.67</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2.67</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-2.74</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0.06</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-1.89</w:t>
            </w:r>
          </w:p>
        </w:tc>
      </w:tr>
      <w:tr w:rsidR="00061955" w:rsidRPr="00C600BB" w:rsidTr="005F3A84">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RoW</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2.71</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4.02</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0.62</w:t>
            </w:r>
          </w:p>
        </w:tc>
        <w:tc>
          <w:tcPr>
            <w:tcW w:w="1127" w:type="dxa"/>
            <w:shd w:val="clear" w:color="auto" w:fill="FFFFCC"/>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1.85</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0.62</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3.57</w:t>
            </w:r>
          </w:p>
        </w:tc>
        <w:tc>
          <w:tcPr>
            <w:tcW w:w="1127" w:type="dxa"/>
            <w:shd w:val="clear" w:color="auto" w:fill="auto"/>
            <w:vAlign w:val="bottom"/>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-2.98</w:t>
            </w:r>
          </w:p>
        </w:tc>
      </w:tr>
      <w:tr w:rsidR="00DA230C" w:rsidRPr="00C600BB" w:rsidTr="00013ACC">
        <w:tc>
          <w:tcPr>
            <w:tcW w:w="9016" w:type="dxa"/>
            <w:gridSpan w:val="8"/>
            <w:shd w:val="clear" w:color="auto" w:fill="auto"/>
            <w:vAlign w:val="center"/>
          </w:tcPr>
          <w:p w:rsidR="00DA230C" w:rsidRPr="00061955" w:rsidRDefault="00DA230C" w:rsidP="00061955">
            <w:pPr>
              <w:spacing w:before="0" w:line="240" w:lineRule="auto"/>
              <w:ind w:left="0"/>
              <w:jc w:val="center"/>
              <w:rPr>
                <w:rFonts w:ascii="Times New Roman" w:hAnsi="Times New Roman"/>
                <w:color w:val="000000"/>
                <w:sz w:val="18"/>
                <w:szCs w:val="18"/>
              </w:rPr>
            </w:pPr>
            <w:r w:rsidRPr="00061955">
              <w:rPr>
                <w:rFonts w:ascii="Times New Roman" w:hAnsi="Times New Roman"/>
                <w:b/>
                <w:color w:val="000000"/>
                <w:sz w:val="18"/>
                <w:szCs w:val="18"/>
              </w:rPr>
              <w:t>Period 2:  2019-30</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USA</w:t>
            </w:r>
          </w:p>
        </w:tc>
        <w:tc>
          <w:tcPr>
            <w:tcW w:w="1127" w:type="dxa"/>
            <w:shd w:val="clear" w:color="auto" w:fill="FFFFCC"/>
            <w:vAlign w:val="center"/>
          </w:tcPr>
          <w:p w:rsidR="00061955" w:rsidRPr="00061955" w:rsidRDefault="00061955" w:rsidP="00061955">
            <w:pPr>
              <w:spacing w:before="0" w:line="240" w:lineRule="auto"/>
              <w:ind w:left="0"/>
              <w:jc w:val="right"/>
              <w:rPr>
                <w:rFonts w:ascii="Times New Roman" w:hAnsi="Times New Roman"/>
                <w:color w:val="000000"/>
                <w:sz w:val="18"/>
                <w:szCs w:val="18"/>
                <w:lang w:eastAsia="en-AU"/>
              </w:rPr>
            </w:pPr>
            <w:r w:rsidRPr="00061955">
              <w:rPr>
                <w:rFonts w:ascii="Times New Roman" w:hAnsi="Times New Roman"/>
                <w:color w:val="000000"/>
                <w:sz w:val="18"/>
                <w:szCs w:val="18"/>
              </w:rPr>
              <w:t>1.78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1.98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0.23</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1.61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Canada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2.30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1.48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Mexico</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0.75</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China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4.16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5.36</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-0.32</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3.48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Japan</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SKorea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2.05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3.39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India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5.24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5.48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2.05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3.31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France</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1.64</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0.13</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Germany</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UK</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0.95</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RoEU</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2.53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2.65</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3.32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SaudiArabia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4.30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2.13</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1.92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RoW</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3.51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1.49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-0.84</w:t>
            </w:r>
          </w:p>
        </w:tc>
      </w:tr>
      <w:tr w:rsidR="00DA230C" w:rsidRPr="00C600BB" w:rsidTr="00013ACC">
        <w:tc>
          <w:tcPr>
            <w:tcW w:w="9016" w:type="dxa"/>
            <w:gridSpan w:val="8"/>
            <w:shd w:val="clear" w:color="auto" w:fill="auto"/>
            <w:vAlign w:val="center"/>
          </w:tcPr>
          <w:p w:rsidR="00DA230C" w:rsidRPr="00061955" w:rsidRDefault="00DA230C" w:rsidP="00061955">
            <w:pPr>
              <w:spacing w:before="0" w:line="240" w:lineRule="auto"/>
              <w:ind w:left="0"/>
              <w:jc w:val="center"/>
              <w:rPr>
                <w:rFonts w:ascii="Times New Roman" w:hAnsi="Times New Roman"/>
                <w:color w:val="000000"/>
                <w:sz w:val="18"/>
                <w:szCs w:val="18"/>
              </w:rPr>
            </w:pPr>
            <w:r w:rsidRPr="00061955">
              <w:rPr>
                <w:rFonts w:ascii="Times New Roman" w:hAnsi="Times New Roman"/>
                <w:b/>
                <w:color w:val="000000"/>
                <w:sz w:val="18"/>
                <w:szCs w:val="18"/>
              </w:rPr>
              <w:t>Period 3:  2030-40</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USA</w:t>
            </w:r>
          </w:p>
        </w:tc>
        <w:tc>
          <w:tcPr>
            <w:tcW w:w="1127" w:type="dxa"/>
            <w:shd w:val="clear" w:color="auto" w:fill="FFFFCC"/>
            <w:vAlign w:val="center"/>
          </w:tcPr>
          <w:p w:rsidR="00061955" w:rsidRPr="00061955" w:rsidRDefault="00061955" w:rsidP="00061955">
            <w:pPr>
              <w:spacing w:before="0" w:line="240" w:lineRule="auto"/>
              <w:ind w:left="0"/>
              <w:jc w:val="right"/>
              <w:rPr>
                <w:rFonts w:ascii="Times New Roman" w:hAnsi="Times New Roman"/>
                <w:color w:val="000000"/>
                <w:sz w:val="18"/>
                <w:szCs w:val="18"/>
                <w:lang w:eastAsia="en-AU"/>
              </w:rPr>
            </w:pPr>
            <w:r w:rsidRPr="00061955">
              <w:rPr>
                <w:rFonts w:ascii="Times New Roman" w:hAnsi="Times New Roman"/>
                <w:color w:val="000000"/>
                <w:sz w:val="18"/>
                <w:szCs w:val="18"/>
              </w:rPr>
              <w:t>2.17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Canada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2.09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2.39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0.63</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Mexico</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1.99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China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3.05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4.09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3.25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Japan</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0.24</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-1.24</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1.61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SKorea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1.69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1.86</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3.39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India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5.57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5.62</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2.59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4.12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France</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1.41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0.16</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Germany</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2.36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UK</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1.22</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1.74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RoEU</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2.31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3.52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SaudiArabia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2.74</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1.15</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-1.95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RoW</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3.05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3.33</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0.08</w:t>
            </w:r>
          </w:p>
        </w:tc>
      </w:tr>
      <w:tr w:rsidR="00DA230C" w:rsidRPr="00C600BB" w:rsidTr="00013ACC">
        <w:tc>
          <w:tcPr>
            <w:tcW w:w="9016" w:type="dxa"/>
            <w:gridSpan w:val="8"/>
            <w:shd w:val="clear" w:color="auto" w:fill="auto"/>
            <w:vAlign w:val="center"/>
          </w:tcPr>
          <w:p w:rsidR="00DA230C" w:rsidRPr="00061955" w:rsidRDefault="00DA230C" w:rsidP="00061955">
            <w:pPr>
              <w:spacing w:before="0" w:line="240" w:lineRule="auto"/>
              <w:ind w:left="0"/>
              <w:jc w:val="center"/>
              <w:rPr>
                <w:rFonts w:ascii="Times New Roman" w:hAnsi="Times New Roman"/>
                <w:color w:val="000000"/>
                <w:sz w:val="18"/>
                <w:szCs w:val="18"/>
              </w:rPr>
            </w:pPr>
            <w:r w:rsidRPr="00061955">
              <w:rPr>
                <w:rFonts w:ascii="Times New Roman" w:hAnsi="Times New Roman"/>
                <w:b/>
                <w:color w:val="000000"/>
                <w:sz w:val="18"/>
                <w:szCs w:val="18"/>
              </w:rPr>
              <w:t>Period 4:  2040-50</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USA</w:t>
            </w:r>
          </w:p>
        </w:tc>
        <w:tc>
          <w:tcPr>
            <w:tcW w:w="1127" w:type="dxa"/>
            <w:shd w:val="clear" w:color="auto" w:fill="FFFFCC"/>
            <w:vAlign w:val="center"/>
          </w:tcPr>
          <w:p w:rsidR="00061955" w:rsidRPr="00061955" w:rsidRDefault="00061955" w:rsidP="00061955">
            <w:pPr>
              <w:spacing w:before="0" w:line="240" w:lineRule="auto"/>
              <w:ind w:left="0"/>
              <w:jc w:val="right"/>
              <w:rPr>
                <w:rFonts w:ascii="Times New Roman" w:hAnsi="Times New Roman"/>
                <w:color w:val="000000"/>
                <w:sz w:val="18"/>
                <w:szCs w:val="18"/>
                <w:lang w:eastAsia="en-AU"/>
              </w:rPr>
            </w:pPr>
            <w:r w:rsidRPr="00061955">
              <w:rPr>
                <w:rFonts w:ascii="Times New Roman" w:hAnsi="Times New Roman"/>
                <w:color w:val="000000"/>
                <w:sz w:val="18"/>
                <w:szCs w:val="18"/>
              </w:rPr>
              <w:t>2.05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1.70</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0.35</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1.77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Canada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1.97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0.36</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Mexico</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0.54</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0.12</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1.73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China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3.25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3.94</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-0.99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-0.59</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2.25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Japan</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-1.16</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0.73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SKorea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1.78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-1.22</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3.06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India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5.10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4.79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0.32</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3.93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France</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1.37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0.23</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0.58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Germany</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1.24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-0.46</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-0.18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2.17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UK</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1.07</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0.22</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1.61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RoEU</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2.37</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-0.04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1.58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3.48</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SaudiArabia</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1.06</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1.89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0.68</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1.13</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-0.31</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-2.15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r w:rsidR="00061955" w:rsidRPr="00C600BB" w:rsidTr="00061955">
        <w:tc>
          <w:tcPr>
            <w:tcW w:w="1127" w:type="dxa"/>
            <w:shd w:val="clear" w:color="auto" w:fill="auto"/>
            <w:vAlign w:val="center"/>
          </w:tcPr>
          <w:p w:rsidR="00061955" w:rsidRPr="00061955" w:rsidRDefault="00061955" w:rsidP="00061955">
            <w:pPr>
              <w:spacing w:before="0" w:line="240" w:lineRule="auto"/>
              <w:ind w:left="0"/>
              <w:rPr>
                <w:rFonts w:ascii="Times New Roman" w:hAnsi="Times New Roman"/>
                <w:color w:val="000000"/>
                <w:sz w:val="18"/>
                <w:szCs w:val="18"/>
              </w:rPr>
            </w:pPr>
            <w:r w:rsidRPr="00061955">
              <w:rPr>
                <w:rFonts w:ascii="Times New Roman" w:hAnsi="Times New Roman"/>
                <w:color w:val="000000"/>
                <w:sz w:val="18"/>
                <w:szCs w:val="18"/>
              </w:rPr>
              <w:t>RoW</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2.64</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2.79</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0.81</w:t>
            </w:r>
          </w:p>
        </w:tc>
        <w:tc>
          <w:tcPr>
            <w:tcW w:w="1127" w:type="dxa"/>
            <w:shd w:val="clear" w:color="auto" w:fill="FFFFCC"/>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0.85</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0.82</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1.40</w:t>
            </w:r>
          </w:p>
        </w:tc>
        <w:tc>
          <w:tcPr>
            <w:tcW w:w="1127" w:type="dxa"/>
            <w:shd w:val="clear" w:color="auto" w:fill="auto"/>
            <w:vAlign w:val="center"/>
          </w:tcPr>
          <w:p w:rsidR="00061955" w:rsidRPr="00061955" w:rsidRDefault="00061955" w:rsidP="00061955">
            <w:pPr>
              <w:spacing w:before="0" w:line="240" w:lineRule="auto"/>
              <w:jc w:val="right"/>
              <w:rPr>
                <w:rFonts w:ascii="Times New Roman" w:hAnsi="Times New Roman"/>
                <w:color w:val="000000"/>
                <w:sz w:val="18"/>
                <w:szCs w:val="18"/>
              </w:rPr>
            </w:pPr>
            <w:r w:rsidRPr="00061955">
              <w:rPr>
                <w:rFonts w:ascii="Times New Roman" w:hAnsi="Times New Roman"/>
                <w:color w:val="000000"/>
                <w:sz w:val="18"/>
                <w:szCs w:val="18"/>
              </w:rPr>
              <w:t>0.41</w:t>
            </w:r>
          </w:p>
        </w:tc>
      </w:tr>
    </w:tbl>
    <w:p w:rsidR="00DA230C" w:rsidRDefault="00DA230C" w:rsidP="00DA230C">
      <w:pPr>
        <w:rPr>
          <w:rFonts w:ascii="Times New Roman" w:hAnsi="Times New Roman"/>
          <w:b/>
          <w:sz w:val="24"/>
          <w:szCs w:val="24"/>
        </w:rPr>
      </w:pPr>
      <w:r>
        <w:rPr>
          <w:rFonts w:ascii="Times New Roman" w:hAnsi="Times New Roman"/>
          <w:b/>
          <w:sz w:val="24"/>
          <w:szCs w:val="24"/>
        </w:rPr>
        <w:br w:type="page"/>
      </w:r>
    </w:p>
    <w:p w:rsidR="00FB6C19" w:rsidRPr="00B76FA6" w:rsidRDefault="00FB6C19" w:rsidP="00FB6C19">
      <w:pPr>
        <w:ind w:left="0"/>
        <w:rPr>
          <w:rFonts w:ascii="Times New Roman" w:hAnsi="Times New Roman"/>
          <w:sz w:val="24"/>
          <w:szCs w:val="24"/>
        </w:rPr>
      </w:pPr>
      <w:r w:rsidRPr="00B76FA6">
        <w:rPr>
          <w:rFonts w:ascii="Times New Roman" w:hAnsi="Times New Roman"/>
          <w:sz w:val="24"/>
          <w:szCs w:val="24"/>
        </w:rPr>
        <w:lastRenderedPageBreak/>
        <w:t xml:space="preserve">Global saving is sufficient through the simulation periods to support strong growth in capital.  </w:t>
      </w:r>
      <w:r w:rsidRPr="00FB6C19">
        <w:rPr>
          <w:rFonts w:ascii="Times New Roman" w:hAnsi="Times New Roman"/>
          <w:sz w:val="24"/>
          <w:szCs w:val="24"/>
        </w:rPr>
        <w:t>In the majority of cases,</w:t>
      </w:r>
      <w:r w:rsidRPr="00B76FA6">
        <w:rPr>
          <w:rFonts w:ascii="Times New Roman" w:hAnsi="Times New Roman"/>
          <w:sz w:val="24"/>
          <w:szCs w:val="24"/>
        </w:rPr>
        <w:t xml:space="preserve"> the capital growth rates in Table 6.1 exceed the corresponding GDP growth rates.  In all cases, capital growth rates exceed employment growth rates, implying strong growth in K/L ratios.</w:t>
      </w:r>
    </w:p>
    <w:p w:rsidR="00C7203F" w:rsidRDefault="00FB6C19" w:rsidP="00C7203F">
      <w:pPr>
        <w:ind w:left="0"/>
        <w:rPr>
          <w:rFonts w:ascii="Times New Roman" w:hAnsi="Times New Roman"/>
          <w:sz w:val="24"/>
          <w:szCs w:val="24"/>
        </w:rPr>
      </w:pPr>
      <w:r w:rsidRPr="00B76FA6">
        <w:rPr>
          <w:rFonts w:ascii="Times New Roman" w:hAnsi="Times New Roman"/>
          <w:sz w:val="24"/>
          <w:szCs w:val="24"/>
        </w:rPr>
        <w:t xml:space="preserve">In our simulations, growth in K/L ratios leads, in nearly all cases, to growth in real wage rates relative to rates of return on capital (capital rental rates divided by the cost of a unit of capital </w:t>
      </w:r>
      <w:r w:rsidRPr="00B76FA6">
        <w:rPr>
          <w:rFonts w:ascii="Times New Roman" w:hAnsi="Times New Roman"/>
          <w:i/>
          <w:sz w:val="24"/>
          <w:szCs w:val="24"/>
        </w:rPr>
        <w:t>minus</w:t>
      </w:r>
      <w:r w:rsidRPr="00B76FA6">
        <w:rPr>
          <w:rFonts w:ascii="Times New Roman" w:hAnsi="Times New Roman"/>
          <w:sz w:val="24"/>
          <w:szCs w:val="24"/>
        </w:rPr>
        <w:t xml:space="preserve"> the rate of depreciation).  Real wage rates rise relative to rates of return on capital </w:t>
      </w:r>
      <w:r w:rsidR="00C7203F" w:rsidRPr="00B76FA6">
        <w:rPr>
          <w:rFonts w:ascii="Times New Roman" w:hAnsi="Times New Roman"/>
          <w:sz w:val="24"/>
          <w:szCs w:val="24"/>
        </w:rPr>
        <w:t>despite the inclusion in our simulations of strong trends from 2004-14 in technology bias favouring the use of capital relative to labour.</w:t>
      </w:r>
      <w:r w:rsidR="00C7203F">
        <w:rPr>
          <w:rFonts w:ascii="Times New Roman" w:hAnsi="Times New Roman"/>
          <w:sz w:val="24"/>
          <w:szCs w:val="24"/>
        </w:rPr>
        <w:t xml:space="preserve">  </w:t>
      </w:r>
    </w:p>
    <w:p w:rsidR="00C7203F" w:rsidRPr="00B76FA6" w:rsidRDefault="00C7203F" w:rsidP="00C7203F">
      <w:pPr>
        <w:ind w:left="0"/>
        <w:rPr>
          <w:rFonts w:ascii="Times New Roman" w:hAnsi="Times New Roman"/>
          <w:sz w:val="24"/>
          <w:szCs w:val="24"/>
        </w:rPr>
      </w:pPr>
      <w:r>
        <w:rPr>
          <w:rFonts w:ascii="Times New Roman" w:hAnsi="Times New Roman"/>
          <w:sz w:val="24"/>
          <w:szCs w:val="24"/>
        </w:rPr>
        <w:t xml:space="preserve">In Table 6.1, the simulated percentage changes in rates of return for 2014-19 are mainly negative but vary across regions.  The variation reflects the use of Penn data on capital growth in each region.  In the other simulations periods, capital is allocated across regions in a way that equalizes percentage movements in rates of return.  The simulated worldwide changes in rates of return shown in Table 6.1 for 2019 to 2050 imply that a rate of return of 10 per cent in 2019 would </w:t>
      </w:r>
      <w:r w:rsidR="00FB6C19">
        <w:rPr>
          <w:rFonts w:ascii="Times New Roman" w:hAnsi="Times New Roman"/>
          <w:sz w:val="24"/>
          <w:szCs w:val="24"/>
        </w:rPr>
        <w:t>fall</w:t>
      </w:r>
      <w:r>
        <w:rPr>
          <w:rFonts w:ascii="Times New Roman" w:hAnsi="Times New Roman"/>
          <w:sz w:val="24"/>
          <w:szCs w:val="24"/>
        </w:rPr>
        <w:t xml:space="preserve"> to about </w:t>
      </w:r>
      <w:r w:rsidR="00FB6C19">
        <w:rPr>
          <w:rFonts w:ascii="Times New Roman" w:hAnsi="Times New Roman"/>
          <w:sz w:val="24"/>
          <w:szCs w:val="24"/>
        </w:rPr>
        <w:t>9.57</w:t>
      </w:r>
      <w:r>
        <w:rPr>
          <w:rFonts w:ascii="Times New Roman" w:hAnsi="Times New Roman"/>
          <w:sz w:val="24"/>
          <w:szCs w:val="24"/>
        </w:rPr>
        <w:t xml:space="preserve"> per cent in 2050.  </w:t>
      </w:r>
    </w:p>
    <w:p w:rsidR="00B76FA6" w:rsidRDefault="00B76FA6" w:rsidP="00B76FA6">
      <w:pPr>
        <w:ind w:left="0"/>
        <w:rPr>
          <w:rFonts w:ascii="Times New Roman" w:hAnsi="Times New Roman"/>
          <w:b/>
          <w:i/>
          <w:sz w:val="24"/>
          <w:szCs w:val="24"/>
        </w:rPr>
      </w:pPr>
      <w:r>
        <w:rPr>
          <w:rFonts w:ascii="Times New Roman" w:hAnsi="Times New Roman"/>
          <w:b/>
          <w:i/>
          <w:sz w:val="24"/>
          <w:szCs w:val="24"/>
        </w:rPr>
        <w:t>6.2.  Real GDP and expenditure components (Table 6.2) and the terms of trade (Table 6.3)</w:t>
      </w:r>
    </w:p>
    <w:p w:rsidR="00B76FA6" w:rsidRPr="000A75BA" w:rsidRDefault="00B76FA6" w:rsidP="00B76FA6">
      <w:pPr>
        <w:ind w:left="0"/>
        <w:rPr>
          <w:rFonts w:ascii="Times New Roman" w:hAnsi="Times New Roman"/>
          <w:b/>
          <w:i/>
          <w:sz w:val="24"/>
          <w:szCs w:val="24"/>
        </w:rPr>
      </w:pPr>
      <w:r w:rsidRPr="000A75BA">
        <w:rPr>
          <w:rFonts w:ascii="Times New Roman" w:hAnsi="Times New Roman"/>
          <w:b/>
          <w:i/>
          <w:sz w:val="24"/>
          <w:szCs w:val="24"/>
        </w:rPr>
        <w:t>Consumption</w:t>
      </w:r>
    </w:p>
    <w:p w:rsidR="00B76FA6" w:rsidRDefault="00B76FA6" w:rsidP="00B76FA6">
      <w:pPr>
        <w:ind w:left="0"/>
        <w:rPr>
          <w:rFonts w:ascii="Times New Roman" w:hAnsi="Times New Roman"/>
          <w:sz w:val="24"/>
          <w:szCs w:val="24"/>
        </w:rPr>
      </w:pPr>
      <w:r>
        <w:rPr>
          <w:rFonts w:ascii="Times New Roman" w:hAnsi="Times New Roman"/>
          <w:sz w:val="24"/>
          <w:szCs w:val="24"/>
        </w:rPr>
        <w:t xml:space="preserve">Recall from the discussion of Table 5.2 and equation (5.1) </w:t>
      </w:r>
      <w:r w:rsidRPr="007477E1">
        <w:rPr>
          <w:rFonts w:ascii="Times New Roman" w:hAnsi="Times New Roman"/>
          <w:sz w:val="24"/>
          <w:szCs w:val="24"/>
        </w:rPr>
        <w:t xml:space="preserve">that we assume that consumption propensities in each region will move towards the global average but will also </w:t>
      </w:r>
      <w:r>
        <w:rPr>
          <w:rFonts w:ascii="Times New Roman" w:hAnsi="Times New Roman"/>
          <w:sz w:val="24"/>
          <w:szCs w:val="24"/>
        </w:rPr>
        <w:t xml:space="preserve">adjust </w:t>
      </w:r>
      <w:r w:rsidRPr="007477E1">
        <w:rPr>
          <w:rFonts w:ascii="Times New Roman" w:hAnsi="Times New Roman"/>
          <w:sz w:val="24"/>
          <w:szCs w:val="24"/>
        </w:rPr>
        <w:t>to counter movements in wealth relative to GDP.  Saudi Arabia and</w:t>
      </w:r>
      <w:r>
        <w:rPr>
          <w:rFonts w:ascii="Times New Roman" w:hAnsi="Times New Roman"/>
          <w:sz w:val="24"/>
          <w:szCs w:val="24"/>
        </w:rPr>
        <w:t xml:space="preserve"> </w:t>
      </w:r>
      <w:r w:rsidRPr="007477E1">
        <w:rPr>
          <w:rFonts w:ascii="Times New Roman" w:hAnsi="Times New Roman"/>
          <w:sz w:val="24"/>
          <w:szCs w:val="24"/>
        </w:rPr>
        <w:t>China</w:t>
      </w:r>
      <w:r>
        <w:rPr>
          <w:rFonts w:ascii="Times New Roman" w:hAnsi="Times New Roman"/>
          <w:sz w:val="24"/>
          <w:szCs w:val="24"/>
        </w:rPr>
        <w:t xml:space="preserve"> are the two regions with the lowest average propensity to consume in 2019 (see Table 6.4).  Low propensities also give these regions rapid growth in wealth relative to GDP.  As can be seen from Table 6.4, the average propensities to consume for these two regions are projected to increase rapidly over the entire period from 2019 to 2050.  </w:t>
      </w:r>
    </w:p>
    <w:p w:rsidR="00B76FA6" w:rsidRDefault="00B76FA6" w:rsidP="00B76FA6">
      <w:pPr>
        <w:ind w:left="0"/>
        <w:rPr>
          <w:rFonts w:ascii="Times New Roman" w:hAnsi="Times New Roman"/>
          <w:sz w:val="24"/>
          <w:szCs w:val="24"/>
        </w:rPr>
      </w:pPr>
      <w:r>
        <w:rPr>
          <w:rFonts w:ascii="Times New Roman" w:hAnsi="Times New Roman"/>
          <w:sz w:val="24"/>
          <w:szCs w:val="24"/>
        </w:rPr>
        <w:t>With increasing consumption propensities, real consumption in Saudi Arabia and China grows relative to real GDP in both the 2019-30 and the 2030-40 simulations (</w:t>
      </w:r>
      <w:r w:rsidRPr="007C017F">
        <w:rPr>
          <w:rFonts w:ascii="Times New Roman" w:hAnsi="Times New Roman"/>
          <w:sz w:val="24"/>
          <w:szCs w:val="24"/>
        </w:rPr>
        <w:t>3.5</w:t>
      </w:r>
      <w:r w:rsidR="00FB6C19" w:rsidRPr="007C017F">
        <w:rPr>
          <w:rFonts w:ascii="Times New Roman" w:hAnsi="Times New Roman"/>
          <w:sz w:val="24"/>
          <w:szCs w:val="24"/>
        </w:rPr>
        <w:t>0</w:t>
      </w:r>
      <w:r w:rsidRPr="007C017F">
        <w:rPr>
          <w:rFonts w:ascii="Times New Roman" w:hAnsi="Times New Roman"/>
          <w:sz w:val="24"/>
          <w:szCs w:val="24"/>
        </w:rPr>
        <w:t xml:space="preserve"> &amp; </w:t>
      </w:r>
      <w:r w:rsidR="007C017F" w:rsidRPr="007C017F">
        <w:rPr>
          <w:rFonts w:ascii="Times New Roman" w:hAnsi="Times New Roman"/>
          <w:sz w:val="24"/>
          <w:szCs w:val="24"/>
        </w:rPr>
        <w:t>1.49</w:t>
      </w:r>
      <w:r w:rsidRPr="007C017F">
        <w:rPr>
          <w:rFonts w:ascii="Times New Roman" w:hAnsi="Times New Roman"/>
          <w:sz w:val="24"/>
          <w:szCs w:val="24"/>
        </w:rPr>
        <w:t xml:space="preserve"> compared with 2.78 &amp; 1.5</w:t>
      </w:r>
      <w:r w:rsidR="007C017F" w:rsidRPr="007C017F">
        <w:rPr>
          <w:rFonts w:ascii="Times New Roman" w:hAnsi="Times New Roman"/>
          <w:sz w:val="24"/>
          <w:szCs w:val="24"/>
        </w:rPr>
        <w:t>4</w:t>
      </w:r>
      <w:r w:rsidRPr="007C017F">
        <w:rPr>
          <w:rFonts w:ascii="Times New Roman" w:hAnsi="Times New Roman"/>
          <w:sz w:val="24"/>
          <w:szCs w:val="24"/>
        </w:rPr>
        <w:t xml:space="preserve"> for Saudi Arabia, and </w:t>
      </w:r>
      <w:r w:rsidR="007C017F" w:rsidRPr="007C017F">
        <w:rPr>
          <w:rFonts w:ascii="Times New Roman" w:hAnsi="Times New Roman"/>
          <w:sz w:val="24"/>
          <w:szCs w:val="24"/>
        </w:rPr>
        <w:t>5.10</w:t>
      </w:r>
      <w:r w:rsidRPr="007C017F">
        <w:rPr>
          <w:rFonts w:ascii="Times New Roman" w:hAnsi="Times New Roman"/>
          <w:sz w:val="24"/>
          <w:szCs w:val="24"/>
        </w:rPr>
        <w:t xml:space="preserve"> &amp; 3.</w:t>
      </w:r>
      <w:r w:rsidR="007C017F" w:rsidRPr="007C017F">
        <w:rPr>
          <w:rFonts w:ascii="Times New Roman" w:hAnsi="Times New Roman"/>
          <w:sz w:val="24"/>
          <w:szCs w:val="24"/>
        </w:rPr>
        <w:t>50</w:t>
      </w:r>
      <w:r w:rsidRPr="007C017F">
        <w:rPr>
          <w:rFonts w:ascii="Times New Roman" w:hAnsi="Times New Roman"/>
          <w:sz w:val="24"/>
          <w:szCs w:val="24"/>
        </w:rPr>
        <w:t xml:space="preserve"> compared with </w:t>
      </w:r>
      <w:r w:rsidR="007C017F" w:rsidRPr="007C017F">
        <w:rPr>
          <w:rFonts w:ascii="Times New Roman" w:hAnsi="Times New Roman"/>
          <w:sz w:val="24"/>
          <w:szCs w:val="24"/>
        </w:rPr>
        <w:t>4.16</w:t>
      </w:r>
      <w:r w:rsidRPr="007C017F">
        <w:rPr>
          <w:rFonts w:ascii="Times New Roman" w:hAnsi="Times New Roman"/>
          <w:sz w:val="24"/>
          <w:szCs w:val="24"/>
        </w:rPr>
        <w:t xml:space="preserve"> &amp; 3.05 for China, see Table 6.2).  But what happens in 2040-50?  Why do the consumption growth rates</w:t>
      </w:r>
      <w:r>
        <w:rPr>
          <w:rFonts w:ascii="Times New Roman" w:hAnsi="Times New Roman"/>
          <w:sz w:val="24"/>
          <w:szCs w:val="24"/>
        </w:rPr>
        <w:t xml:space="preserve"> in the two regions drop below the GDP growth rates (0.9</w:t>
      </w:r>
      <w:r w:rsidR="007C017F">
        <w:rPr>
          <w:rFonts w:ascii="Times New Roman" w:hAnsi="Times New Roman"/>
          <w:sz w:val="24"/>
          <w:szCs w:val="24"/>
        </w:rPr>
        <w:t>0</w:t>
      </w:r>
      <w:r>
        <w:rPr>
          <w:rFonts w:ascii="Times New Roman" w:hAnsi="Times New Roman"/>
          <w:sz w:val="24"/>
          <w:szCs w:val="24"/>
        </w:rPr>
        <w:t xml:space="preserve"> compared with 1.06 for Saudi Arabia, and 2.</w:t>
      </w:r>
      <w:r w:rsidR="007C017F">
        <w:rPr>
          <w:rFonts w:ascii="Times New Roman" w:hAnsi="Times New Roman"/>
          <w:sz w:val="24"/>
          <w:szCs w:val="24"/>
        </w:rPr>
        <w:t>93</w:t>
      </w:r>
      <w:r>
        <w:rPr>
          <w:rFonts w:ascii="Times New Roman" w:hAnsi="Times New Roman"/>
          <w:sz w:val="24"/>
          <w:szCs w:val="24"/>
        </w:rPr>
        <w:t xml:space="preserve"> compared with 3.25 for China, see Table 6.2).  This is despite continuing increases in the consumption propensities.  There are three factors underlying these results.  </w:t>
      </w:r>
    </w:p>
    <w:p w:rsidR="00B76FA6" w:rsidRDefault="00B76FA6" w:rsidP="00B76FA6">
      <w:pPr>
        <w:ind w:left="0"/>
        <w:rPr>
          <w:rFonts w:ascii="Times New Roman" w:hAnsi="Times New Roman"/>
          <w:sz w:val="24"/>
          <w:szCs w:val="24"/>
        </w:rPr>
      </w:pPr>
      <w:r>
        <w:rPr>
          <w:rFonts w:ascii="Times New Roman" w:hAnsi="Times New Roman"/>
          <w:sz w:val="24"/>
          <w:szCs w:val="24"/>
        </w:rPr>
        <w:t>First, as we reach 2040, the average propensities to consume in Saudi Arabia and China move up towards the world average.  At the same time, the growth rates in the regions’ wealth/GDP ratios are considerably lower in 2040-50 than in 2030-40.  These developments reduce the rates of growth of the consumption propensity in both regions</w:t>
      </w:r>
      <w:r w:rsidR="007C017F">
        <w:rPr>
          <w:rFonts w:ascii="Times New Roman" w:hAnsi="Times New Roman"/>
          <w:sz w:val="24"/>
          <w:szCs w:val="24"/>
        </w:rPr>
        <w:t xml:space="preserve"> (Table 6.4)</w:t>
      </w:r>
      <w:r>
        <w:rPr>
          <w:rFonts w:ascii="Times New Roman" w:hAnsi="Times New Roman"/>
          <w:sz w:val="24"/>
          <w:szCs w:val="24"/>
        </w:rPr>
        <w:t xml:space="preserve">.  But in the 2040-50 simulation the propensities are still growing.  </w:t>
      </w:r>
    </w:p>
    <w:p w:rsidR="00C7203F" w:rsidRPr="00FB6C19" w:rsidRDefault="00B76FA6" w:rsidP="00FB6C19">
      <w:pPr>
        <w:ind w:left="0"/>
        <w:rPr>
          <w:rFonts w:ascii="Times New Roman" w:hAnsi="Times New Roman"/>
          <w:sz w:val="24"/>
          <w:szCs w:val="24"/>
        </w:rPr>
      </w:pPr>
      <w:r>
        <w:rPr>
          <w:rFonts w:ascii="Times New Roman" w:hAnsi="Times New Roman"/>
          <w:sz w:val="24"/>
          <w:szCs w:val="24"/>
        </w:rPr>
        <w:t>Second, as we go from the 2030-40 simulation to the 2040-50 simulation, there is a slowing in the contribution to net national product in Saudi Arabia and China from earnings on net foreign assets.  Net national product drives consumption [point (c) in section 3].  Thus, the slowing in the earnings contributions from net foreign assets reduces the rates of growth of consumption in both regions.  The earnings contributions from net foreign assets slow because Saudi Arabia and China’s increased consumption relative to GDP in earlier periods reduces the rate of growth of their net foreign</w:t>
      </w:r>
      <w:r w:rsidR="007C017F">
        <w:rPr>
          <w:rFonts w:ascii="Times New Roman" w:hAnsi="Times New Roman"/>
          <w:sz w:val="24"/>
          <w:szCs w:val="24"/>
        </w:rPr>
        <w:t xml:space="preserve"> assets relative to GDP (right panel, Table 6.4).</w:t>
      </w:r>
      <w:r>
        <w:rPr>
          <w:rFonts w:ascii="Times New Roman" w:hAnsi="Times New Roman"/>
          <w:sz w:val="24"/>
          <w:szCs w:val="24"/>
        </w:rPr>
        <w:t xml:space="preserve">  </w:t>
      </w:r>
      <w:r w:rsidR="00C7203F">
        <w:rPr>
          <w:rFonts w:ascii="Times New Roman" w:hAnsi="Times New Roman"/>
          <w:b/>
          <w:i/>
          <w:sz w:val="24"/>
          <w:szCs w:val="24"/>
        </w:rPr>
        <w:br w:type="page"/>
      </w:r>
    </w:p>
    <w:p w:rsidR="00DA230C" w:rsidRPr="00635440" w:rsidRDefault="00DA230C" w:rsidP="00DA230C">
      <w:pPr>
        <w:jc w:val="center"/>
        <w:rPr>
          <w:rFonts w:ascii="Times New Roman" w:hAnsi="Times New Roman"/>
          <w:b/>
          <w:i/>
          <w:sz w:val="24"/>
          <w:szCs w:val="24"/>
        </w:rPr>
      </w:pPr>
      <w:r>
        <w:rPr>
          <w:rFonts w:ascii="Times New Roman" w:hAnsi="Times New Roman"/>
          <w:b/>
          <w:i/>
          <w:sz w:val="24"/>
          <w:szCs w:val="24"/>
        </w:rPr>
        <w:lastRenderedPageBreak/>
        <w:t xml:space="preserve">Table 6.2.  Ave. annual % changes in real GDP and its expenditure components </w:t>
      </w:r>
    </w:p>
    <w:tbl>
      <w:tblPr>
        <w:tblW w:w="8951" w:type="dxa"/>
        <w:tblInd w:w="-142" w:type="dxa"/>
        <w:tblBorders>
          <w:top w:val="single" w:sz="18" w:space="0" w:color="7F7F7F"/>
          <w:bottom w:val="single" w:sz="18" w:space="0" w:color="7F7F7F"/>
          <w:insideH w:val="single" w:sz="4" w:space="0" w:color="auto"/>
          <w:insideV w:val="single" w:sz="4" w:space="0" w:color="auto"/>
        </w:tblBorders>
        <w:tblLook w:val="04A0" w:firstRow="1" w:lastRow="0" w:firstColumn="1" w:lastColumn="0" w:noHBand="0" w:noVBand="1"/>
      </w:tblPr>
      <w:tblGrid>
        <w:gridCol w:w="1127"/>
        <w:gridCol w:w="1304"/>
        <w:gridCol w:w="1304"/>
        <w:gridCol w:w="1304"/>
        <w:gridCol w:w="1304"/>
        <w:gridCol w:w="1304"/>
        <w:gridCol w:w="1304"/>
      </w:tblGrid>
      <w:tr w:rsidR="00DA230C" w:rsidRPr="00C600BB" w:rsidTr="00013ACC">
        <w:tc>
          <w:tcPr>
            <w:tcW w:w="1127" w:type="dxa"/>
            <w:tcBorders>
              <w:top w:val="single" w:sz="18" w:space="0" w:color="7F7F7F"/>
              <w:bottom w:val="single" w:sz="4" w:space="0" w:color="auto"/>
            </w:tcBorders>
            <w:shd w:val="clear" w:color="auto" w:fill="auto"/>
            <w:vAlign w:val="center"/>
          </w:tcPr>
          <w:p w:rsidR="00DA230C" w:rsidRPr="00C600BB" w:rsidRDefault="00DA230C" w:rsidP="00013ACC">
            <w:pPr>
              <w:spacing w:before="0" w:line="240" w:lineRule="auto"/>
              <w:rPr>
                <w:rFonts w:ascii="Times New Roman" w:hAnsi="Times New Roman"/>
                <w:color w:val="000000"/>
                <w:sz w:val="18"/>
                <w:szCs w:val="18"/>
              </w:rPr>
            </w:pPr>
            <w:r w:rsidRPr="00C600BB">
              <w:rPr>
                <w:rFonts w:ascii="Times New Roman" w:hAnsi="Times New Roman"/>
                <w:color w:val="000000"/>
                <w:sz w:val="18"/>
                <w:szCs w:val="18"/>
              </w:rPr>
              <w:t> </w:t>
            </w:r>
          </w:p>
        </w:tc>
        <w:tc>
          <w:tcPr>
            <w:tcW w:w="1304" w:type="dxa"/>
            <w:tcBorders>
              <w:top w:val="single" w:sz="18" w:space="0" w:color="7F7F7F"/>
              <w:bottom w:val="single" w:sz="4" w:space="0" w:color="auto"/>
            </w:tcBorders>
            <w:shd w:val="clear" w:color="auto" w:fill="auto"/>
          </w:tcPr>
          <w:p w:rsidR="00DA230C" w:rsidRPr="00C600BB" w:rsidRDefault="00DA230C" w:rsidP="00013ACC">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Real GDP</w:t>
            </w:r>
          </w:p>
        </w:tc>
        <w:tc>
          <w:tcPr>
            <w:tcW w:w="1304" w:type="dxa"/>
            <w:tcBorders>
              <w:top w:val="single" w:sz="18" w:space="0" w:color="7F7F7F"/>
              <w:bottom w:val="single" w:sz="4" w:space="0" w:color="auto"/>
            </w:tcBorders>
            <w:shd w:val="clear" w:color="auto" w:fill="auto"/>
          </w:tcPr>
          <w:p w:rsidR="00DA230C" w:rsidRPr="00C600BB" w:rsidRDefault="00DA230C" w:rsidP="00013ACC">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Real priv cons</w:t>
            </w:r>
          </w:p>
        </w:tc>
        <w:tc>
          <w:tcPr>
            <w:tcW w:w="1304" w:type="dxa"/>
            <w:tcBorders>
              <w:top w:val="single" w:sz="18" w:space="0" w:color="7F7F7F"/>
              <w:bottom w:val="single" w:sz="4" w:space="0" w:color="auto"/>
            </w:tcBorders>
            <w:shd w:val="clear" w:color="auto" w:fill="auto"/>
          </w:tcPr>
          <w:p w:rsidR="00DA230C" w:rsidRPr="00C600BB" w:rsidRDefault="00DA230C" w:rsidP="00013ACC">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Real gov cons</w:t>
            </w:r>
          </w:p>
        </w:tc>
        <w:tc>
          <w:tcPr>
            <w:tcW w:w="1304" w:type="dxa"/>
            <w:tcBorders>
              <w:top w:val="single" w:sz="18" w:space="0" w:color="7F7F7F"/>
              <w:bottom w:val="single" w:sz="4" w:space="0" w:color="auto"/>
            </w:tcBorders>
            <w:shd w:val="clear" w:color="auto" w:fill="auto"/>
          </w:tcPr>
          <w:p w:rsidR="00DA230C" w:rsidRPr="00C600BB" w:rsidRDefault="00DA230C" w:rsidP="00013ACC">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Real investment</w:t>
            </w:r>
          </w:p>
        </w:tc>
        <w:tc>
          <w:tcPr>
            <w:tcW w:w="1304" w:type="dxa"/>
            <w:tcBorders>
              <w:top w:val="single" w:sz="18" w:space="0" w:color="7F7F7F"/>
              <w:bottom w:val="single" w:sz="4" w:space="0" w:color="auto"/>
            </w:tcBorders>
            <w:shd w:val="clear" w:color="auto" w:fill="auto"/>
          </w:tcPr>
          <w:p w:rsidR="00DA230C" w:rsidRPr="00C600BB" w:rsidRDefault="00DA230C" w:rsidP="00013ACC">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Export volume</w:t>
            </w:r>
          </w:p>
        </w:tc>
        <w:tc>
          <w:tcPr>
            <w:tcW w:w="1304" w:type="dxa"/>
            <w:tcBorders>
              <w:top w:val="single" w:sz="18" w:space="0" w:color="7F7F7F"/>
              <w:bottom w:val="single" w:sz="4" w:space="0" w:color="auto"/>
            </w:tcBorders>
            <w:shd w:val="clear" w:color="auto" w:fill="auto"/>
          </w:tcPr>
          <w:p w:rsidR="00DA230C" w:rsidRPr="00C600BB" w:rsidRDefault="00DA230C" w:rsidP="00013ACC">
            <w:pPr>
              <w:spacing w:before="0" w:line="240" w:lineRule="auto"/>
              <w:ind w:left="-73"/>
              <w:jc w:val="right"/>
              <w:rPr>
                <w:rFonts w:ascii="Times New Roman" w:hAnsi="Times New Roman"/>
                <w:color w:val="000000"/>
                <w:sz w:val="18"/>
                <w:szCs w:val="18"/>
              </w:rPr>
            </w:pPr>
            <w:r w:rsidRPr="00C600BB">
              <w:rPr>
                <w:rFonts w:ascii="Times New Roman" w:hAnsi="Times New Roman"/>
                <w:color w:val="000000"/>
                <w:sz w:val="18"/>
                <w:szCs w:val="18"/>
              </w:rPr>
              <w:t>Import volume</w:t>
            </w:r>
          </w:p>
        </w:tc>
      </w:tr>
      <w:tr w:rsidR="00DA230C" w:rsidRPr="00C600BB" w:rsidTr="00013ACC">
        <w:trPr>
          <w:trHeight w:val="296"/>
        </w:trPr>
        <w:tc>
          <w:tcPr>
            <w:tcW w:w="1127"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rPr>
                <w:rFonts w:ascii="Times New Roman" w:hAnsi="Times New Roman"/>
                <w:color w:val="000000"/>
                <w:sz w:val="18"/>
                <w:szCs w:val="18"/>
              </w:rPr>
            </w:pPr>
            <w:r w:rsidRPr="00C600BB">
              <w:rPr>
                <w:rFonts w:ascii="Times New Roman" w:hAnsi="Times New Roman"/>
                <w:color w:val="000000"/>
                <w:sz w:val="18"/>
                <w:szCs w:val="18"/>
              </w:rPr>
              <w:t> </w:t>
            </w:r>
          </w:p>
        </w:tc>
        <w:tc>
          <w:tcPr>
            <w:tcW w:w="1304"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qgdp</w:t>
            </w:r>
          </w:p>
        </w:tc>
        <w:tc>
          <w:tcPr>
            <w:tcW w:w="1304"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cr</w:t>
            </w:r>
          </w:p>
        </w:tc>
        <w:tc>
          <w:tcPr>
            <w:tcW w:w="1304"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gr</w:t>
            </w:r>
          </w:p>
        </w:tc>
        <w:tc>
          <w:tcPr>
            <w:tcW w:w="1304"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qcgds</w:t>
            </w:r>
          </w:p>
        </w:tc>
        <w:tc>
          <w:tcPr>
            <w:tcW w:w="1304"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expvol</w:t>
            </w:r>
          </w:p>
        </w:tc>
        <w:tc>
          <w:tcPr>
            <w:tcW w:w="1304" w:type="dxa"/>
            <w:tcBorders>
              <w:top w:val="single" w:sz="4" w:space="0" w:color="auto"/>
              <w:bottom w:val="single" w:sz="18" w:space="0" w:color="7F7F7F"/>
            </w:tcBorders>
            <w:shd w:val="clear" w:color="auto" w:fill="auto"/>
            <w:vAlign w:val="center"/>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color w:val="000000"/>
                <w:sz w:val="18"/>
                <w:szCs w:val="18"/>
              </w:rPr>
              <w:t>impvol</w:t>
            </w:r>
          </w:p>
        </w:tc>
      </w:tr>
      <w:tr w:rsidR="00DA230C" w:rsidRPr="00C600BB" w:rsidTr="00013ACC">
        <w:tc>
          <w:tcPr>
            <w:tcW w:w="8951" w:type="dxa"/>
            <w:gridSpan w:val="7"/>
            <w:shd w:val="clear" w:color="auto" w:fill="auto"/>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b/>
                <w:color w:val="000000"/>
                <w:sz w:val="18"/>
                <w:szCs w:val="18"/>
              </w:rPr>
              <w:t>Period 1:  2014-19</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USA</w:t>
            </w:r>
          </w:p>
        </w:tc>
        <w:tc>
          <w:tcPr>
            <w:tcW w:w="1304" w:type="dxa"/>
            <w:shd w:val="clear" w:color="auto" w:fill="FFFFCC"/>
            <w:vAlign w:val="bottom"/>
          </w:tcPr>
          <w:p w:rsidR="00906998" w:rsidRPr="00906998" w:rsidRDefault="00906998" w:rsidP="00906998">
            <w:pPr>
              <w:spacing w:before="0" w:line="240" w:lineRule="auto"/>
              <w:ind w:left="0"/>
              <w:jc w:val="right"/>
              <w:rPr>
                <w:rFonts w:ascii="Times New Roman" w:hAnsi="Times New Roman"/>
                <w:color w:val="000000"/>
                <w:sz w:val="18"/>
                <w:szCs w:val="18"/>
                <w:lang w:eastAsia="en-AU"/>
              </w:rPr>
            </w:pPr>
            <w:r w:rsidRPr="00906998">
              <w:rPr>
                <w:rFonts w:ascii="Times New Roman" w:hAnsi="Times New Roman"/>
                <w:color w:val="000000"/>
                <w:sz w:val="18"/>
                <w:szCs w:val="18"/>
              </w:rPr>
              <w:t>2.40</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2.60</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3.30</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1.69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3.28</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Canada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2.46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-0.55</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2.63</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1.81</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Mexico</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1.99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2.49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1.23</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-0.26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4.76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4.13</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China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6.65</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8.23</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7.76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5.42</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2.19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2.87</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Japan</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0.86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0.00</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2.77</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SKorea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2.81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2.56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4.78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3.97</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1.91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3.12</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India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6.19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6.92</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7.08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5.48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2.36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4.48</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France</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1.61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1.11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3.05</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3.45</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3.73</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Germany</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1.71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1.78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2.40</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2.56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3.31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4.46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UK</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2.04</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2.44</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1.42</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3.83</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3.64</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RoEU</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2.54</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2.22</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1.29</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5.84</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5.27</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5.89</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SaudiArabia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1.56</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3.54</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-2.75</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-0.67</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-1.83</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RoW</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2.71</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3.88</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2.82</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3.62</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2.20</w:t>
            </w:r>
          </w:p>
        </w:tc>
      </w:tr>
      <w:tr w:rsidR="00DA230C" w:rsidRPr="00C600BB" w:rsidTr="00013ACC">
        <w:tc>
          <w:tcPr>
            <w:tcW w:w="8951" w:type="dxa"/>
            <w:gridSpan w:val="7"/>
            <w:shd w:val="clear" w:color="auto" w:fill="auto"/>
          </w:tcPr>
          <w:p w:rsidR="00DA230C" w:rsidRPr="00C600BB" w:rsidRDefault="00DA230C" w:rsidP="00013ACC">
            <w:pPr>
              <w:spacing w:before="0" w:line="240" w:lineRule="auto"/>
              <w:jc w:val="center"/>
              <w:rPr>
                <w:rFonts w:ascii="Times New Roman" w:hAnsi="Times New Roman"/>
                <w:color w:val="000000"/>
                <w:sz w:val="18"/>
                <w:szCs w:val="18"/>
              </w:rPr>
            </w:pPr>
            <w:r w:rsidRPr="00C600BB">
              <w:rPr>
                <w:rFonts w:ascii="Times New Roman" w:hAnsi="Times New Roman"/>
                <w:b/>
                <w:color w:val="000000"/>
                <w:sz w:val="18"/>
                <w:szCs w:val="18"/>
              </w:rPr>
              <w:t>Period 2:  2019-30</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USA</w:t>
            </w:r>
          </w:p>
        </w:tc>
        <w:tc>
          <w:tcPr>
            <w:tcW w:w="1304" w:type="dxa"/>
            <w:shd w:val="clear" w:color="auto" w:fill="FFFFCC"/>
            <w:vAlign w:val="bottom"/>
          </w:tcPr>
          <w:p w:rsidR="00906998" w:rsidRPr="00906998" w:rsidRDefault="00906998" w:rsidP="00906998">
            <w:pPr>
              <w:spacing w:before="0" w:line="240" w:lineRule="auto"/>
              <w:ind w:left="0"/>
              <w:contextualSpacing/>
              <w:jc w:val="right"/>
              <w:rPr>
                <w:rFonts w:ascii="Times New Roman" w:hAnsi="Times New Roman"/>
                <w:color w:val="000000"/>
                <w:sz w:val="18"/>
                <w:szCs w:val="18"/>
                <w:lang w:eastAsia="en-AU"/>
              </w:rPr>
            </w:pPr>
            <w:r w:rsidRPr="00906998">
              <w:rPr>
                <w:rFonts w:ascii="Times New Roman" w:hAnsi="Times New Roman"/>
                <w:color w:val="000000"/>
                <w:sz w:val="18"/>
                <w:szCs w:val="18"/>
              </w:rPr>
              <w:t>1.78</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1.70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1.70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-1.16</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5.12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0.18</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Canada</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1.53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2.13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2.13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0.76</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0.90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1.87</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Mexico</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1.19</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-0.22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-0.22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2.77</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3.37</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1.86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China</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sz w:val="18"/>
                <w:szCs w:val="18"/>
              </w:rPr>
            </w:pPr>
            <w:r w:rsidRPr="00906998">
              <w:rPr>
                <w:rFonts w:ascii="Times New Roman" w:hAnsi="Times New Roman"/>
                <w:sz w:val="18"/>
                <w:szCs w:val="18"/>
              </w:rPr>
              <w:t>4.16</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sz w:val="18"/>
                <w:szCs w:val="18"/>
              </w:rPr>
            </w:pPr>
            <w:r w:rsidRPr="00906998">
              <w:rPr>
                <w:rFonts w:ascii="Times New Roman" w:hAnsi="Times New Roman"/>
                <w:sz w:val="18"/>
                <w:szCs w:val="18"/>
              </w:rPr>
              <w:t>5.10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sz w:val="18"/>
                <w:szCs w:val="18"/>
              </w:rPr>
            </w:pPr>
            <w:r w:rsidRPr="00906998">
              <w:rPr>
                <w:rFonts w:ascii="Times New Roman" w:hAnsi="Times New Roman"/>
                <w:sz w:val="18"/>
                <w:szCs w:val="18"/>
              </w:rPr>
              <w:t>5.10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sz w:val="18"/>
                <w:szCs w:val="18"/>
              </w:rPr>
            </w:pPr>
            <w:r w:rsidRPr="00906998">
              <w:rPr>
                <w:rFonts w:ascii="Times New Roman" w:hAnsi="Times New Roman"/>
                <w:sz w:val="18"/>
                <w:szCs w:val="18"/>
              </w:rPr>
              <w:t>3.09</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sz w:val="18"/>
                <w:szCs w:val="18"/>
              </w:rPr>
            </w:pPr>
            <w:r w:rsidRPr="00906998">
              <w:rPr>
                <w:rFonts w:ascii="Times New Roman" w:hAnsi="Times New Roman"/>
                <w:sz w:val="18"/>
                <w:szCs w:val="18"/>
              </w:rPr>
              <w:t>2.55</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sz w:val="18"/>
                <w:szCs w:val="18"/>
              </w:rPr>
            </w:pPr>
            <w:r w:rsidRPr="00906998">
              <w:rPr>
                <w:rFonts w:ascii="Times New Roman" w:hAnsi="Times New Roman"/>
                <w:sz w:val="18"/>
                <w:szCs w:val="18"/>
              </w:rPr>
              <w:t>3.20</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Japan</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0.41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1.83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1.83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-1.92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-2.93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1.24</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SKorea</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2.05</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2.82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2.82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0.67</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1.52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2.00</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India</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5.24</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3.91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3.91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6.68</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7.20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4.33</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France</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1.09</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1.51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1.51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-1.37</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1.76</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1.12</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Germany</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0.81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2.30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2.30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-1.23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-0.82</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1.16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UK</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0.96</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0.01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0.01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1.13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3.27</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0.62</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RoEU</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2.53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2.13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2.13</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2.78</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2.86</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2.36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SaudiArabia</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2.78</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3.50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3.50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6.15</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-0.41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4.20</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RoW</w:t>
            </w:r>
          </w:p>
        </w:tc>
        <w:tc>
          <w:tcPr>
            <w:tcW w:w="1304" w:type="dxa"/>
            <w:shd w:val="clear" w:color="auto" w:fill="FFFFCC"/>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2.71</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2.65</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2.65</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4.60</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1.76</w:t>
            </w:r>
          </w:p>
        </w:tc>
        <w:tc>
          <w:tcPr>
            <w:tcW w:w="1304" w:type="dxa"/>
            <w:shd w:val="clear" w:color="auto" w:fill="auto"/>
            <w:vAlign w:val="bottom"/>
          </w:tcPr>
          <w:p w:rsidR="00906998" w:rsidRPr="00906998" w:rsidRDefault="00906998" w:rsidP="00906998">
            <w:pPr>
              <w:spacing w:before="0" w:line="240" w:lineRule="auto"/>
              <w:contextualSpacing/>
              <w:jc w:val="right"/>
              <w:rPr>
                <w:rFonts w:ascii="Times New Roman" w:hAnsi="Times New Roman"/>
                <w:color w:val="000000"/>
                <w:sz w:val="18"/>
                <w:szCs w:val="18"/>
              </w:rPr>
            </w:pPr>
            <w:r w:rsidRPr="00906998">
              <w:rPr>
                <w:rFonts w:ascii="Times New Roman" w:hAnsi="Times New Roman"/>
                <w:color w:val="000000"/>
                <w:sz w:val="18"/>
                <w:szCs w:val="18"/>
              </w:rPr>
              <w:t>3.28</w:t>
            </w:r>
          </w:p>
        </w:tc>
      </w:tr>
      <w:tr w:rsidR="00DA230C" w:rsidRPr="00C600BB" w:rsidTr="00013ACC">
        <w:tc>
          <w:tcPr>
            <w:tcW w:w="8951" w:type="dxa"/>
            <w:gridSpan w:val="7"/>
            <w:shd w:val="clear" w:color="auto" w:fill="auto"/>
            <w:vAlign w:val="center"/>
          </w:tcPr>
          <w:p w:rsidR="00DA230C" w:rsidRPr="00C600BB" w:rsidRDefault="00DA230C" w:rsidP="00013ACC">
            <w:pPr>
              <w:spacing w:before="0" w:line="240" w:lineRule="auto"/>
              <w:ind w:left="0"/>
              <w:jc w:val="center"/>
              <w:rPr>
                <w:rFonts w:ascii="Times New Roman" w:hAnsi="Times New Roman"/>
                <w:color w:val="000000"/>
                <w:sz w:val="18"/>
                <w:szCs w:val="18"/>
              </w:rPr>
            </w:pPr>
            <w:r w:rsidRPr="00C600BB">
              <w:rPr>
                <w:rFonts w:ascii="Times New Roman" w:hAnsi="Times New Roman"/>
                <w:b/>
                <w:color w:val="000000"/>
                <w:sz w:val="18"/>
                <w:szCs w:val="18"/>
              </w:rPr>
              <w:t>Period 3:  2030-40</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USA</w:t>
            </w:r>
          </w:p>
        </w:tc>
        <w:tc>
          <w:tcPr>
            <w:tcW w:w="1304" w:type="dxa"/>
            <w:shd w:val="clear" w:color="auto" w:fill="FFFFCC"/>
            <w:vAlign w:val="bottom"/>
          </w:tcPr>
          <w:p w:rsidR="00906998" w:rsidRPr="00906998" w:rsidRDefault="00906998" w:rsidP="00906998">
            <w:pPr>
              <w:spacing w:before="0" w:line="240" w:lineRule="auto"/>
              <w:ind w:left="0"/>
              <w:jc w:val="right"/>
              <w:rPr>
                <w:rFonts w:ascii="Times New Roman" w:hAnsi="Times New Roman"/>
                <w:color w:val="000000"/>
                <w:sz w:val="18"/>
                <w:szCs w:val="18"/>
                <w:lang w:eastAsia="en-AU"/>
              </w:rPr>
            </w:pPr>
            <w:r w:rsidRPr="00906998">
              <w:rPr>
                <w:rFonts w:ascii="Times New Roman" w:hAnsi="Times New Roman"/>
                <w:color w:val="000000"/>
                <w:sz w:val="18"/>
                <w:szCs w:val="18"/>
              </w:rPr>
              <w:t>2.17</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2.08</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2.08</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1.42</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3.11</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1.76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Canada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2.09</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1.84</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1.84</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1.59</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3.02</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Mexico</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1.22</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1.86</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1.86</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0.03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0.96</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1.31</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China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3.05</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3.50</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3.50</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3.76</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0.06</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4.04</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Japan</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0.16</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0.51</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0.51</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-0.11</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-1.00</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0.88</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SKorea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1.69</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2.33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2.33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1.73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0.43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1.90</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India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5.57</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5.55</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5.55</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4.65</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6.23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4.54</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France</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1.30</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1.24</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1.24</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1.17</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1.74</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1.49</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Germany</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1.00</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1.58</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1.58</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0.48</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0.23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1.43</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UK</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2.02</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2.02</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0.79</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1.01</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1.83</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RoEU</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2.65</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2.90</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2.90</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2.62</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2.46</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SaudiArabia</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1.54</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1.49</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1.49</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1.33</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0.75</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0.48</w:t>
            </w:r>
          </w:p>
        </w:tc>
      </w:tr>
      <w:tr w:rsidR="00906998" w:rsidRPr="00C600BB" w:rsidTr="005F3A84">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RoW</w:t>
            </w:r>
          </w:p>
        </w:tc>
        <w:tc>
          <w:tcPr>
            <w:tcW w:w="1304" w:type="dxa"/>
            <w:shd w:val="clear" w:color="auto" w:fill="FFFFCC"/>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3.05</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2.77</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2.77</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2.48</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3.92</w:t>
            </w:r>
          </w:p>
        </w:tc>
        <w:tc>
          <w:tcPr>
            <w:tcW w:w="1304" w:type="dxa"/>
            <w:shd w:val="clear" w:color="auto" w:fill="auto"/>
            <w:vAlign w:val="bottom"/>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2.68</w:t>
            </w:r>
          </w:p>
        </w:tc>
      </w:tr>
      <w:tr w:rsidR="00DA230C" w:rsidRPr="00C600BB" w:rsidTr="00013ACC">
        <w:tc>
          <w:tcPr>
            <w:tcW w:w="8951" w:type="dxa"/>
            <w:gridSpan w:val="7"/>
            <w:shd w:val="clear" w:color="auto" w:fill="auto"/>
            <w:vAlign w:val="center"/>
          </w:tcPr>
          <w:p w:rsidR="00DA230C" w:rsidRPr="00C600BB" w:rsidRDefault="00DA230C" w:rsidP="00013ACC">
            <w:pPr>
              <w:spacing w:before="0" w:line="240" w:lineRule="auto"/>
              <w:ind w:left="0"/>
              <w:jc w:val="center"/>
              <w:rPr>
                <w:rFonts w:ascii="Times New Roman" w:hAnsi="Times New Roman"/>
                <w:color w:val="000000"/>
                <w:sz w:val="18"/>
                <w:szCs w:val="18"/>
              </w:rPr>
            </w:pPr>
            <w:r w:rsidRPr="00C600BB">
              <w:rPr>
                <w:rFonts w:ascii="Times New Roman" w:hAnsi="Times New Roman"/>
                <w:b/>
                <w:color w:val="000000"/>
                <w:sz w:val="18"/>
                <w:szCs w:val="18"/>
              </w:rPr>
              <w:t>Period 4:  2040-50</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USA</w:t>
            </w:r>
          </w:p>
        </w:tc>
        <w:tc>
          <w:tcPr>
            <w:tcW w:w="1304" w:type="dxa"/>
            <w:shd w:val="clear" w:color="auto" w:fill="FFFFCC"/>
            <w:vAlign w:val="center"/>
          </w:tcPr>
          <w:p w:rsidR="00906998" w:rsidRPr="00906998" w:rsidRDefault="00906998" w:rsidP="00906998">
            <w:pPr>
              <w:spacing w:before="0" w:line="240" w:lineRule="auto"/>
              <w:ind w:left="0"/>
              <w:jc w:val="right"/>
              <w:rPr>
                <w:rFonts w:ascii="Times New Roman" w:hAnsi="Times New Roman"/>
                <w:color w:val="000000"/>
                <w:sz w:val="18"/>
                <w:szCs w:val="18"/>
                <w:lang w:eastAsia="en-AU"/>
              </w:rPr>
            </w:pPr>
            <w:r w:rsidRPr="00906998">
              <w:rPr>
                <w:rFonts w:ascii="Times New Roman" w:hAnsi="Times New Roman"/>
                <w:color w:val="000000"/>
                <w:sz w:val="18"/>
                <w:szCs w:val="18"/>
              </w:rPr>
              <w:t>2.05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2.22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2.22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1.90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2.22</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Canada</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1.84</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1.84</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1.59</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1.89</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1.85</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Mexico</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1.06</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1.60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1.60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0.07</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0.55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0.95</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China</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3.25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2.93</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2.93</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3.65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3.48</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3.10</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Japan</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0.23</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0.47</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0.47</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-0.34</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0.09</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0.84</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SKorea</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1.78</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1.91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1.91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1.90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2.02</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India</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5.10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5.20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5.20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4.51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5.20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4.61</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France</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1.38</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0.96</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1.56</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1.45</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Germany</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1.24</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1.56</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1.56</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0.14</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1.01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1.38</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UK</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1.82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0.64</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1.42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1.66</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RoEU</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2.37</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2.69</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2.69</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2.08</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2.21</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SaudiArabia</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1.06</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0.90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0.90</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1.51</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0.62</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0.85</w:t>
            </w:r>
          </w:p>
        </w:tc>
      </w:tr>
      <w:tr w:rsidR="00906998" w:rsidRPr="00C600BB" w:rsidTr="00906998">
        <w:tc>
          <w:tcPr>
            <w:tcW w:w="1127" w:type="dxa"/>
            <w:shd w:val="clear" w:color="auto" w:fill="auto"/>
            <w:vAlign w:val="center"/>
          </w:tcPr>
          <w:p w:rsidR="00906998" w:rsidRPr="00C600BB" w:rsidRDefault="00906998" w:rsidP="00906998">
            <w:pPr>
              <w:spacing w:before="0" w:line="240" w:lineRule="auto"/>
              <w:ind w:left="0"/>
              <w:rPr>
                <w:rFonts w:ascii="Times New Roman" w:hAnsi="Times New Roman"/>
                <w:color w:val="000000"/>
                <w:sz w:val="18"/>
                <w:szCs w:val="18"/>
              </w:rPr>
            </w:pPr>
            <w:r w:rsidRPr="00C600BB">
              <w:rPr>
                <w:rFonts w:ascii="Times New Roman" w:hAnsi="Times New Roman"/>
                <w:color w:val="000000"/>
                <w:sz w:val="18"/>
                <w:szCs w:val="18"/>
              </w:rPr>
              <w:t>RoW</w:t>
            </w:r>
          </w:p>
        </w:tc>
        <w:tc>
          <w:tcPr>
            <w:tcW w:w="1304" w:type="dxa"/>
            <w:shd w:val="clear" w:color="auto" w:fill="FFFFCC"/>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2.64</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2.45</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2.79</w:t>
            </w:r>
          </w:p>
        </w:tc>
        <w:tc>
          <w:tcPr>
            <w:tcW w:w="1304" w:type="dxa"/>
            <w:shd w:val="clear" w:color="auto" w:fill="auto"/>
            <w:vAlign w:val="center"/>
          </w:tcPr>
          <w:p w:rsidR="00906998" w:rsidRPr="00906998" w:rsidRDefault="00906998" w:rsidP="00906998">
            <w:pPr>
              <w:spacing w:before="0" w:line="240" w:lineRule="auto"/>
              <w:jc w:val="right"/>
              <w:rPr>
                <w:rFonts w:ascii="Times New Roman" w:hAnsi="Times New Roman"/>
                <w:color w:val="000000"/>
                <w:sz w:val="18"/>
                <w:szCs w:val="18"/>
              </w:rPr>
            </w:pPr>
            <w:r w:rsidRPr="00906998">
              <w:rPr>
                <w:rFonts w:ascii="Times New Roman" w:hAnsi="Times New Roman"/>
                <w:color w:val="000000"/>
                <w:sz w:val="18"/>
                <w:szCs w:val="18"/>
              </w:rPr>
              <w:t>2.63</w:t>
            </w:r>
          </w:p>
        </w:tc>
      </w:tr>
    </w:tbl>
    <w:p w:rsidR="00DA230C" w:rsidRDefault="00DA230C" w:rsidP="00DA230C">
      <w:pPr>
        <w:ind w:left="0"/>
        <w:rPr>
          <w:rFonts w:ascii="Times New Roman" w:hAnsi="Times New Roman"/>
          <w:b/>
          <w:i/>
          <w:sz w:val="24"/>
          <w:szCs w:val="24"/>
        </w:rPr>
      </w:pPr>
      <w:r>
        <w:rPr>
          <w:rFonts w:ascii="Times New Roman" w:hAnsi="Times New Roman"/>
          <w:b/>
          <w:i/>
          <w:sz w:val="24"/>
          <w:szCs w:val="24"/>
        </w:rPr>
        <w:br w:type="page"/>
      </w:r>
    </w:p>
    <w:p w:rsidR="00DA230C" w:rsidRDefault="00DA230C" w:rsidP="00DA230C">
      <w:pPr>
        <w:ind w:left="0"/>
        <w:jc w:val="center"/>
        <w:rPr>
          <w:rFonts w:ascii="Times New Roman" w:hAnsi="Times New Roman"/>
          <w:b/>
          <w:i/>
          <w:sz w:val="24"/>
          <w:szCs w:val="24"/>
        </w:rPr>
      </w:pPr>
      <w:r>
        <w:rPr>
          <w:rFonts w:ascii="Times New Roman" w:hAnsi="Times New Roman"/>
          <w:b/>
          <w:i/>
          <w:sz w:val="24"/>
          <w:szCs w:val="24"/>
        </w:rPr>
        <w:lastRenderedPageBreak/>
        <w:t>Table 6.3.  Average annual percentage change in the terms of trade</w:t>
      </w:r>
      <w:r w:rsidR="00E57559">
        <w:rPr>
          <w:rFonts w:ascii="Times New Roman" w:hAnsi="Times New Roman"/>
          <w:b/>
          <w:i/>
          <w:sz w:val="24"/>
          <w:szCs w:val="24"/>
        </w:rPr>
        <w:t xml:space="preserve"> </w:t>
      </w:r>
    </w:p>
    <w:tbl>
      <w:tblPr>
        <w:tblW w:w="0" w:type="auto"/>
        <w:tblInd w:w="851" w:type="dxa"/>
        <w:tblLook w:val="04A0" w:firstRow="1" w:lastRow="0" w:firstColumn="1" w:lastColumn="0" w:noHBand="0" w:noVBand="1"/>
      </w:tblPr>
      <w:tblGrid>
        <w:gridCol w:w="1502"/>
        <w:gridCol w:w="1502"/>
        <w:gridCol w:w="1503"/>
        <w:gridCol w:w="1503"/>
        <w:gridCol w:w="1503"/>
      </w:tblGrid>
      <w:tr w:rsidR="00DA230C" w:rsidRPr="00C600BB" w:rsidTr="00013ACC">
        <w:tc>
          <w:tcPr>
            <w:tcW w:w="1502" w:type="dxa"/>
            <w:tcBorders>
              <w:top w:val="single" w:sz="18" w:space="0" w:color="7F7F7F"/>
              <w:bottom w:val="single" w:sz="18" w:space="0" w:color="7F7F7F"/>
              <w:right w:val="single" w:sz="18" w:space="0" w:color="7F7F7F"/>
            </w:tcBorders>
            <w:shd w:val="clear" w:color="auto" w:fill="auto"/>
          </w:tcPr>
          <w:p w:rsidR="00DA230C" w:rsidRPr="00C600BB" w:rsidRDefault="00DA230C" w:rsidP="00013ACC">
            <w:pPr>
              <w:spacing w:before="0" w:line="240" w:lineRule="auto"/>
              <w:ind w:left="0"/>
              <w:jc w:val="center"/>
              <w:rPr>
                <w:rFonts w:ascii="Times New Roman" w:hAnsi="Times New Roman"/>
                <w:b/>
                <w:i/>
              </w:rPr>
            </w:pPr>
          </w:p>
        </w:tc>
        <w:tc>
          <w:tcPr>
            <w:tcW w:w="1502" w:type="dxa"/>
            <w:tcBorders>
              <w:top w:val="single" w:sz="18" w:space="0" w:color="7F7F7F"/>
              <w:left w:val="single" w:sz="18" w:space="0" w:color="7F7F7F"/>
              <w:bottom w:val="single" w:sz="18" w:space="0" w:color="7F7F7F"/>
              <w:right w:val="single" w:sz="4" w:space="0" w:color="auto"/>
            </w:tcBorders>
            <w:shd w:val="clear" w:color="auto" w:fill="auto"/>
          </w:tcPr>
          <w:p w:rsidR="00DA230C" w:rsidRPr="00C600BB" w:rsidRDefault="00DA230C" w:rsidP="00013ACC">
            <w:pPr>
              <w:spacing w:before="0" w:line="240" w:lineRule="auto"/>
              <w:ind w:left="0"/>
              <w:jc w:val="center"/>
              <w:rPr>
                <w:rFonts w:ascii="Times New Roman" w:hAnsi="Times New Roman"/>
                <w:b/>
              </w:rPr>
            </w:pPr>
            <w:r w:rsidRPr="00C600BB">
              <w:rPr>
                <w:rFonts w:ascii="Times New Roman" w:hAnsi="Times New Roman"/>
                <w:b/>
              </w:rPr>
              <w:t>2014-19</w:t>
            </w:r>
          </w:p>
        </w:tc>
        <w:tc>
          <w:tcPr>
            <w:tcW w:w="1503" w:type="dxa"/>
            <w:tcBorders>
              <w:top w:val="single" w:sz="18" w:space="0" w:color="7F7F7F"/>
              <w:left w:val="single" w:sz="4" w:space="0" w:color="auto"/>
              <w:bottom w:val="single" w:sz="18" w:space="0" w:color="7F7F7F"/>
              <w:right w:val="single" w:sz="4" w:space="0" w:color="auto"/>
            </w:tcBorders>
            <w:shd w:val="clear" w:color="auto" w:fill="auto"/>
          </w:tcPr>
          <w:p w:rsidR="00DA230C" w:rsidRPr="00C600BB" w:rsidRDefault="00DA230C" w:rsidP="00013ACC">
            <w:pPr>
              <w:spacing w:before="0" w:line="240" w:lineRule="auto"/>
              <w:ind w:left="0"/>
              <w:jc w:val="center"/>
              <w:rPr>
                <w:rFonts w:ascii="Times New Roman" w:hAnsi="Times New Roman"/>
                <w:b/>
              </w:rPr>
            </w:pPr>
            <w:r w:rsidRPr="00C600BB">
              <w:rPr>
                <w:rFonts w:ascii="Times New Roman" w:hAnsi="Times New Roman"/>
                <w:b/>
              </w:rPr>
              <w:t>2019-30</w:t>
            </w:r>
          </w:p>
        </w:tc>
        <w:tc>
          <w:tcPr>
            <w:tcW w:w="1503" w:type="dxa"/>
            <w:tcBorders>
              <w:top w:val="single" w:sz="18" w:space="0" w:color="7F7F7F"/>
              <w:left w:val="single" w:sz="4" w:space="0" w:color="auto"/>
              <w:bottom w:val="single" w:sz="18" w:space="0" w:color="7F7F7F"/>
              <w:right w:val="single" w:sz="4" w:space="0" w:color="auto"/>
            </w:tcBorders>
            <w:shd w:val="clear" w:color="auto" w:fill="auto"/>
          </w:tcPr>
          <w:p w:rsidR="00DA230C" w:rsidRPr="00C600BB" w:rsidRDefault="00DA230C" w:rsidP="00013ACC">
            <w:pPr>
              <w:spacing w:before="0" w:line="240" w:lineRule="auto"/>
              <w:ind w:left="0"/>
              <w:jc w:val="center"/>
              <w:rPr>
                <w:rFonts w:ascii="Times New Roman" w:hAnsi="Times New Roman"/>
                <w:b/>
              </w:rPr>
            </w:pPr>
            <w:r w:rsidRPr="00C600BB">
              <w:rPr>
                <w:rFonts w:ascii="Times New Roman" w:hAnsi="Times New Roman"/>
                <w:b/>
              </w:rPr>
              <w:t>2030-40</w:t>
            </w:r>
          </w:p>
        </w:tc>
        <w:tc>
          <w:tcPr>
            <w:tcW w:w="1503" w:type="dxa"/>
            <w:tcBorders>
              <w:top w:val="single" w:sz="18" w:space="0" w:color="7F7F7F"/>
              <w:left w:val="single" w:sz="4" w:space="0" w:color="auto"/>
              <w:bottom w:val="single" w:sz="18" w:space="0" w:color="7F7F7F"/>
            </w:tcBorders>
            <w:shd w:val="clear" w:color="auto" w:fill="auto"/>
          </w:tcPr>
          <w:p w:rsidR="00DA230C" w:rsidRPr="00C600BB" w:rsidRDefault="00DA230C" w:rsidP="00013ACC">
            <w:pPr>
              <w:spacing w:before="0" w:line="240" w:lineRule="auto"/>
              <w:ind w:left="0"/>
              <w:jc w:val="center"/>
              <w:rPr>
                <w:rFonts w:ascii="Times New Roman" w:hAnsi="Times New Roman"/>
                <w:b/>
              </w:rPr>
            </w:pPr>
            <w:r w:rsidRPr="00C600BB">
              <w:rPr>
                <w:rFonts w:ascii="Times New Roman" w:hAnsi="Times New Roman"/>
                <w:b/>
              </w:rPr>
              <w:t>2040-50</w:t>
            </w:r>
          </w:p>
        </w:tc>
      </w:tr>
      <w:tr w:rsidR="00E57559" w:rsidRPr="00C600BB" w:rsidTr="00ED45E4">
        <w:tc>
          <w:tcPr>
            <w:tcW w:w="1502" w:type="dxa"/>
            <w:tcBorders>
              <w:top w:val="single" w:sz="18" w:space="0" w:color="7F7F7F"/>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USA</w:t>
            </w:r>
          </w:p>
        </w:tc>
        <w:tc>
          <w:tcPr>
            <w:tcW w:w="1502" w:type="dxa"/>
            <w:tcBorders>
              <w:top w:val="single" w:sz="18" w:space="0" w:color="7F7F7F"/>
              <w:left w:val="single" w:sz="18" w:space="0" w:color="7F7F7F"/>
              <w:right w:val="single" w:sz="4" w:space="0" w:color="auto"/>
            </w:tcBorders>
            <w:shd w:val="clear" w:color="auto" w:fill="FFFFCC"/>
            <w:vAlign w:val="center"/>
          </w:tcPr>
          <w:p w:rsidR="00E57559" w:rsidRPr="00E57559" w:rsidRDefault="00E57559" w:rsidP="00E57559">
            <w:pPr>
              <w:spacing w:before="0"/>
              <w:ind w:left="0"/>
              <w:jc w:val="right"/>
              <w:rPr>
                <w:rFonts w:ascii="Times New Roman" w:hAnsi="Times New Roman"/>
                <w:color w:val="000000"/>
                <w:sz w:val="20"/>
                <w:szCs w:val="20"/>
                <w:lang w:eastAsia="en-AU"/>
              </w:rPr>
            </w:pPr>
            <w:r w:rsidRPr="00E57559">
              <w:rPr>
                <w:rFonts w:ascii="Times New Roman" w:hAnsi="Times New Roman"/>
                <w:color w:val="000000"/>
                <w:sz w:val="20"/>
                <w:szCs w:val="20"/>
              </w:rPr>
              <w:t>1.42</w:t>
            </w:r>
          </w:p>
        </w:tc>
        <w:tc>
          <w:tcPr>
            <w:tcW w:w="1503" w:type="dxa"/>
            <w:tcBorders>
              <w:top w:val="single" w:sz="18" w:space="0" w:color="7F7F7F"/>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-0.43</w:t>
            </w:r>
          </w:p>
        </w:tc>
        <w:tc>
          <w:tcPr>
            <w:tcW w:w="1503" w:type="dxa"/>
            <w:tcBorders>
              <w:top w:val="single" w:sz="18" w:space="0" w:color="7F7F7F"/>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-0.03</w:t>
            </w:r>
          </w:p>
        </w:tc>
        <w:tc>
          <w:tcPr>
            <w:tcW w:w="1503" w:type="dxa"/>
            <w:tcBorders>
              <w:top w:val="single" w:sz="18" w:space="0" w:color="7F7F7F"/>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0.22</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Canada</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-1.05</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0.40</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-0.11</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0.14</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Mexico</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0.04</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-0.19</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0.20</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0.20</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China</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-0.17</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-0.28</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0.41</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-0.35</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Japan</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1.22</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0.96</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0.69</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0.50</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SKorea</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0.48</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0.19</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0.38</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0.11</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India</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2.00</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-0.85</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-0.40</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-0.48</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France</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0.52</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0.13</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0.18</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0.15</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Germany</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0.63</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0.58</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0.42</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0.19</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UK</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0.28</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-0.20</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0.27</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0.14</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RoEU</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0.37</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-0.12</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-0.02</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0.03</w:t>
            </w:r>
          </w:p>
        </w:tc>
      </w:tr>
      <w:tr w:rsidR="00E57559" w:rsidRPr="00C600BB" w:rsidTr="00ED45E4">
        <w:tc>
          <w:tcPr>
            <w:tcW w:w="1502" w:type="dxa"/>
            <w:tcBorders>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SaudiArabia</w:t>
            </w:r>
          </w:p>
        </w:tc>
        <w:tc>
          <w:tcPr>
            <w:tcW w:w="1502" w:type="dxa"/>
            <w:tcBorders>
              <w:left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-4.38</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0.18</w:t>
            </w:r>
          </w:p>
        </w:tc>
        <w:tc>
          <w:tcPr>
            <w:tcW w:w="1503" w:type="dxa"/>
            <w:tcBorders>
              <w:left w:val="single" w:sz="4" w:space="0" w:color="auto"/>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-0.74</w:t>
            </w:r>
          </w:p>
        </w:tc>
        <w:tc>
          <w:tcPr>
            <w:tcW w:w="1503" w:type="dxa"/>
            <w:tcBorders>
              <w:lef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-0.23</w:t>
            </w:r>
          </w:p>
        </w:tc>
      </w:tr>
      <w:tr w:rsidR="00E57559" w:rsidRPr="00C600BB" w:rsidTr="005F3A84">
        <w:tc>
          <w:tcPr>
            <w:tcW w:w="1502" w:type="dxa"/>
            <w:tcBorders>
              <w:bottom w:val="single" w:sz="18" w:space="0" w:color="7F7F7F"/>
              <w:right w:val="single" w:sz="18" w:space="0" w:color="7F7F7F"/>
            </w:tcBorders>
            <w:shd w:val="clear" w:color="auto" w:fill="auto"/>
            <w:vAlign w:val="center"/>
          </w:tcPr>
          <w:p w:rsidR="00E57559" w:rsidRPr="00C600BB" w:rsidRDefault="00E57559" w:rsidP="00E57559">
            <w:pPr>
              <w:spacing w:before="0" w:line="240" w:lineRule="auto"/>
              <w:ind w:left="0"/>
              <w:rPr>
                <w:rFonts w:ascii="Times New Roman" w:hAnsi="Times New Roman"/>
                <w:b/>
                <w:color w:val="000000"/>
              </w:rPr>
            </w:pPr>
            <w:r w:rsidRPr="00C600BB">
              <w:rPr>
                <w:rFonts w:ascii="Times New Roman" w:hAnsi="Times New Roman"/>
                <w:b/>
                <w:color w:val="000000"/>
              </w:rPr>
              <w:t>RoW</w:t>
            </w:r>
          </w:p>
        </w:tc>
        <w:tc>
          <w:tcPr>
            <w:tcW w:w="1502" w:type="dxa"/>
            <w:tcBorders>
              <w:left w:val="single" w:sz="18" w:space="0" w:color="7F7F7F"/>
              <w:bottom w:val="single" w:sz="18" w:space="0" w:color="7F7F7F"/>
              <w:right w:val="single" w:sz="4" w:space="0" w:color="auto"/>
            </w:tcBorders>
            <w:shd w:val="clear" w:color="auto" w:fill="FFFFCC"/>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-0.81</w:t>
            </w:r>
          </w:p>
        </w:tc>
        <w:tc>
          <w:tcPr>
            <w:tcW w:w="1503" w:type="dxa"/>
            <w:tcBorders>
              <w:left w:val="single" w:sz="4" w:space="0" w:color="auto"/>
              <w:bottom w:val="single" w:sz="18" w:space="0" w:color="7F7F7F"/>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0.15</w:t>
            </w:r>
          </w:p>
        </w:tc>
        <w:tc>
          <w:tcPr>
            <w:tcW w:w="1503" w:type="dxa"/>
            <w:tcBorders>
              <w:left w:val="single" w:sz="4" w:space="0" w:color="auto"/>
              <w:bottom w:val="single" w:sz="18" w:space="0" w:color="7F7F7F"/>
              <w:right w:val="single" w:sz="4" w:space="0" w:color="auto"/>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-0.28</w:t>
            </w:r>
          </w:p>
        </w:tc>
        <w:tc>
          <w:tcPr>
            <w:tcW w:w="1503" w:type="dxa"/>
            <w:tcBorders>
              <w:left w:val="single" w:sz="4" w:space="0" w:color="auto"/>
              <w:bottom w:val="single" w:sz="18" w:space="0" w:color="7F7F7F"/>
            </w:tcBorders>
            <w:shd w:val="clear" w:color="auto" w:fill="auto"/>
            <w:vAlign w:val="center"/>
          </w:tcPr>
          <w:p w:rsidR="00E57559" w:rsidRPr="00E57559" w:rsidRDefault="00E57559" w:rsidP="00E57559">
            <w:pPr>
              <w:spacing w:before="0"/>
              <w:jc w:val="right"/>
              <w:rPr>
                <w:rFonts w:ascii="Times New Roman" w:hAnsi="Times New Roman"/>
                <w:color w:val="000000"/>
                <w:sz w:val="20"/>
                <w:szCs w:val="20"/>
              </w:rPr>
            </w:pPr>
            <w:r w:rsidRPr="00E57559">
              <w:rPr>
                <w:rFonts w:ascii="Times New Roman" w:hAnsi="Times New Roman"/>
                <w:color w:val="000000"/>
                <w:sz w:val="20"/>
                <w:szCs w:val="20"/>
              </w:rPr>
              <w:t>-0.02</w:t>
            </w:r>
          </w:p>
        </w:tc>
      </w:tr>
    </w:tbl>
    <w:p w:rsidR="00D7248C" w:rsidRDefault="00D7248C" w:rsidP="00D7248C">
      <w:pPr>
        <w:ind w:left="0"/>
        <w:jc w:val="center"/>
        <w:rPr>
          <w:rFonts w:ascii="Times New Roman" w:hAnsi="Times New Roman"/>
          <w:b/>
          <w:i/>
          <w:sz w:val="24"/>
          <w:szCs w:val="24"/>
        </w:rPr>
      </w:pPr>
    </w:p>
    <w:p w:rsidR="00D7248C" w:rsidRDefault="00D7248C" w:rsidP="00D7248C">
      <w:pPr>
        <w:ind w:left="0"/>
        <w:jc w:val="center"/>
        <w:rPr>
          <w:rFonts w:ascii="Times New Roman" w:hAnsi="Times New Roman"/>
          <w:b/>
          <w:i/>
          <w:sz w:val="24"/>
          <w:szCs w:val="24"/>
        </w:rPr>
      </w:pPr>
      <w:r>
        <w:rPr>
          <w:rFonts w:ascii="Times New Roman" w:hAnsi="Times New Roman"/>
          <w:b/>
          <w:i/>
          <w:sz w:val="24"/>
          <w:szCs w:val="24"/>
        </w:rPr>
        <w:t xml:space="preserve">Table 6.4.  Consumption propensities and movements in the ratios of wealth to GDP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139"/>
        <w:gridCol w:w="964"/>
        <w:gridCol w:w="964"/>
        <w:gridCol w:w="964"/>
        <w:gridCol w:w="964"/>
        <w:gridCol w:w="964"/>
        <w:gridCol w:w="964"/>
      </w:tblGrid>
      <w:tr w:rsidR="00D7248C" w:rsidTr="00ED45E4">
        <w:tc>
          <w:tcPr>
            <w:tcW w:w="1838" w:type="dxa"/>
            <w:tcBorders>
              <w:top w:val="single" w:sz="18" w:space="0" w:color="7F7F7F" w:themeColor="text1" w:themeTint="80"/>
              <w:right w:val="single" w:sz="18" w:space="0" w:color="7F7F7F" w:themeColor="text1" w:themeTint="80"/>
            </w:tcBorders>
            <w:vAlign w:val="bottom"/>
          </w:tcPr>
          <w:p w:rsidR="00D7248C" w:rsidRPr="00013ACC" w:rsidRDefault="00D7248C" w:rsidP="00ED45E4">
            <w:pPr>
              <w:spacing w:before="0" w:line="252" w:lineRule="auto"/>
              <w:ind w:left="29"/>
              <w:contextualSpacing/>
              <w:rPr>
                <w:rFonts w:ascii="Times New Roman" w:hAnsi="Times New Roman"/>
                <w:color w:val="000000"/>
                <w:sz w:val="20"/>
                <w:szCs w:val="20"/>
              </w:rPr>
            </w:pPr>
          </w:p>
        </w:tc>
        <w:tc>
          <w:tcPr>
            <w:tcW w:w="4031" w:type="dxa"/>
            <w:gridSpan w:val="4"/>
            <w:tcBorders>
              <w:top w:val="single" w:sz="18" w:space="0" w:color="7F7F7F" w:themeColor="text1" w:themeTint="80"/>
              <w:left w:val="single" w:sz="18" w:space="0" w:color="7F7F7F" w:themeColor="text1" w:themeTint="80"/>
              <w:right w:val="single" w:sz="18" w:space="0" w:color="7F7F7F" w:themeColor="text1" w:themeTint="80"/>
            </w:tcBorders>
          </w:tcPr>
          <w:p w:rsidR="00D7248C" w:rsidRPr="00C63DA5" w:rsidRDefault="00D7248C" w:rsidP="00ED45E4">
            <w:pPr>
              <w:spacing w:before="0" w:line="252" w:lineRule="auto"/>
              <w:ind w:left="29"/>
              <w:contextualSpacing/>
              <w:jc w:val="center"/>
              <w:rPr>
                <w:rFonts w:ascii="Times New Roman" w:hAnsi="Times New Roman"/>
                <w:b/>
                <w:color w:val="000000"/>
                <w:sz w:val="20"/>
                <w:szCs w:val="20"/>
              </w:rPr>
            </w:pPr>
            <w:r>
              <w:rPr>
                <w:rFonts w:ascii="Times New Roman" w:hAnsi="Times New Roman"/>
                <w:b/>
                <w:color w:val="000000"/>
                <w:sz w:val="20"/>
                <w:szCs w:val="20"/>
              </w:rPr>
              <w:t>Average propensity to consume</w:t>
            </w:r>
          </w:p>
        </w:tc>
        <w:tc>
          <w:tcPr>
            <w:tcW w:w="2892" w:type="dxa"/>
            <w:gridSpan w:val="3"/>
            <w:tcBorders>
              <w:top w:val="single" w:sz="18" w:space="0" w:color="7F7F7F" w:themeColor="text1" w:themeTint="80"/>
              <w:left w:val="single" w:sz="18" w:space="0" w:color="7F7F7F" w:themeColor="text1" w:themeTint="80"/>
            </w:tcBorders>
          </w:tcPr>
          <w:p w:rsidR="00D7248C" w:rsidRPr="00C63DA5" w:rsidRDefault="00D7248C" w:rsidP="00ED45E4">
            <w:pPr>
              <w:spacing w:before="0" w:line="252" w:lineRule="auto"/>
              <w:ind w:left="29"/>
              <w:contextualSpacing/>
              <w:jc w:val="center"/>
              <w:rPr>
                <w:rFonts w:ascii="Times New Roman" w:hAnsi="Times New Roman"/>
                <w:b/>
                <w:sz w:val="20"/>
                <w:szCs w:val="20"/>
              </w:rPr>
            </w:pPr>
            <w:r w:rsidRPr="00C63DA5">
              <w:rPr>
                <w:rFonts w:ascii="Times New Roman" w:hAnsi="Times New Roman"/>
                <w:b/>
                <w:sz w:val="20"/>
                <w:szCs w:val="20"/>
              </w:rPr>
              <w:t>Ratio of wealth to GDP</w:t>
            </w:r>
          </w:p>
        </w:tc>
      </w:tr>
      <w:tr w:rsidR="00D7248C" w:rsidTr="00ED45E4">
        <w:tc>
          <w:tcPr>
            <w:tcW w:w="1838" w:type="dxa"/>
            <w:tcBorders>
              <w:right w:val="single" w:sz="18" w:space="0" w:color="7F7F7F" w:themeColor="text1" w:themeTint="80"/>
            </w:tcBorders>
            <w:vAlign w:val="bottom"/>
          </w:tcPr>
          <w:p w:rsidR="00D7248C" w:rsidRPr="00013ACC" w:rsidRDefault="00D7248C" w:rsidP="00ED45E4">
            <w:pPr>
              <w:spacing w:before="0" w:line="252" w:lineRule="auto"/>
              <w:ind w:left="29"/>
              <w:contextualSpacing/>
              <w:rPr>
                <w:rFonts w:ascii="Times New Roman" w:hAnsi="Times New Roman"/>
                <w:color w:val="000000"/>
                <w:sz w:val="20"/>
                <w:szCs w:val="20"/>
              </w:rPr>
            </w:pPr>
          </w:p>
        </w:tc>
        <w:tc>
          <w:tcPr>
            <w:tcW w:w="1139" w:type="dxa"/>
            <w:tcBorders>
              <w:left w:val="single" w:sz="18" w:space="0" w:color="7F7F7F" w:themeColor="text1" w:themeTint="80"/>
            </w:tcBorders>
            <w:vAlign w:val="bottom"/>
          </w:tcPr>
          <w:p w:rsidR="00D7248C" w:rsidRPr="00013ACC" w:rsidRDefault="00D7248C" w:rsidP="00ED45E4">
            <w:pPr>
              <w:spacing w:before="0" w:line="252" w:lineRule="auto"/>
              <w:ind w:left="29"/>
              <w:contextualSpacing/>
              <w:rPr>
                <w:rFonts w:ascii="Times New Roman" w:hAnsi="Times New Roman"/>
                <w:color w:val="000000"/>
                <w:sz w:val="20"/>
                <w:szCs w:val="20"/>
              </w:rPr>
            </w:pPr>
          </w:p>
        </w:tc>
        <w:tc>
          <w:tcPr>
            <w:tcW w:w="964" w:type="dxa"/>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p>
        </w:tc>
        <w:tc>
          <w:tcPr>
            <w:tcW w:w="964" w:type="dxa"/>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p>
        </w:tc>
        <w:tc>
          <w:tcPr>
            <w:tcW w:w="964" w:type="dxa"/>
            <w:tcBorders>
              <w:right w:val="single" w:sz="18" w:space="0" w:color="7F7F7F" w:themeColor="text1" w:themeTint="80"/>
            </w:tcBorders>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p>
        </w:tc>
        <w:tc>
          <w:tcPr>
            <w:tcW w:w="2892" w:type="dxa"/>
            <w:gridSpan w:val="3"/>
            <w:tcBorders>
              <w:left w:val="single" w:sz="18" w:space="0" w:color="7F7F7F" w:themeColor="text1" w:themeTint="80"/>
            </w:tcBorders>
          </w:tcPr>
          <w:p w:rsidR="00D7248C" w:rsidRPr="00C63DA5" w:rsidRDefault="00D7248C" w:rsidP="00ED45E4">
            <w:pPr>
              <w:spacing w:before="0" w:line="252" w:lineRule="auto"/>
              <w:ind w:left="29"/>
              <w:contextualSpacing/>
              <w:jc w:val="center"/>
              <w:rPr>
                <w:rFonts w:ascii="Times New Roman" w:hAnsi="Times New Roman"/>
                <w:b/>
                <w:i/>
                <w:color w:val="000000"/>
                <w:sz w:val="20"/>
                <w:szCs w:val="20"/>
              </w:rPr>
            </w:pPr>
            <w:r w:rsidRPr="00C63DA5">
              <w:rPr>
                <w:rFonts w:ascii="Times New Roman" w:hAnsi="Times New Roman"/>
                <w:b/>
                <w:i/>
                <w:color w:val="000000"/>
                <w:sz w:val="20"/>
                <w:szCs w:val="20"/>
              </w:rPr>
              <w:t>per cent change between</w:t>
            </w:r>
            <w:r>
              <w:rPr>
                <w:rFonts w:ascii="Times New Roman" w:hAnsi="Times New Roman"/>
                <w:b/>
                <w:i/>
                <w:color w:val="000000"/>
                <w:sz w:val="20"/>
                <w:szCs w:val="20"/>
              </w:rPr>
              <w:t>:</w:t>
            </w:r>
          </w:p>
        </w:tc>
      </w:tr>
      <w:tr w:rsidR="00D7248C" w:rsidTr="00ED45E4">
        <w:tc>
          <w:tcPr>
            <w:tcW w:w="1838" w:type="dxa"/>
            <w:tcBorders>
              <w:bottom w:val="single" w:sz="18" w:space="0" w:color="7F7F7F" w:themeColor="text1" w:themeTint="80"/>
              <w:right w:val="single" w:sz="18" w:space="0" w:color="7F7F7F" w:themeColor="text1" w:themeTint="80"/>
            </w:tcBorders>
            <w:vAlign w:val="bottom"/>
          </w:tcPr>
          <w:p w:rsidR="00D7248C" w:rsidRPr="00013ACC" w:rsidRDefault="00D7248C" w:rsidP="00ED45E4">
            <w:pPr>
              <w:spacing w:before="0" w:line="252" w:lineRule="auto"/>
              <w:ind w:left="29"/>
              <w:contextualSpacing/>
              <w:rPr>
                <w:rFonts w:ascii="Times New Roman" w:hAnsi="Times New Roman"/>
                <w:color w:val="000000"/>
                <w:sz w:val="20"/>
                <w:szCs w:val="20"/>
                <w:lang w:eastAsia="en-AU"/>
              </w:rPr>
            </w:pPr>
          </w:p>
        </w:tc>
        <w:tc>
          <w:tcPr>
            <w:tcW w:w="1139" w:type="dxa"/>
            <w:tcBorders>
              <w:left w:val="single" w:sz="18" w:space="0" w:color="7F7F7F" w:themeColor="text1" w:themeTint="80"/>
              <w:bottom w:val="single" w:sz="18" w:space="0" w:color="7F7F7F" w:themeColor="text1" w:themeTint="80"/>
            </w:tcBorders>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r>
              <w:rPr>
                <w:rFonts w:ascii="Times New Roman" w:hAnsi="Times New Roman"/>
                <w:color w:val="000000"/>
                <w:sz w:val="20"/>
                <w:szCs w:val="20"/>
              </w:rPr>
              <w:t>20</w:t>
            </w:r>
            <w:r w:rsidRPr="00013ACC">
              <w:rPr>
                <w:rFonts w:ascii="Times New Roman" w:hAnsi="Times New Roman"/>
                <w:color w:val="000000"/>
                <w:sz w:val="20"/>
                <w:szCs w:val="20"/>
              </w:rPr>
              <w:t>19</w:t>
            </w:r>
          </w:p>
        </w:tc>
        <w:tc>
          <w:tcPr>
            <w:tcW w:w="964" w:type="dxa"/>
            <w:tcBorders>
              <w:bottom w:val="single" w:sz="18" w:space="0" w:color="7F7F7F" w:themeColor="text1" w:themeTint="80"/>
            </w:tcBorders>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r w:rsidRPr="00013ACC">
              <w:rPr>
                <w:rFonts w:ascii="Times New Roman" w:hAnsi="Times New Roman"/>
                <w:color w:val="000000"/>
                <w:sz w:val="20"/>
                <w:szCs w:val="20"/>
              </w:rPr>
              <w:t>2030</w:t>
            </w:r>
          </w:p>
        </w:tc>
        <w:tc>
          <w:tcPr>
            <w:tcW w:w="964" w:type="dxa"/>
            <w:tcBorders>
              <w:bottom w:val="single" w:sz="18" w:space="0" w:color="7F7F7F" w:themeColor="text1" w:themeTint="80"/>
            </w:tcBorders>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r w:rsidRPr="00013ACC">
              <w:rPr>
                <w:rFonts w:ascii="Times New Roman" w:hAnsi="Times New Roman"/>
                <w:color w:val="000000"/>
                <w:sz w:val="20"/>
                <w:szCs w:val="20"/>
              </w:rPr>
              <w:t>2040</w:t>
            </w:r>
          </w:p>
        </w:tc>
        <w:tc>
          <w:tcPr>
            <w:tcW w:w="964" w:type="dxa"/>
            <w:tcBorders>
              <w:bottom w:val="single" w:sz="18" w:space="0" w:color="7F7F7F" w:themeColor="text1" w:themeTint="80"/>
              <w:right w:val="single" w:sz="18" w:space="0" w:color="7F7F7F" w:themeColor="text1" w:themeTint="80"/>
            </w:tcBorders>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r w:rsidRPr="00013ACC">
              <w:rPr>
                <w:rFonts w:ascii="Times New Roman" w:hAnsi="Times New Roman"/>
                <w:color w:val="000000"/>
                <w:sz w:val="20"/>
                <w:szCs w:val="20"/>
              </w:rPr>
              <w:t>2050</w:t>
            </w:r>
          </w:p>
        </w:tc>
        <w:tc>
          <w:tcPr>
            <w:tcW w:w="964" w:type="dxa"/>
            <w:tcBorders>
              <w:left w:val="single" w:sz="18" w:space="0" w:color="7F7F7F" w:themeColor="text1" w:themeTint="80"/>
              <w:bottom w:val="single" w:sz="18" w:space="0" w:color="7F7F7F" w:themeColor="text1" w:themeTint="80"/>
            </w:tcBorders>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r w:rsidRPr="00013ACC">
              <w:rPr>
                <w:rFonts w:ascii="Times New Roman" w:hAnsi="Times New Roman"/>
                <w:color w:val="000000"/>
                <w:sz w:val="20"/>
                <w:szCs w:val="20"/>
              </w:rPr>
              <w:t>20</w:t>
            </w:r>
            <w:r>
              <w:rPr>
                <w:rFonts w:ascii="Times New Roman" w:hAnsi="Times New Roman"/>
                <w:color w:val="000000"/>
                <w:sz w:val="20"/>
                <w:szCs w:val="20"/>
              </w:rPr>
              <w:t>19-</w:t>
            </w:r>
            <w:r w:rsidRPr="00013ACC">
              <w:rPr>
                <w:rFonts w:ascii="Times New Roman" w:hAnsi="Times New Roman"/>
                <w:color w:val="000000"/>
                <w:sz w:val="20"/>
                <w:szCs w:val="20"/>
              </w:rPr>
              <w:t>30</w:t>
            </w:r>
          </w:p>
        </w:tc>
        <w:tc>
          <w:tcPr>
            <w:tcW w:w="964" w:type="dxa"/>
            <w:tcBorders>
              <w:bottom w:val="single" w:sz="18" w:space="0" w:color="7F7F7F" w:themeColor="text1" w:themeTint="80"/>
            </w:tcBorders>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r w:rsidRPr="00013ACC">
              <w:rPr>
                <w:rFonts w:ascii="Times New Roman" w:hAnsi="Times New Roman"/>
                <w:color w:val="000000"/>
                <w:sz w:val="20"/>
                <w:szCs w:val="20"/>
              </w:rPr>
              <w:t>2</w:t>
            </w:r>
            <w:r>
              <w:rPr>
                <w:rFonts w:ascii="Times New Roman" w:hAnsi="Times New Roman"/>
                <w:color w:val="000000"/>
                <w:sz w:val="20"/>
                <w:szCs w:val="20"/>
              </w:rPr>
              <w:t>030-</w:t>
            </w:r>
            <w:r w:rsidRPr="00013ACC">
              <w:rPr>
                <w:rFonts w:ascii="Times New Roman" w:hAnsi="Times New Roman"/>
                <w:color w:val="000000"/>
                <w:sz w:val="20"/>
                <w:szCs w:val="20"/>
              </w:rPr>
              <w:t>40</w:t>
            </w:r>
          </w:p>
        </w:tc>
        <w:tc>
          <w:tcPr>
            <w:tcW w:w="964" w:type="dxa"/>
            <w:tcBorders>
              <w:bottom w:val="single" w:sz="18" w:space="0" w:color="7F7F7F" w:themeColor="text1" w:themeTint="80"/>
            </w:tcBorders>
            <w:vAlign w:val="bottom"/>
          </w:tcPr>
          <w:p w:rsidR="00D7248C" w:rsidRPr="00013ACC" w:rsidRDefault="00D7248C" w:rsidP="00ED45E4">
            <w:pPr>
              <w:spacing w:before="0" w:line="252" w:lineRule="auto"/>
              <w:ind w:left="29"/>
              <w:contextualSpacing/>
              <w:jc w:val="right"/>
              <w:rPr>
                <w:rFonts w:ascii="Times New Roman" w:hAnsi="Times New Roman"/>
                <w:color w:val="000000"/>
                <w:sz w:val="20"/>
                <w:szCs w:val="20"/>
              </w:rPr>
            </w:pPr>
            <w:r w:rsidRPr="00013ACC">
              <w:rPr>
                <w:rFonts w:ascii="Times New Roman" w:hAnsi="Times New Roman"/>
                <w:color w:val="000000"/>
                <w:sz w:val="20"/>
                <w:szCs w:val="20"/>
              </w:rPr>
              <w:t>20</w:t>
            </w:r>
            <w:r>
              <w:rPr>
                <w:rFonts w:ascii="Times New Roman" w:hAnsi="Times New Roman"/>
                <w:color w:val="000000"/>
                <w:sz w:val="20"/>
                <w:szCs w:val="20"/>
              </w:rPr>
              <w:t>40-</w:t>
            </w:r>
            <w:r w:rsidRPr="00013ACC">
              <w:rPr>
                <w:rFonts w:ascii="Times New Roman" w:hAnsi="Times New Roman"/>
                <w:color w:val="000000"/>
                <w:sz w:val="20"/>
                <w:szCs w:val="20"/>
              </w:rPr>
              <w:t>50</w:t>
            </w:r>
          </w:p>
        </w:tc>
      </w:tr>
      <w:tr w:rsidR="00D7248C" w:rsidTr="00ED45E4">
        <w:tc>
          <w:tcPr>
            <w:tcW w:w="1838" w:type="dxa"/>
            <w:tcBorders>
              <w:top w:val="single" w:sz="18" w:space="0" w:color="7F7F7F" w:themeColor="text1" w:themeTint="80"/>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1 USA</w:t>
            </w:r>
          </w:p>
        </w:tc>
        <w:tc>
          <w:tcPr>
            <w:tcW w:w="1139" w:type="dxa"/>
            <w:tcBorders>
              <w:top w:val="single" w:sz="18" w:space="0" w:color="7F7F7F" w:themeColor="text1" w:themeTint="80"/>
              <w:left w:val="single" w:sz="18" w:space="0" w:color="7F7F7F" w:themeColor="text1" w:themeTint="80"/>
            </w:tcBorders>
            <w:shd w:val="clear" w:color="auto" w:fill="FFFFCC"/>
            <w:vAlign w:val="center"/>
          </w:tcPr>
          <w:p w:rsidR="00D7248C" w:rsidRPr="00D7248C" w:rsidRDefault="00D7248C" w:rsidP="00D7248C">
            <w:pPr>
              <w:spacing w:before="0"/>
              <w:ind w:left="0"/>
              <w:jc w:val="right"/>
              <w:rPr>
                <w:rFonts w:ascii="Times New Roman" w:hAnsi="Times New Roman"/>
                <w:color w:val="000000"/>
                <w:sz w:val="20"/>
                <w:szCs w:val="20"/>
                <w:lang w:eastAsia="en-AU"/>
              </w:rPr>
            </w:pPr>
            <w:r w:rsidRPr="00D7248C">
              <w:rPr>
                <w:rFonts w:ascii="Times New Roman" w:hAnsi="Times New Roman"/>
                <w:color w:val="000000"/>
                <w:sz w:val="20"/>
                <w:szCs w:val="20"/>
              </w:rPr>
              <w:t>0.962</w:t>
            </w:r>
          </w:p>
        </w:tc>
        <w:tc>
          <w:tcPr>
            <w:tcW w:w="964" w:type="dxa"/>
            <w:tcBorders>
              <w:top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0.961</w:t>
            </w:r>
          </w:p>
        </w:tc>
        <w:tc>
          <w:tcPr>
            <w:tcW w:w="964" w:type="dxa"/>
            <w:tcBorders>
              <w:top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0.946</w:t>
            </w:r>
          </w:p>
        </w:tc>
        <w:tc>
          <w:tcPr>
            <w:tcW w:w="964" w:type="dxa"/>
            <w:tcBorders>
              <w:top w:val="single" w:sz="18" w:space="0" w:color="7F7F7F" w:themeColor="text1" w:themeTint="80"/>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0.948</w:t>
            </w:r>
          </w:p>
        </w:tc>
        <w:tc>
          <w:tcPr>
            <w:tcW w:w="964" w:type="dxa"/>
            <w:tcBorders>
              <w:top w:val="single" w:sz="18" w:space="0" w:color="7F7F7F" w:themeColor="text1" w:themeTint="80"/>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3.468</w:t>
            </w:r>
          </w:p>
        </w:tc>
        <w:tc>
          <w:tcPr>
            <w:tcW w:w="964" w:type="dxa"/>
            <w:tcBorders>
              <w:top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-0.088</w:t>
            </w:r>
          </w:p>
        </w:tc>
        <w:tc>
          <w:tcPr>
            <w:tcW w:w="964" w:type="dxa"/>
            <w:tcBorders>
              <w:top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2.539</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2 Canada</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0.876</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0.925</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0.919</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0.919</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9.456</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0.126</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1.017</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3 Mexico</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1.003</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0.901</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0.922</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0.931</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-13.908</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2.999</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1.256</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4 China</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0.645</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0.738</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0.791</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0.803</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12.970</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5.157</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0.058</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5 Japan</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0.840</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0.945</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0.957</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0.959</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21.647</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3.539</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1.843</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6 SKorea</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0.789</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0.855</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0.892</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0.903</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8.166</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2.981</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-0.884</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7 India</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0.872</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0.808</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0.819</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0.829</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-13.405</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-0.233</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0.484</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8 France</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0.915</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0.953</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0.943</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0.938</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9.907</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0.383</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1.263</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9 Germany</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0.830</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0.910</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0.924</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0.923</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14.261</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1.999</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-0.174</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10 UK</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0.988</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0.916</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0.933</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0.934</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-9.993</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4.411</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1.714</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11 RoEU</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0.899</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0.884</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0.894</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0.904</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-4.836</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-0.425</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-0.485</w:t>
            </w:r>
          </w:p>
        </w:tc>
      </w:tr>
      <w:tr w:rsidR="00D7248C" w:rsidTr="00ED45E4">
        <w:tc>
          <w:tcPr>
            <w:tcW w:w="1838" w:type="dxa"/>
            <w:tcBorders>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12 SaudiArabia</w:t>
            </w:r>
          </w:p>
        </w:tc>
        <w:tc>
          <w:tcPr>
            <w:tcW w:w="1139" w:type="dxa"/>
            <w:tcBorders>
              <w:left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0.712</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0.796</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0.842</w:t>
            </w:r>
          </w:p>
        </w:tc>
        <w:tc>
          <w:tcPr>
            <w:tcW w:w="964" w:type="dxa"/>
            <w:tcBorders>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0.861</w:t>
            </w:r>
          </w:p>
        </w:tc>
        <w:tc>
          <w:tcPr>
            <w:tcW w:w="964" w:type="dxa"/>
            <w:tcBorders>
              <w:lef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15.267</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13.092</w:t>
            </w:r>
          </w:p>
        </w:tc>
        <w:tc>
          <w:tcPr>
            <w:tcW w:w="964" w:type="dxa"/>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7.339</w:t>
            </w:r>
          </w:p>
        </w:tc>
      </w:tr>
      <w:tr w:rsidR="00D7248C" w:rsidTr="00ED45E4">
        <w:tc>
          <w:tcPr>
            <w:tcW w:w="1838" w:type="dxa"/>
            <w:tcBorders>
              <w:bottom w:val="single" w:sz="18" w:space="0" w:color="7F7F7F" w:themeColor="text1" w:themeTint="80"/>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13 RoW</w:t>
            </w:r>
          </w:p>
        </w:tc>
        <w:tc>
          <w:tcPr>
            <w:tcW w:w="1139" w:type="dxa"/>
            <w:tcBorders>
              <w:left w:val="single" w:sz="18" w:space="0" w:color="7F7F7F" w:themeColor="text1" w:themeTint="80"/>
              <w:bottom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0.855</w:t>
            </w:r>
          </w:p>
        </w:tc>
        <w:tc>
          <w:tcPr>
            <w:tcW w:w="964" w:type="dxa"/>
            <w:tcBorders>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0.869</w:t>
            </w:r>
          </w:p>
        </w:tc>
        <w:tc>
          <w:tcPr>
            <w:tcW w:w="964" w:type="dxa"/>
            <w:tcBorders>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0.868</w:t>
            </w:r>
          </w:p>
        </w:tc>
        <w:tc>
          <w:tcPr>
            <w:tcW w:w="964" w:type="dxa"/>
            <w:tcBorders>
              <w:bottom w:val="single" w:sz="18" w:space="0" w:color="7F7F7F" w:themeColor="text1" w:themeTint="80"/>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0.874</w:t>
            </w:r>
          </w:p>
        </w:tc>
        <w:tc>
          <w:tcPr>
            <w:tcW w:w="964" w:type="dxa"/>
            <w:tcBorders>
              <w:left w:val="single" w:sz="18" w:space="0" w:color="7F7F7F" w:themeColor="text1" w:themeTint="80"/>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2.241</w:t>
            </w:r>
          </w:p>
        </w:tc>
        <w:tc>
          <w:tcPr>
            <w:tcW w:w="964" w:type="dxa"/>
            <w:tcBorders>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-0.546</w:t>
            </w:r>
          </w:p>
        </w:tc>
        <w:tc>
          <w:tcPr>
            <w:tcW w:w="964" w:type="dxa"/>
            <w:tcBorders>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0.489</w:t>
            </w:r>
          </w:p>
        </w:tc>
      </w:tr>
      <w:tr w:rsidR="00D7248C" w:rsidTr="00ED45E4">
        <w:tc>
          <w:tcPr>
            <w:tcW w:w="1838" w:type="dxa"/>
            <w:tcBorders>
              <w:top w:val="single" w:sz="18" w:space="0" w:color="7F7F7F" w:themeColor="text1" w:themeTint="80"/>
              <w:bottom w:val="single" w:sz="18" w:space="0" w:color="7F7F7F" w:themeColor="text1" w:themeTint="80"/>
              <w:right w:val="single" w:sz="18" w:space="0" w:color="7F7F7F" w:themeColor="text1" w:themeTint="80"/>
            </w:tcBorders>
            <w:vAlign w:val="center"/>
          </w:tcPr>
          <w:p w:rsidR="00D7248C" w:rsidRPr="00013ACC" w:rsidRDefault="00D7248C" w:rsidP="00D7248C">
            <w:pPr>
              <w:spacing w:before="0" w:line="252" w:lineRule="auto"/>
              <w:ind w:left="29"/>
              <w:contextualSpacing/>
              <w:rPr>
                <w:rFonts w:ascii="Times New Roman" w:hAnsi="Times New Roman"/>
                <w:color w:val="000000"/>
                <w:sz w:val="20"/>
                <w:szCs w:val="20"/>
              </w:rPr>
            </w:pPr>
            <w:r w:rsidRPr="00013ACC">
              <w:rPr>
                <w:rFonts w:ascii="Times New Roman" w:hAnsi="Times New Roman"/>
                <w:color w:val="000000"/>
                <w:sz w:val="20"/>
                <w:szCs w:val="20"/>
              </w:rPr>
              <w:t>World average</w:t>
            </w:r>
          </w:p>
        </w:tc>
        <w:tc>
          <w:tcPr>
            <w:tcW w:w="1139" w:type="dxa"/>
            <w:tcBorders>
              <w:top w:val="single" w:sz="18" w:space="0" w:color="7F7F7F" w:themeColor="text1" w:themeTint="80"/>
              <w:left w:val="single" w:sz="18" w:space="0" w:color="7F7F7F" w:themeColor="text1" w:themeTint="80"/>
              <w:bottom w:val="single" w:sz="18" w:space="0" w:color="7F7F7F" w:themeColor="text1" w:themeTint="80"/>
            </w:tcBorders>
            <w:shd w:val="clear" w:color="auto" w:fill="FFFFCC"/>
            <w:vAlign w:val="center"/>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0.857</w:t>
            </w:r>
          </w:p>
        </w:tc>
        <w:tc>
          <w:tcPr>
            <w:tcW w:w="964" w:type="dxa"/>
            <w:tcBorders>
              <w:top w:val="single" w:sz="18" w:space="0" w:color="7F7F7F" w:themeColor="text1" w:themeTint="80"/>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0.873</w:t>
            </w:r>
          </w:p>
        </w:tc>
        <w:tc>
          <w:tcPr>
            <w:tcW w:w="964" w:type="dxa"/>
            <w:tcBorders>
              <w:top w:val="single" w:sz="18" w:space="0" w:color="7F7F7F" w:themeColor="text1" w:themeTint="80"/>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0.880</w:t>
            </w:r>
          </w:p>
        </w:tc>
        <w:tc>
          <w:tcPr>
            <w:tcW w:w="964"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r w:rsidRPr="00D7248C">
              <w:rPr>
                <w:rFonts w:ascii="Times New Roman" w:hAnsi="Times New Roman"/>
                <w:color w:val="000000"/>
                <w:sz w:val="20"/>
                <w:szCs w:val="20"/>
              </w:rPr>
              <w:t>0.883</w:t>
            </w:r>
          </w:p>
        </w:tc>
        <w:tc>
          <w:tcPr>
            <w:tcW w:w="964" w:type="dxa"/>
            <w:tcBorders>
              <w:top w:val="single" w:sz="18" w:space="0" w:color="7F7F7F" w:themeColor="text1" w:themeTint="80"/>
              <w:left w:val="single" w:sz="18" w:space="0" w:color="7F7F7F" w:themeColor="text1" w:themeTint="80"/>
              <w:bottom w:val="single" w:sz="18" w:space="0" w:color="7F7F7F" w:themeColor="text1" w:themeTint="80"/>
            </w:tcBorders>
            <w:vAlign w:val="bottom"/>
          </w:tcPr>
          <w:p w:rsidR="00D7248C" w:rsidRPr="00D7248C" w:rsidRDefault="00D7248C" w:rsidP="00D7248C">
            <w:pPr>
              <w:spacing w:before="0"/>
              <w:jc w:val="right"/>
              <w:rPr>
                <w:rFonts w:ascii="Times New Roman" w:hAnsi="Times New Roman"/>
                <w:color w:val="000000"/>
                <w:sz w:val="20"/>
                <w:szCs w:val="20"/>
              </w:rPr>
            </w:pPr>
          </w:p>
        </w:tc>
        <w:tc>
          <w:tcPr>
            <w:tcW w:w="964" w:type="dxa"/>
            <w:tcBorders>
              <w:top w:val="single" w:sz="18" w:space="0" w:color="7F7F7F" w:themeColor="text1" w:themeTint="80"/>
              <w:bottom w:val="single" w:sz="18" w:space="0" w:color="7F7F7F" w:themeColor="text1" w:themeTint="80"/>
            </w:tcBorders>
            <w:vAlign w:val="bottom"/>
          </w:tcPr>
          <w:p w:rsidR="00D7248C" w:rsidRPr="00D7248C" w:rsidRDefault="00D7248C" w:rsidP="00D7248C">
            <w:pPr>
              <w:spacing w:before="0"/>
              <w:rPr>
                <w:rFonts w:ascii="Times New Roman" w:hAnsi="Times New Roman"/>
                <w:sz w:val="20"/>
                <w:szCs w:val="20"/>
              </w:rPr>
            </w:pPr>
          </w:p>
        </w:tc>
        <w:tc>
          <w:tcPr>
            <w:tcW w:w="964" w:type="dxa"/>
            <w:tcBorders>
              <w:top w:val="single" w:sz="18" w:space="0" w:color="7F7F7F" w:themeColor="text1" w:themeTint="80"/>
              <w:bottom w:val="single" w:sz="18" w:space="0" w:color="7F7F7F" w:themeColor="text1" w:themeTint="80"/>
            </w:tcBorders>
            <w:vAlign w:val="bottom"/>
          </w:tcPr>
          <w:p w:rsidR="00D7248C" w:rsidRPr="00D7248C" w:rsidRDefault="00D7248C" w:rsidP="00D7248C">
            <w:pPr>
              <w:spacing w:before="0"/>
              <w:rPr>
                <w:rFonts w:ascii="Times New Roman" w:hAnsi="Times New Roman"/>
                <w:sz w:val="20"/>
                <w:szCs w:val="20"/>
              </w:rPr>
            </w:pPr>
          </w:p>
        </w:tc>
      </w:tr>
    </w:tbl>
    <w:p w:rsidR="00D7248C" w:rsidRDefault="00D7248C" w:rsidP="00D7248C">
      <w:pPr>
        <w:ind w:left="0"/>
        <w:rPr>
          <w:rFonts w:ascii="Times New Roman" w:hAnsi="Times New Roman"/>
          <w:b/>
          <w:i/>
          <w:sz w:val="24"/>
          <w:szCs w:val="24"/>
        </w:rPr>
      </w:pPr>
    </w:p>
    <w:p w:rsidR="00FB6C19" w:rsidRPr="007C017F" w:rsidRDefault="00FB6C19" w:rsidP="00FB6C19">
      <w:pPr>
        <w:tabs>
          <w:tab w:val="left" w:pos="284"/>
        </w:tabs>
        <w:ind w:left="0"/>
        <w:rPr>
          <w:rFonts w:ascii="Times New Roman" w:hAnsi="Times New Roman"/>
          <w:sz w:val="24"/>
          <w:szCs w:val="24"/>
        </w:rPr>
      </w:pPr>
      <w:r>
        <w:rPr>
          <w:rFonts w:ascii="Times New Roman" w:hAnsi="Times New Roman"/>
          <w:sz w:val="24"/>
          <w:szCs w:val="24"/>
        </w:rPr>
        <w:t xml:space="preserve">The third factor </w:t>
      </w:r>
      <w:r w:rsidRPr="00F34A8C">
        <w:rPr>
          <w:rFonts w:ascii="Times New Roman" w:hAnsi="Times New Roman"/>
          <w:sz w:val="24"/>
          <w:szCs w:val="24"/>
        </w:rPr>
        <w:t>is the terms of trade</w:t>
      </w:r>
      <w:r>
        <w:rPr>
          <w:rFonts w:ascii="Times New Roman" w:hAnsi="Times New Roman"/>
          <w:sz w:val="24"/>
          <w:szCs w:val="24"/>
        </w:rPr>
        <w:t xml:space="preserve"> (the price of exports relative to the price of imports), see Table 6.3.  In our simulations from 2019 to 2050, we assume no preference twists in favour or against the products of particular regions.  Without preference twists, the Armington assumption built into the GTAP model generally implies terms-of-trade improvement for </w:t>
      </w:r>
      <w:r w:rsidRPr="007C017F">
        <w:rPr>
          <w:rFonts w:ascii="Times New Roman" w:hAnsi="Times New Roman"/>
          <w:sz w:val="24"/>
          <w:szCs w:val="24"/>
        </w:rPr>
        <w:t xml:space="preserve">regions such as Japan in which export growth is slow relative to world GDP growth and terms-of-trade deterioration in regions such as India in which export growth is rapid.  </w:t>
      </w:r>
    </w:p>
    <w:p w:rsidR="00C7203F" w:rsidRPr="007C017F" w:rsidRDefault="00C7203F" w:rsidP="00C7203F">
      <w:pPr>
        <w:tabs>
          <w:tab w:val="left" w:pos="284"/>
        </w:tabs>
        <w:ind w:left="0"/>
        <w:rPr>
          <w:rFonts w:ascii="Times New Roman" w:hAnsi="Times New Roman"/>
          <w:sz w:val="24"/>
          <w:szCs w:val="24"/>
        </w:rPr>
      </w:pPr>
      <w:r w:rsidRPr="007C017F">
        <w:rPr>
          <w:rFonts w:ascii="Times New Roman" w:hAnsi="Times New Roman"/>
          <w:sz w:val="24"/>
          <w:szCs w:val="24"/>
        </w:rPr>
        <w:t>As can be seen in Table 6.3, China’s terms of trade decline between 2040 and 2050 (-0.</w:t>
      </w:r>
      <w:r w:rsidR="007C017F" w:rsidRPr="007C017F">
        <w:rPr>
          <w:rFonts w:ascii="Times New Roman" w:hAnsi="Times New Roman"/>
          <w:sz w:val="24"/>
          <w:szCs w:val="24"/>
        </w:rPr>
        <w:t>35</w:t>
      </w:r>
      <w:r w:rsidRPr="007C017F">
        <w:rPr>
          <w:rFonts w:ascii="Times New Roman" w:hAnsi="Times New Roman"/>
          <w:sz w:val="24"/>
          <w:szCs w:val="24"/>
        </w:rPr>
        <w:t xml:space="preserve"> per cent a year).  Falling terms of trade reduce real consumption relative to real GDP by increasing the price of consumption relative to that of GDP.  Why does China’s terms of trade fall?  By 2040-50, the growth rate for China’s investment has fallen back towards that of GDP.  This, combined with the reduction in the growth of consumption relative to that of GDP, causes real exchange rate devaluation.  Consequently, there is an increase in the growth rate of Chinese exports (3.</w:t>
      </w:r>
      <w:r w:rsidR="007C017F" w:rsidRPr="007C017F">
        <w:rPr>
          <w:rFonts w:ascii="Times New Roman" w:hAnsi="Times New Roman"/>
          <w:sz w:val="24"/>
          <w:szCs w:val="24"/>
        </w:rPr>
        <w:t>48</w:t>
      </w:r>
      <w:r w:rsidRPr="007C017F">
        <w:rPr>
          <w:rFonts w:ascii="Times New Roman" w:hAnsi="Times New Roman"/>
          <w:sz w:val="24"/>
          <w:szCs w:val="24"/>
        </w:rPr>
        <w:t xml:space="preserve"> per cent in 2040-50 compared with 0.</w:t>
      </w:r>
      <w:r w:rsidR="007C017F" w:rsidRPr="007C017F">
        <w:rPr>
          <w:rFonts w:ascii="Times New Roman" w:hAnsi="Times New Roman"/>
          <w:sz w:val="24"/>
          <w:szCs w:val="24"/>
        </w:rPr>
        <w:t>06</w:t>
      </w:r>
      <w:r w:rsidRPr="007C017F">
        <w:rPr>
          <w:rFonts w:ascii="Times New Roman" w:hAnsi="Times New Roman"/>
          <w:sz w:val="24"/>
          <w:szCs w:val="24"/>
        </w:rPr>
        <w:t xml:space="preserve"> per cent in 2030-40).  </w:t>
      </w:r>
      <w:r w:rsidRPr="007C017F">
        <w:rPr>
          <w:rFonts w:ascii="Times New Roman" w:hAnsi="Times New Roman"/>
          <w:sz w:val="24"/>
          <w:szCs w:val="24"/>
        </w:rPr>
        <w:lastRenderedPageBreak/>
        <w:t xml:space="preserve">Faster export growth reduces prices (movement down demand curves), explaining China’s terms-of-trade decline. </w:t>
      </w:r>
    </w:p>
    <w:p w:rsidR="003A7290" w:rsidRPr="007C017F" w:rsidRDefault="003A7290" w:rsidP="003A7290">
      <w:pPr>
        <w:ind w:left="0"/>
        <w:rPr>
          <w:rFonts w:ascii="Times New Roman" w:hAnsi="Times New Roman"/>
          <w:sz w:val="24"/>
          <w:szCs w:val="24"/>
        </w:rPr>
      </w:pPr>
      <w:r w:rsidRPr="007C017F">
        <w:rPr>
          <w:rFonts w:ascii="Times New Roman" w:hAnsi="Times New Roman"/>
          <w:sz w:val="24"/>
          <w:szCs w:val="24"/>
        </w:rPr>
        <w:t xml:space="preserve">In the case of Saudi Arabia, it is the price of oil rather than the volume of exports that is the main ingredient in the determination of the terms of trade.  As </w:t>
      </w:r>
      <w:r w:rsidR="00836F93" w:rsidRPr="007C017F">
        <w:rPr>
          <w:rFonts w:ascii="Times New Roman" w:hAnsi="Times New Roman"/>
          <w:sz w:val="24"/>
          <w:szCs w:val="24"/>
        </w:rPr>
        <w:t>can</w:t>
      </w:r>
      <w:r w:rsidRPr="007C017F">
        <w:rPr>
          <w:rFonts w:ascii="Times New Roman" w:hAnsi="Times New Roman"/>
          <w:sz w:val="24"/>
          <w:szCs w:val="24"/>
        </w:rPr>
        <w:t xml:space="preserve"> be seen in </w:t>
      </w:r>
      <w:r w:rsidR="00836F93" w:rsidRPr="007C017F">
        <w:rPr>
          <w:rFonts w:ascii="Times New Roman" w:hAnsi="Times New Roman"/>
          <w:sz w:val="24"/>
          <w:szCs w:val="24"/>
        </w:rPr>
        <w:t>Table 6.6</w:t>
      </w:r>
      <w:r w:rsidRPr="007C017F">
        <w:rPr>
          <w:rFonts w:ascii="Times New Roman" w:hAnsi="Times New Roman"/>
          <w:sz w:val="24"/>
          <w:szCs w:val="24"/>
        </w:rPr>
        <w:t xml:space="preserve">, we project weak growth in the demand for oil leading to relatively low prices.  This gives Saudi Arabia declining terms of trade in 2030-40 and 2040-50.  The negative term-of-trade effect on Saudi Arabia’s consumption/GDP ratio is overwhelmed by positive factors in earlier periods.  However, it emerges in 2040-50 to become part of the explanation for the decline in this period in Saudi Arabia’s consumption relative to GDP.     </w:t>
      </w:r>
    </w:p>
    <w:p w:rsidR="003A7290" w:rsidRDefault="003A7290" w:rsidP="003A7290">
      <w:pPr>
        <w:ind w:left="0"/>
        <w:rPr>
          <w:rFonts w:ascii="Times New Roman" w:hAnsi="Times New Roman"/>
          <w:sz w:val="24"/>
          <w:szCs w:val="24"/>
        </w:rPr>
      </w:pPr>
      <w:r w:rsidRPr="007C017F">
        <w:rPr>
          <w:rFonts w:ascii="Times New Roman" w:hAnsi="Times New Roman"/>
          <w:sz w:val="24"/>
          <w:szCs w:val="24"/>
        </w:rPr>
        <w:t>At the other extreme are Mexico and UK both of which had high consumption propensities in 2019.  Movements in their consumption propensities down towards the global average and negative growth in their wealth to GDP ratios give both regions sharp declines in their consumption propensities in the 2019-30 simulation (1.00</w:t>
      </w:r>
      <w:r w:rsidR="007C017F" w:rsidRPr="007C017F">
        <w:rPr>
          <w:rFonts w:ascii="Times New Roman" w:hAnsi="Times New Roman"/>
          <w:sz w:val="24"/>
          <w:szCs w:val="24"/>
        </w:rPr>
        <w:t>3</w:t>
      </w:r>
      <w:r w:rsidRPr="007C017F">
        <w:rPr>
          <w:rFonts w:ascii="Times New Roman" w:hAnsi="Times New Roman"/>
          <w:sz w:val="24"/>
          <w:szCs w:val="24"/>
        </w:rPr>
        <w:t xml:space="preserve"> to 0.90</w:t>
      </w:r>
      <w:r w:rsidR="007C017F" w:rsidRPr="007C017F">
        <w:rPr>
          <w:rFonts w:ascii="Times New Roman" w:hAnsi="Times New Roman"/>
          <w:sz w:val="24"/>
          <w:szCs w:val="24"/>
        </w:rPr>
        <w:t>1</w:t>
      </w:r>
      <w:r w:rsidRPr="007C017F">
        <w:rPr>
          <w:rFonts w:ascii="Times New Roman" w:hAnsi="Times New Roman"/>
          <w:sz w:val="24"/>
          <w:szCs w:val="24"/>
        </w:rPr>
        <w:t xml:space="preserve"> for Mexico and 0.98</w:t>
      </w:r>
      <w:r w:rsidR="007C017F" w:rsidRPr="007C017F">
        <w:rPr>
          <w:rFonts w:ascii="Times New Roman" w:hAnsi="Times New Roman"/>
          <w:sz w:val="24"/>
          <w:szCs w:val="24"/>
        </w:rPr>
        <w:t>8</w:t>
      </w:r>
      <w:r w:rsidRPr="007C017F">
        <w:rPr>
          <w:rFonts w:ascii="Times New Roman" w:hAnsi="Times New Roman"/>
          <w:sz w:val="24"/>
          <w:szCs w:val="24"/>
        </w:rPr>
        <w:t xml:space="preserve"> to 0.91</w:t>
      </w:r>
      <w:r w:rsidR="007C017F" w:rsidRPr="007C017F">
        <w:rPr>
          <w:rFonts w:ascii="Times New Roman" w:hAnsi="Times New Roman"/>
          <w:sz w:val="24"/>
          <w:szCs w:val="24"/>
        </w:rPr>
        <w:t>6</w:t>
      </w:r>
      <w:r w:rsidRPr="007C017F">
        <w:rPr>
          <w:rFonts w:ascii="Times New Roman" w:hAnsi="Times New Roman"/>
          <w:sz w:val="24"/>
          <w:szCs w:val="24"/>
        </w:rPr>
        <w:t xml:space="preserve"> for UK).  For both regions, the declines in the propensities leave consumption growth close to zero</w:t>
      </w:r>
      <w:r w:rsidR="007C017F" w:rsidRPr="007C017F">
        <w:rPr>
          <w:rFonts w:ascii="Times New Roman" w:hAnsi="Times New Roman"/>
          <w:sz w:val="24"/>
          <w:szCs w:val="24"/>
        </w:rPr>
        <w:t xml:space="preserve"> (-0.22 and 0.01)</w:t>
      </w:r>
      <w:r w:rsidRPr="007C017F">
        <w:rPr>
          <w:rFonts w:ascii="Times New Roman" w:hAnsi="Times New Roman"/>
          <w:sz w:val="24"/>
          <w:szCs w:val="24"/>
        </w:rPr>
        <w:t>.  After</w:t>
      </w:r>
      <w:r>
        <w:rPr>
          <w:rFonts w:ascii="Times New Roman" w:hAnsi="Times New Roman"/>
          <w:sz w:val="24"/>
          <w:szCs w:val="24"/>
        </w:rPr>
        <w:t xml:space="preserve"> the adjustments in the 2019-30 period, consumption propensities for Mexico and UK are relatively stable.  In the 2030-40 and 2040-50 simulations consumption in both regions rises relative to GDP.  </w:t>
      </w:r>
    </w:p>
    <w:p w:rsidR="000D4D2C" w:rsidRPr="000A75BA" w:rsidRDefault="000D4D2C" w:rsidP="00281134">
      <w:pPr>
        <w:ind w:left="0"/>
        <w:rPr>
          <w:rFonts w:ascii="Times New Roman" w:hAnsi="Times New Roman"/>
          <w:b/>
          <w:i/>
          <w:sz w:val="24"/>
          <w:szCs w:val="24"/>
        </w:rPr>
      </w:pPr>
      <w:r w:rsidRPr="000A75BA">
        <w:rPr>
          <w:rFonts w:ascii="Times New Roman" w:hAnsi="Times New Roman"/>
          <w:b/>
          <w:i/>
          <w:sz w:val="24"/>
          <w:szCs w:val="24"/>
        </w:rPr>
        <w:t>Investment</w:t>
      </w:r>
    </w:p>
    <w:p w:rsidR="00694991" w:rsidRDefault="00694991" w:rsidP="00281134">
      <w:pPr>
        <w:ind w:left="0"/>
        <w:rPr>
          <w:rFonts w:ascii="Times New Roman" w:hAnsi="Times New Roman"/>
          <w:sz w:val="24"/>
          <w:szCs w:val="24"/>
        </w:rPr>
      </w:pPr>
      <w:r>
        <w:rPr>
          <w:rFonts w:ascii="Times New Roman" w:hAnsi="Times New Roman"/>
          <w:sz w:val="24"/>
          <w:szCs w:val="24"/>
        </w:rPr>
        <w:t>To explain th</w:t>
      </w:r>
      <w:r w:rsidR="001D2D0A" w:rsidRPr="001D2D0A">
        <w:rPr>
          <w:rFonts w:ascii="Times New Roman" w:hAnsi="Times New Roman"/>
          <w:sz w:val="24"/>
          <w:szCs w:val="24"/>
        </w:rPr>
        <w:t>e res</w:t>
      </w:r>
      <w:r w:rsidR="001D2D0A">
        <w:rPr>
          <w:rFonts w:ascii="Times New Roman" w:hAnsi="Times New Roman"/>
          <w:sz w:val="24"/>
          <w:szCs w:val="24"/>
        </w:rPr>
        <w:t xml:space="preserve">ults in Table </w:t>
      </w:r>
      <w:r w:rsidR="007B4D55">
        <w:rPr>
          <w:rFonts w:ascii="Times New Roman" w:hAnsi="Times New Roman"/>
          <w:sz w:val="24"/>
          <w:szCs w:val="24"/>
        </w:rPr>
        <w:t>6.2</w:t>
      </w:r>
      <w:r w:rsidR="001D2D0A">
        <w:rPr>
          <w:rFonts w:ascii="Times New Roman" w:hAnsi="Times New Roman"/>
          <w:sz w:val="24"/>
          <w:szCs w:val="24"/>
        </w:rPr>
        <w:t xml:space="preserve"> for average annual growth in investment between 2019 and 2030</w:t>
      </w:r>
      <w:r>
        <w:rPr>
          <w:rFonts w:ascii="Times New Roman" w:hAnsi="Times New Roman"/>
          <w:sz w:val="24"/>
          <w:szCs w:val="24"/>
        </w:rPr>
        <w:t>, we start with the equation:</w:t>
      </w:r>
    </w:p>
    <w:p w:rsidR="00694991" w:rsidRPr="00694991" w:rsidRDefault="00694991" w:rsidP="00694991">
      <w:pPr>
        <w:tabs>
          <w:tab w:val="left" w:pos="851"/>
          <w:tab w:val="right" w:pos="8931"/>
        </w:tabs>
        <w:ind w:left="0"/>
      </w:pPr>
      <w:r>
        <w:rPr>
          <w:rFonts w:ascii="Times New Roman" w:hAnsi="Times New Roman"/>
          <w:sz w:val="24"/>
          <w:szCs w:val="24"/>
        </w:rPr>
        <w:tab/>
      </w:r>
      <w:r w:rsidR="004E2A73" w:rsidRPr="00694991">
        <w:rPr>
          <w:rFonts w:ascii="Times New Roman" w:hAnsi="Times New Roman"/>
          <w:position w:val="-60"/>
          <w:sz w:val="24"/>
          <w:szCs w:val="24"/>
        </w:rPr>
        <w:object w:dxaOrig="3739" w:dyaOrig="1320">
          <v:shape id="_x0000_i1051" type="#_x0000_t75" style="width:187.5pt;height:1in" o:ole="">
            <v:imagedata r:id="rId66" o:title=""/>
          </v:shape>
          <o:OLEObject Type="Embed" ProgID="Equation.DSMT4" ShapeID="_x0000_i1051" DrawAspect="Content" ObjectID="_1774671672" r:id="rId67"/>
        </w:object>
      </w:r>
      <w:r>
        <w:rPr>
          <w:rFonts w:ascii="Times New Roman" w:hAnsi="Times New Roman"/>
          <w:sz w:val="24"/>
          <w:szCs w:val="24"/>
        </w:rPr>
        <w:t xml:space="preserve"> </w:t>
      </w:r>
      <w:r w:rsidRPr="00694991">
        <w:rPr>
          <w:rFonts w:ascii="Times New Roman" w:hAnsi="Times New Roman"/>
          <w:sz w:val="24"/>
          <w:szCs w:val="24"/>
        </w:rPr>
        <w:t xml:space="preserve"> for r</w:t>
      </w:r>
      <w:r w:rsidRPr="00694991">
        <w:rPr>
          <w:rFonts w:ascii="Times New Roman" w:hAnsi="Times New Roman"/>
          <w:sz w:val="24"/>
          <w:szCs w:val="24"/>
        </w:rPr>
        <w:sym w:font="Symbol" w:char="F0CE"/>
      </w:r>
      <w:r w:rsidRPr="00694991">
        <w:rPr>
          <w:rFonts w:ascii="Times New Roman" w:hAnsi="Times New Roman"/>
          <w:sz w:val="24"/>
          <w:szCs w:val="24"/>
        </w:rPr>
        <w:t>Reg</w:t>
      </w:r>
      <w:r w:rsidRPr="00694991">
        <w:rPr>
          <w:rFonts w:ascii="Times New Roman" w:hAnsi="Times New Roman"/>
          <w:sz w:val="24"/>
          <w:szCs w:val="24"/>
        </w:rPr>
        <w:tab/>
        <w:t>(</w:t>
      </w:r>
      <w:r w:rsidR="004E2A73">
        <w:rPr>
          <w:rFonts w:ascii="Times New Roman" w:hAnsi="Times New Roman"/>
          <w:sz w:val="24"/>
          <w:szCs w:val="24"/>
        </w:rPr>
        <w:t>6</w:t>
      </w:r>
      <w:r>
        <w:rPr>
          <w:rFonts w:ascii="Times New Roman" w:hAnsi="Times New Roman"/>
          <w:sz w:val="24"/>
          <w:szCs w:val="24"/>
        </w:rPr>
        <w:t>.1</w:t>
      </w:r>
      <w:r w:rsidRPr="00694991">
        <w:rPr>
          <w:rFonts w:ascii="Times New Roman" w:hAnsi="Times New Roman"/>
          <w:sz w:val="24"/>
          <w:szCs w:val="24"/>
        </w:rPr>
        <w:t>)</w:t>
      </w:r>
    </w:p>
    <w:p w:rsidR="00694991" w:rsidRDefault="00EC56F3" w:rsidP="00281134">
      <w:pPr>
        <w:ind w:left="0"/>
        <w:rPr>
          <w:rFonts w:ascii="Times New Roman" w:hAnsi="Times New Roman"/>
          <w:sz w:val="24"/>
          <w:szCs w:val="24"/>
        </w:rPr>
      </w:pPr>
      <w:r>
        <w:rPr>
          <w:rFonts w:ascii="Times New Roman" w:hAnsi="Times New Roman"/>
          <w:sz w:val="24"/>
          <w:szCs w:val="24"/>
        </w:rPr>
        <w:t xml:space="preserve">In </w:t>
      </w:r>
      <w:r w:rsidR="00A30DC5">
        <w:rPr>
          <w:rFonts w:ascii="Times New Roman" w:hAnsi="Times New Roman"/>
          <w:sz w:val="24"/>
          <w:szCs w:val="24"/>
        </w:rPr>
        <w:t>(</w:t>
      </w:r>
      <w:r w:rsidR="004E2A73">
        <w:rPr>
          <w:rFonts w:ascii="Times New Roman" w:hAnsi="Times New Roman"/>
          <w:sz w:val="24"/>
          <w:szCs w:val="24"/>
        </w:rPr>
        <w:t>6</w:t>
      </w:r>
      <w:r w:rsidR="00A30DC5">
        <w:rPr>
          <w:rFonts w:ascii="Times New Roman" w:hAnsi="Times New Roman"/>
          <w:sz w:val="24"/>
          <w:szCs w:val="24"/>
        </w:rPr>
        <w:t>.1), I(r,30) and I(r,19) are the quantities of investment in region r in 2030 and 2019.  In the numerator on the RHS of (</w:t>
      </w:r>
      <w:r w:rsidR="004E2A73">
        <w:rPr>
          <w:rFonts w:ascii="Times New Roman" w:hAnsi="Times New Roman"/>
          <w:sz w:val="24"/>
          <w:szCs w:val="24"/>
        </w:rPr>
        <w:t>6</w:t>
      </w:r>
      <w:r w:rsidR="00A30DC5">
        <w:rPr>
          <w:rFonts w:ascii="Times New Roman" w:hAnsi="Times New Roman"/>
          <w:sz w:val="24"/>
          <w:szCs w:val="24"/>
        </w:rPr>
        <w:t xml:space="preserve">.1), investment in region r in 2030 is calculated as the growth in capital in 2030 plus depreciation.  Growth in capital </w:t>
      </w:r>
      <w:r w:rsidR="004E2A73">
        <w:rPr>
          <w:rFonts w:ascii="Times New Roman" w:hAnsi="Times New Roman"/>
          <w:sz w:val="24"/>
          <w:szCs w:val="24"/>
        </w:rPr>
        <w:t xml:space="preserve">in 2030 </w:t>
      </w:r>
      <w:r w:rsidR="00A30DC5">
        <w:rPr>
          <w:rFonts w:ascii="Times New Roman" w:hAnsi="Times New Roman"/>
          <w:sz w:val="24"/>
          <w:szCs w:val="24"/>
        </w:rPr>
        <w:t xml:space="preserve">is r’s capital at the start of 2030 [KB(r,30)] multiplied by the fractional growth rate in capital </w:t>
      </w:r>
      <w:r w:rsidR="00A30DC5">
        <w:rPr>
          <w:rFonts w:ascii="Times New Roman" w:hAnsi="Times New Roman"/>
          <w:i/>
          <w:sz w:val="24"/>
          <w:szCs w:val="24"/>
        </w:rPr>
        <w:t>in</w:t>
      </w:r>
      <w:r w:rsidR="00A30DC5">
        <w:rPr>
          <w:rFonts w:ascii="Times New Roman" w:hAnsi="Times New Roman"/>
          <w:sz w:val="24"/>
          <w:szCs w:val="24"/>
        </w:rPr>
        <w:t xml:space="preserve"> 2030 [the percentage growth rate, k(r,30), divided by 100].  Investment required to cover depreciation in 2030 is start-of-year capital </w:t>
      </w:r>
      <w:r w:rsidR="00A46684">
        <w:rPr>
          <w:rFonts w:ascii="Times New Roman" w:hAnsi="Times New Roman"/>
          <w:sz w:val="24"/>
          <w:szCs w:val="24"/>
        </w:rPr>
        <w:t xml:space="preserve">times the depreciation rate D.  The denominator applies a similar calculation to obtain investment in 2019.  </w:t>
      </w:r>
    </w:p>
    <w:p w:rsidR="00694991" w:rsidRDefault="00A46684" w:rsidP="00281134">
      <w:pPr>
        <w:ind w:left="0"/>
        <w:rPr>
          <w:rFonts w:ascii="Times New Roman" w:hAnsi="Times New Roman"/>
          <w:sz w:val="24"/>
          <w:szCs w:val="24"/>
        </w:rPr>
      </w:pPr>
      <w:r>
        <w:rPr>
          <w:rFonts w:ascii="Times New Roman" w:hAnsi="Times New Roman"/>
          <w:sz w:val="24"/>
          <w:szCs w:val="24"/>
        </w:rPr>
        <w:t>From (</w:t>
      </w:r>
      <w:r w:rsidR="004E2A73">
        <w:rPr>
          <w:rFonts w:ascii="Times New Roman" w:hAnsi="Times New Roman"/>
          <w:sz w:val="24"/>
          <w:szCs w:val="24"/>
        </w:rPr>
        <w:t>6</w:t>
      </w:r>
      <w:r>
        <w:rPr>
          <w:rFonts w:ascii="Times New Roman" w:hAnsi="Times New Roman"/>
          <w:sz w:val="24"/>
          <w:szCs w:val="24"/>
        </w:rPr>
        <w:t>.1) we obtain</w:t>
      </w:r>
    </w:p>
    <w:p w:rsidR="00694991" w:rsidRDefault="00EC56F3" w:rsidP="00EC56F3">
      <w:pPr>
        <w:tabs>
          <w:tab w:val="left" w:pos="567"/>
          <w:tab w:val="right" w:pos="8931"/>
        </w:tabs>
        <w:ind w:left="0"/>
        <w:rPr>
          <w:rFonts w:ascii="Times New Roman" w:hAnsi="Times New Roman"/>
          <w:sz w:val="24"/>
          <w:szCs w:val="24"/>
        </w:rPr>
      </w:pPr>
      <w:r>
        <w:rPr>
          <w:rFonts w:ascii="Times New Roman" w:hAnsi="Times New Roman"/>
          <w:sz w:val="24"/>
          <w:szCs w:val="24"/>
        </w:rPr>
        <w:tab/>
      </w:r>
      <w:r w:rsidR="004E2A73" w:rsidRPr="004E2A73">
        <w:rPr>
          <w:rFonts w:ascii="Times New Roman" w:hAnsi="Times New Roman"/>
          <w:position w:val="-78"/>
          <w:sz w:val="24"/>
          <w:szCs w:val="24"/>
        </w:rPr>
        <w:object w:dxaOrig="6440" w:dyaOrig="1680">
          <v:shape id="_x0000_i1052" type="#_x0000_t75" style="width:321pt;height:92.25pt" o:ole="">
            <v:imagedata r:id="rId68" o:title=""/>
          </v:shape>
          <o:OLEObject Type="Embed" ProgID="Equation.DSMT4" ShapeID="_x0000_i1052" DrawAspect="Content" ObjectID="_1774671673" r:id="rId69"/>
        </w:object>
      </w:r>
      <w:r w:rsidR="00694991">
        <w:rPr>
          <w:rFonts w:ascii="Times New Roman" w:hAnsi="Times New Roman"/>
          <w:sz w:val="24"/>
          <w:szCs w:val="24"/>
        </w:rPr>
        <w:t xml:space="preserve"> </w:t>
      </w:r>
      <w:r w:rsidR="00694991" w:rsidRPr="00694991">
        <w:rPr>
          <w:rFonts w:ascii="Times New Roman" w:hAnsi="Times New Roman"/>
          <w:sz w:val="24"/>
          <w:szCs w:val="24"/>
        </w:rPr>
        <w:t xml:space="preserve"> for r</w:t>
      </w:r>
      <w:r w:rsidR="00694991" w:rsidRPr="00694991">
        <w:rPr>
          <w:rFonts w:ascii="Times New Roman" w:hAnsi="Times New Roman"/>
          <w:sz w:val="24"/>
          <w:szCs w:val="24"/>
        </w:rPr>
        <w:sym w:font="Symbol" w:char="F0CE"/>
      </w:r>
      <w:r w:rsidR="00694991" w:rsidRPr="00694991">
        <w:rPr>
          <w:rFonts w:ascii="Times New Roman" w:hAnsi="Times New Roman"/>
          <w:sz w:val="24"/>
          <w:szCs w:val="24"/>
        </w:rPr>
        <w:t>Reg</w:t>
      </w:r>
      <w:r w:rsidR="00694991" w:rsidRPr="00694991">
        <w:rPr>
          <w:rFonts w:ascii="Times New Roman" w:hAnsi="Times New Roman"/>
          <w:sz w:val="24"/>
          <w:szCs w:val="24"/>
        </w:rPr>
        <w:tab/>
        <w:t>(</w:t>
      </w:r>
      <w:r w:rsidR="004E2A73">
        <w:rPr>
          <w:rFonts w:ascii="Times New Roman" w:hAnsi="Times New Roman"/>
          <w:sz w:val="24"/>
          <w:szCs w:val="24"/>
        </w:rPr>
        <w:t>6</w:t>
      </w:r>
      <w:r w:rsidR="00694991">
        <w:rPr>
          <w:rFonts w:ascii="Times New Roman" w:hAnsi="Times New Roman"/>
          <w:sz w:val="24"/>
          <w:szCs w:val="24"/>
        </w:rPr>
        <w:t>.</w:t>
      </w:r>
      <w:r>
        <w:rPr>
          <w:rFonts w:ascii="Times New Roman" w:hAnsi="Times New Roman"/>
          <w:sz w:val="24"/>
          <w:szCs w:val="24"/>
        </w:rPr>
        <w:t>2</w:t>
      </w:r>
      <w:r w:rsidR="00694991" w:rsidRPr="00694991">
        <w:rPr>
          <w:rFonts w:ascii="Times New Roman" w:hAnsi="Times New Roman"/>
          <w:sz w:val="24"/>
          <w:szCs w:val="24"/>
        </w:rPr>
        <w:t>)</w:t>
      </w:r>
    </w:p>
    <w:p w:rsidR="00A46684" w:rsidRDefault="00A46684" w:rsidP="00EC56F3">
      <w:pPr>
        <w:tabs>
          <w:tab w:val="left" w:pos="567"/>
          <w:tab w:val="right" w:pos="8931"/>
        </w:tabs>
        <w:ind w:left="0"/>
        <w:rPr>
          <w:rFonts w:ascii="Times New Roman" w:hAnsi="Times New Roman"/>
          <w:sz w:val="24"/>
          <w:szCs w:val="24"/>
        </w:rPr>
      </w:pPr>
      <w:r>
        <w:rPr>
          <w:rFonts w:ascii="Times New Roman" w:hAnsi="Times New Roman"/>
          <w:sz w:val="24"/>
          <w:szCs w:val="24"/>
        </w:rPr>
        <w:t>where</w:t>
      </w:r>
    </w:p>
    <w:p w:rsidR="00EC56F3" w:rsidRDefault="00A46684" w:rsidP="00A46684">
      <w:pPr>
        <w:tabs>
          <w:tab w:val="right" w:pos="8931"/>
        </w:tabs>
        <w:spacing w:before="0"/>
        <w:ind w:left="284"/>
        <w:rPr>
          <w:rFonts w:ascii="Times New Roman" w:hAnsi="Times New Roman"/>
          <w:sz w:val="24"/>
          <w:szCs w:val="24"/>
        </w:rPr>
      </w:pPr>
      <w:r>
        <w:rPr>
          <w:rFonts w:ascii="Times New Roman" w:hAnsi="Times New Roman"/>
          <w:sz w:val="24"/>
          <w:szCs w:val="24"/>
        </w:rPr>
        <w:t>i(r,19</w:t>
      </w:r>
      <w:r w:rsidR="004E2A73">
        <w:rPr>
          <w:rFonts w:ascii="Times New Roman" w:hAnsi="Times New Roman"/>
          <w:sz w:val="24"/>
          <w:szCs w:val="24"/>
        </w:rPr>
        <w:t>,</w:t>
      </w:r>
      <w:r>
        <w:rPr>
          <w:rFonts w:ascii="Times New Roman" w:hAnsi="Times New Roman"/>
          <w:sz w:val="24"/>
          <w:szCs w:val="24"/>
        </w:rPr>
        <w:t>30)</w:t>
      </w:r>
      <w:r w:rsidR="00EC56F3">
        <w:rPr>
          <w:rFonts w:ascii="Times New Roman" w:hAnsi="Times New Roman"/>
          <w:sz w:val="24"/>
          <w:szCs w:val="24"/>
        </w:rPr>
        <w:t xml:space="preserve"> </w:t>
      </w:r>
      <w:r>
        <w:rPr>
          <w:rFonts w:ascii="Times New Roman" w:hAnsi="Times New Roman"/>
          <w:sz w:val="24"/>
          <w:szCs w:val="24"/>
        </w:rPr>
        <w:t xml:space="preserve">is the average annual percentage growth rate for investment in region r between 2019 and 2030, that is the investment results in Table </w:t>
      </w:r>
      <w:r w:rsidR="004E2A73">
        <w:rPr>
          <w:rFonts w:ascii="Times New Roman" w:hAnsi="Times New Roman"/>
          <w:sz w:val="24"/>
          <w:szCs w:val="24"/>
        </w:rPr>
        <w:t>6</w:t>
      </w:r>
      <w:r>
        <w:rPr>
          <w:rFonts w:ascii="Times New Roman" w:hAnsi="Times New Roman"/>
          <w:sz w:val="24"/>
          <w:szCs w:val="24"/>
        </w:rPr>
        <w:t>.2; and</w:t>
      </w:r>
    </w:p>
    <w:p w:rsidR="00A46684" w:rsidRPr="00694991" w:rsidRDefault="00A46684" w:rsidP="00A46684">
      <w:pPr>
        <w:tabs>
          <w:tab w:val="right" w:pos="8931"/>
        </w:tabs>
        <w:spacing w:before="0"/>
        <w:ind w:left="284"/>
      </w:pPr>
      <w:r>
        <w:rPr>
          <w:rFonts w:ascii="Times New Roman" w:hAnsi="Times New Roman"/>
          <w:sz w:val="24"/>
          <w:szCs w:val="24"/>
        </w:rPr>
        <w:lastRenderedPageBreak/>
        <w:t>k</w:t>
      </w:r>
      <w:r w:rsidR="003D50BB">
        <w:rPr>
          <w:rFonts w:ascii="Times New Roman" w:hAnsi="Times New Roman"/>
          <w:sz w:val="24"/>
          <w:szCs w:val="24"/>
        </w:rPr>
        <w:t>b</w:t>
      </w:r>
      <w:r>
        <w:rPr>
          <w:rFonts w:ascii="Times New Roman" w:hAnsi="Times New Roman"/>
          <w:sz w:val="24"/>
          <w:szCs w:val="24"/>
        </w:rPr>
        <w:t>(r,19</w:t>
      </w:r>
      <w:r w:rsidR="004E2A73">
        <w:rPr>
          <w:rFonts w:ascii="Times New Roman" w:hAnsi="Times New Roman"/>
          <w:sz w:val="24"/>
          <w:szCs w:val="24"/>
        </w:rPr>
        <w:t>,</w:t>
      </w:r>
      <w:r w:rsidR="001C0D81">
        <w:rPr>
          <w:rFonts w:ascii="Times New Roman" w:hAnsi="Times New Roman"/>
          <w:sz w:val="24"/>
          <w:szCs w:val="24"/>
        </w:rPr>
        <w:t>3</w:t>
      </w:r>
      <w:r>
        <w:rPr>
          <w:rFonts w:ascii="Times New Roman" w:hAnsi="Times New Roman"/>
          <w:sz w:val="24"/>
          <w:szCs w:val="24"/>
        </w:rPr>
        <w:t xml:space="preserve">0) is the average annual percentage growth rate for capital in region r between 2019 and 2030, that is the capital results in Table </w:t>
      </w:r>
      <w:r w:rsidR="004E2A73">
        <w:rPr>
          <w:rFonts w:ascii="Times New Roman" w:hAnsi="Times New Roman"/>
          <w:sz w:val="24"/>
          <w:szCs w:val="24"/>
        </w:rPr>
        <w:t>6</w:t>
      </w:r>
      <w:r>
        <w:rPr>
          <w:rFonts w:ascii="Times New Roman" w:hAnsi="Times New Roman"/>
          <w:sz w:val="24"/>
          <w:szCs w:val="24"/>
        </w:rPr>
        <w:t>.1.</w:t>
      </w:r>
    </w:p>
    <w:p w:rsidR="003D18DC" w:rsidRDefault="00EA25E7" w:rsidP="00A6476D">
      <w:pPr>
        <w:ind w:left="0"/>
        <w:rPr>
          <w:rFonts w:ascii="Times New Roman" w:hAnsi="Times New Roman"/>
          <w:sz w:val="24"/>
          <w:szCs w:val="24"/>
        </w:rPr>
      </w:pPr>
      <w:r>
        <w:rPr>
          <w:rFonts w:ascii="Times New Roman" w:hAnsi="Times New Roman"/>
          <w:sz w:val="24"/>
          <w:szCs w:val="24"/>
        </w:rPr>
        <w:t xml:space="preserve">Equation </w:t>
      </w:r>
      <w:r w:rsidR="003D18DC">
        <w:rPr>
          <w:rFonts w:ascii="Times New Roman" w:hAnsi="Times New Roman"/>
          <w:sz w:val="24"/>
          <w:szCs w:val="24"/>
        </w:rPr>
        <w:t>(</w:t>
      </w:r>
      <w:r w:rsidR="004E2A73">
        <w:rPr>
          <w:rFonts w:ascii="Times New Roman" w:hAnsi="Times New Roman"/>
          <w:sz w:val="24"/>
          <w:szCs w:val="24"/>
        </w:rPr>
        <w:t>6</w:t>
      </w:r>
      <w:r w:rsidR="003D18DC">
        <w:rPr>
          <w:rFonts w:ascii="Times New Roman" w:hAnsi="Times New Roman"/>
          <w:sz w:val="24"/>
          <w:szCs w:val="24"/>
        </w:rPr>
        <w:t xml:space="preserve">.2) </w:t>
      </w:r>
      <w:r>
        <w:rPr>
          <w:rFonts w:ascii="Times New Roman" w:hAnsi="Times New Roman"/>
          <w:sz w:val="24"/>
          <w:szCs w:val="24"/>
        </w:rPr>
        <w:t>shows</w:t>
      </w:r>
      <w:r w:rsidR="003D18DC">
        <w:rPr>
          <w:rFonts w:ascii="Times New Roman" w:hAnsi="Times New Roman"/>
          <w:sz w:val="24"/>
          <w:szCs w:val="24"/>
        </w:rPr>
        <w:t xml:space="preserve"> that </w:t>
      </w:r>
      <w:r>
        <w:rPr>
          <w:rFonts w:ascii="Times New Roman" w:hAnsi="Times New Roman"/>
          <w:sz w:val="24"/>
          <w:szCs w:val="24"/>
        </w:rPr>
        <w:t xml:space="preserve">the </w:t>
      </w:r>
      <w:r w:rsidR="003D18DC">
        <w:rPr>
          <w:rFonts w:ascii="Times New Roman" w:hAnsi="Times New Roman"/>
          <w:sz w:val="24"/>
          <w:szCs w:val="24"/>
        </w:rPr>
        <w:t xml:space="preserve">simulated average annual percentage growth in investment in region r between 2019 and 2030 depends on r’s average annual percentage growth in capital between these two years and r’s growth in capital </w:t>
      </w:r>
      <w:r w:rsidR="003D18DC">
        <w:rPr>
          <w:rFonts w:ascii="Times New Roman" w:hAnsi="Times New Roman"/>
          <w:i/>
          <w:sz w:val="24"/>
          <w:szCs w:val="24"/>
        </w:rPr>
        <w:t>in</w:t>
      </w:r>
      <w:r w:rsidR="003D18DC">
        <w:rPr>
          <w:rFonts w:ascii="Times New Roman" w:hAnsi="Times New Roman"/>
          <w:sz w:val="24"/>
          <w:szCs w:val="24"/>
        </w:rPr>
        <w:t xml:space="preserve"> 2030 compared with that </w:t>
      </w:r>
      <w:r w:rsidR="003D18DC">
        <w:rPr>
          <w:rFonts w:ascii="Times New Roman" w:hAnsi="Times New Roman"/>
          <w:i/>
          <w:sz w:val="24"/>
          <w:szCs w:val="24"/>
        </w:rPr>
        <w:t>in</w:t>
      </w:r>
      <w:r w:rsidR="003D18DC">
        <w:rPr>
          <w:rFonts w:ascii="Times New Roman" w:hAnsi="Times New Roman"/>
          <w:sz w:val="24"/>
          <w:szCs w:val="24"/>
        </w:rPr>
        <w:t xml:space="preserve"> 2019.  If r’s capital grows rapidly between 2019 and 2030, then on this account r’s investment will grow rapidly between 2019 and 2030.  However, r’s investment growth will be reduced below its capital growth if r’s capital growth </w:t>
      </w:r>
      <w:r w:rsidR="003D18DC" w:rsidRPr="003D18DC">
        <w:rPr>
          <w:rFonts w:ascii="Times New Roman" w:hAnsi="Times New Roman"/>
          <w:i/>
          <w:sz w:val="24"/>
          <w:szCs w:val="24"/>
        </w:rPr>
        <w:t>in</w:t>
      </w:r>
      <w:r w:rsidR="003D18DC">
        <w:rPr>
          <w:rFonts w:ascii="Times New Roman" w:hAnsi="Times New Roman"/>
          <w:sz w:val="24"/>
          <w:szCs w:val="24"/>
        </w:rPr>
        <w:t xml:space="preserve"> 2030 slows relative to that </w:t>
      </w:r>
      <w:r w:rsidR="003D18DC" w:rsidRPr="003D18DC">
        <w:rPr>
          <w:rFonts w:ascii="Times New Roman" w:hAnsi="Times New Roman"/>
          <w:i/>
          <w:sz w:val="24"/>
          <w:szCs w:val="24"/>
        </w:rPr>
        <w:t>in</w:t>
      </w:r>
      <w:r w:rsidR="003D18DC">
        <w:rPr>
          <w:rFonts w:ascii="Times New Roman" w:hAnsi="Times New Roman"/>
          <w:sz w:val="24"/>
          <w:szCs w:val="24"/>
        </w:rPr>
        <w:t xml:space="preserve"> </w:t>
      </w:r>
      <w:r w:rsidR="003D18DC" w:rsidRPr="003D18DC">
        <w:rPr>
          <w:rFonts w:ascii="Times New Roman" w:hAnsi="Times New Roman"/>
          <w:sz w:val="24"/>
          <w:szCs w:val="24"/>
        </w:rPr>
        <w:t>2019</w:t>
      </w:r>
      <w:r w:rsidR="003D18DC">
        <w:rPr>
          <w:rFonts w:ascii="Times New Roman" w:hAnsi="Times New Roman"/>
          <w:sz w:val="24"/>
          <w:szCs w:val="24"/>
        </w:rPr>
        <w:t xml:space="preserve">.  </w:t>
      </w:r>
      <w:r w:rsidR="001B0A93">
        <w:rPr>
          <w:rFonts w:ascii="Times New Roman" w:hAnsi="Times New Roman"/>
          <w:sz w:val="24"/>
          <w:szCs w:val="24"/>
        </w:rPr>
        <w:t>Under our assumption of forward-looking expectation</w:t>
      </w:r>
      <w:r w:rsidR="003D50BB">
        <w:rPr>
          <w:rFonts w:ascii="Times New Roman" w:hAnsi="Times New Roman"/>
          <w:sz w:val="24"/>
          <w:szCs w:val="24"/>
        </w:rPr>
        <w:t>s</w:t>
      </w:r>
      <w:r w:rsidR="001B0A93">
        <w:rPr>
          <w:rFonts w:ascii="Times New Roman" w:hAnsi="Times New Roman"/>
          <w:sz w:val="24"/>
          <w:szCs w:val="24"/>
        </w:rPr>
        <w:t>, c</w:t>
      </w:r>
      <w:r w:rsidR="009D5073">
        <w:rPr>
          <w:rFonts w:ascii="Times New Roman" w:hAnsi="Times New Roman"/>
          <w:sz w:val="24"/>
          <w:szCs w:val="24"/>
        </w:rPr>
        <w:t xml:space="preserve">apital growth rates </w:t>
      </w:r>
      <w:r w:rsidR="009D5073">
        <w:rPr>
          <w:rFonts w:ascii="Times New Roman" w:hAnsi="Times New Roman"/>
          <w:i/>
          <w:sz w:val="24"/>
          <w:szCs w:val="24"/>
        </w:rPr>
        <w:t>in</w:t>
      </w:r>
      <w:r w:rsidR="009D5073">
        <w:rPr>
          <w:rFonts w:ascii="Times New Roman" w:hAnsi="Times New Roman"/>
          <w:sz w:val="24"/>
          <w:szCs w:val="24"/>
        </w:rPr>
        <w:t xml:space="preserve"> 2030 </w:t>
      </w:r>
      <w:r>
        <w:rPr>
          <w:rFonts w:ascii="Times New Roman" w:hAnsi="Times New Roman"/>
          <w:sz w:val="24"/>
          <w:szCs w:val="24"/>
        </w:rPr>
        <w:t xml:space="preserve">depend mainly on </w:t>
      </w:r>
      <w:r w:rsidRPr="0086198F">
        <w:rPr>
          <w:rFonts w:ascii="Times New Roman" w:hAnsi="Times New Roman"/>
          <w:sz w:val="24"/>
          <w:szCs w:val="24"/>
        </w:rPr>
        <w:t xml:space="preserve">capital growth between 2030 and 2040 [see point (d) in section 3].  Capital growth rates </w:t>
      </w:r>
      <w:r w:rsidR="009D5073" w:rsidRPr="0086198F">
        <w:rPr>
          <w:rFonts w:ascii="Times New Roman" w:hAnsi="Times New Roman"/>
          <w:i/>
          <w:sz w:val="24"/>
          <w:szCs w:val="24"/>
        </w:rPr>
        <w:t>in</w:t>
      </w:r>
      <w:r w:rsidR="009D5073" w:rsidRPr="0086198F">
        <w:rPr>
          <w:rFonts w:ascii="Times New Roman" w:hAnsi="Times New Roman"/>
          <w:sz w:val="24"/>
          <w:szCs w:val="24"/>
        </w:rPr>
        <w:t xml:space="preserve"> 2019 </w:t>
      </w:r>
      <w:r w:rsidRPr="0086198F">
        <w:rPr>
          <w:rFonts w:ascii="Times New Roman" w:hAnsi="Times New Roman"/>
          <w:sz w:val="24"/>
          <w:szCs w:val="24"/>
        </w:rPr>
        <w:t xml:space="preserve">are given by data. </w:t>
      </w:r>
      <w:r w:rsidR="009D5073" w:rsidRPr="0086198F">
        <w:rPr>
          <w:rFonts w:ascii="Times New Roman" w:hAnsi="Times New Roman"/>
          <w:sz w:val="24"/>
          <w:szCs w:val="24"/>
        </w:rPr>
        <w:t xml:space="preserve"> </w:t>
      </w:r>
      <w:r w:rsidR="001B0A93" w:rsidRPr="0086198F">
        <w:rPr>
          <w:rFonts w:ascii="Times New Roman" w:hAnsi="Times New Roman"/>
          <w:sz w:val="24"/>
          <w:szCs w:val="24"/>
        </w:rPr>
        <w:t>Thus, for example, average annual investment growth in China for 2019 to 2030 is low (</w:t>
      </w:r>
      <w:r w:rsidR="003D50BB" w:rsidRPr="0086198F">
        <w:rPr>
          <w:rFonts w:ascii="Times New Roman" w:hAnsi="Times New Roman"/>
          <w:sz w:val="24"/>
          <w:szCs w:val="24"/>
        </w:rPr>
        <w:t>3.</w:t>
      </w:r>
      <w:r w:rsidR="007C017F" w:rsidRPr="0086198F">
        <w:rPr>
          <w:rFonts w:ascii="Times New Roman" w:hAnsi="Times New Roman"/>
          <w:sz w:val="24"/>
          <w:szCs w:val="24"/>
        </w:rPr>
        <w:t>0</w:t>
      </w:r>
      <w:r w:rsidR="003D50BB" w:rsidRPr="0086198F">
        <w:rPr>
          <w:rFonts w:ascii="Times New Roman" w:hAnsi="Times New Roman"/>
          <w:sz w:val="24"/>
          <w:szCs w:val="24"/>
        </w:rPr>
        <w:t>9</w:t>
      </w:r>
      <w:r w:rsidR="001B0A93" w:rsidRPr="0086198F">
        <w:rPr>
          <w:rFonts w:ascii="Times New Roman" w:hAnsi="Times New Roman"/>
          <w:sz w:val="24"/>
          <w:szCs w:val="24"/>
        </w:rPr>
        <w:t xml:space="preserve"> per cent</w:t>
      </w:r>
      <w:r w:rsidR="009E1649" w:rsidRPr="0086198F">
        <w:rPr>
          <w:rFonts w:ascii="Times New Roman" w:hAnsi="Times New Roman"/>
          <w:sz w:val="24"/>
          <w:szCs w:val="24"/>
        </w:rPr>
        <w:t>, Table 6.2</w:t>
      </w:r>
      <w:r w:rsidR="001B0A93" w:rsidRPr="0086198F">
        <w:rPr>
          <w:rFonts w:ascii="Times New Roman" w:hAnsi="Times New Roman"/>
          <w:sz w:val="24"/>
          <w:szCs w:val="24"/>
        </w:rPr>
        <w:t>) relative to capital growth for the same period (</w:t>
      </w:r>
      <w:r w:rsidR="003D50BB" w:rsidRPr="0086198F">
        <w:rPr>
          <w:rFonts w:ascii="Times New Roman" w:hAnsi="Times New Roman"/>
          <w:sz w:val="24"/>
          <w:szCs w:val="24"/>
        </w:rPr>
        <w:t>5.</w:t>
      </w:r>
      <w:r w:rsidR="007C017F" w:rsidRPr="0086198F">
        <w:rPr>
          <w:rFonts w:ascii="Times New Roman" w:hAnsi="Times New Roman"/>
          <w:sz w:val="24"/>
          <w:szCs w:val="24"/>
        </w:rPr>
        <w:t>36</w:t>
      </w:r>
      <w:r w:rsidR="001B0A93" w:rsidRPr="0086198F">
        <w:rPr>
          <w:rFonts w:ascii="Times New Roman" w:hAnsi="Times New Roman"/>
          <w:sz w:val="24"/>
          <w:szCs w:val="24"/>
        </w:rPr>
        <w:t xml:space="preserve"> per cent</w:t>
      </w:r>
      <w:r w:rsidR="009E1649" w:rsidRPr="0086198F">
        <w:rPr>
          <w:rFonts w:ascii="Times New Roman" w:hAnsi="Times New Roman"/>
          <w:sz w:val="24"/>
          <w:szCs w:val="24"/>
        </w:rPr>
        <w:t>, Table 6.1</w:t>
      </w:r>
      <w:r w:rsidR="001B0A93" w:rsidRPr="0086198F">
        <w:rPr>
          <w:rFonts w:ascii="Times New Roman" w:hAnsi="Times New Roman"/>
          <w:sz w:val="24"/>
          <w:szCs w:val="24"/>
        </w:rPr>
        <w:t>)</w:t>
      </w:r>
      <w:r w:rsidR="009F2A28" w:rsidRPr="0086198F">
        <w:rPr>
          <w:rFonts w:ascii="Times New Roman" w:hAnsi="Times New Roman"/>
          <w:sz w:val="24"/>
          <w:szCs w:val="24"/>
        </w:rPr>
        <w:t>.  This is</w:t>
      </w:r>
      <w:r w:rsidR="001B0A93" w:rsidRPr="0086198F">
        <w:rPr>
          <w:rFonts w:ascii="Times New Roman" w:hAnsi="Times New Roman"/>
          <w:sz w:val="24"/>
          <w:szCs w:val="24"/>
        </w:rPr>
        <w:t xml:space="preserve"> because Chinese </w:t>
      </w:r>
      <w:r w:rsidR="004953F4" w:rsidRPr="0086198F">
        <w:rPr>
          <w:rFonts w:ascii="Times New Roman" w:hAnsi="Times New Roman"/>
          <w:sz w:val="24"/>
          <w:szCs w:val="24"/>
        </w:rPr>
        <w:t xml:space="preserve">capital growth </w:t>
      </w:r>
      <w:r w:rsidR="001B0A93" w:rsidRPr="0086198F">
        <w:rPr>
          <w:rFonts w:ascii="Times New Roman" w:hAnsi="Times New Roman"/>
          <w:i/>
          <w:sz w:val="24"/>
          <w:szCs w:val="24"/>
        </w:rPr>
        <w:t>in</w:t>
      </w:r>
      <w:r w:rsidR="001B0A93" w:rsidRPr="0086198F">
        <w:rPr>
          <w:rFonts w:ascii="Times New Roman" w:hAnsi="Times New Roman"/>
          <w:sz w:val="24"/>
          <w:szCs w:val="24"/>
        </w:rPr>
        <w:t xml:space="preserve"> 2019 </w:t>
      </w:r>
      <w:r w:rsidR="009F2A28" w:rsidRPr="0086198F">
        <w:rPr>
          <w:rFonts w:ascii="Times New Roman" w:hAnsi="Times New Roman"/>
          <w:sz w:val="24"/>
          <w:szCs w:val="24"/>
        </w:rPr>
        <w:t xml:space="preserve">was high </w:t>
      </w:r>
      <w:r w:rsidR="004953F4" w:rsidRPr="0086198F">
        <w:rPr>
          <w:rFonts w:ascii="Times New Roman" w:hAnsi="Times New Roman"/>
          <w:sz w:val="24"/>
          <w:szCs w:val="24"/>
        </w:rPr>
        <w:t xml:space="preserve">relative to Chinese capital growth </w:t>
      </w:r>
      <w:r w:rsidR="009F2A28" w:rsidRPr="0086198F">
        <w:rPr>
          <w:rFonts w:ascii="Times New Roman" w:hAnsi="Times New Roman"/>
          <w:i/>
          <w:sz w:val="24"/>
          <w:szCs w:val="24"/>
        </w:rPr>
        <w:t>in</w:t>
      </w:r>
      <w:r w:rsidR="009F2A28" w:rsidRPr="0086198F">
        <w:rPr>
          <w:rFonts w:ascii="Times New Roman" w:hAnsi="Times New Roman"/>
          <w:sz w:val="24"/>
          <w:szCs w:val="24"/>
        </w:rPr>
        <w:t xml:space="preserve"> 2030 (6.73 compared with 4.4</w:t>
      </w:r>
      <w:r w:rsidR="007C017F" w:rsidRPr="0086198F">
        <w:rPr>
          <w:rFonts w:ascii="Times New Roman" w:hAnsi="Times New Roman"/>
          <w:sz w:val="24"/>
          <w:szCs w:val="24"/>
        </w:rPr>
        <w:t>4</w:t>
      </w:r>
      <w:r w:rsidR="009F2A28" w:rsidRPr="0086198F">
        <w:rPr>
          <w:rFonts w:ascii="Times New Roman" w:hAnsi="Times New Roman"/>
          <w:sz w:val="24"/>
          <w:szCs w:val="24"/>
        </w:rPr>
        <w:t xml:space="preserve">, see right panel in Table A3.2 in Appendix 3).  Chinese capital growth </w:t>
      </w:r>
      <w:r w:rsidR="009F2A28" w:rsidRPr="0086198F">
        <w:rPr>
          <w:rFonts w:ascii="Times New Roman" w:hAnsi="Times New Roman"/>
          <w:i/>
          <w:sz w:val="24"/>
          <w:szCs w:val="24"/>
        </w:rPr>
        <w:t>in</w:t>
      </w:r>
      <w:r w:rsidR="009F2A28" w:rsidRPr="0086198F">
        <w:rPr>
          <w:rFonts w:ascii="Times New Roman" w:hAnsi="Times New Roman"/>
          <w:sz w:val="24"/>
          <w:szCs w:val="24"/>
        </w:rPr>
        <w:t xml:space="preserve"> 2030 reflects capital growth projected for </w:t>
      </w:r>
      <w:r w:rsidR="004953F4" w:rsidRPr="0086198F">
        <w:rPr>
          <w:rFonts w:ascii="Times New Roman" w:hAnsi="Times New Roman"/>
          <w:sz w:val="24"/>
          <w:szCs w:val="24"/>
        </w:rPr>
        <w:t>2030-40</w:t>
      </w:r>
      <w:r w:rsidR="009E1649" w:rsidRPr="0086198F">
        <w:rPr>
          <w:rFonts w:ascii="Times New Roman" w:hAnsi="Times New Roman"/>
          <w:sz w:val="24"/>
          <w:szCs w:val="24"/>
        </w:rPr>
        <w:t xml:space="preserve"> (4</w:t>
      </w:r>
      <w:r w:rsidR="007C017F" w:rsidRPr="0086198F">
        <w:rPr>
          <w:rFonts w:ascii="Times New Roman" w:hAnsi="Times New Roman"/>
          <w:sz w:val="24"/>
          <w:szCs w:val="24"/>
        </w:rPr>
        <w:t>.09</w:t>
      </w:r>
      <w:r w:rsidR="009E1649" w:rsidRPr="0086198F">
        <w:rPr>
          <w:rFonts w:ascii="Times New Roman" w:hAnsi="Times New Roman"/>
          <w:sz w:val="24"/>
          <w:szCs w:val="24"/>
        </w:rPr>
        <w:t>, Table 6.1)</w:t>
      </w:r>
      <w:r w:rsidR="004953F4" w:rsidRPr="0086198F">
        <w:rPr>
          <w:rFonts w:ascii="Times New Roman" w:hAnsi="Times New Roman"/>
          <w:sz w:val="24"/>
          <w:szCs w:val="24"/>
        </w:rPr>
        <w:t>.</w:t>
      </w:r>
      <w:r w:rsidR="004953F4">
        <w:rPr>
          <w:rFonts w:ascii="Times New Roman" w:hAnsi="Times New Roman"/>
          <w:sz w:val="24"/>
          <w:szCs w:val="24"/>
        </w:rPr>
        <w:t xml:space="preserve"> </w:t>
      </w:r>
      <w:r w:rsidR="001B0A93">
        <w:rPr>
          <w:rFonts w:ascii="Times New Roman" w:hAnsi="Times New Roman"/>
          <w:sz w:val="24"/>
          <w:szCs w:val="24"/>
        </w:rPr>
        <w:t xml:space="preserve">  </w:t>
      </w:r>
    </w:p>
    <w:p w:rsidR="00A6476D" w:rsidRDefault="000D4D2C" w:rsidP="00A6476D">
      <w:pPr>
        <w:ind w:left="0"/>
        <w:rPr>
          <w:rFonts w:ascii="Times New Roman" w:hAnsi="Times New Roman"/>
          <w:sz w:val="24"/>
          <w:szCs w:val="24"/>
        </w:rPr>
      </w:pPr>
      <w:r>
        <w:rPr>
          <w:rFonts w:ascii="Times New Roman" w:hAnsi="Times New Roman"/>
          <w:sz w:val="24"/>
          <w:szCs w:val="24"/>
        </w:rPr>
        <w:t>Equations similar to (</w:t>
      </w:r>
      <w:r w:rsidR="001C0D81">
        <w:rPr>
          <w:rFonts w:ascii="Times New Roman" w:hAnsi="Times New Roman"/>
          <w:sz w:val="24"/>
          <w:szCs w:val="24"/>
        </w:rPr>
        <w:t>6</w:t>
      </w:r>
      <w:r>
        <w:rPr>
          <w:rFonts w:ascii="Times New Roman" w:hAnsi="Times New Roman"/>
          <w:sz w:val="24"/>
          <w:szCs w:val="24"/>
        </w:rPr>
        <w:t>.2) can be derived for average annual investment growth by region for</w:t>
      </w:r>
      <w:r w:rsidR="006573B9">
        <w:rPr>
          <w:rFonts w:ascii="Times New Roman" w:hAnsi="Times New Roman"/>
          <w:sz w:val="24"/>
          <w:szCs w:val="24"/>
        </w:rPr>
        <w:t xml:space="preserve"> </w:t>
      </w:r>
      <w:r>
        <w:rPr>
          <w:rFonts w:ascii="Times New Roman" w:hAnsi="Times New Roman"/>
          <w:sz w:val="24"/>
          <w:szCs w:val="24"/>
        </w:rPr>
        <w:t xml:space="preserve">2030-40 and 2040-50.  </w:t>
      </w:r>
    </w:p>
    <w:p w:rsidR="00A6476D" w:rsidRDefault="00A6476D" w:rsidP="00A6476D">
      <w:pPr>
        <w:ind w:left="0"/>
        <w:rPr>
          <w:rFonts w:ascii="Times New Roman" w:hAnsi="Times New Roman"/>
          <w:sz w:val="24"/>
          <w:szCs w:val="24"/>
        </w:rPr>
      </w:pPr>
      <w:r>
        <w:rPr>
          <w:rFonts w:ascii="Times New Roman" w:hAnsi="Times New Roman"/>
          <w:sz w:val="24"/>
          <w:szCs w:val="24"/>
        </w:rPr>
        <w:t>Appendix 3 provides further analysis of the investment results</w:t>
      </w:r>
      <w:r w:rsidR="00CF0210">
        <w:rPr>
          <w:rFonts w:ascii="Times New Roman" w:hAnsi="Times New Roman"/>
          <w:sz w:val="24"/>
          <w:szCs w:val="24"/>
        </w:rPr>
        <w:t xml:space="preserve"> in Table </w:t>
      </w:r>
      <w:r w:rsidR="007B4D55">
        <w:rPr>
          <w:rFonts w:ascii="Times New Roman" w:hAnsi="Times New Roman"/>
          <w:sz w:val="24"/>
          <w:szCs w:val="24"/>
        </w:rPr>
        <w:t>6</w:t>
      </w:r>
      <w:r w:rsidR="00CF0210">
        <w:rPr>
          <w:rFonts w:ascii="Times New Roman" w:hAnsi="Times New Roman"/>
          <w:sz w:val="24"/>
          <w:szCs w:val="24"/>
        </w:rPr>
        <w:t>.2 generated under forward-looking expectations,</w:t>
      </w:r>
      <w:r>
        <w:rPr>
          <w:rFonts w:ascii="Times New Roman" w:hAnsi="Times New Roman"/>
          <w:sz w:val="24"/>
          <w:szCs w:val="24"/>
        </w:rPr>
        <w:t xml:space="preserve"> and compares </w:t>
      </w:r>
      <w:r w:rsidR="00CF0210">
        <w:rPr>
          <w:rFonts w:ascii="Times New Roman" w:hAnsi="Times New Roman"/>
          <w:sz w:val="24"/>
          <w:szCs w:val="24"/>
        </w:rPr>
        <w:t>them w</w:t>
      </w:r>
      <w:r>
        <w:rPr>
          <w:rFonts w:ascii="Times New Roman" w:hAnsi="Times New Roman"/>
          <w:sz w:val="24"/>
          <w:szCs w:val="24"/>
        </w:rPr>
        <w:t xml:space="preserve">ith </w:t>
      </w:r>
      <w:r w:rsidR="00CF0210">
        <w:rPr>
          <w:rFonts w:ascii="Times New Roman" w:hAnsi="Times New Roman"/>
          <w:sz w:val="24"/>
          <w:szCs w:val="24"/>
        </w:rPr>
        <w:t>results</w:t>
      </w:r>
      <w:r>
        <w:rPr>
          <w:rFonts w:ascii="Times New Roman" w:hAnsi="Times New Roman"/>
          <w:sz w:val="24"/>
          <w:szCs w:val="24"/>
        </w:rPr>
        <w:t xml:space="preserve"> under static expectations.   </w:t>
      </w:r>
      <w:r w:rsidR="000D4D2C">
        <w:rPr>
          <w:rFonts w:ascii="Times New Roman" w:hAnsi="Times New Roman"/>
          <w:sz w:val="24"/>
          <w:szCs w:val="24"/>
        </w:rPr>
        <w:t xml:space="preserve"> </w:t>
      </w:r>
    </w:p>
    <w:p w:rsidR="000D4D2C" w:rsidRPr="000A75BA" w:rsidRDefault="00D75216" w:rsidP="004C3C20">
      <w:pPr>
        <w:ind w:left="0"/>
        <w:rPr>
          <w:rFonts w:ascii="Times New Roman" w:hAnsi="Times New Roman"/>
          <w:b/>
          <w:i/>
          <w:sz w:val="24"/>
          <w:szCs w:val="24"/>
        </w:rPr>
      </w:pPr>
      <w:r w:rsidRPr="000A75BA">
        <w:rPr>
          <w:rFonts w:ascii="Times New Roman" w:hAnsi="Times New Roman"/>
          <w:b/>
          <w:i/>
          <w:sz w:val="24"/>
          <w:szCs w:val="24"/>
        </w:rPr>
        <w:t>Exports and imports</w:t>
      </w:r>
    </w:p>
    <w:p w:rsidR="00AE5F7A" w:rsidRDefault="00AE5F7A" w:rsidP="00281134">
      <w:pPr>
        <w:ind w:left="0"/>
        <w:rPr>
          <w:rFonts w:ascii="Times New Roman" w:hAnsi="Times New Roman"/>
          <w:sz w:val="24"/>
          <w:szCs w:val="24"/>
        </w:rPr>
      </w:pPr>
      <w:r>
        <w:rPr>
          <w:rFonts w:ascii="Times New Roman" w:hAnsi="Times New Roman"/>
          <w:sz w:val="24"/>
          <w:szCs w:val="24"/>
        </w:rPr>
        <w:t>Export growth relative to import growth for a region is determined in a mechanical way from the GDP identity, which can be written in growth form as:</w:t>
      </w:r>
    </w:p>
    <w:p w:rsidR="00AE5F7A" w:rsidRDefault="00AE5F7A" w:rsidP="00AE5F7A">
      <w:pPr>
        <w:tabs>
          <w:tab w:val="left" w:pos="851"/>
          <w:tab w:val="right" w:pos="8789"/>
        </w:tabs>
        <w:ind w:left="0"/>
        <w:rPr>
          <w:rFonts w:ascii="Times New Roman" w:hAnsi="Times New Roman"/>
          <w:sz w:val="24"/>
          <w:szCs w:val="24"/>
        </w:rPr>
      </w:pPr>
      <w:r w:rsidRPr="00AE5F7A">
        <w:rPr>
          <w:rFonts w:ascii="Times New Roman" w:hAnsi="Times New Roman"/>
          <w:position w:val="-32"/>
          <w:sz w:val="24"/>
          <w:szCs w:val="24"/>
        </w:rPr>
        <w:object w:dxaOrig="5220" w:dyaOrig="760">
          <v:shape id="_x0000_i1053" type="#_x0000_t75" style="width:260.25pt;height:38.25pt" o:ole="">
            <v:imagedata r:id="rId70" o:title=""/>
          </v:shape>
          <o:OLEObject Type="Embed" ProgID="Equation.DSMT4" ShapeID="_x0000_i1053" DrawAspect="Content" ObjectID="_1774671674" r:id="rId71"/>
        </w:object>
      </w:r>
      <w:r>
        <w:rPr>
          <w:rFonts w:ascii="Times New Roman" w:hAnsi="Times New Roman"/>
          <w:sz w:val="24"/>
          <w:szCs w:val="24"/>
        </w:rPr>
        <w:tab/>
      </w:r>
      <w:r w:rsidRPr="00B31400">
        <w:rPr>
          <w:rFonts w:ascii="Times New Roman" w:hAnsi="Times New Roman"/>
          <w:sz w:val="24"/>
          <w:szCs w:val="24"/>
        </w:rPr>
        <w:t>(</w:t>
      </w:r>
      <w:r>
        <w:rPr>
          <w:rFonts w:ascii="Times New Roman" w:hAnsi="Times New Roman"/>
          <w:sz w:val="24"/>
          <w:szCs w:val="24"/>
        </w:rPr>
        <w:t>6.3</w:t>
      </w:r>
      <w:r w:rsidRPr="00B31400">
        <w:rPr>
          <w:rFonts w:ascii="Times New Roman" w:hAnsi="Times New Roman"/>
          <w:sz w:val="24"/>
          <w:szCs w:val="24"/>
        </w:rPr>
        <w:t>)</w:t>
      </w:r>
    </w:p>
    <w:p w:rsidR="00AE5F7A" w:rsidRPr="00B31400" w:rsidRDefault="00AE5F7A" w:rsidP="00AE5F7A">
      <w:pPr>
        <w:tabs>
          <w:tab w:val="left" w:pos="851"/>
          <w:tab w:val="right" w:pos="8789"/>
        </w:tabs>
        <w:ind w:left="0"/>
        <w:rPr>
          <w:rFonts w:ascii="Times New Roman" w:hAnsi="Times New Roman"/>
          <w:sz w:val="24"/>
          <w:szCs w:val="24"/>
        </w:rPr>
      </w:pPr>
      <w:r>
        <w:rPr>
          <w:rFonts w:ascii="Times New Roman" w:hAnsi="Times New Roman"/>
          <w:sz w:val="24"/>
          <w:szCs w:val="24"/>
        </w:rPr>
        <w:t xml:space="preserve">where </w:t>
      </w:r>
    </w:p>
    <w:p w:rsidR="00AE5F7A" w:rsidRDefault="00B76FA6" w:rsidP="00AE5F7A">
      <w:pPr>
        <w:spacing w:before="0"/>
        <w:ind w:left="284"/>
        <w:rPr>
          <w:rFonts w:ascii="Times New Roman" w:hAnsi="Times New Roman"/>
          <w:sz w:val="24"/>
          <w:szCs w:val="24"/>
        </w:rPr>
      </w:pPr>
      <w:r>
        <w:rPr>
          <w:rFonts w:ascii="Times New Roman" w:hAnsi="Times New Roman"/>
          <w:sz w:val="24"/>
          <w:szCs w:val="24"/>
        </w:rPr>
        <w:t>qgdp(r) is the per</w:t>
      </w:r>
      <w:r w:rsidR="00AE5F7A">
        <w:rPr>
          <w:rFonts w:ascii="Times New Roman" w:hAnsi="Times New Roman"/>
          <w:sz w:val="24"/>
          <w:szCs w:val="24"/>
        </w:rPr>
        <w:t xml:space="preserve">centage change in </w:t>
      </w:r>
      <w:r>
        <w:rPr>
          <w:rFonts w:ascii="Times New Roman" w:hAnsi="Times New Roman"/>
          <w:sz w:val="24"/>
          <w:szCs w:val="24"/>
        </w:rPr>
        <w:t xml:space="preserve">real </w:t>
      </w:r>
      <w:r w:rsidR="00AE5F7A">
        <w:rPr>
          <w:rFonts w:ascii="Times New Roman" w:hAnsi="Times New Roman"/>
          <w:sz w:val="24"/>
          <w:szCs w:val="24"/>
        </w:rPr>
        <w:t>GDP in region</w:t>
      </w:r>
      <w:r>
        <w:rPr>
          <w:rFonts w:ascii="Times New Roman" w:hAnsi="Times New Roman"/>
          <w:sz w:val="24"/>
          <w:szCs w:val="24"/>
        </w:rPr>
        <w:t xml:space="preserve"> r</w:t>
      </w:r>
      <w:r w:rsidR="00AE5F7A">
        <w:rPr>
          <w:rFonts w:ascii="Times New Roman" w:hAnsi="Times New Roman"/>
          <w:sz w:val="24"/>
          <w:szCs w:val="24"/>
        </w:rPr>
        <w:t>;</w:t>
      </w:r>
    </w:p>
    <w:p w:rsidR="00AE5F7A" w:rsidRDefault="00AE5F7A" w:rsidP="00AE5F7A">
      <w:pPr>
        <w:spacing w:before="0"/>
        <w:ind w:left="284"/>
        <w:rPr>
          <w:rFonts w:ascii="Times New Roman" w:hAnsi="Times New Roman"/>
          <w:sz w:val="24"/>
          <w:szCs w:val="24"/>
        </w:rPr>
      </w:pPr>
      <w:r>
        <w:rPr>
          <w:rFonts w:ascii="Times New Roman" w:hAnsi="Times New Roman"/>
          <w:sz w:val="24"/>
          <w:szCs w:val="24"/>
        </w:rPr>
        <w:t>cr(r), gr(r), qcgds(r), expvol(r) and impvol(r) are percentage changes in real private consumption, real public consumption, real investment, export volumes and import volumes; and</w:t>
      </w:r>
    </w:p>
    <w:p w:rsidR="00AE5F7A" w:rsidRDefault="00AE5F7A" w:rsidP="00AE5F7A">
      <w:pPr>
        <w:spacing w:before="0"/>
        <w:ind w:left="284"/>
        <w:rPr>
          <w:rFonts w:ascii="Times New Roman" w:hAnsi="Times New Roman"/>
          <w:sz w:val="24"/>
          <w:szCs w:val="24"/>
        </w:rPr>
      </w:pPr>
      <w:r>
        <w:rPr>
          <w:rFonts w:ascii="Times New Roman" w:hAnsi="Times New Roman"/>
          <w:sz w:val="24"/>
          <w:szCs w:val="24"/>
        </w:rPr>
        <w:t>S</w:t>
      </w:r>
      <w:r w:rsidR="00FB0039">
        <w:rPr>
          <w:rFonts w:ascii="Times New Roman" w:hAnsi="Times New Roman"/>
          <w:sz w:val="24"/>
          <w:szCs w:val="24"/>
          <w:vertAlign w:val="subscript"/>
        </w:rPr>
        <w:t>c</w:t>
      </w:r>
      <w:r w:rsidR="00FB0039">
        <w:rPr>
          <w:rFonts w:ascii="Times New Roman" w:hAnsi="Times New Roman"/>
          <w:sz w:val="24"/>
          <w:szCs w:val="24"/>
        </w:rPr>
        <w:t>(r), S</w:t>
      </w:r>
      <w:r w:rsidR="00FB0039">
        <w:rPr>
          <w:rFonts w:ascii="Times New Roman" w:hAnsi="Times New Roman"/>
          <w:sz w:val="24"/>
          <w:szCs w:val="24"/>
          <w:vertAlign w:val="subscript"/>
        </w:rPr>
        <w:t>g</w:t>
      </w:r>
      <w:r w:rsidR="00FB0039">
        <w:rPr>
          <w:rFonts w:ascii="Times New Roman" w:hAnsi="Times New Roman"/>
          <w:sz w:val="24"/>
          <w:szCs w:val="24"/>
        </w:rPr>
        <w:t>(r), S</w:t>
      </w:r>
      <w:r w:rsidR="00FB0039">
        <w:rPr>
          <w:rFonts w:ascii="Times New Roman" w:hAnsi="Times New Roman"/>
          <w:sz w:val="24"/>
          <w:szCs w:val="24"/>
          <w:vertAlign w:val="subscript"/>
        </w:rPr>
        <w:t>i</w:t>
      </w:r>
      <w:r w:rsidR="00FB0039">
        <w:rPr>
          <w:rFonts w:ascii="Times New Roman" w:hAnsi="Times New Roman"/>
          <w:sz w:val="24"/>
          <w:szCs w:val="24"/>
        </w:rPr>
        <w:t>(r), S</w:t>
      </w:r>
      <w:r w:rsidR="00FB0039">
        <w:rPr>
          <w:rFonts w:ascii="Times New Roman" w:hAnsi="Times New Roman"/>
          <w:sz w:val="24"/>
          <w:szCs w:val="24"/>
          <w:vertAlign w:val="subscript"/>
        </w:rPr>
        <w:t>x</w:t>
      </w:r>
      <w:r w:rsidR="00FB0039">
        <w:rPr>
          <w:rFonts w:ascii="Times New Roman" w:hAnsi="Times New Roman"/>
          <w:sz w:val="24"/>
          <w:szCs w:val="24"/>
        </w:rPr>
        <w:t>(r) and S</w:t>
      </w:r>
      <w:r w:rsidR="00FB0039">
        <w:rPr>
          <w:rFonts w:ascii="Times New Roman" w:hAnsi="Times New Roman"/>
          <w:sz w:val="24"/>
          <w:szCs w:val="24"/>
          <w:vertAlign w:val="subscript"/>
        </w:rPr>
        <w:t>m</w:t>
      </w:r>
      <w:r w:rsidR="00FB0039">
        <w:rPr>
          <w:rFonts w:ascii="Times New Roman" w:hAnsi="Times New Roman"/>
          <w:sz w:val="24"/>
          <w:szCs w:val="24"/>
        </w:rPr>
        <w:t xml:space="preserve">(r) are the shares of private consumption, public consumption, investment, exports and imports in GDP. </w:t>
      </w:r>
    </w:p>
    <w:p w:rsidR="00713A91" w:rsidRDefault="00FB0039" w:rsidP="00B61287">
      <w:pPr>
        <w:ind w:left="0"/>
        <w:rPr>
          <w:rFonts w:ascii="Times New Roman" w:hAnsi="Times New Roman"/>
          <w:sz w:val="24"/>
          <w:szCs w:val="24"/>
        </w:rPr>
      </w:pPr>
      <w:r>
        <w:rPr>
          <w:rFonts w:ascii="Times New Roman" w:hAnsi="Times New Roman"/>
          <w:sz w:val="24"/>
          <w:szCs w:val="24"/>
        </w:rPr>
        <w:t>For most regions, S</w:t>
      </w:r>
      <w:r>
        <w:rPr>
          <w:rFonts w:ascii="Times New Roman" w:hAnsi="Times New Roman"/>
          <w:sz w:val="24"/>
          <w:szCs w:val="24"/>
          <w:vertAlign w:val="subscript"/>
        </w:rPr>
        <w:t>x</w:t>
      </w:r>
      <w:r>
        <w:rPr>
          <w:rFonts w:ascii="Times New Roman" w:hAnsi="Times New Roman"/>
          <w:sz w:val="24"/>
          <w:szCs w:val="24"/>
        </w:rPr>
        <w:t>(r) is approximately equal to S</w:t>
      </w:r>
      <w:r>
        <w:rPr>
          <w:rFonts w:ascii="Times New Roman" w:hAnsi="Times New Roman"/>
          <w:sz w:val="24"/>
          <w:szCs w:val="24"/>
          <w:vertAlign w:val="subscript"/>
        </w:rPr>
        <w:t>m</w:t>
      </w:r>
      <w:r>
        <w:rPr>
          <w:rFonts w:ascii="Times New Roman" w:hAnsi="Times New Roman"/>
          <w:sz w:val="24"/>
          <w:szCs w:val="24"/>
        </w:rPr>
        <w:t>(r).  In 2019,</w:t>
      </w:r>
      <w:r w:rsidR="00B76FA6">
        <w:rPr>
          <w:rFonts w:ascii="Times New Roman" w:hAnsi="Times New Roman"/>
          <w:sz w:val="24"/>
          <w:szCs w:val="24"/>
        </w:rPr>
        <w:t xml:space="preserve"> </w:t>
      </w:r>
      <w:r>
        <w:rPr>
          <w:rFonts w:ascii="Times New Roman" w:hAnsi="Times New Roman"/>
          <w:sz w:val="24"/>
          <w:szCs w:val="24"/>
        </w:rPr>
        <w:t>the absolute value of S</w:t>
      </w:r>
      <w:r>
        <w:rPr>
          <w:rFonts w:ascii="Times New Roman" w:hAnsi="Times New Roman"/>
          <w:sz w:val="24"/>
          <w:szCs w:val="24"/>
          <w:vertAlign w:val="subscript"/>
        </w:rPr>
        <w:t>x</w:t>
      </w:r>
      <w:r>
        <w:rPr>
          <w:rFonts w:ascii="Times New Roman" w:hAnsi="Times New Roman"/>
          <w:sz w:val="24"/>
          <w:szCs w:val="24"/>
        </w:rPr>
        <w:t>(r) - S</w:t>
      </w:r>
      <w:r>
        <w:rPr>
          <w:rFonts w:ascii="Times New Roman" w:hAnsi="Times New Roman"/>
          <w:sz w:val="24"/>
          <w:szCs w:val="24"/>
          <w:vertAlign w:val="subscript"/>
        </w:rPr>
        <w:t>m</w:t>
      </w:r>
      <w:r>
        <w:rPr>
          <w:rFonts w:ascii="Times New Roman" w:hAnsi="Times New Roman"/>
          <w:sz w:val="24"/>
          <w:szCs w:val="24"/>
        </w:rPr>
        <w:t xml:space="preserve">(r) was less </w:t>
      </w:r>
      <w:r w:rsidR="00F15755">
        <w:rPr>
          <w:rFonts w:ascii="Times New Roman" w:hAnsi="Times New Roman"/>
          <w:sz w:val="24"/>
          <w:szCs w:val="24"/>
        </w:rPr>
        <w:t xml:space="preserve">than </w:t>
      </w:r>
      <w:r>
        <w:rPr>
          <w:rFonts w:ascii="Times New Roman" w:hAnsi="Times New Roman"/>
          <w:sz w:val="24"/>
          <w:szCs w:val="24"/>
        </w:rPr>
        <w:t>0.05 for all regions except Saudi Arabia</w:t>
      </w:r>
      <w:r w:rsidR="00F15755">
        <w:rPr>
          <w:rFonts w:ascii="Times New Roman" w:hAnsi="Times New Roman"/>
          <w:sz w:val="24"/>
          <w:szCs w:val="24"/>
        </w:rPr>
        <w:t xml:space="preserve"> which had a trade surplus of about </w:t>
      </w:r>
      <w:r w:rsidR="00AC40C7" w:rsidRPr="007C017F">
        <w:rPr>
          <w:rFonts w:ascii="Times New Roman" w:hAnsi="Times New Roman"/>
          <w:sz w:val="24"/>
          <w:szCs w:val="24"/>
        </w:rPr>
        <w:t>13</w:t>
      </w:r>
      <w:r w:rsidR="00F15755" w:rsidRPr="007C017F">
        <w:rPr>
          <w:rFonts w:ascii="Times New Roman" w:hAnsi="Times New Roman"/>
          <w:sz w:val="24"/>
          <w:szCs w:val="24"/>
        </w:rPr>
        <w:t xml:space="preserve"> per cent of GDP.</w:t>
      </w:r>
      <w:r w:rsidR="00F15755">
        <w:rPr>
          <w:rFonts w:ascii="Times New Roman" w:hAnsi="Times New Roman"/>
          <w:sz w:val="24"/>
          <w:szCs w:val="24"/>
        </w:rPr>
        <w:t xml:space="preserve">  With trade close to balanced, whether exports grow relative to imports or vice versa depends on whether GDP grows relative to absorption (consumption plus investment).  </w:t>
      </w:r>
    </w:p>
    <w:p w:rsidR="00862626" w:rsidRDefault="005F49DB" w:rsidP="00862626">
      <w:pPr>
        <w:ind w:left="0"/>
        <w:rPr>
          <w:rFonts w:ascii="Times New Roman" w:hAnsi="Times New Roman"/>
          <w:sz w:val="24"/>
          <w:szCs w:val="24"/>
        </w:rPr>
      </w:pPr>
      <w:r w:rsidRPr="00B025BD">
        <w:rPr>
          <w:rFonts w:ascii="Times New Roman" w:hAnsi="Times New Roman"/>
          <w:sz w:val="24"/>
          <w:szCs w:val="24"/>
        </w:rPr>
        <w:t>For all regions, consumption (private plus public) is large rel</w:t>
      </w:r>
      <w:r w:rsidR="00B76FA6" w:rsidRPr="00B025BD">
        <w:rPr>
          <w:rFonts w:ascii="Times New Roman" w:hAnsi="Times New Roman"/>
          <w:sz w:val="24"/>
          <w:szCs w:val="24"/>
        </w:rPr>
        <w:t>ative</w:t>
      </w:r>
      <w:r w:rsidRPr="00B025BD">
        <w:rPr>
          <w:rFonts w:ascii="Times New Roman" w:hAnsi="Times New Roman"/>
          <w:sz w:val="24"/>
          <w:szCs w:val="24"/>
        </w:rPr>
        <w:t xml:space="preserve"> to investment.  Thus, in most cases we would expect exports to grow relative to imports if GDP grows relative to consumption and vice versa.  In the 2019-30 simulation, this holds for </w:t>
      </w:r>
      <w:r w:rsidR="00862626" w:rsidRPr="00B025BD">
        <w:rPr>
          <w:rFonts w:ascii="Times New Roman" w:hAnsi="Times New Roman"/>
          <w:sz w:val="24"/>
          <w:szCs w:val="24"/>
        </w:rPr>
        <w:t>1</w:t>
      </w:r>
      <w:r w:rsidR="00481936" w:rsidRPr="00B025BD">
        <w:rPr>
          <w:rFonts w:ascii="Times New Roman" w:hAnsi="Times New Roman"/>
          <w:sz w:val="24"/>
          <w:szCs w:val="24"/>
        </w:rPr>
        <w:t>1</w:t>
      </w:r>
      <w:r w:rsidRPr="00B025BD">
        <w:rPr>
          <w:rFonts w:ascii="Times New Roman" w:hAnsi="Times New Roman"/>
          <w:sz w:val="24"/>
          <w:szCs w:val="24"/>
        </w:rPr>
        <w:t xml:space="preserve"> regions</w:t>
      </w:r>
      <w:r w:rsidR="00862626" w:rsidRPr="00B025BD">
        <w:rPr>
          <w:rFonts w:ascii="Times New Roman" w:hAnsi="Times New Roman"/>
          <w:sz w:val="24"/>
          <w:szCs w:val="24"/>
        </w:rPr>
        <w:t xml:space="preserve"> out of 13.</w:t>
      </w:r>
      <w:r w:rsidR="00862626">
        <w:rPr>
          <w:rFonts w:ascii="Times New Roman" w:hAnsi="Times New Roman"/>
          <w:sz w:val="24"/>
          <w:szCs w:val="24"/>
        </w:rPr>
        <w:t xml:space="preserve">  </w:t>
      </w:r>
      <w:r>
        <w:rPr>
          <w:rFonts w:ascii="Times New Roman" w:hAnsi="Times New Roman"/>
          <w:sz w:val="24"/>
          <w:szCs w:val="24"/>
        </w:rPr>
        <w:t xml:space="preserve"> </w:t>
      </w:r>
      <w:r w:rsidR="00481936">
        <w:rPr>
          <w:rFonts w:ascii="Times New Roman" w:hAnsi="Times New Roman"/>
          <w:sz w:val="24"/>
          <w:szCs w:val="24"/>
        </w:rPr>
        <w:t xml:space="preserve">The two exceptions are France and RoW.  </w:t>
      </w:r>
      <w:r>
        <w:rPr>
          <w:rFonts w:ascii="Times New Roman" w:hAnsi="Times New Roman"/>
          <w:sz w:val="24"/>
          <w:szCs w:val="24"/>
        </w:rPr>
        <w:t xml:space="preserve">For France, growth in exports exceeds growth in imports (1.76 per cent compared with 1.12 per cent, Table 6.2) but GDP growth is less than </w:t>
      </w:r>
      <w:r>
        <w:rPr>
          <w:rFonts w:ascii="Times New Roman" w:hAnsi="Times New Roman"/>
          <w:sz w:val="24"/>
          <w:szCs w:val="24"/>
        </w:rPr>
        <w:lastRenderedPageBreak/>
        <w:t>consumption growth (1.09 compared with 1.5</w:t>
      </w:r>
      <w:r w:rsidR="00481936">
        <w:rPr>
          <w:rFonts w:ascii="Times New Roman" w:hAnsi="Times New Roman"/>
          <w:sz w:val="24"/>
          <w:szCs w:val="24"/>
        </w:rPr>
        <w:t>1</w:t>
      </w:r>
      <w:r>
        <w:rPr>
          <w:rFonts w:ascii="Times New Roman" w:hAnsi="Times New Roman"/>
          <w:sz w:val="24"/>
          <w:szCs w:val="24"/>
        </w:rPr>
        <w:t>).  The explanation is France’s very weak growth in investment (-1.</w:t>
      </w:r>
      <w:r w:rsidR="00481936">
        <w:rPr>
          <w:rFonts w:ascii="Times New Roman" w:hAnsi="Times New Roman"/>
          <w:sz w:val="24"/>
          <w:szCs w:val="24"/>
        </w:rPr>
        <w:t>37</w:t>
      </w:r>
      <w:r>
        <w:rPr>
          <w:rFonts w:ascii="Times New Roman" w:hAnsi="Times New Roman"/>
          <w:sz w:val="24"/>
          <w:szCs w:val="24"/>
        </w:rPr>
        <w:t xml:space="preserve"> per cent).  </w:t>
      </w:r>
      <w:r w:rsidR="00481936">
        <w:rPr>
          <w:rFonts w:ascii="Times New Roman" w:hAnsi="Times New Roman"/>
          <w:sz w:val="24"/>
          <w:szCs w:val="24"/>
        </w:rPr>
        <w:t xml:space="preserve">For RoW, strong investment growth (4.60 per cent) explains the increase in imports relative to exports despite faster growth in GDP than in consumption.  </w:t>
      </w:r>
    </w:p>
    <w:p w:rsidR="00862626" w:rsidRDefault="00862626" w:rsidP="00862626">
      <w:pPr>
        <w:ind w:left="0"/>
        <w:rPr>
          <w:rFonts w:ascii="Times New Roman" w:hAnsi="Times New Roman"/>
          <w:sz w:val="24"/>
          <w:szCs w:val="24"/>
        </w:rPr>
      </w:pPr>
      <w:r>
        <w:rPr>
          <w:rFonts w:ascii="Times New Roman" w:hAnsi="Times New Roman"/>
          <w:sz w:val="24"/>
          <w:szCs w:val="24"/>
        </w:rPr>
        <w:t xml:space="preserve">In the 2030-40 and 2040-50 simulations, </w:t>
      </w:r>
      <w:r w:rsidR="003C0ADD">
        <w:rPr>
          <w:rFonts w:ascii="Times New Roman" w:hAnsi="Times New Roman"/>
          <w:sz w:val="24"/>
          <w:szCs w:val="24"/>
        </w:rPr>
        <w:t xml:space="preserve">the movements in the consumption/GDP and exports/import ratios have opposite signs in </w:t>
      </w:r>
      <w:r w:rsidR="00567696">
        <w:rPr>
          <w:rFonts w:ascii="Times New Roman" w:hAnsi="Times New Roman"/>
          <w:sz w:val="24"/>
          <w:szCs w:val="24"/>
        </w:rPr>
        <w:t>20</w:t>
      </w:r>
      <w:r w:rsidR="003C0ADD">
        <w:rPr>
          <w:rFonts w:ascii="Times New Roman" w:hAnsi="Times New Roman"/>
          <w:sz w:val="24"/>
          <w:szCs w:val="24"/>
        </w:rPr>
        <w:t xml:space="preserve"> out of 26 cases.  In the </w:t>
      </w:r>
      <w:r w:rsidR="00567696">
        <w:rPr>
          <w:rFonts w:ascii="Times New Roman" w:hAnsi="Times New Roman"/>
          <w:sz w:val="24"/>
          <w:szCs w:val="24"/>
        </w:rPr>
        <w:t>6</w:t>
      </w:r>
      <w:r w:rsidR="003C0ADD">
        <w:rPr>
          <w:rFonts w:ascii="Times New Roman" w:hAnsi="Times New Roman"/>
          <w:sz w:val="24"/>
          <w:szCs w:val="24"/>
        </w:rPr>
        <w:t xml:space="preserve"> exceptional cases the movements in both ratios are small.</w:t>
      </w:r>
    </w:p>
    <w:p w:rsidR="00CA20BF" w:rsidRDefault="00310554" w:rsidP="00CA20BF">
      <w:pPr>
        <w:ind w:left="0"/>
        <w:rPr>
          <w:rFonts w:ascii="Times New Roman" w:hAnsi="Times New Roman"/>
          <w:sz w:val="24"/>
          <w:szCs w:val="24"/>
        </w:rPr>
      </w:pPr>
      <w:r w:rsidRPr="00CA20BF">
        <w:rPr>
          <w:rFonts w:ascii="Times New Roman" w:hAnsi="Times New Roman"/>
          <w:sz w:val="24"/>
          <w:szCs w:val="24"/>
        </w:rPr>
        <w:t xml:space="preserve">While the GDP identity (6.3) helps us to understand export growth relative to import growth, it doesn’t tell us whether to expect trade to grow fast or slow relative to GDP.  </w:t>
      </w:r>
      <w:r w:rsidR="00CA20BF">
        <w:rPr>
          <w:rFonts w:ascii="Times New Roman" w:hAnsi="Times New Roman"/>
          <w:sz w:val="24"/>
          <w:szCs w:val="24"/>
        </w:rPr>
        <w:t xml:space="preserve">As a </w:t>
      </w:r>
      <w:r w:rsidR="00EC4DE2">
        <w:rPr>
          <w:rFonts w:ascii="Times New Roman" w:hAnsi="Times New Roman"/>
          <w:sz w:val="24"/>
          <w:szCs w:val="24"/>
        </w:rPr>
        <w:t>starting point</w:t>
      </w:r>
      <w:r w:rsidR="00CA20BF">
        <w:rPr>
          <w:rFonts w:ascii="Times New Roman" w:hAnsi="Times New Roman"/>
          <w:sz w:val="24"/>
          <w:szCs w:val="24"/>
        </w:rPr>
        <w:t xml:space="preserve">, we might assume that a region’s </w:t>
      </w:r>
      <w:r w:rsidR="00EC4DE2">
        <w:rPr>
          <w:rFonts w:ascii="Times New Roman" w:hAnsi="Times New Roman"/>
          <w:sz w:val="24"/>
          <w:szCs w:val="24"/>
        </w:rPr>
        <w:t>ex</w:t>
      </w:r>
      <w:r w:rsidR="00CA20BF">
        <w:rPr>
          <w:rFonts w:ascii="Times New Roman" w:hAnsi="Times New Roman"/>
          <w:sz w:val="24"/>
          <w:szCs w:val="24"/>
        </w:rPr>
        <w:t xml:space="preserve">ports and </w:t>
      </w:r>
      <w:r w:rsidR="00EC4DE2">
        <w:rPr>
          <w:rFonts w:ascii="Times New Roman" w:hAnsi="Times New Roman"/>
          <w:sz w:val="24"/>
          <w:szCs w:val="24"/>
        </w:rPr>
        <w:t>im</w:t>
      </w:r>
      <w:r w:rsidR="00CA20BF">
        <w:rPr>
          <w:rFonts w:ascii="Times New Roman" w:hAnsi="Times New Roman"/>
          <w:sz w:val="24"/>
          <w:szCs w:val="24"/>
        </w:rPr>
        <w:t>ports grow broadly in line with its GDP.  Then if the movements in GDP and absorption (already explained) dictate that exports must increase relative to imports, then we would expect real devaluation, stimulating export growth above GDP growth and retarding import growth below GDP growth.  Similarly, if imports must increase relative to exports, then we would expect real appreciation, retarding export growth below GDP growth and stimulating import growth above GDP growth.  On this basis</w:t>
      </w:r>
      <w:r w:rsidR="00EC4DE2">
        <w:rPr>
          <w:rFonts w:ascii="Times New Roman" w:hAnsi="Times New Roman"/>
          <w:sz w:val="24"/>
          <w:szCs w:val="24"/>
        </w:rPr>
        <w:t>,</w:t>
      </w:r>
      <w:r w:rsidR="00CA20BF">
        <w:rPr>
          <w:rFonts w:ascii="Times New Roman" w:hAnsi="Times New Roman"/>
          <w:sz w:val="24"/>
          <w:szCs w:val="24"/>
        </w:rPr>
        <w:t xml:space="preserve"> we would expect GDP growth to lie between export and import growth.  With reference to </w:t>
      </w:r>
      <w:r w:rsidR="00EC4DE2">
        <w:rPr>
          <w:rFonts w:ascii="Times New Roman" w:hAnsi="Times New Roman"/>
          <w:sz w:val="24"/>
          <w:szCs w:val="24"/>
        </w:rPr>
        <w:t>T</w:t>
      </w:r>
      <w:r w:rsidR="00CA20BF">
        <w:rPr>
          <w:rFonts w:ascii="Times New Roman" w:hAnsi="Times New Roman"/>
          <w:sz w:val="24"/>
          <w:szCs w:val="24"/>
        </w:rPr>
        <w:t xml:space="preserve">able 6.2, we see that </w:t>
      </w:r>
      <w:r w:rsidR="00EC4DE2">
        <w:rPr>
          <w:rFonts w:ascii="Times New Roman" w:hAnsi="Times New Roman"/>
          <w:sz w:val="24"/>
          <w:szCs w:val="24"/>
        </w:rPr>
        <w:t xml:space="preserve">in the three forecast periods GDP growth </w:t>
      </w:r>
      <w:r w:rsidR="00EC4DE2" w:rsidRPr="00EC4DE2">
        <w:rPr>
          <w:rFonts w:ascii="Times New Roman" w:hAnsi="Times New Roman"/>
          <w:i/>
          <w:sz w:val="24"/>
          <w:szCs w:val="24"/>
        </w:rPr>
        <w:t>does</w:t>
      </w:r>
      <w:r w:rsidR="00EC4DE2">
        <w:rPr>
          <w:rFonts w:ascii="Times New Roman" w:hAnsi="Times New Roman"/>
          <w:sz w:val="24"/>
          <w:szCs w:val="24"/>
        </w:rPr>
        <w:t xml:space="preserve"> lie between export and import growth </w:t>
      </w:r>
      <w:r w:rsidR="00CA20BF">
        <w:rPr>
          <w:rFonts w:ascii="Times New Roman" w:hAnsi="Times New Roman"/>
          <w:sz w:val="24"/>
          <w:szCs w:val="24"/>
        </w:rPr>
        <w:t>in 2</w:t>
      </w:r>
      <w:r w:rsidR="00FC5EF9">
        <w:rPr>
          <w:rFonts w:ascii="Times New Roman" w:hAnsi="Times New Roman"/>
          <w:sz w:val="24"/>
          <w:szCs w:val="24"/>
        </w:rPr>
        <w:t>6</w:t>
      </w:r>
      <w:r w:rsidR="00CA20BF">
        <w:rPr>
          <w:rFonts w:ascii="Times New Roman" w:hAnsi="Times New Roman"/>
          <w:sz w:val="24"/>
          <w:szCs w:val="24"/>
        </w:rPr>
        <w:t xml:space="preserve"> of the 39 possibilities </w:t>
      </w:r>
      <w:r w:rsidR="00CA20BF" w:rsidRPr="00CA20BF">
        <w:rPr>
          <w:rFonts w:ascii="Times New Roman" w:hAnsi="Times New Roman"/>
          <w:sz w:val="24"/>
          <w:szCs w:val="24"/>
        </w:rPr>
        <w:t>(13 regions by 3 periods)</w:t>
      </w:r>
      <w:r w:rsidR="00CA20BF">
        <w:rPr>
          <w:rFonts w:ascii="Times New Roman" w:hAnsi="Times New Roman"/>
          <w:sz w:val="24"/>
          <w:szCs w:val="24"/>
        </w:rPr>
        <w:t>.</w:t>
      </w:r>
      <w:r w:rsidR="00CA20BF" w:rsidRPr="00CA20BF">
        <w:rPr>
          <w:rFonts w:ascii="Times New Roman" w:hAnsi="Times New Roman"/>
          <w:sz w:val="24"/>
          <w:szCs w:val="24"/>
        </w:rPr>
        <w:t xml:space="preserve"> </w:t>
      </w:r>
    </w:p>
    <w:p w:rsidR="00DD12ED" w:rsidRDefault="00432F75" w:rsidP="00EC4DE2">
      <w:pPr>
        <w:ind w:left="0"/>
        <w:rPr>
          <w:rFonts w:ascii="Times New Roman" w:hAnsi="Times New Roman"/>
          <w:sz w:val="24"/>
          <w:szCs w:val="24"/>
        </w:rPr>
      </w:pPr>
      <w:r w:rsidRPr="00CA20BF">
        <w:rPr>
          <w:rFonts w:ascii="Times New Roman" w:hAnsi="Times New Roman"/>
          <w:sz w:val="24"/>
          <w:szCs w:val="24"/>
        </w:rPr>
        <w:t xml:space="preserve">In </w:t>
      </w:r>
      <w:r w:rsidR="00FC5EF9">
        <w:rPr>
          <w:rFonts w:ascii="Times New Roman" w:hAnsi="Times New Roman"/>
          <w:sz w:val="24"/>
          <w:szCs w:val="24"/>
        </w:rPr>
        <w:t>6</w:t>
      </w:r>
      <w:r w:rsidR="00CA20BF" w:rsidRPr="00CA20BF">
        <w:rPr>
          <w:rFonts w:ascii="Times New Roman" w:hAnsi="Times New Roman"/>
          <w:sz w:val="24"/>
          <w:szCs w:val="24"/>
        </w:rPr>
        <w:t xml:space="preserve"> </w:t>
      </w:r>
      <w:r w:rsidRPr="00CA20BF">
        <w:rPr>
          <w:rFonts w:ascii="Times New Roman" w:hAnsi="Times New Roman"/>
          <w:sz w:val="24"/>
          <w:szCs w:val="24"/>
        </w:rPr>
        <w:t xml:space="preserve">cases, </w:t>
      </w:r>
      <w:r w:rsidR="00EC4DE2">
        <w:rPr>
          <w:rFonts w:ascii="Times New Roman" w:hAnsi="Times New Roman"/>
          <w:sz w:val="24"/>
          <w:szCs w:val="24"/>
        </w:rPr>
        <w:t xml:space="preserve">export and import </w:t>
      </w:r>
      <w:r w:rsidR="00CA20BF" w:rsidRPr="00CA20BF">
        <w:rPr>
          <w:rFonts w:ascii="Times New Roman" w:hAnsi="Times New Roman"/>
          <w:sz w:val="24"/>
          <w:szCs w:val="24"/>
        </w:rPr>
        <w:t>growth exceed GDP growth and in 7</w:t>
      </w:r>
      <w:r w:rsidR="00FC5EF9">
        <w:rPr>
          <w:rFonts w:ascii="Times New Roman" w:hAnsi="Times New Roman"/>
          <w:sz w:val="24"/>
          <w:szCs w:val="24"/>
        </w:rPr>
        <w:t xml:space="preserve"> </w:t>
      </w:r>
      <w:r w:rsidR="00CA20BF" w:rsidRPr="00CA20BF">
        <w:rPr>
          <w:rFonts w:ascii="Times New Roman" w:hAnsi="Times New Roman"/>
          <w:sz w:val="24"/>
          <w:szCs w:val="24"/>
        </w:rPr>
        <w:t xml:space="preserve">cases GDP growth exceeds </w:t>
      </w:r>
      <w:r w:rsidR="00EC4DE2">
        <w:rPr>
          <w:rFonts w:ascii="Times New Roman" w:hAnsi="Times New Roman"/>
          <w:sz w:val="24"/>
          <w:szCs w:val="24"/>
        </w:rPr>
        <w:t xml:space="preserve">export and import </w:t>
      </w:r>
      <w:r w:rsidR="00CA20BF" w:rsidRPr="00CA20BF">
        <w:rPr>
          <w:rFonts w:ascii="Times New Roman" w:hAnsi="Times New Roman"/>
          <w:sz w:val="24"/>
          <w:szCs w:val="24"/>
        </w:rPr>
        <w:t>growth.</w:t>
      </w:r>
      <w:r w:rsidR="00CA20BF">
        <w:rPr>
          <w:rFonts w:ascii="Times New Roman" w:hAnsi="Times New Roman"/>
          <w:sz w:val="24"/>
          <w:szCs w:val="24"/>
        </w:rPr>
        <w:t xml:space="preserve">  </w:t>
      </w:r>
      <w:r w:rsidR="00EC4DE2">
        <w:rPr>
          <w:rFonts w:ascii="Times New Roman" w:hAnsi="Times New Roman"/>
          <w:sz w:val="24"/>
          <w:szCs w:val="24"/>
        </w:rPr>
        <w:t>We suspect that in these 1</w:t>
      </w:r>
      <w:r w:rsidR="00FC5EF9">
        <w:rPr>
          <w:rFonts w:ascii="Times New Roman" w:hAnsi="Times New Roman"/>
          <w:sz w:val="24"/>
          <w:szCs w:val="24"/>
        </w:rPr>
        <w:t>3</w:t>
      </w:r>
      <w:r w:rsidR="00EC4DE2">
        <w:rPr>
          <w:rFonts w:ascii="Times New Roman" w:hAnsi="Times New Roman"/>
          <w:sz w:val="24"/>
          <w:szCs w:val="24"/>
        </w:rPr>
        <w:t xml:space="preserve"> cases </w:t>
      </w:r>
      <w:r w:rsidR="003C0ADD">
        <w:rPr>
          <w:rFonts w:ascii="Times New Roman" w:hAnsi="Times New Roman"/>
          <w:sz w:val="24"/>
          <w:szCs w:val="24"/>
        </w:rPr>
        <w:t xml:space="preserve">export-oriented industries rely heavily on imported intermediate inputs.  Thus, elevation of export growth above GDP growth can elevate </w:t>
      </w:r>
      <w:r w:rsidR="00EC4DE2">
        <w:rPr>
          <w:rFonts w:ascii="Times New Roman" w:hAnsi="Times New Roman"/>
          <w:sz w:val="24"/>
          <w:szCs w:val="24"/>
        </w:rPr>
        <w:t>import growth above GDP growth, despite devaluation.  Similarly, retardation of export growth below GDP growth can retard import growth below GDP growth, despite appreciation.  Ten out of the 1</w:t>
      </w:r>
      <w:r w:rsidR="00FC5EF9">
        <w:rPr>
          <w:rFonts w:ascii="Times New Roman" w:hAnsi="Times New Roman"/>
          <w:sz w:val="24"/>
          <w:szCs w:val="24"/>
        </w:rPr>
        <w:t>3</w:t>
      </w:r>
      <w:r w:rsidR="00EC4DE2">
        <w:rPr>
          <w:rFonts w:ascii="Times New Roman" w:hAnsi="Times New Roman"/>
          <w:sz w:val="24"/>
          <w:szCs w:val="24"/>
        </w:rPr>
        <w:t xml:space="preserve"> cases fit this pattern with import growth lying between GDP growth and export growth.  </w:t>
      </w:r>
    </w:p>
    <w:p w:rsidR="00DD12ED" w:rsidRDefault="00DD12ED" w:rsidP="00DD12ED">
      <w:pPr>
        <w:ind w:left="0"/>
        <w:rPr>
          <w:rFonts w:ascii="Times New Roman" w:hAnsi="Times New Roman"/>
          <w:b/>
          <w:i/>
          <w:sz w:val="24"/>
          <w:szCs w:val="24"/>
        </w:rPr>
      </w:pPr>
      <w:r>
        <w:rPr>
          <w:rFonts w:ascii="Times New Roman" w:hAnsi="Times New Roman"/>
          <w:b/>
          <w:i/>
          <w:sz w:val="24"/>
          <w:szCs w:val="24"/>
        </w:rPr>
        <w:t>6.3.  Fossil fuel variables (Tables 6.5 and 6.6)</w:t>
      </w:r>
    </w:p>
    <w:p w:rsidR="00DD12ED" w:rsidRDefault="00DD12ED" w:rsidP="00DD12ED">
      <w:pPr>
        <w:ind w:left="0"/>
        <w:rPr>
          <w:rFonts w:ascii="Times New Roman" w:hAnsi="Times New Roman"/>
          <w:sz w:val="24"/>
          <w:szCs w:val="24"/>
        </w:rPr>
      </w:pPr>
      <w:r w:rsidRPr="001325BF">
        <w:rPr>
          <w:rFonts w:ascii="Times New Roman" w:hAnsi="Times New Roman"/>
          <w:sz w:val="24"/>
          <w:szCs w:val="24"/>
        </w:rPr>
        <w:t>Table 6.</w:t>
      </w:r>
      <w:r w:rsidR="00836F93">
        <w:rPr>
          <w:rFonts w:ascii="Times New Roman" w:hAnsi="Times New Roman"/>
          <w:sz w:val="24"/>
          <w:szCs w:val="24"/>
        </w:rPr>
        <w:t>5</w:t>
      </w:r>
      <w:r>
        <w:rPr>
          <w:rFonts w:ascii="Times New Roman" w:hAnsi="Times New Roman"/>
          <w:sz w:val="24"/>
          <w:szCs w:val="24"/>
        </w:rPr>
        <w:t xml:space="preserve"> shows shifts in fossil fuel use per unit of activity in each region in the three forecast periods.  The 2019-30 coal result for the USA, for example, means that through this period the use of coal per unit of output by industries such as electricity generation is projected to decline at an average annual rate of 13.</w:t>
      </w:r>
      <w:r w:rsidR="00836F93">
        <w:rPr>
          <w:rFonts w:ascii="Times New Roman" w:hAnsi="Times New Roman"/>
          <w:sz w:val="24"/>
          <w:szCs w:val="24"/>
        </w:rPr>
        <w:t>6</w:t>
      </w:r>
      <w:r w:rsidR="00DC543A">
        <w:rPr>
          <w:rFonts w:ascii="Times New Roman" w:hAnsi="Times New Roman"/>
          <w:sz w:val="24"/>
          <w:szCs w:val="24"/>
        </w:rPr>
        <w:t xml:space="preserve">9 </w:t>
      </w:r>
      <w:r>
        <w:rPr>
          <w:rFonts w:ascii="Times New Roman" w:hAnsi="Times New Roman"/>
          <w:sz w:val="24"/>
          <w:szCs w:val="24"/>
        </w:rPr>
        <w:t xml:space="preserve">per cent.  Over 11 years this is an 80 per cent reduction.  </w:t>
      </w:r>
    </w:p>
    <w:p w:rsidR="00DD12ED" w:rsidRDefault="00DD12ED" w:rsidP="00DD12ED">
      <w:pPr>
        <w:ind w:left="0"/>
        <w:rPr>
          <w:rFonts w:ascii="Times New Roman" w:hAnsi="Times New Roman"/>
          <w:sz w:val="24"/>
          <w:szCs w:val="24"/>
        </w:rPr>
      </w:pPr>
      <w:r>
        <w:rPr>
          <w:rFonts w:ascii="Times New Roman" w:hAnsi="Times New Roman"/>
          <w:sz w:val="24"/>
          <w:szCs w:val="24"/>
        </w:rPr>
        <w:t>Almost all the entries in Table 6.</w:t>
      </w:r>
      <w:r w:rsidR="00836F93">
        <w:rPr>
          <w:rFonts w:ascii="Times New Roman" w:hAnsi="Times New Roman"/>
          <w:sz w:val="24"/>
          <w:szCs w:val="24"/>
        </w:rPr>
        <w:t xml:space="preserve">5 </w:t>
      </w:r>
      <w:r>
        <w:rPr>
          <w:rFonts w:ascii="Times New Roman" w:hAnsi="Times New Roman"/>
          <w:sz w:val="24"/>
          <w:szCs w:val="24"/>
        </w:rPr>
        <w:t xml:space="preserve">are negative.  The only exceptions are gas use by </w:t>
      </w:r>
      <w:r w:rsidR="00836F93">
        <w:rPr>
          <w:rFonts w:ascii="Times New Roman" w:hAnsi="Times New Roman"/>
          <w:sz w:val="24"/>
          <w:szCs w:val="24"/>
        </w:rPr>
        <w:t xml:space="preserve">India and coal use by Saudi Arabia in 2019-30.  </w:t>
      </w:r>
      <w:r>
        <w:rPr>
          <w:rFonts w:ascii="Times New Roman" w:hAnsi="Times New Roman"/>
          <w:sz w:val="24"/>
          <w:szCs w:val="24"/>
        </w:rPr>
        <w:t xml:space="preserve">  </w:t>
      </w:r>
    </w:p>
    <w:p w:rsidR="00DD12ED" w:rsidRDefault="00DD12ED" w:rsidP="00DD12ED">
      <w:pPr>
        <w:ind w:left="0"/>
        <w:rPr>
          <w:rFonts w:ascii="Times New Roman" w:hAnsi="Times New Roman"/>
          <w:b/>
          <w:i/>
          <w:sz w:val="24"/>
          <w:szCs w:val="24"/>
        </w:rPr>
      </w:pPr>
      <w:r>
        <w:rPr>
          <w:rFonts w:ascii="Times New Roman" w:hAnsi="Times New Roman"/>
          <w:sz w:val="24"/>
          <w:szCs w:val="24"/>
        </w:rPr>
        <w:t>Despite the general declines in fossil-fuel use per unit of activity, worldwide use of fossil fuels is stubbornly persistent.  As shown in Table 6.</w:t>
      </w:r>
      <w:r w:rsidR="00836F93">
        <w:rPr>
          <w:rFonts w:ascii="Times New Roman" w:hAnsi="Times New Roman"/>
          <w:sz w:val="24"/>
          <w:szCs w:val="24"/>
        </w:rPr>
        <w:t>6</w:t>
      </w:r>
      <w:r>
        <w:rPr>
          <w:rFonts w:ascii="Times New Roman" w:hAnsi="Times New Roman"/>
          <w:sz w:val="24"/>
          <w:szCs w:val="24"/>
        </w:rPr>
        <w:t xml:space="preserve">, worldwide use </w:t>
      </w:r>
      <w:r w:rsidR="002731BD">
        <w:rPr>
          <w:rFonts w:ascii="Times New Roman" w:hAnsi="Times New Roman"/>
          <w:sz w:val="24"/>
          <w:szCs w:val="24"/>
        </w:rPr>
        <w:t xml:space="preserve">(equals output) </w:t>
      </w:r>
      <w:r>
        <w:rPr>
          <w:rFonts w:ascii="Times New Roman" w:hAnsi="Times New Roman"/>
          <w:sz w:val="24"/>
          <w:szCs w:val="24"/>
        </w:rPr>
        <w:t xml:space="preserve">of coal declines by only 1 to 2 per cent a year across the forecast periods.  Use of oil and gas actually increases between 2019 and 2030.  The use of oil then declines slowly while the use of gas stays close to constant.    </w:t>
      </w:r>
    </w:p>
    <w:p w:rsidR="002731BD" w:rsidRDefault="002731BD" w:rsidP="00754172">
      <w:pPr>
        <w:ind w:left="0"/>
        <w:rPr>
          <w:rFonts w:ascii="Times New Roman" w:hAnsi="Times New Roman"/>
          <w:b/>
          <w:sz w:val="24"/>
          <w:szCs w:val="24"/>
        </w:rPr>
      </w:pPr>
      <w:r>
        <w:rPr>
          <w:rFonts w:ascii="Times New Roman" w:hAnsi="Times New Roman"/>
          <w:b/>
          <w:sz w:val="24"/>
          <w:szCs w:val="24"/>
        </w:rPr>
        <w:t>7.  Output by industry:  illustrative results for Canada</w:t>
      </w:r>
    </w:p>
    <w:p w:rsidR="0081677A" w:rsidRDefault="0009697F" w:rsidP="00754172">
      <w:pPr>
        <w:ind w:left="0"/>
        <w:rPr>
          <w:rFonts w:ascii="Times New Roman" w:hAnsi="Times New Roman"/>
          <w:sz w:val="24"/>
          <w:szCs w:val="24"/>
        </w:rPr>
      </w:pPr>
      <w:r>
        <w:rPr>
          <w:rFonts w:ascii="Times New Roman" w:hAnsi="Times New Roman"/>
          <w:sz w:val="24"/>
          <w:szCs w:val="24"/>
        </w:rPr>
        <w:t xml:space="preserve">In addition to macro results of the type analysed in the previous sections, models such as GTAP produce a huge volume of industry results.  </w:t>
      </w:r>
      <w:r w:rsidR="0081677A">
        <w:rPr>
          <w:rFonts w:ascii="Times New Roman" w:hAnsi="Times New Roman"/>
          <w:sz w:val="24"/>
          <w:szCs w:val="24"/>
        </w:rPr>
        <w:t xml:space="preserve">In this section we analyze output results for Canadian industries.  These are set out in Table 7.1.  </w:t>
      </w:r>
    </w:p>
    <w:p w:rsidR="00C7203F" w:rsidRDefault="00C7203F" w:rsidP="00C7203F">
      <w:pPr>
        <w:ind w:left="0"/>
        <w:jc w:val="center"/>
        <w:rPr>
          <w:rFonts w:ascii="Times New Roman" w:hAnsi="Times New Roman"/>
          <w:b/>
          <w:sz w:val="24"/>
          <w:szCs w:val="24"/>
        </w:rPr>
      </w:pPr>
      <w:r w:rsidRPr="00484014">
        <w:rPr>
          <w:rFonts w:ascii="Times New Roman" w:hAnsi="Times New Roman"/>
          <w:b/>
          <w:i/>
          <w:sz w:val="24"/>
          <w:szCs w:val="24"/>
        </w:rPr>
        <w:lastRenderedPageBreak/>
        <w:t xml:space="preserve">Table 6.5. </w:t>
      </w:r>
      <w:r>
        <w:rPr>
          <w:rFonts w:ascii="Times New Roman" w:hAnsi="Times New Roman"/>
          <w:b/>
          <w:i/>
          <w:sz w:val="24"/>
          <w:szCs w:val="24"/>
        </w:rPr>
        <w:t xml:space="preserve"> </w:t>
      </w:r>
      <w:r w:rsidRPr="00484014">
        <w:rPr>
          <w:rFonts w:ascii="Times New Roman" w:hAnsi="Times New Roman"/>
          <w:b/>
          <w:i/>
          <w:sz w:val="24"/>
          <w:szCs w:val="24"/>
        </w:rPr>
        <w:t>Average</w:t>
      </w:r>
      <w:r>
        <w:rPr>
          <w:rFonts w:ascii="Times New Roman" w:hAnsi="Times New Roman"/>
          <w:b/>
          <w:i/>
          <w:sz w:val="24"/>
          <w:szCs w:val="24"/>
        </w:rPr>
        <w:t xml:space="preserve"> annual % shifts in regional demand for fossil fuels: inputs per un</w:t>
      </w:r>
      <w:r w:rsidR="0086198F">
        <w:rPr>
          <w:rFonts w:ascii="Times New Roman" w:hAnsi="Times New Roman"/>
          <w:b/>
          <w:i/>
          <w:sz w:val="24"/>
          <w:szCs w:val="24"/>
        </w:rPr>
        <w:t xml:space="preserve">it of activity by using agents </w:t>
      </w:r>
    </w:p>
    <w:tbl>
      <w:tblPr>
        <w:tblW w:w="0" w:type="auto"/>
        <w:tblInd w:w="2127" w:type="dxa"/>
        <w:tblBorders>
          <w:top w:val="single" w:sz="18" w:space="0" w:color="7F7F7F"/>
          <w:bottom w:val="single" w:sz="18" w:space="0" w:color="7F7F7F"/>
        </w:tblBorders>
        <w:tblLook w:val="04A0" w:firstRow="1" w:lastRow="0" w:firstColumn="1" w:lastColumn="0" w:noHBand="0" w:noVBand="1"/>
      </w:tblPr>
      <w:tblGrid>
        <w:gridCol w:w="1843"/>
        <w:gridCol w:w="1134"/>
        <w:gridCol w:w="1134"/>
        <w:gridCol w:w="1134"/>
      </w:tblGrid>
      <w:tr w:rsidR="00C7203F" w:rsidRPr="00C600BB" w:rsidTr="00C7203F">
        <w:tc>
          <w:tcPr>
            <w:tcW w:w="1843" w:type="dxa"/>
            <w:tcBorders>
              <w:top w:val="single" w:sz="18" w:space="0" w:color="7F7F7F"/>
              <w:bottom w:val="single" w:sz="4" w:space="0" w:color="7F7F7F"/>
              <w:right w:val="single" w:sz="18" w:space="0" w:color="7F7F7F"/>
            </w:tcBorders>
            <w:shd w:val="clear" w:color="auto" w:fill="auto"/>
          </w:tcPr>
          <w:p w:rsidR="00C7203F" w:rsidRPr="00C600BB" w:rsidRDefault="00C7203F" w:rsidP="00C7203F">
            <w:pPr>
              <w:spacing w:before="0" w:line="240" w:lineRule="auto"/>
              <w:ind w:left="0"/>
              <w:rPr>
                <w:rFonts w:ascii="Times New Roman" w:hAnsi="Times New Roman"/>
                <w:b/>
                <w:sz w:val="24"/>
                <w:szCs w:val="24"/>
              </w:rPr>
            </w:pPr>
          </w:p>
        </w:tc>
        <w:tc>
          <w:tcPr>
            <w:tcW w:w="1134" w:type="dxa"/>
            <w:tcBorders>
              <w:top w:val="single" w:sz="18" w:space="0" w:color="7F7F7F"/>
              <w:left w:val="single" w:sz="18" w:space="0" w:color="7F7F7F"/>
              <w:bottom w:val="single" w:sz="4" w:space="0" w:color="7F7F7F"/>
              <w:right w:val="single" w:sz="4" w:space="0" w:color="7F7F7F"/>
            </w:tcBorders>
            <w:shd w:val="clear" w:color="auto" w:fill="auto"/>
          </w:tcPr>
          <w:p w:rsidR="00C7203F" w:rsidRPr="00C600BB" w:rsidRDefault="00C7203F" w:rsidP="00C7203F">
            <w:pPr>
              <w:spacing w:before="0" w:line="240" w:lineRule="auto"/>
              <w:ind w:left="0"/>
              <w:jc w:val="center"/>
              <w:rPr>
                <w:rFonts w:ascii="Times New Roman" w:hAnsi="Times New Roman"/>
                <w:sz w:val="20"/>
                <w:szCs w:val="20"/>
              </w:rPr>
            </w:pPr>
            <w:r w:rsidRPr="00C600BB">
              <w:rPr>
                <w:rFonts w:ascii="Times New Roman" w:hAnsi="Times New Roman"/>
                <w:sz w:val="20"/>
                <w:szCs w:val="20"/>
              </w:rPr>
              <w:t>Coal</w:t>
            </w:r>
          </w:p>
        </w:tc>
        <w:tc>
          <w:tcPr>
            <w:tcW w:w="1134" w:type="dxa"/>
            <w:tcBorders>
              <w:top w:val="single" w:sz="18" w:space="0" w:color="7F7F7F"/>
              <w:left w:val="single" w:sz="4" w:space="0" w:color="7F7F7F"/>
              <w:bottom w:val="single" w:sz="4" w:space="0" w:color="7F7F7F"/>
              <w:right w:val="single" w:sz="4" w:space="0" w:color="7F7F7F"/>
            </w:tcBorders>
            <w:shd w:val="clear" w:color="auto" w:fill="auto"/>
          </w:tcPr>
          <w:p w:rsidR="00C7203F" w:rsidRPr="00C600BB" w:rsidRDefault="00C7203F" w:rsidP="00C7203F">
            <w:pPr>
              <w:spacing w:before="0" w:line="240" w:lineRule="auto"/>
              <w:ind w:left="0"/>
              <w:jc w:val="center"/>
              <w:rPr>
                <w:rFonts w:ascii="Times New Roman" w:hAnsi="Times New Roman"/>
                <w:sz w:val="20"/>
                <w:szCs w:val="20"/>
              </w:rPr>
            </w:pPr>
            <w:r w:rsidRPr="00C600BB">
              <w:rPr>
                <w:rFonts w:ascii="Times New Roman" w:hAnsi="Times New Roman"/>
                <w:sz w:val="20"/>
                <w:szCs w:val="20"/>
              </w:rPr>
              <w:t>Oil</w:t>
            </w:r>
          </w:p>
        </w:tc>
        <w:tc>
          <w:tcPr>
            <w:tcW w:w="1134" w:type="dxa"/>
            <w:tcBorders>
              <w:top w:val="single" w:sz="18" w:space="0" w:color="7F7F7F"/>
              <w:left w:val="single" w:sz="4" w:space="0" w:color="7F7F7F"/>
              <w:bottom w:val="single" w:sz="4" w:space="0" w:color="7F7F7F"/>
            </w:tcBorders>
            <w:shd w:val="clear" w:color="auto" w:fill="auto"/>
          </w:tcPr>
          <w:p w:rsidR="00C7203F" w:rsidRPr="00C600BB" w:rsidRDefault="00C7203F" w:rsidP="00C7203F">
            <w:pPr>
              <w:spacing w:before="0" w:line="240" w:lineRule="auto"/>
              <w:ind w:left="0"/>
              <w:jc w:val="center"/>
              <w:rPr>
                <w:rFonts w:ascii="Times New Roman" w:hAnsi="Times New Roman"/>
                <w:sz w:val="20"/>
                <w:szCs w:val="20"/>
              </w:rPr>
            </w:pPr>
            <w:r w:rsidRPr="00C600BB">
              <w:rPr>
                <w:rFonts w:ascii="Times New Roman" w:hAnsi="Times New Roman"/>
                <w:sz w:val="20"/>
                <w:szCs w:val="20"/>
              </w:rPr>
              <w:t>Gas</w:t>
            </w:r>
          </w:p>
        </w:tc>
      </w:tr>
      <w:tr w:rsidR="00C7203F" w:rsidRPr="00C600BB" w:rsidTr="00C7203F">
        <w:tc>
          <w:tcPr>
            <w:tcW w:w="1843" w:type="dxa"/>
            <w:tcBorders>
              <w:top w:val="single" w:sz="4" w:space="0" w:color="7F7F7F"/>
              <w:bottom w:val="single" w:sz="18" w:space="0" w:color="7F7F7F"/>
              <w:right w:val="single" w:sz="18" w:space="0" w:color="7F7F7F"/>
            </w:tcBorders>
            <w:shd w:val="clear" w:color="auto" w:fill="auto"/>
          </w:tcPr>
          <w:p w:rsidR="00C7203F" w:rsidRPr="00C600BB" w:rsidRDefault="00C7203F" w:rsidP="00C7203F">
            <w:pPr>
              <w:spacing w:before="0" w:line="240" w:lineRule="auto"/>
              <w:ind w:left="0"/>
              <w:rPr>
                <w:rFonts w:ascii="Times New Roman" w:hAnsi="Times New Roman"/>
                <w:b/>
                <w:sz w:val="24"/>
                <w:szCs w:val="24"/>
              </w:rPr>
            </w:pPr>
          </w:p>
        </w:tc>
        <w:tc>
          <w:tcPr>
            <w:tcW w:w="3402" w:type="dxa"/>
            <w:gridSpan w:val="3"/>
            <w:tcBorders>
              <w:top w:val="single" w:sz="4" w:space="0" w:color="7F7F7F"/>
              <w:left w:val="single" w:sz="18" w:space="0" w:color="7F7F7F"/>
              <w:bottom w:val="single" w:sz="18" w:space="0" w:color="7F7F7F"/>
            </w:tcBorders>
            <w:shd w:val="clear" w:color="auto" w:fill="auto"/>
          </w:tcPr>
          <w:p w:rsidR="00C7203F" w:rsidRPr="00C600BB" w:rsidRDefault="00C7203F" w:rsidP="00C7203F">
            <w:pPr>
              <w:spacing w:before="0" w:line="240" w:lineRule="auto"/>
              <w:ind w:left="0"/>
              <w:jc w:val="center"/>
              <w:rPr>
                <w:rFonts w:ascii="Times New Roman" w:hAnsi="Times New Roman"/>
                <w:sz w:val="20"/>
                <w:szCs w:val="20"/>
              </w:rPr>
            </w:pPr>
            <w:r w:rsidRPr="00C600BB">
              <w:rPr>
                <w:rFonts w:ascii="Times New Roman" w:hAnsi="Times New Roman"/>
                <w:sz w:val="20"/>
                <w:szCs w:val="20"/>
              </w:rPr>
              <w:t>-a_int</w:t>
            </w:r>
          </w:p>
        </w:tc>
      </w:tr>
      <w:tr w:rsidR="00C7203F" w:rsidRPr="00C600BB" w:rsidTr="00C7203F">
        <w:tc>
          <w:tcPr>
            <w:tcW w:w="5245" w:type="dxa"/>
            <w:gridSpan w:val="4"/>
            <w:tcBorders>
              <w:top w:val="single" w:sz="18" w:space="0" w:color="7F7F7F"/>
              <w:bottom w:val="single" w:sz="4" w:space="0" w:color="000000"/>
            </w:tcBorders>
            <w:shd w:val="clear" w:color="auto" w:fill="auto"/>
          </w:tcPr>
          <w:p w:rsidR="00C7203F" w:rsidRPr="00C600BB" w:rsidRDefault="00C7203F" w:rsidP="00C7203F">
            <w:pPr>
              <w:spacing w:before="0" w:line="240" w:lineRule="auto"/>
              <w:jc w:val="center"/>
              <w:rPr>
                <w:rFonts w:ascii="Times New Roman" w:hAnsi="Times New Roman"/>
                <w:color w:val="000000"/>
                <w:sz w:val="18"/>
                <w:szCs w:val="18"/>
              </w:rPr>
            </w:pPr>
            <w:r w:rsidRPr="00C600BB">
              <w:rPr>
                <w:rFonts w:ascii="Times New Roman" w:hAnsi="Times New Roman"/>
                <w:b/>
                <w:color w:val="000000"/>
                <w:sz w:val="18"/>
                <w:szCs w:val="18"/>
              </w:rPr>
              <w:t>Period 2:  2019-30</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USA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ind w:left="0"/>
              <w:jc w:val="right"/>
              <w:rPr>
                <w:rFonts w:ascii="Times New Roman" w:hAnsi="Times New Roman"/>
                <w:color w:val="000000"/>
                <w:sz w:val="18"/>
                <w:szCs w:val="18"/>
                <w:lang w:eastAsia="en-AU"/>
              </w:rPr>
            </w:pPr>
            <w:r w:rsidRPr="00FF0621">
              <w:rPr>
                <w:rFonts w:ascii="Times New Roman" w:hAnsi="Times New Roman"/>
                <w:color w:val="000000"/>
                <w:sz w:val="18"/>
                <w:szCs w:val="18"/>
              </w:rPr>
              <w:t>-13.69</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-2.57</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-2.64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Canada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-5.78</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-1.40</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-0.66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Mexico</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-5.78</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-1.40</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-0.66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China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-3.84</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-2.17</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-0.64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Japan</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-3.96</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-2.28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-5.28</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SKorea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-3.96</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-2.28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-5.28</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India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-2.18</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-1.20</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0.51</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France</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-6.46</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-2.41</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-3.34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Germany</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-6.46</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-2.41</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-3.34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UK</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-6.46</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-2.41</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-3.34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RoEU</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-6.46</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-2.41</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-3.34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SaudiArabia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2.91</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-1.33</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-0.27</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RoW</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-2.76</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-0.58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-1.68</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ind w:left="29"/>
              <w:contextualSpacing/>
              <w:rPr>
                <w:rFonts w:ascii="Times New Roman" w:hAnsi="Times New Roman"/>
                <w:color w:val="000000"/>
                <w:sz w:val="20"/>
                <w:szCs w:val="20"/>
              </w:rPr>
            </w:pPr>
            <w:r w:rsidRPr="00971331">
              <w:rPr>
                <w:rFonts w:ascii="Times New Roman" w:hAnsi="Times New Roman"/>
                <w:b/>
                <w:i/>
                <w:color w:val="000000"/>
                <w:sz w:val="20"/>
                <w:szCs w:val="20"/>
              </w:rPr>
              <w:t>World average</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-4.35</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-1.69</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-2.18</w:t>
            </w:r>
          </w:p>
        </w:tc>
      </w:tr>
      <w:tr w:rsidR="00C7203F" w:rsidRPr="00C600BB" w:rsidTr="00C7203F">
        <w:tc>
          <w:tcPr>
            <w:tcW w:w="5245" w:type="dxa"/>
            <w:gridSpan w:val="4"/>
            <w:tcBorders>
              <w:top w:val="single" w:sz="4" w:space="0" w:color="000000"/>
              <w:bottom w:val="single" w:sz="4" w:space="0" w:color="000000"/>
            </w:tcBorders>
            <w:shd w:val="clear" w:color="auto" w:fill="auto"/>
          </w:tcPr>
          <w:p w:rsidR="00C7203F" w:rsidRPr="00971331" w:rsidRDefault="00C7203F" w:rsidP="00C7203F">
            <w:pPr>
              <w:spacing w:before="0" w:line="240" w:lineRule="auto"/>
              <w:contextualSpacing/>
              <w:jc w:val="center"/>
              <w:rPr>
                <w:rFonts w:ascii="Times New Roman" w:hAnsi="Times New Roman"/>
                <w:color w:val="000000"/>
                <w:sz w:val="20"/>
                <w:szCs w:val="20"/>
              </w:rPr>
            </w:pPr>
            <w:r w:rsidRPr="00971331">
              <w:rPr>
                <w:rFonts w:ascii="Times New Roman" w:hAnsi="Times New Roman"/>
                <w:b/>
                <w:color w:val="000000"/>
                <w:sz w:val="20"/>
                <w:szCs w:val="20"/>
              </w:rPr>
              <w:t>Period 3:  2030-40</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USA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ind w:left="0"/>
              <w:jc w:val="right"/>
              <w:rPr>
                <w:rFonts w:ascii="Times New Roman" w:hAnsi="Times New Roman"/>
                <w:color w:val="000000"/>
                <w:sz w:val="18"/>
                <w:szCs w:val="18"/>
                <w:lang w:eastAsia="en-AU"/>
              </w:rPr>
            </w:pPr>
            <w:r w:rsidRPr="00FF0621">
              <w:rPr>
                <w:rFonts w:ascii="Times New Roman" w:hAnsi="Times New Roman"/>
                <w:color w:val="000000"/>
                <w:sz w:val="18"/>
                <w:szCs w:val="18"/>
              </w:rPr>
              <w:t>-9.11</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-4.49</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-4.64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Canada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-1.78</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-2.68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-2.05</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Mexico</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-1.78</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-2.68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-2.05</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China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-4.83</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-3.57</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-2.30</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Japan</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-2.85</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-2.80</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-2.26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SKorea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-2.85</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-2.80</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-2.26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India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-6.49</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-4.58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-3.99</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France</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-5.81</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-3.88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Germany</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-5.81</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-3.88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UK</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-5.81</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-3.88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RoEU</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-5.81</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-3.88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SaudiArabia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-1.22</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-2.00</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-2.23</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RoW</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-3.07</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-2.48</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-2.59</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b/>
                <w:i/>
                <w:color w:val="000000"/>
                <w:sz w:val="20"/>
                <w:szCs w:val="20"/>
              </w:rPr>
              <w:t>World average</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-4.84</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-3.42</w:t>
            </w:r>
          </w:p>
        </w:tc>
        <w:tc>
          <w:tcPr>
            <w:tcW w:w="1134" w:type="dxa"/>
            <w:tcBorders>
              <w:top w:val="single" w:sz="4" w:space="0" w:color="000000"/>
              <w:left w:val="single" w:sz="4" w:space="0" w:color="7F7F7F"/>
              <w:bottom w:val="single" w:sz="4" w:space="0" w:color="000000"/>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-2.98</w:t>
            </w:r>
          </w:p>
        </w:tc>
      </w:tr>
      <w:tr w:rsidR="00C7203F" w:rsidRPr="00C600BB" w:rsidTr="00C7203F">
        <w:tc>
          <w:tcPr>
            <w:tcW w:w="5245" w:type="dxa"/>
            <w:gridSpan w:val="4"/>
            <w:tcBorders>
              <w:top w:val="single" w:sz="4" w:space="0" w:color="000000"/>
              <w:bottom w:val="single" w:sz="4" w:space="0" w:color="000000"/>
            </w:tcBorders>
            <w:shd w:val="clear" w:color="auto" w:fill="auto"/>
          </w:tcPr>
          <w:p w:rsidR="00C7203F" w:rsidRPr="00971331" w:rsidRDefault="00C7203F" w:rsidP="00C7203F">
            <w:pPr>
              <w:spacing w:before="0" w:line="240" w:lineRule="auto"/>
              <w:contextualSpacing/>
              <w:jc w:val="center"/>
              <w:rPr>
                <w:rFonts w:ascii="Times New Roman" w:hAnsi="Times New Roman"/>
                <w:color w:val="000000"/>
                <w:sz w:val="20"/>
                <w:szCs w:val="20"/>
              </w:rPr>
            </w:pPr>
            <w:r w:rsidRPr="00971331">
              <w:rPr>
                <w:rFonts w:ascii="Times New Roman" w:hAnsi="Times New Roman"/>
                <w:b/>
                <w:color w:val="000000"/>
                <w:sz w:val="20"/>
                <w:szCs w:val="20"/>
              </w:rPr>
              <w:t>Period 4:  2040-50</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USA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ind w:left="0"/>
              <w:jc w:val="right"/>
              <w:rPr>
                <w:rFonts w:ascii="Times New Roman" w:hAnsi="Times New Roman"/>
                <w:color w:val="000000"/>
                <w:sz w:val="18"/>
                <w:szCs w:val="18"/>
                <w:lang w:eastAsia="en-AU"/>
              </w:rPr>
            </w:pPr>
            <w:r w:rsidRPr="00FF0621">
              <w:rPr>
                <w:rFonts w:ascii="Times New Roman" w:hAnsi="Times New Roman"/>
                <w:color w:val="000000"/>
                <w:sz w:val="18"/>
                <w:szCs w:val="18"/>
              </w:rPr>
              <w:t>-9.48</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-3.81</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-4.20</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Canada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-1.44</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-2.07</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-1.65</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Mexico</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-1.44</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-2.07</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-1.65</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China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-5.47</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-4.35</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-3.28</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Japan</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-2.83</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-2.73</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-2.27</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SKorea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-2.83</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-2.73</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-2.27</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India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-5.92</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-3.88</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-3.24</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France</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-5.72</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-3.76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Germany</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-5.72</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-3.76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UK</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-5.72</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-3.76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RoEU</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-5.72</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-3.91</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-3.76</w:t>
            </w:r>
          </w:p>
        </w:tc>
      </w:tr>
      <w:tr w:rsidR="00C7203F" w:rsidRPr="00C600BB" w:rsidTr="00C7203F">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SaudiArabia</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-0.23</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-1.10</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-1.16</w:t>
            </w:r>
          </w:p>
        </w:tc>
      </w:tr>
      <w:tr w:rsidR="00C7203F" w:rsidRPr="00C600BB" w:rsidTr="00C7203F">
        <w:trPr>
          <w:trHeight w:val="60"/>
        </w:trPr>
        <w:tc>
          <w:tcPr>
            <w:tcW w:w="1843" w:type="dxa"/>
            <w:tcBorders>
              <w:top w:val="single" w:sz="4" w:space="0" w:color="000000"/>
              <w:bottom w:val="single" w:sz="4" w:space="0" w:color="000000"/>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color w:val="000000"/>
                <w:sz w:val="20"/>
                <w:szCs w:val="20"/>
              </w:rPr>
              <w:t>RoW</w:t>
            </w:r>
          </w:p>
        </w:tc>
        <w:tc>
          <w:tcPr>
            <w:tcW w:w="1134" w:type="dxa"/>
            <w:tcBorders>
              <w:top w:val="single" w:sz="4" w:space="0" w:color="000000"/>
              <w:left w:val="single" w:sz="18"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-2.45</w:t>
            </w:r>
          </w:p>
        </w:tc>
        <w:tc>
          <w:tcPr>
            <w:tcW w:w="1134" w:type="dxa"/>
            <w:tcBorders>
              <w:top w:val="single" w:sz="4" w:space="0" w:color="000000"/>
              <w:left w:val="single" w:sz="4" w:space="0" w:color="7F7F7F"/>
              <w:bottom w:val="single" w:sz="4" w:space="0" w:color="000000"/>
              <w:right w:val="single" w:sz="4" w:space="0" w:color="7F7F7F"/>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-1.90</w:t>
            </w:r>
          </w:p>
        </w:tc>
        <w:tc>
          <w:tcPr>
            <w:tcW w:w="1134" w:type="dxa"/>
            <w:tcBorders>
              <w:top w:val="single" w:sz="4" w:space="0" w:color="000000"/>
              <w:left w:val="single" w:sz="4" w:space="0" w:color="7F7F7F"/>
              <w:bottom w:val="single" w:sz="4" w:space="0" w:color="000000"/>
            </w:tcBorders>
            <w:shd w:val="clear" w:color="auto" w:fill="auto"/>
            <w:vAlign w:val="bottom"/>
          </w:tcPr>
          <w:p w:rsidR="00C7203F" w:rsidRPr="00FF0621" w:rsidRDefault="00C7203F" w:rsidP="00C7203F">
            <w:pPr>
              <w:spacing w:before="0" w:line="240" w:lineRule="auto"/>
              <w:jc w:val="right"/>
              <w:rPr>
                <w:rFonts w:ascii="Times New Roman" w:hAnsi="Times New Roman"/>
                <w:color w:val="000000"/>
                <w:sz w:val="18"/>
                <w:szCs w:val="18"/>
              </w:rPr>
            </w:pPr>
            <w:r w:rsidRPr="00FF0621">
              <w:rPr>
                <w:rFonts w:ascii="Times New Roman" w:hAnsi="Times New Roman"/>
                <w:color w:val="000000"/>
                <w:sz w:val="18"/>
                <w:szCs w:val="18"/>
              </w:rPr>
              <w:t>-1.98</w:t>
            </w:r>
          </w:p>
        </w:tc>
      </w:tr>
      <w:tr w:rsidR="00C7203F" w:rsidRPr="00C600BB" w:rsidTr="00C7203F">
        <w:tc>
          <w:tcPr>
            <w:tcW w:w="1843" w:type="dxa"/>
            <w:tcBorders>
              <w:top w:val="single" w:sz="4" w:space="0" w:color="000000"/>
              <w:bottom w:val="single" w:sz="18" w:space="0" w:color="7F7F7F"/>
              <w:right w:val="single" w:sz="18" w:space="0" w:color="7F7F7F"/>
            </w:tcBorders>
            <w:shd w:val="clear" w:color="auto" w:fill="auto"/>
            <w:vAlign w:val="bottom"/>
          </w:tcPr>
          <w:p w:rsidR="00C7203F" w:rsidRPr="00971331" w:rsidRDefault="00C7203F" w:rsidP="00C7203F">
            <w:pPr>
              <w:spacing w:before="0" w:line="240" w:lineRule="auto"/>
              <w:ind w:left="29"/>
              <w:contextualSpacing/>
              <w:rPr>
                <w:rFonts w:ascii="Times New Roman" w:hAnsi="Times New Roman"/>
                <w:color w:val="000000"/>
                <w:sz w:val="20"/>
                <w:szCs w:val="20"/>
              </w:rPr>
            </w:pPr>
            <w:r w:rsidRPr="00971331">
              <w:rPr>
                <w:rFonts w:ascii="Times New Roman" w:hAnsi="Times New Roman"/>
                <w:b/>
                <w:i/>
                <w:color w:val="000000"/>
                <w:sz w:val="20"/>
                <w:szCs w:val="20"/>
              </w:rPr>
              <w:t>World average</w:t>
            </w:r>
          </w:p>
        </w:tc>
        <w:tc>
          <w:tcPr>
            <w:tcW w:w="1134" w:type="dxa"/>
            <w:tcBorders>
              <w:top w:val="single" w:sz="4" w:space="0" w:color="000000"/>
              <w:left w:val="single" w:sz="18" w:space="0" w:color="7F7F7F"/>
              <w:bottom w:val="single" w:sz="18" w:space="0" w:color="7F7F7F"/>
              <w:right w:val="nil"/>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-4.77</w:t>
            </w:r>
          </w:p>
        </w:tc>
        <w:tc>
          <w:tcPr>
            <w:tcW w:w="1134" w:type="dxa"/>
            <w:tcBorders>
              <w:top w:val="single" w:sz="4" w:space="0" w:color="000000"/>
              <w:left w:val="nil"/>
              <w:bottom w:val="single" w:sz="18" w:space="0" w:color="7F7F7F"/>
              <w:right w:val="nil"/>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-2.95</w:t>
            </w:r>
          </w:p>
        </w:tc>
        <w:tc>
          <w:tcPr>
            <w:tcW w:w="1134" w:type="dxa"/>
            <w:tcBorders>
              <w:top w:val="single" w:sz="4" w:space="0" w:color="000000"/>
              <w:left w:val="nil"/>
              <w:bottom w:val="single" w:sz="18" w:space="0" w:color="7F7F7F"/>
            </w:tcBorders>
            <w:shd w:val="clear" w:color="auto" w:fill="auto"/>
            <w:vAlign w:val="center"/>
          </w:tcPr>
          <w:p w:rsidR="00C7203F" w:rsidRPr="00FF0621" w:rsidRDefault="00C7203F" w:rsidP="00C7203F">
            <w:pPr>
              <w:spacing w:before="0" w:line="240" w:lineRule="auto"/>
              <w:jc w:val="right"/>
              <w:rPr>
                <w:rFonts w:ascii="Times New Roman" w:hAnsi="Times New Roman"/>
                <w:b/>
                <w:bCs/>
                <w:i/>
                <w:iCs/>
                <w:color w:val="000000"/>
                <w:sz w:val="18"/>
                <w:szCs w:val="18"/>
              </w:rPr>
            </w:pPr>
            <w:r w:rsidRPr="00FF0621">
              <w:rPr>
                <w:rFonts w:ascii="Times New Roman" w:hAnsi="Times New Roman"/>
                <w:b/>
                <w:bCs/>
                <w:i/>
                <w:iCs/>
                <w:color w:val="000000"/>
                <w:sz w:val="18"/>
                <w:szCs w:val="18"/>
              </w:rPr>
              <w:t>-2.42</w:t>
            </w:r>
          </w:p>
        </w:tc>
      </w:tr>
    </w:tbl>
    <w:p w:rsidR="00C7203F" w:rsidRDefault="00C7203F" w:rsidP="00C7203F">
      <w:pPr>
        <w:ind w:left="0"/>
        <w:rPr>
          <w:rFonts w:ascii="Times New Roman" w:hAnsi="Times New Roman"/>
          <w:b/>
          <w:sz w:val="24"/>
          <w:szCs w:val="24"/>
        </w:rPr>
      </w:pPr>
    </w:p>
    <w:p w:rsidR="00C7203F" w:rsidRDefault="00C7203F" w:rsidP="00C7203F">
      <w:pPr>
        <w:rPr>
          <w:rFonts w:ascii="Times New Roman" w:hAnsi="Times New Roman"/>
          <w:b/>
          <w:i/>
          <w:sz w:val="24"/>
          <w:szCs w:val="24"/>
        </w:rPr>
      </w:pPr>
      <w:r>
        <w:rPr>
          <w:rFonts w:ascii="Times New Roman" w:hAnsi="Times New Roman"/>
          <w:b/>
          <w:i/>
          <w:sz w:val="24"/>
          <w:szCs w:val="24"/>
        </w:rPr>
        <w:br w:type="page"/>
      </w:r>
    </w:p>
    <w:p w:rsidR="00C7203F" w:rsidRPr="00D725AF" w:rsidRDefault="00C7203F" w:rsidP="00C7203F">
      <w:pPr>
        <w:ind w:left="0"/>
        <w:jc w:val="center"/>
        <w:rPr>
          <w:rFonts w:ascii="Times New Roman" w:hAnsi="Times New Roman"/>
          <w:b/>
          <w:i/>
          <w:sz w:val="24"/>
          <w:szCs w:val="24"/>
        </w:rPr>
      </w:pPr>
      <w:r w:rsidRPr="005F3A84">
        <w:rPr>
          <w:rFonts w:ascii="Times New Roman" w:hAnsi="Times New Roman"/>
          <w:b/>
          <w:i/>
          <w:sz w:val="24"/>
          <w:szCs w:val="24"/>
        </w:rPr>
        <w:lastRenderedPageBreak/>
        <w:t>Table 6.6.</w:t>
      </w:r>
      <w:r>
        <w:rPr>
          <w:rFonts w:ascii="Times New Roman" w:hAnsi="Times New Roman"/>
          <w:b/>
          <w:i/>
          <w:sz w:val="24"/>
          <w:szCs w:val="24"/>
        </w:rPr>
        <w:t xml:space="preserve">  Average annual % changes in world fossil energy variables</w:t>
      </w:r>
    </w:p>
    <w:tbl>
      <w:tblPr>
        <w:tblW w:w="0" w:type="auto"/>
        <w:tblInd w:w="1413" w:type="dxa"/>
        <w:tblLook w:val="04A0" w:firstRow="1" w:lastRow="0" w:firstColumn="1" w:lastColumn="0" w:noHBand="0" w:noVBand="1"/>
      </w:tblPr>
      <w:tblGrid>
        <w:gridCol w:w="1020"/>
        <w:gridCol w:w="1536"/>
        <w:gridCol w:w="1536"/>
        <w:gridCol w:w="2150"/>
      </w:tblGrid>
      <w:tr w:rsidR="00C7203F" w:rsidRPr="00C600BB" w:rsidTr="00C7203F">
        <w:tc>
          <w:tcPr>
            <w:tcW w:w="1020" w:type="dxa"/>
            <w:tcBorders>
              <w:top w:val="single" w:sz="18" w:space="0" w:color="7F7F7F"/>
              <w:bottom w:val="single" w:sz="4" w:space="0" w:color="7F7F7F"/>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sz w:val="20"/>
                <w:szCs w:val="20"/>
              </w:rPr>
            </w:pPr>
          </w:p>
        </w:tc>
        <w:tc>
          <w:tcPr>
            <w:tcW w:w="1536" w:type="dxa"/>
            <w:tcBorders>
              <w:top w:val="single" w:sz="18" w:space="0" w:color="7F7F7F"/>
              <w:left w:val="single" w:sz="18" w:space="0" w:color="7F7F7F"/>
              <w:bottom w:val="single" w:sz="4" w:space="0" w:color="7F7F7F"/>
              <w:right w:val="single" w:sz="4" w:space="0" w:color="7F7F7F"/>
            </w:tcBorders>
            <w:shd w:val="clear" w:color="auto" w:fill="auto"/>
          </w:tcPr>
          <w:p w:rsidR="00C7203F" w:rsidRPr="00C600BB" w:rsidRDefault="00C7203F" w:rsidP="00C7203F">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Quantity of world output</w:t>
            </w:r>
          </w:p>
        </w:tc>
        <w:tc>
          <w:tcPr>
            <w:tcW w:w="1536" w:type="dxa"/>
            <w:tcBorders>
              <w:top w:val="single" w:sz="18" w:space="0" w:color="7F7F7F"/>
              <w:left w:val="single" w:sz="4" w:space="0" w:color="7F7F7F"/>
              <w:bottom w:val="single" w:sz="4" w:space="0" w:color="7F7F7F"/>
              <w:right w:val="single" w:sz="4" w:space="0" w:color="7F7F7F"/>
            </w:tcBorders>
            <w:shd w:val="clear" w:color="auto" w:fill="auto"/>
          </w:tcPr>
          <w:p w:rsidR="00C7203F" w:rsidRPr="00C600BB" w:rsidRDefault="00C7203F" w:rsidP="00C7203F">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Average real world price in $US</w:t>
            </w:r>
          </w:p>
        </w:tc>
        <w:tc>
          <w:tcPr>
            <w:tcW w:w="2150" w:type="dxa"/>
            <w:tcBorders>
              <w:top w:val="single" w:sz="18" w:space="0" w:color="7F7F7F"/>
              <w:left w:val="single" w:sz="4" w:space="0" w:color="7F7F7F"/>
              <w:bottom w:val="single" w:sz="4" w:space="0" w:color="7F7F7F"/>
            </w:tcBorders>
            <w:shd w:val="clear" w:color="auto" w:fill="auto"/>
          </w:tcPr>
          <w:p w:rsidR="00C7203F" w:rsidRPr="00C600BB" w:rsidRDefault="00C7203F" w:rsidP="00C7203F">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 xml:space="preserve">Shifts in input per unit of output in using industries </w:t>
            </w:r>
          </w:p>
        </w:tc>
      </w:tr>
      <w:tr w:rsidR="00C7203F" w:rsidRPr="00C600BB" w:rsidTr="00C7203F">
        <w:tc>
          <w:tcPr>
            <w:tcW w:w="1020" w:type="dxa"/>
            <w:tcBorders>
              <w:top w:val="single" w:sz="4" w:space="0" w:color="7F7F7F"/>
              <w:bottom w:val="single" w:sz="18" w:space="0" w:color="7F7F7F"/>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sz w:val="20"/>
                <w:szCs w:val="20"/>
              </w:rPr>
            </w:pPr>
          </w:p>
        </w:tc>
        <w:tc>
          <w:tcPr>
            <w:tcW w:w="1536" w:type="dxa"/>
            <w:tcBorders>
              <w:top w:val="single" w:sz="4" w:space="0" w:color="7F7F7F"/>
              <w:left w:val="single" w:sz="18" w:space="0" w:color="7F7F7F"/>
              <w:bottom w:val="single" w:sz="18" w:space="0" w:color="7F7F7F"/>
              <w:right w:val="single" w:sz="4" w:space="0" w:color="7F7F7F"/>
            </w:tcBorders>
            <w:shd w:val="clear" w:color="auto" w:fill="auto"/>
          </w:tcPr>
          <w:p w:rsidR="00C7203F" w:rsidRPr="00C600BB" w:rsidRDefault="00C7203F" w:rsidP="00C7203F">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qworld</w:t>
            </w:r>
          </w:p>
        </w:tc>
        <w:tc>
          <w:tcPr>
            <w:tcW w:w="1536" w:type="dxa"/>
            <w:tcBorders>
              <w:top w:val="single" w:sz="4" w:space="0" w:color="7F7F7F"/>
              <w:left w:val="single" w:sz="4" w:space="0" w:color="7F7F7F"/>
              <w:bottom w:val="single" w:sz="18" w:space="0" w:color="7F7F7F"/>
              <w:right w:val="single" w:sz="4" w:space="0" w:color="7F7F7F"/>
            </w:tcBorders>
            <w:shd w:val="clear" w:color="auto" w:fill="auto"/>
          </w:tcPr>
          <w:p w:rsidR="00C7203F" w:rsidRPr="00C600BB" w:rsidRDefault="00C7203F" w:rsidP="00C7203F">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pworld/pgdpg</w:t>
            </w:r>
          </w:p>
        </w:tc>
        <w:tc>
          <w:tcPr>
            <w:tcW w:w="2150" w:type="dxa"/>
            <w:tcBorders>
              <w:top w:val="single" w:sz="4" w:space="0" w:color="7F7F7F"/>
              <w:left w:val="single" w:sz="4" w:space="0" w:color="7F7F7F"/>
              <w:bottom w:val="single" w:sz="18" w:space="0" w:color="7F7F7F"/>
            </w:tcBorders>
            <w:shd w:val="clear" w:color="auto" w:fill="auto"/>
          </w:tcPr>
          <w:p w:rsidR="00C7203F" w:rsidRPr="00C600BB" w:rsidRDefault="00C7203F" w:rsidP="00C7203F">
            <w:pPr>
              <w:spacing w:before="0" w:line="240" w:lineRule="auto"/>
              <w:ind w:left="10"/>
              <w:jc w:val="center"/>
              <w:rPr>
                <w:rFonts w:ascii="Times New Roman" w:hAnsi="Times New Roman"/>
                <w:color w:val="000000"/>
                <w:sz w:val="20"/>
                <w:szCs w:val="20"/>
              </w:rPr>
            </w:pPr>
            <w:r w:rsidRPr="00C600BB">
              <w:rPr>
                <w:rFonts w:ascii="Times New Roman" w:hAnsi="Times New Roman"/>
                <w:color w:val="000000"/>
                <w:sz w:val="20"/>
                <w:szCs w:val="20"/>
              </w:rPr>
              <w:t>wldout_sh</w:t>
            </w:r>
            <w:r>
              <w:rPr>
                <w:rFonts w:ascii="Times New Roman" w:hAnsi="Times New Roman"/>
                <w:color w:val="000000"/>
                <w:sz w:val="20"/>
                <w:szCs w:val="20"/>
              </w:rPr>
              <w:t>, wldout_sh2</w:t>
            </w:r>
          </w:p>
        </w:tc>
      </w:tr>
      <w:tr w:rsidR="00C7203F" w:rsidRPr="00C600BB" w:rsidTr="00C7203F">
        <w:tc>
          <w:tcPr>
            <w:tcW w:w="6242" w:type="dxa"/>
            <w:gridSpan w:val="4"/>
            <w:tcBorders>
              <w:top w:val="single" w:sz="18" w:space="0" w:color="7F7F7F"/>
              <w:bottom w:val="single" w:sz="4" w:space="0" w:color="auto"/>
            </w:tcBorders>
            <w:shd w:val="clear" w:color="auto" w:fill="auto"/>
          </w:tcPr>
          <w:p w:rsidR="00C7203F" w:rsidRPr="00C600BB" w:rsidRDefault="00C7203F" w:rsidP="00C7203F">
            <w:pPr>
              <w:spacing w:before="0" w:line="240" w:lineRule="auto"/>
              <w:jc w:val="center"/>
              <w:rPr>
                <w:rFonts w:ascii="Times New Roman" w:hAnsi="Times New Roman"/>
                <w:color w:val="000000"/>
                <w:sz w:val="18"/>
                <w:szCs w:val="18"/>
              </w:rPr>
            </w:pPr>
            <w:r w:rsidRPr="00C600BB">
              <w:rPr>
                <w:rFonts w:ascii="Times New Roman" w:hAnsi="Times New Roman"/>
                <w:b/>
                <w:color w:val="000000"/>
                <w:sz w:val="18"/>
                <w:szCs w:val="18"/>
              </w:rPr>
              <w:t>Period 1:  2014-19</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coal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ind w:left="0"/>
              <w:jc w:val="right"/>
              <w:rPr>
                <w:rFonts w:ascii="Times New Roman" w:hAnsi="Times New Roman"/>
                <w:color w:val="000000"/>
                <w:sz w:val="18"/>
                <w:szCs w:val="18"/>
                <w:lang w:eastAsia="en-AU"/>
              </w:rPr>
            </w:pPr>
            <w:r w:rsidRPr="00F14C1F">
              <w:rPr>
                <w:rFonts w:ascii="Times New Roman" w:hAnsi="Times New Roman"/>
                <w:color w:val="000000"/>
                <w:sz w:val="18"/>
                <w:szCs w:val="18"/>
              </w:rPr>
              <w:t>0.13</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3.23</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-4.70</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oil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1.18</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-5.83</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-3.39</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gas</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2.94</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-9.94</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-0.83</w:t>
            </w:r>
          </w:p>
        </w:tc>
      </w:tr>
      <w:tr w:rsidR="00C7203F" w:rsidRPr="00C600BB" w:rsidTr="00C7203F">
        <w:tc>
          <w:tcPr>
            <w:tcW w:w="6242" w:type="dxa"/>
            <w:gridSpan w:val="4"/>
            <w:tcBorders>
              <w:top w:val="single" w:sz="4" w:space="0" w:color="auto"/>
              <w:bottom w:val="single" w:sz="4" w:space="0" w:color="auto"/>
            </w:tcBorders>
            <w:shd w:val="clear" w:color="auto" w:fill="auto"/>
          </w:tcPr>
          <w:p w:rsidR="00C7203F" w:rsidRPr="00F14C1F" w:rsidRDefault="00C7203F" w:rsidP="00C7203F">
            <w:pPr>
              <w:spacing w:before="0"/>
              <w:jc w:val="center"/>
              <w:rPr>
                <w:rFonts w:ascii="Times New Roman" w:hAnsi="Times New Roman"/>
                <w:color w:val="000000"/>
                <w:sz w:val="18"/>
                <w:szCs w:val="18"/>
              </w:rPr>
            </w:pPr>
            <w:r w:rsidRPr="00F14C1F">
              <w:rPr>
                <w:rFonts w:ascii="Times New Roman" w:hAnsi="Times New Roman"/>
                <w:b/>
                <w:color w:val="000000"/>
                <w:sz w:val="18"/>
                <w:szCs w:val="18"/>
              </w:rPr>
              <w:t>Period 2:  2019-30</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coal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ind w:left="0"/>
              <w:jc w:val="right"/>
              <w:rPr>
                <w:rFonts w:ascii="Times New Roman" w:hAnsi="Times New Roman"/>
                <w:color w:val="000000"/>
                <w:sz w:val="18"/>
                <w:szCs w:val="18"/>
                <w:lang w:eastAsia="en-AU"/>
              </w:rPr>
            </w:pPr>
            <w:r w:rsidRPr="00F14C1F">
              <w:rPr>
                <w:rFonts w:ascii="Times New Roman" w:hAnsi="Times New Roman"/>
                <w:color w:val="000000"/>
                <w:sz w:val="18"/>
                <w:szCs w:val="18"/>
              </w:rPr>
              <w:t>-1.12</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-0.11</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-4.37</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oil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1.15</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-0.15</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-1.68</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gas</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0.13</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0.01</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-2.17</w:t>
            </w:r>
          </w:p>
        </w:tc>
      </w:tr>
      <w:tr w:rsidR="00C7203F" w:rsidRPr="00C600BB" w:rsidTr="00C7203F">
        <w:tc>
          <w:tcPr>
            <w:tcW w:w="6242" w:type="dxa"/>
            <w:gridSpan w:val="4"/>
            <w:tcBorders>
              <w:top w:val="single" w:sz="4" w:space="0" w:color="auto"/>
              <w:bottom w:val="single" w:sz="4" w:space="0" w:color="auto"/>
            </w:tcBorders>
            <w:shd w:val="clear" w:color="auto" w:fill="auto"/>
          </w:tcPr>
          <w:p w:rsidR="00C7203F" w:rsidRPr="00F14C1F" w:rsidRDefault="00C7203F" w:rsidP="00C7203F">
            <w:pPr>
              <w:spacing w:before="0"/>
              <w:jc w:val="center"/>
              <w:rPr>
                <w:rFonts w:ascii="Times New Roman" w:hAnsi="Times New Roman"/>
                <w:color w:val="000000"/>
                <w:sz w:val="18"/>
                <w:szCs w:val="18"/>
              </w:rPr>
            </w:pPr>
            <w:r w:rsidRPr="00F14C1F">
              <w:rPr>
                <w:rFonts w:ascii="Times New Roman" w:hAnsi="Times New Roman"/>
                <w:b/>
                <w:color w:val="000000"/>
                <w:sz w:val="18"/>
                <w:szCs w:val="18"/>
              </w:rPr>
              <w:t>Period 3:  2030-40</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coal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ind w:left="0"/>
              <w:jc w:val="right"/>
              <w:rPr>
                <w:rFonts w:ascii="Times New Roman" w:hAnsi="Times New Roman"/>
                <w:color w:val="000000"/>
                <w:sz w:val="18"/>
                <w:szCs w:val="18"/>
                <w:lang w:eastAsia="en-AU"/>
              </w:rPr>
            </w:pPr>
            <w:r w:rsidRPr="00F14C1F">
              <w:rPr>
                <w:rFonts w:ascii="Times New Roman" w:hAnsi="Times New Roman"/>
                <w:color w:val="000000"/>
                <w:sz w:val="18"/>
                <w:szCs w:val="18"/>
              </w:rPr>
              <w:t>-1.72</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-0.77</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-4.88</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oil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-0.34</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-1.20</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-3.40</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gas</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-0.06</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-1.11</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-2.95</w:t>
            </w:r>
          </w:p>
        </w:tc>
      </w:tr>
      <w:tr w:rsidR="00C7203F" w:rsidRPr="00C600BB" w:rsidTr="00C7203F">
        <w:tc>
          <w:tcPr>
            <w:tcW w:w="6242" w:type="dxa"/>
            <w:gridSpan w:val="4"/>
            <w:tcBorders>
              <w:top w:val="single" w:sz="4" w:space="0" w:color="auto"/>
              <w:bottom w:val="single" w:sz="4" w:space="0" w:color="auto"/>
            </w:tcBorders>
            <w:shd w:val="clear" w:color="auto" w:fill="auto"/>
          </w:tcPr>
          <w:p w:rsidR="00C7203F" w:rsidRPr="00F14C1F" w:rsidRDefault="00C7203F" w:rsidP="00C7203F">
            <w:pPr>
              <w:spacing w:before="0"/>
              <w:jc w:val="center"/>
              <w:rPr>
                <w:rFonts w:ascii="Times New Roman" w:hAnsi="Times New Roman"/>
                <w:color w:val="000000"/>
                <w:sz w:val="18"/>
                <w:szCs w:val="18"/>
              </w:rPr>
            </w:pPr>
            <w:r w:rsidRPr="00F14C1F">
              <w:rPr>
                <w:rFonts w:ascii="Times New Roman" w:hAnsi="Times New Roman"/>
                <w:b/>
                <w:color w:val="000000"/>
                <w:sz w:val="18"/>
                <w:szCs w:val="18"/>
              </w:rPr>
              <w:t>Period4:  2040-50</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coal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ind w:left="0"/>
              <w:jc w:val="right"/>
              <w:rPr>
                <w:rFonts w:ascii="Times New Roman" w:hAnsi="Times New Roman"/>
                <w:color w:val="000000"/>
                <w:sz w:val="18"/>
                <w:szCs w:val="18"/>
                <w:lang w:eastAsia="en-AU"/>
              </w:rPr>
            </w:pPr>
            <w:r w:rsidRPr="00F14C1F">
              <w:rPr>
                <w:rFonts w:ascii="Times New Roman" w:hAnsi="Times New Roman"/>
                <w:color w:val="000000"/>
                <w:sz w:val="18"/>
                <w:szCs w:val="18"/>
              </w:rPr>
              <w:t>-1.53</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-0.68</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-4.82</w:t>
            </w:r>
          </w:p>
        </w:tc>
      </w:tr>
      <w:tr w:rsidR="00C7203F" w:rsidRPr="00C600BB" w:rsidTr="00C7203F">
        <w:tc>
          <w:tcPr>
            <w:tcW w:w="1020" w:type="dxa"/>
            <w:tcBorders>
              <w:top w:val="single" w:sz="4" w:space="0" w:color="auto"/>
              <w:bottom w:val="single" w:sz="4" w:space="0" w:color="auto"/>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oil</w:t>
            </w:r>
          </w:p>
        </w:tc>
        <w:tc>
          <w:tcPr>
            <w:tcW w:w="1536" w:type="dxa"/>
            <w:tcBorders>
              <w:top w:val="single" w:sz="4" w:space="0" w:color="auto"/>
              <w:left w:val="single" w:sz="18"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-0.14</w:t>
            </w:r>
          </w:p>
        </w:tc>
        <w:tc>
          <w:tcPr>
            <w:tcW w:w="1536" w:type="dxa"/>
            <w:tcBorders>
              <w:top w:val="single" w:sz="4" w:space="0" w:color="auto"/>
              <w:left w:val="single" w:sz="4" w:space="0" w:color="7F7F7F"/>
              <w:bottom w:val="single" w:sz="4" w:space="0" w:color="auto"/>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-0.72</w:t>
            </w:r>
          </w:p>
        </w:tc>
        <w:tc>
          <w:tcPr>
            <w:tcW w:w="2150" w:type="dxa"/>
            <w:tcBorders>
              <w:top w:val="single" w:sz="4" w:space="0" w:color="auto"/>
              <w:left w:val="single" w:sz="4" w:space="0" w:color="7F7F7F"/>
              <w:bottom w:val="single" w:sz="4" w:space="0" w:color="auto"/>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-2.95</w:t>
            </w:r>
          </w:p>
        </w:tc>
      </w:tr>
      <w:tr w:rsidR="00C7203F" w:rsidRPr="00C600BB" w:rsidTr="00C7203F">
        <w:tc>
          <w:tcPr>
            <w:tcW w:w="1020" w:type="dxa"/>
            <w:tcBorders>
              <w:top w:val="single" w:sz="4" w:space="0" w:color="auto"/>
              <w:bottom w:val="single" w:sz="18" w:space="0" w:color="7F7F7F"/>
              <w:right w:val="single" w:sz="18" w:space="0" w:color="7F7F7F"/>
            </w:tcBorders>
            <w:shd w:val="clear" w:color="auto" w:fill="auto"/>
          </w:tcPr>
          <w:p w:rsidR="00C7203F" w:rsidRPr="00C600BB" w:rsidRDefault="00C7203F" w:rsidP="00C7203F">
            <w:pPr>
              <w:spacing w:before="0" w:line="240" w:lineRule="auto"/>
              <w:ind w:left="-19"/>
              <w:jc w:val="center"/>
              <w:rPr>
                <w:rFonts w:ascii="Times New Roman" w:hAnsi="Times New Roman"/>
                <w:color w:val="000000"/>
                <w:sz w:val="20"/>
                <w:szCs w:val="20"/>
              </w:rPr>
            </w:pPr>
            <w:r w:rsidRPr="00C600BB">
              <w:rPr>
                <w:rFonts w:ascii="Times New Roman" w:hAnsi="Times New Roman"/>
                <w:color w:val="000000"/>
                <w:sz w:val="20"/>
                <w:szCs w:val="20"/>
              </w:rPr>
              <w:t>gas</w:t>
            </w:r>
          </w:p>
        </w:tc>
        <w:tc>
          <w:tcPr>
            <w:tcW w:w="1536" w:type="dxa"/>
            <w:tcBorders>
              <w:top w:val="single" w:sz="4" w:space="0" w:color="auto"/>
              <w:left w:val="single" w:sz="18" w:space="0" w:color="7F7F7F"/>
              <w:bottom w:val="single" w:sz="18" w:space="0" w:color="7F7F7F"/>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0.09</w:t>
            </w:r>
          </w:p>
        </w:tc>
        <w:tc>
          <w:tcPr>
            <w:tcW w:w="1536" w:type="dxa"/>
            <w:tcBorders>
              <w:top w:val="single" w:sz="4" w:space="0" w:color="auto"/>
              <w:left w:val="single" w:sz="4" w:space="0" w:color="7F7F7F"/>
              <w:bottom w:val="single" w:sz="18" w:space="0" w:color="7F7F7F"/>
              <w:right w:val="single" w:sz="4"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-0.61</w:t>
            </w:r>
          </w:p>
        </w:tc>
        <w:tc>
          <w:tcPr>
            <w:tcW w:w="2150" w:type="dxa"/>
            <w:tcBorders>
              <w:top w:val="single" w:sz="4" w:space="0" w:color="auto"/>
              <w:left w:val="single" w:sz="4" w:space="0" w:color="7F7F7F"/>
              <w:bottom w:val="single" w:sz="18" w:space="0" w:color="7F7F7F"/>
            </w:tcBorders>
            <w:shd w:val="clear" w:color="auto" w:fill="auto"/>
            <w:vAlign w:val="center"/>
          </w:tcPr>
          <w:p w:rsidR="00C7203F" w:rsidRPr="00F14C1F" w:rsidRDefault="00C7203F" w:rsidP="00C7203F">
            <w:pPr>
              <w:spacing w:before="0"/>
              <w:jc w:val="right"/>
              <w:rPr>
                <w:rFonts w:ascii="Times New Roman" w:hAnsi="Times New Roman"/>
                <w:color w:val="000000"/>
                <w:sz w:val="18"/>
                <w:szCs w:val="18"/>
              </w:rPr>
            </w:pPr>
            <w:r w:rsidRPr="00F14C1F">
              <w:rPr>
                <w:rFonts w:ascii="Times New Roman" w:hAnsi="Times New Roman"/>
                <w:color w:val="000000"/>
                <w:sz w:val="18"/>
                <w:szCs w:val="18"/>
              </w:rPr>
              <w:t>-2.39</w:t>
            </w:r>
          </w:p>
        </w:tc>
      </w:tr>
    </w:tbl>
    <w:p w:rsidR="00C7203F" w:rsidRDefault="00C7203F" w:rsidP="00C7203F">
      <w:pPr>
        <w:ind w:left="0"/>
        <w:jc w:val="center"/>
        <w:rPr>
          <w:rFonts w:ascii="Times New Roman" w:hAnsi="Times New Roman"/>
          <w:sz w:val="24"/>
          <w:szCs w:val="24"/>
        </w:rPr>
      </w:pPr>
    </w:p>
    <w:p w:rsidR="009E0F6C" w:rsidRDefault="009E0F6C" w:rsidP="009E0F6C">
      <w:pPr>
        <w:ind w:left="0"/>
        <w:rPr>
          <w:rFonts w:ascii="Times New Roman" w:hAnsi="Times New Roman"/>
          <w:sz w:val="24"/>
          <w:szCs w:val="24"/>
        </w:rPr>
      </w:pPr>
      <w:r>
        <w:rPr>
          <w:rFonts w:ascii="Times New Roman" w:hAnsi="Times New Roman"/>
          <w:sz w:val="24"/>
          <w:szCs w:val="24"/>
        </w:rPr>
        <w:t xml:space="preserve">The table shows wide variations in average annual growth rates between time periods and within time periods.  For example, the simulated average annual growth rate for wheat output (wht, ind 2) varies between time periods from 6.15 per cent in 2014-19 to 1.06 per cent in 2040-50, while within the 2014-19 time period industry growth rates vary from 7.33 per cent for leather products (lea, ind 29) to -2.44 per cent for coal (coa, ind 15).  </w:t>
      </w:r>
    </w:p>
    <w:p w:rsidR="009E0F6C" w:rsidRDefault="009E0F6C" w:rsidP="009E0F6C">
      <w:pPr>
        <w:ind w:left="0"/>
        <w:rPr>
          <w:rFonts w:ascii="Times New Roman" w:hAnsi="Times New Roman"/>
          <w:sz w:val="24"/>
          <w:szCs w:val="24"/>
        </w:rPr>
      </w:pPr>
      <w:r>
        <w:rPr>
          <w:rFonts w:ascii="Times New Roman" w:hAnsi="Times New Roman"/>
          <w:sz w:val="24"/>
          <w:szCs w:val="24"/>
        </w:rPr>
        <w:t xml:space="preserve">At the sectoral level the variations are damped, but still considerable.  For example, the simulated average annual growth rate for manufacturing (MANU) varies between time periods from 3.05 per cent in 2030-40 to 0.78 per cent in 2019-30.  Within the 2014-19 time period, sectoral growth rates vary from 3.21 per cent for agriculture, forestry and fishing (AFF) to 0.17 per cent for construction (CONST). </w:t>
      </w:r>
    </w:p>
    <w:p w:rsidR="00EF4F0F" w:rsidRDefault="00CF1BD5" w:rsidP="00754172">
      <w:pPr>
        <w:ind w:left="0"/>
        <w:rPr>
          <w:rFonts w:ascii="Times New Roman" w:hAnsi="Times New Roman"/>
          <w:sz w:val="24"/>
          <w:szCs w:val="24"/>
        </w:rPr>
      </w:pPr>
      <w:r>
        <w:rPr>
          <w:rFonts w:ascii="Times New Roman" w:hAnsi="Times New Roman"/>
          <w:sz w:val="24"/>
          <w:szCs w:val="24"/>
        </w:rPr>
        <w:t xml:space="preserve">To help in the explanation of the industry and sectoral variations, we have extracted the macro results for Canada from Table 6.2 and displayed them in Table 7.2.  Using the macro results in Table 7.2 we can go some of the way to explaining the industry and sectoral results.  For example, </w:t>
      </w:r>
      <w:r w:rsidR="00E20B12">
        <w:rPr>
          <w:rFonts w:ascii="Times New Roman" w:hAnsi="Times New Roman"/>
          <w:sz w:val="24"/>
          <w:szCs w:val="24"/>
        </w:rPr>
        <w:t>weak investment growth in 2014-19 (-0.55 per cent), recovering to moderate growth in 2030-40 and 2040-50 (1.59 per cent in both periods) underpins the simulated growth trajectory for construction (0.17 per in 2014-19 rising to 1.6</w:t>
      </w:r>
      <w:r w:rsidR="00ED45E4">
        <w:rPr>
          <w:rFonts w:ascii="Times New Roman" w:hAnsi="Times New Roman"/>
          <w:sz w:val="24"/>
          <w:szCs w:val="24"/>
        </w:rPr>
        <w:t>8</w:t>
      </w:r>
      <w:r w:rsidR="00E20B12">
        <w:rPr>
          <w:rFonts w:ascii="Times New Roman" w:hAnsi="Times New Roman"/>
          <w:sz w:val="24"/>
          <w:szCs w:val="24"/>
        </w:rPr>
        <w:t xml:space="preserve"> and 1.64 per cent in the last two simulation periods).  Relatively fast growth in </w:t>
      </w:r>
      <w:r w:rsidR="00CE2906">
        <w:rPr>
          <w:rFonts w:ascii="Times New Roman" w:hAnsi="Times New Roman"/>
          <w:sz w:val="24"/>
          <w:szCs w:val="24"/>
        </w:rPr>
        <w:t xml:space="preserve">real </w:t>
      </w:r>
      <w:r w:rsidR="00E20B12">
        <w:rPr>
          <w:rFonts w:ascii="Times New Roman" w:hAnsi="Times New Roman"/>
          <w:sz w:val="24"/>
          <w:szCs w:val="24"/>
        </w:rPr>
        <w:t xml:space="preserve">private consumption in 2014-19 </w:t>
      </w:r>
      <w:r w:rsidR="00CE2906">
        <w:rPr>
          <w:rFonts w:ascii="Times New Roman" w:hAnsi="Times New Roman"/>
          <w:sz w:val="24"/>
          <w:szCs w:val="24"/>
        </w:rPr>
        <w:t xml:space="preserve">of </w:t>
      </w:r>
      <w:r w:rsidR="00E20B12">
        <w:rPr>
          <w:rFonts w:ascii="Times New Roman" w:hAnsi="Times New Roman"/>
          <w:sz w:val="24"/>
          <w:szCs w:val="24"/>
        </w:rPr>
        <w:t>2.46 per cent slowing to 1.84 per cent in 2030-40 and 2040-50 explains the slowdown in housing services</w:t>
      </w:r>
      <w:r w:rsidR="00D67320">
        <w:rPr>
          <w:rStyle w:val="FootnoteReference"/>
          <w:rFonts w:ascii="Times New Roman" w:hAnsi="Times New Roman"/>
          <w:sz w:val="24"/>
          <w:szCs w:val="24"/>
        </w:rPr>
        <w:footnoteReference w:id="6"/>
      </w:r>
      <w:r w:rsidR="00E20B12">
        <w:rPr>
          <w:rFonts w:ascii="Times New Roman" w:hAnsi="Times New Roman"/>
          <w:sz w:val="24"/>
          <w:szCs w:val="24"/>
        </w:rPr>
        <w:t xml:space="preserve"> (dwe, ind 57) from 3.00 per cent in 2014-19 to 2.16 per cent in 2040-50.  </w:t>
      </w:r>
      <w:r w:rsidR="00CE2906">
        <w:rPr>
          <w:rFonts w:ascii="Times New Roman" w:hAnsi="Times New Roman"/>
          <w:sz w:val="24"/>
          <w:szCs w:val="24"/>
        </w:rPr>
        <w:t>A relatively flat performance for real government consumption (growth rates between 1.84 and 2.13 per cent) explains the relatively flat performa</w:t>
      </w:r>
      <w:r w:rsidR="00A971B8">
        <w:rPr>
          <w:rFonts w:ascii="Times New Roman" w:hAnsi="Times New Roman"/>
          <w:sz w:val="24"/>
          <w:szCs w:val="24"/>
        </w:rPr>
        <w:t>nce of</w:t>
      </w:r>
      <w:r w:rsidR="00CE2906">
        <w:rPr>
          <w:rFonts w:ascii="Times New Roman" w:hAnsi="Times New Roman"/>
          <w:sz w:val="24"/>
          <w:szCs w:val="24"/>
        </w:rPr>
        <w:t xml:space="preserve"> government services (osg, ind 56, growth rates </w:t>
      </w:r>
      <w:r w:rsidR="00A971B8">
        <w:rPr>
          <w:rFonts w:ascii="Times New Roman" w:hAnsi="Times New Roman"/>
          <w:sz w:val="24"/>
          <w:szCs w:val="24"/>
        </w:rPr>
        <w:t>between</w:t>
      </w:r>
      <w:r w:rsidR="00CE2906">
        <w:rPr>
          <w:rFonts w:ascii="Times New Roman" w:hAnsi="Times New Roman"/>
          <w:sz w:val="24"/>
          <w:szCs w:val="24"/>
        </w:rPr>
        <w:t xml:space="preserve"> 1.82 </w:t>
      </w:r>
      <w:r w:rsidR="00A971B8">
        <w:rPr>
          <w:rFonts w:ascii="Times New Roman" w:hAnsi="Times New Roman"/>
          <w:sz w:val="24"/>
          <w:szCs w:val="24"/>
        </w:rPr>
        <w:t>and</w:t>
      </w:r>
      <w:r w:rsidR="00CE2906">
        <w:rPr>
          <w:rFonts w:ascii="Times New Roman" w:hAnsi="Times New Roman"/>
          <w:sz w:val="24"/>
          <w:szCs w:val="24"/>
        </w:rPr>
        <w:t xml:space="preserve"> 1.95 per cent).  </w:t>
      </w:r>
      <w:r w:rsidR="00A971B8">
        <w:rPr>
          <w:rFonts w:ascii="Times New Roman" w:hAnsi="Times New Roman"/>
          <w:sz w:val="24"/>
          <w:szCs w:val="24"/>
        </w:rPr>
        <w:t xml:space="preserve">Weak export growth in 2019-30 relative to the other periods explains the dip in the growth rate for this period </w:t>
      </w:r>
      <w:r w:rsidR="00EF4F0F">
        <w:rPr>
          <w:rFonts w:ascii="Times New Roman" w:hAnsi="Times New Roman"/>
          <w:sz w:val="24"/>
          <w:szCs w:val="24"/>
        </w:rPr>
        <w:t>in</w:t>
      </w:r>
      <w:r w:rsidR="00A971B8">
        <w:rPr>
          <w:rFonts w:ascii="Times New Roman" w:hAnsi="Times New Roman"/>
          <w:sz w:val="24"/>
          <w:szCs w:val="24"/>
        </w:rPr>
        <w:t xml:space="preserve"> </w:t>
      </w:r>
      <w:r w:rsidR="00EF4F0F">
        <w:rPr>
          <w:rFonts w:ascii="Times New Roman" w:hAnsi="Times New Roman"/>
          <w:sz w:val="24"/>
          <w:szCs w:val="24"/>
        </w:rPr>
        <w:t xml:space="preserve">the </w:t>
      </w:r>
      <w:r w:rsidR="00A971B8">
        <w:rPr>
          <w:rFonts w:ascii="Times New Roman" w:hAnsi="Times New Roman"/>
          <w:sz w:val="24"/>
          <w:szCs w:val="24"/>
        </w:rPr>
        <w:t>manufacturing</w:t>
      </w:r>
      <w:r w:rsidR="00EF4F0F">
        <w:rPr>
          <w:rFonts w:ascii="Times New Roman" w:hAnsi="Times New Roman"/>
          <w:sz w:val="24"/>
          <w:szCs w:val="24"/>
        </w:rPr>
        <w:t xml:space="preserve"> sector and many of its constituent industries.</w:t>
      </w:r>
    </w:p>
    <w:p w:rsidR="00770658" w:rsidRDefault="00770658" w:rsidP="00770658">
      <w:pPr>
        <w:ind w:left="0"/>
        <w:jc w:val="center"/>
        <w:rPr>
          <w:rFonts w:ascii="Times New Roman" w:hAnsi="Times New Roman"/>
          <w:b/>
          <w:i/>
          <w:sz w:val="24"/>
          <w:szCs w:val="24"/>
        </w:rPr>
      </w:pPr>
      <w:r>
        <w:rPr>
          <w:rFonts w:ascii="Times New Roman" w:hAnsi="Times New Roman"/>
          <w:b/>
          <w:i/>
          <w:sz w:val="24"/>
          <w:szCs w:val="24"/>
        </w:rPr>
        <w:lastRenderedPageBreak/>
        <w:t xml:space="preserve">Table 7.1.  Industry and sectoral outputs for Canada: average annual growth, 2014-19, </w:t>
      </w:r>
    </w:p>
    <w:p w:rsidR="00770658" w:rsidRPr="008767B2" w:rsidRDefault="0086198F" w:rsidP="00770658">
      <w:pPr>
        <w:spacing w:before="0"/>
        <w:ind w:left="0"/>
        <w:jc w:val="center"/>
        <w:rPr>
          <w:rFonts w:ascii="Times New Roman" w:hAnsi="Times New Roman"/>
          <w:b/>
          <w:i/>
          <w:sz w:val="24"/>
          <w:szCs w:val="24"/>
        </w:rPr>
      </w:pPr>
      <w:r>
        <w:rPr>
          <w:rFonts w:ascii="Times New Roman" w:hAnsi="Times New Roman"/>
          <w:b/>
          <w:i/>
          <w:sz w:val="24"/>
          <w:szCs w:val="24"/>
        </w:rPr>
        <w:t>2019-30, 2030-40 and 2040-50</w:t>
      </w:r>
    </w:p>
    <w:tbl>
      <w:tblPr>
        <w:tblStyle w:val="TableGrid"/>
        <w:tblW w:w="0" w:type="auto"/>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461"/>
        <w:gridCol w:w="850"/>
        <w:gridCol w:w="734"/>
        <w:gridCol w:w="735"/>
        <w:gridCol w:w="735"/>
        <w:gridCol w:w="735"/>
        <w:gridCol w:w="556"/>
        <w:gridCol w:w="957"/>
        <w:gridCol w:w="732"/>
        <w:gridCol w:w="732"/>
        <w:gridCol w:w="732"/>
        <w:gridCol w:w="732"/>
      </w:tblGrid>
      <w:tr w:rsidR="00770658" w:rsidRPr="008767B2" w:rsidTr="0072488F">
        <w:tc>
          <w:tcPr>
            <w:tcW w:w="461"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No</w:t>
            </w:r>
          </w:p>
        </w:tc>
        <w:tc>
          <w:tcPr>
            <w:tcW w:w="850" w:type="dxa"/>
            <w:tcBorders>
              <w:top w:val="single" w:sz="18" w:space="0" w:color="7F7F7F" w:themeColor="text1" w:themeTint="80"/>
              <w:bottom w:val="single" w:sz="18" w:space="0" w:color="7F7F7F" w:themeColor="text1" w:themeTint="80"/>
            </w:tcBorders>
          </w:tcPr>
          <w:p w:rsidR="00770658" w:rsidRPr="0089331F" w:rsidRDefault="00770658" w:rsidP="0072488F">
            <w:pPr>
              <w:autoSpaceDE w:val="0"/>
              <w:autoSpaceDN w:val="0"/>
              <w:adjustRightInd w:val="0"/>
              <w:spacing w:before="0" w:line="240" w:lineRule="auto"/>
              <w:ind w:left="0"/>
              <w:rPr>
                <w:rFonts w:ascii="Times New Roman" w:hAnsi="Times New Roman"/>
                <w:b/>
                <w:color w:val="000000"/>
                <w:sz w:val="20"/>
                <w:szCs w:val="20"/>
                <w:vertAlign w:val="superscript"/>
                <w:lang w:eastAsia="en-AU"/>
              </w:rPr>
            </w:pPr>
            <w:r w:rsidRPr="008767B2">
              <w:rPr>
                <w:rFonts w:ascii="Times New Roman" w:hAnsi="Times New Roman"/>
                <w:b/>
                <w:color w:val="000000"/>
                <w:sz w:val="20"/>
                <w:szCs w:val="20"/>
                <w:lang w:eastAsia="en-AU"/>
              </w:rPr>
              <w:t>IND</w:t>
            </w:r>
            <w:r>
              <w:rPr>
                <w:rFonts w:ascii="Times New Roman" w:hAnsi="Times New Roman"/>
                <w:b/>
                <w:color w:val="000000"/>
                <w:sz w:val="20"/>
                <w:szCs w:val="20"/>
                <w:vertAlign w:val="superscript"/>
                <w:lang w:eastAsia="en-AU"/>
              </w:rPr>
              <w:t>*</w:t>
            </w:r>
          </w:p>
        </w:tc>
        <w:tc>
          <w:tcPr>
            <w:tcW w:w="734"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14-19</w:t>
            </w:r>
          </w:p>
        </w:tc>
        <w:tc>
          <w:tcPr>
            <w:tcW w:w="735"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19-30</w:t>
            </w:r>
          </w:p>
        </w:tc>
        <w:tc>
          <w:tcPr>
            <w:tcW w:w="735"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30-40</w:t>
            </w:r>
          </w:p>
        </w:tc>
        <w:tc>
          <w:tcPr>
            <w:tcW w:w="735" w:type="dxa"/>
            <w:tcBorders>
              <w:top w:val="single" w:sz="18" w:space="0" w:color="7F7F7F" w:themeColor="text1" w:themeTint="80"/>
              <w:bottom w:val="single" w:sz="18" w:space="0" w:color="7F7F7F" w:themeColor="text1" w:themeTint="80"/>
              <w:right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40-50</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No</w:t>
            </w:r>
          </w:p>
        </w:tc>
        <w:tc>
          <w:tcPr>
            <w:tcW w:w="957" w:type="dxa"/>
            <w:tcBorders>
              <w:top w:val="single" w:sz="18" w:space="0" w:color="7F7F7F" w:themeColor="text1" w:themeTint="80"/>
              <w:bottom w:val="single" w:sz="18" w:space="0" w:color="7F7F7F" w:themeColor="text1" w:themeTint="80"/>
            </w:tcBorders>
          </w:tcPr>
          <w:p w:rsidR="00770658" w:rsidRPr="0089331F" w:rsidRDefault="00770658" w:rsidP="0072488F">
            <w:pPr>
              <w:autoSpaceDE w:val="0"/>
              <w:autoSpaceDN w:val="0"/>
              <w:adjustRightInd w:val="0"/>
              <w:spacing w:before="0" w:line="240" w:lineRule="auto"/>
              <w:ind w:left="0"/>
              <w:rPr>
                <w:rFonts w:ascii="Times New Roman" w:hAnsi="Times New Roman"/>
                <w:b/>
                <w:color w:val="000000"/>
                <w:sz w:val="20"/>
                <w:szCs w:val="20"/>
                <w:vertAlign w:val="superscript"/>
                <w:lang w:eastAsia="en-AU"/>
              </w:rPr>
            </w:pPr>
            <w:r w:rsidRPr="008767B2">
              <w:rPr>
                <w:rFonts w:ascii="Times New Roman" w:hAnsi="Times New Roman"/>
                <w:b/>
                <w:color w:val="000000"/>
                <w:sz w:val="20"/>
                <w:szCs w:val="20"/>
                <w:lang w:eastAsia="en-AU"/>
              </w:rPr>
              <w:t>IND</w:t>
            </w:r>
            <w:r>
              <w:rPr>
                <w:rFonts w:ascii="Times New Roman" w:hAnsi="Times New Roman"/>
                <w:b/>
                <w:color w:val="000000"/>
                <w:sz w:val="20"/>
                <w:szCs w:val="20"/>
                <w:vertAlign w:val="superscript"/>
                <w:lang w:eastAsia="en-AU"/>
              </w:rPr>
              <w:t>*</w:t>
            </w:r>
          </w:p>
        </w:tc>
        <w:tc>
          <w:tcPr>
            <w:tcW w:w="732"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14-19</w:t>
            </w:r>
          </w:p>
        </w:tc>
        <w:tc>
          <w:tcPr>
            <w:tcW w:w="732"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19-30</w:t>
            </w:r>
          </w:p>
        </w:tc>
        <w:tc>
          <w:tcPr>
            <w:tcW w:w="732"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30-40</w:t>
            </w:r>
          </w:p>
        </w:tc>
        <w:tc>
          <w:tcPr>
            <w:tcW w:w="732" w:type="dxa"/>
            <w:tcBorders>
              <w:top w:val="single" w:sz="18" w:space="0" w:color="7F7F7F" w:themeColor="text1" w:themeTint="80"/>
              <w:bottom w:val="single" w:sz="18" w:space="0" w:color="7F7F7F" w:themeColor="text1" w:themeTint="80"/>
            </w:tcBorders>
          </w:tcPr>
          <w:p w:rsidR="00770658" w:rsidRPr="008767B2" w:rsidRDefault="00770658" w:rsidP="0072488F">
            <w:pPr>
              <w:autoSpaceDE w:val="0"/>
              <w:autoSpaceDN w:val="0"/>
              <w:adjustRightInd w:val="0"/>
              <w:spacing w:before="0" w:line="240" w:lineRule="auto"/>
              <w:ind w:left="0"/>
              <w:jc w:val="right"/>
              <w:rPr>
                <w:rFonts w:ascii="Times New Roman" w:hAnsi="Times New Roman"/>
                <w:b/>
                <w:color w:val="000000"/>
                <w:sz w:val="20"/>
                <w:szCs w:val="20"/>
                <w:lang w:eastAsia="en-AU"/>
              </w:rPr>
            </w:pPr>
            <w:r w:rsidRPr="008767B2">
              <w:rPr>
                <w:rFonts w:ascii="Times New Roman" w:hAnsi="Times New Roman"/>
                <w:b/>
                <w:color w:val="000000"/>
                <w:sz w:val="20"/>
                <w:szCs w:val="20"/>
                <w:lang w:eastAsia="en-AU"/>
              </w:rPr>
              <w:t>40-50</w:t>
            </w:r>
          </w:p>
        </w:tc>
      </w:tr>
      <w:tr w:rsidR="00770658" w:rsidTr="0072488F">
        <w:tc>
          <w:tcPr>
            <w:tcW w:w="461"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w:t>
            </w:r>
          </w:p>
        </w:tc>
        <w:tc>
          <w:tcPr>
            <w:tcW w:w="850"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pdr</w:t>
            </w:r>
          </w:p>
        </w:tc>
        <w:tc>
          <w:tcPr>
            <w:tcW w:w="734" w:type="dxa"/>
            <w:tcBorders>
              <w:top w:val="single" w:sz="18" w:space="0" w:color="7F7F7F" w:themeColor="text1" w:themeTint="80"/>
            </w:tcBorders>
            <w:vAlign w:val="bottom"/>
          </w:tcPr>
          <w:p w:rsidR="00770658" w:rsidRPr="00B23C89" w:rsidRDefault="00770658" w:rsidP="0072488F">
            <w:pPr>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rPr>
              <w:t>1.29</w:t>
            </w:r>
          </w:p>
        </w:tc>
        <w:tc>
          <w:tcPr>
            <w:tcW w:w="735" w:type="dxa"/>
            <w:tcBorders>
              <w:top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1.24</w:t>
            </w:r>
          </w:p>
        </w:tc>
        <w:tc>
          <w:tcPr>
            <w:tcW w:w="735" w:type="dxa"/>
            <w:tcBorders>
              <w:top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1.88</w:t>
            </w:r>
          </w:p>
        </w:tc>
        <w:tc>
          <w:tcPr>
            <w:tcW w:w="735" w:type="dxa"/>
            <w:tcBorders>
              <w:top w:val="single" w:sz="18" w:space="0" w:color="7F7F7F" w:themeColor="text1" w:themeTint="80"/>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1.67</w:t>
            </w:r>
          </w:p>
        </w:tc>
        <w:tc>
          <w:tcPr>
            <w:tcW w:w="556" w:type="dxa"/>
            <w:tcBorders>
              <w:top w:val="single" w:sz="18" w:space="0" w:color="7F7F7F" w:themeColor="text1" w:themeTint="80"/>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43</w:t>
            </w:r>
          </w:p>
        </w:tc>
        <w:tc>
          <w:tcPr>
            <w:tcW w:w="957"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ely</w:t>
            </w:r>
          </w:p>
        </w:tc>
        <w:tc>
          <w:tcPr>
            <w:tcW w:w="732" w:type="dxa"/>
            <w:tcBorders>
              <w:top w:val="single" w:sz="18" w:space="0" w:color="7F7F7F" w:themeColor="text1" w:themeTint="80"/>
            </w:tcBorders>
            <w:vAlign w:val="bottom"/>
          </w:tcPr>
          <w:p w:rsidR="00770658" w:rsidRPr="00B23C89" w:rsidRDefault="00770658" w:rsidP="0072488F">
            <w:pPr>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rPr>
              <w:t>2.77</w:t>
            </w:r>
          </w:p>
        </w:tc>
        <w:tc>
          <w:tcPr>
            <w:tcW w:w="732" w:type="dxa"/>
            <w:tcBorders>
              <w:top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1.67</w:t>
            </w:r>
          </w:p>
        </w:tc>
        <w:tc>
          <w:tcPr>
            <w:tcW w:w="732" w:type="dxa"/>
            <w:tcBorders>
              <w:top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2.45</w:t>
            </w:r>
          </w:p>
        </w:tc>
        <w:tc>
          <w:tcPr>
            <w:tcW w:w="732" w:type="dxa"/>
            <w:tcBorders>
              <w:top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1.83</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wht</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6.15</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2.11</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1.06</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44</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gdt</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2.41</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1.83</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2.35</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1.93</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gro</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2.38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2.66</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2.15</w:t>
            </w:r>
          </w:p>
        </w:tc>
        <w:tc>
          <w:tcPr>
            <w:tcW w:w="556" w:type="dxa"/>
            <w:tcBorders>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45</w:t>
            </w:r>
          </w:p>
        </w:tc>
        <w:tc>
          <w:tcPr>
            <w:tcW w:w="957"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wtr</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1.98</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1.56</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1.98</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1.78</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v_f</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2.26</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2.67</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2.55</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b/>
                <w:bCs/>
                <w:i/>
                <w:iCs/>
                <w:color w:val="000000"/>
                <w:sz w:val="18"/>
                <w:szCs w:val="18"/>
                <w:lang w:eastAsia="en-AU"/>
              </w:rPr>
              <w:t>UTIL</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2.72</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1.69</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2.44</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1.84</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osd</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4.37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2.96</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2.99</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2.47</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6</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c_b</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1.08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1.80</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1.60</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46</w:t>
            </w: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CONST</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ind w:left="0"/>
              <w:jc w:val="right"/>
              <w:rPr>
                <w:rFonts w:ascii="Times New Roman" w:hAnsi="Times New Roman"/>
                <w:b/>
                <w:i/>
                <w:color w:val="000000"/>
                <w:sz w:val="18"/>
                <w:szCs w:val="18"/>
                <w:lang w:eastAsia="en-AU"/>
              </w:rPr>
            </w:pPr>
            <w:r w:rsidRPr="00B23C89">
              <w:rPr>
                <w:rFonts w:ascii="Times New Roman" w:hAnsi="Times New Roman"/>
                <w:b/>
                <w:i/>
                <w:color w:val="000000"/>
                <w:sz w:val="18"/>
                <w:szCs w:val="18"/>
              </w:rPr>
              <w:t>0.17</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b/>
                <w:i/>
                <w:color w:val="000000"/>
                <w:sz w:val="18"/>
                <w:szCs w:val="18"/>
              </w:rPr>
            </w:pPr>
            <w:r w:rsidRPr="00B23C89">
              <w:rPr>
                <w:rFonts w:ascii="Times New Roman" w:hAnsi="Times New Roman"/>
                <w:b/>
                <w:i/>
                <w:color w:val="000000"/>
                <w:sz w:val="18"/>
                <w:szCs w:val="18"/>
              </w:rPr>
              <w:t>0.92</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b/>
                <w:i/>
                <w:color w:val="000000"/>
                <w:sz w:val="18"/>
                <w:szCs w:val="18"/>
              </w:rPr>
            </w:pPr>
            <w:r w:rsidRPr="00B23C89">
              <w:rPr>
                <w:rFonts w:ascii="Times New Roman" w:hAnsi="Times New Roman"/>
                <w:b/>
                <w:i/>
                <w:color w:val="000000"/>
                <w:sz w:val="18"/>
                <w:szCs w:val="18"/>
              </w:rPr>
              <w:t>1.68</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b/>
                <w:i/>
                <w:color w:val="000000"/>
                <w:sz w:val="18"/>
                <w:szCs w:val="18"/>
              </w:rPr>
            </w:pPr>
            <w:r w:rsidRPr="00B23C89">
              <w:rPr>
                <w:rFonts w:ascii="Times New Roman" w:hAnsi="Times New Roman"/>
                <w:b/>
                <w:i/>
                <w:color w:val="000000"/>
                <w:sz w:val="18"/>
                <w:szCs w:val="18"/>
              </w:rPr>
              <w:t>1.64</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7</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pfb</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1.90</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1.79</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8</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ocr</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3.79</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2.32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1.96</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1.23</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47</w:t>
            </w: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TRADE</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ind w:left="0"/>
              <w:jc w:val="right"/>
              <w:rPr>
                <w:rFonts w:ascii="Times New Roman" w:hAnsi="Times New Roman"/>
                <w:b/>
                <w:i/>
                <w:color w:val="000000"/>
                <w:sz w:val="18"/>
                <w:szCs w:val="18"/>
                <w:lang w:eastAsia="en-AU"/>
              </w:rPr>
            </w:pPr>
            <w:r w:rsidRPr="00B23C89">
              <w:rPr>
                <w:rFonts w:ascii="Times New Roman" w:hAnsi="Times New Roman"/>
                <w:b/>
                <w:i/>
                <w:color w:val="000000"/>
                <w:sz w:val="18"/>
                <w:szCs w:val="18"/>
              </w:rPr>
              <w:t>2.06</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b/>
                <w:i/>
                <w:color w:val="000000"/>
                <w:sz w:val="18"/>
                <w:szCs w:val="18"/>
              </w:rPr>
            </w:pPr>
            <w:r w:rsidRPr="00B23C89">
              <w:rPr>
                <w:rFonts w:ascii="Times New Roman" w:hAnsi="Times New Roman"/>
                <w:b/>
                <w:i/>
                <w:color w:val="000000"/>
                <w:sz w:val="18"/>
                <w:szCs w:val="18"/>
              </w:rPr>
              <w:t>1.60</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b/>
                <w:i/>
                <w:color w:val="000000"/>
                <w:sz w:val="18"/>
                <w:szCs w:val="18"/>
              </w:rPr>
            </w:pPr>
            <w:r w:rsidRPr="00B23C89">
              <w:rPr>
                <w:rFonts w:ascii="Times New Roman" w:hAnsi="Times New Roman"/>
                <w:b/>
                <w:i/>
                <w:color w:val="000000"/>
                <w:sz w:val="18"/>
                <w:szCs w:val="18"/>
              </w:rPr>
              <w:t>1.99</w:t>
            </w:r>
          </w:p>
        </w:tc>
        <w:tc>
          <w:tcPr>
            <w:tcW w:w="732" w:type="dxa"/>
            <w:tcBorders>
              <w:top w:val="single" w:sz="18" w:space="0" w:color="7F7F7F" w:themeColor="text1" w:themeTint="80"/>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b/>
                <w:i/>
                <w:color w:val="000000"/>
                <w:sz w:val="18"/>
                <w:szCs w:val="18"/>
              </w:rPr>
            </w:pPr>
            <w:r w:rsidRPr="00B23C89">
              <w:rPr>
                <w:rFonts w:ascii="Times New Roman" w:hAnsi="Times New Roman"/>
                <w:b/>
                <w:i/>
                <w:color w:val="000000"/>
                <w:sz w:val="18"/>
                <w:szCs w:val="18"/>
              </w:rPr>
              <w:t>1.78</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9</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ctl</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1.17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1.88</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1.49</w:t>
            </w:r>
          </w:p>
        </w:tc>
        <w:tc>
          <w:tcPr>
            <w:tcW w:w="556" w:type="dxa"/>
            <w:tcBorders>
              <w:top w:val="single" w:sz="18" w:space="0" w:color="7F7F7F" w:themeColor="text1" w:themeTint="80"/>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10</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oap</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2.45</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2.67</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2.14</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48</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otp</w:t>
            </w:r>
          </w:p>
        </w:tc>
        <w:tc>
          <w:tcPr>
            <w:tcW w:w="732" w:type="dxa"/>
            <w:vAlign w:val="bottom"/>
          </w:tcPr>
          <w:p w:rsidR="00770658" w:rsidRPr="00B23C89" w:rsidRDefault="00770658" w:rsidP="0072488F">
            <w:pPr>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rPr>
              <w:t>2.44</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1.51</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2.29</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1.87</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11</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rmk</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1.95</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1.51</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1.30</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49</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wtp</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2.90</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1.52</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2.36</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1.97</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12</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wol</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5.23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3.90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2.08</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0.94</w:t>
            </w:r>
          </w:p>
        </w:tc>
        <w:tc>
          <w:tcPr>
            <w:tcW w:w="556" w:type="dxa"/>
            <w:tcBorders>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50</w:t>
            </w:r>
          </w:p>
        </w:tc>
        <w:tc>
          <w:tcPr>
            <w:tcW w:w="957"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atp</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2.06</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1.40</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2.09</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1.68</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13</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frs</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3.07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0.40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2.64</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1.81</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TRANSP</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2.43</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1.50</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2.28</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1.86</w:t>
            </w:r>
          </w:p>
        </w:tc>
      </w:tr>
      <w:tr w:rsidR="00770658" w:rsidTr="0072488F">
        <w:tc>
          <w:tcPr>
            <w:tcW w:w="461"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14</w:t>
            </w:r>
          </w:p>
        </w:tc>
        <w:tc>
          <w:tcPr>
            <w:tcW w:w="850"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fsh</w:t>
            </w:r>
          </w:p>
        </w:tc>
        <w:tc>
          <w:tcPr>
            <w:tcW w:w="734"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0.02</w:t>
            </w:r>
          </w:p>
        </w:tc>
        <w:tc>
          <w:tcPr>
            <w:tcW w:w="735"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1.89</w:t>
            </w:r>
          </w:p>
        </w:tc>
        <w:tc>
          <w:tcPr>
            <w:tcW w:w="735"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2.67</w:t>
            </w:r>
          </w:p>
        </w:tc>
        <w:tc>
          <w:tcPr>
            <w:tcW w:w="735" w:type="dxa"/>
            <w:tcBorders>
              <w:bottom w:val="single" w:sz="18" w:space="0" w:color="7F7F7F" w:themeColor="text1" w:themeTint="80"/>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2.32</w:t>
            </w:r>
          </w:p>
        </w:tc>
        <w:tc>
          <w:tcPr>
            <w:tcW w:w="556" w:type="dxa"/>
            <w:tcBorders>
              <w:top w:val="single" w:sz="18" w:space="0" w:color="7F7F7F" w:themeColor="text1" w:themeTint="80"/>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c>
          <w:tcPr>
            <w:tcW w:w="732"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r>
      <w:tr w:rsidR="00770658" w:rsidTr="0072488F">
        <w:tc>
          <w:tcPr>
            <w:tcW w:w="461"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850"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AFF</w:t>
            </w:r>
          </w:p>
        </w:tc>
        <w:tc>
          <w:tcPr>
            <w:tcW w:w="734"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ind w:left="0"/>
              <w:jc w:val="right"/>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rPr>
              <w:t>3.21</w:t>
            </w:r>
          </w:p>
        </w:tc>
        <w:tc>
          <w:tcPr>
            <w:tcW w:w="735"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2.00</w:t>
            </w:r>
          </w:p>
        </w:tc>
        <w:tc>
          <w:tcPr>
            <w:tcW w:w="735"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2.54</w:t>
            </w:r>
          </w:p>
        </w:tc>
        <w:tc>
          <w:tcPr>
            <w:tcW w:w="735" w:type="dxa"/>
            <w:tcBorders>
              <w:top w:val="single" w:sz="18" w:space="0" w:color="7F7F7F" w:themeColor="text1" w:themeTint="80"/>
              <w:bottom w:val="single" w:sz="18" w:space="0" w:color="7F7F7F" w:themeColor="text1" w:themeTint="80"/>
              <w:right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2.03</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51</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cmn</w:t>
            </w:r>
          </w:p>
        </w:tc>
        <w:tc>
          <w:tcPr>
            <w:tcW w:w="732" w:type="dxa"/>
            <w:vAlign w:val="bottom"/>
          </w:tcPr>
          <w:p w:rsidR="00770658" w:rsidRPr="00B23C89" w:rsidRDefault="00770658" w:rsidP="0072488F">
            <w:pPr>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rPr>
              <w:t>1.95</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1.61</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2.01</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1.76</w:t>
            </w:r>
          </w:p>
        </w:tc>
      </w:tr>
      <w:tr w:rsidR="00770658" w:rsidTr="0072488F">
        <w:tc>
          <w:tcPr>
            <w:tcW w:w="461"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850"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4"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p>
        </w:tc>
        <w:tc>
          <w:tcPr>
            <w:tcW w:w="735"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c>
          <w:tcPr>
            <w:tcW w:w="735" w:type="dxa"/>
            <w:tcBorders>
              <w:top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sz w:val="18"/>
                <w:szCs w:val="18"/>
              </w:rPr>
            </w:pPr>
          </w:p>
        </w:tc>
        <w:tc>
          <w:tcPr>
            <w:tcW w:w="735" w:type="dxa"/>
            <w:tcBorders>
              <w:top w:val="single" w:sz="18" w:space="0" w:color="7F7F7F" w:themeColor="text1" w:themeTint="80"/>
              <w:right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 </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52</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ofi</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2.07</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1.57</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2.11</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1.83</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15</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coa</w:t>
            </w:r>
          </w:p>
        </w:tc>
        <w:tc>
          <w:tcPr>
            <w:tcW w:w="734" w:type="dxa"/>
            <w:vAlign w:val="bottom"/>
          </w:tcPr>
          <w:p w:rsidR="00770658" w:rsidRPr="00B23C89" w:rsidRDefault="00770658" w:rsidP="0072488F">
            <w:pPr>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rPr>
              <w:t>-2.44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-2.25</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-0.17</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-1.18</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53</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isr</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1.98</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1.50</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2.28</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1.88</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16</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oil</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0.90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0.49</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-1.79</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-1.66</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54</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obs</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1.66</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1.29</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2.09</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1.74</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17</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gas</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0.29</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-0.06</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-1.10</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-1.13</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55</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ros</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1.93</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1.52</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2.01</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1.78</w:t>
            </w:r>
          </w:p>
        </w:tc>
      </w:tr>
      <w:tr w:rsidR="00770658" w:rsidTr="0072488F">
        <w:tc>
          <w:tcPr>
            <w:tcW w:w="461"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18</w:t>
            </w:r>
          </w:p>
        </w:tc>
        <w:tc>
          <w:tcPr>
            <w:tcW w:w="850"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omn</w:t>
            </w:r>
          </w:p>
        </w:tc>
        <w:tc>
          <w:tcPr>
            <w:tcW w:w="734"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2.27</w:t>
            </w:r>
          </w:p>
        </w:tc>
        <w:tc>
          <w:tcPr>
            <w:tcW w:w="735"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1.57</w:t>
            </w:r>
          </w:p>
        </w:tc>
        <w:tc>
          <w:tcPr>
            <w:tcW w:w="735"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2.54</w:t>
            </w:r>
          </w:p>
        </w:tc>
        <w:tc>
          <w:tcPr>
            <w:tcW w:w="735" w:type="dxa"/>
            <w:tcBorders>
              <w:bottom w:val="single" w:sz="18" w:space="0" w:color="7F7F7F" w:themeColor="text1" w:themeTint="80"/>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1.84</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56</w:t>
            </w:r>
          </w:p>
        </w:tc>
        <w:tc>
          <w:tcPr>
            <w:tcW w:w="957"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osg</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1.92</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1.95</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1.86</w:t>
            </w:r>
          </w:p>
        </w:tc>
        <w:tc>
          <w:tcPr>
            <w:tcW w:w="732"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1.82</w:t>
            </w:r>
          </w:p>
        </w:tc>
      </w:tr>
      <w:tr w:rsidR="00770658" w:rsidTr="0072488F">
        <w:tc>
          <w:tcPr>
            <w:tcW w:w="461"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850"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MINE</w:t>
            </w:r>
          </w:p>
        </w:tc>
        <w:tc>
          <w:tcPr>
            <w:tcW w:w="734"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0.83</w:t>
            </w:r>
          </w:p>
        </w:tc>
        <w:tc>
          <w:tcPr>
            <w:tcW w:w="735"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0.47</w:t>
            </w:r>
          </w:p>
        </w:tc>
        <w:tc>
          <w:tcPr>
            <w:tcW w:w="735"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-0.08</w:t>
            </w:r>
          </w:p>
        </w:tc>
        <w:tc>
          <w:tcPr>
            <w:tcW w:w="735" w:type="dxa"/>
            <w:tcBorders>
              <w:top w:val="single" w:sz="18" w:space="0" w:color="7F7F7F" w:themeColor="text1" w:themeTint="80"/>
              <w:bottom w:val="single" w:sz="18" w:space="0" w:color="7F7F7F" w:themeColor="text1" w:themeTint="80"/>
              <w:right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0.02</w:t>
            </w:r>
          </w:p>
        </w:tc>
        <w:tc>
          <w:tcPr>
            <w:tcW w:w="556" w:type="dxa"/>
            <w:tcBorders>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57</w:t>
            </w:r>
          </w:p>
        </w:tc>
        <w:tc>
          <w:tcPr>
            <w:tcW w:w="957"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dwe</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3.00</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2.65</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2.30</w:t>
            </w:r>
          </w:p>
        </w:tc>
        <w:tc>
          <w:tcPr>
            <w:tcW w:w="732"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2.16</w:t>
            </w:r>
          </w:p>
        </w:tc>
      </w:tr>
      <w:tr w:rsidR="00770658" w:rsidTr="0072488F">
        <w:tc>
          <w:tcPr>
            <w:tcW w:w="461"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850"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4"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5"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5"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735" w:type="dxa"/>
            <w:tcBorders>
              <w:top w:val="single" w:sz="18" w:space="0" w:color="7F7F7F" w:themeColor="text1" w:themeTint="80"/>
              <w:righ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SERVIC</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2.04</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1.82</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2.03</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1.85</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19</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cmt</w:t>
            </w:r>
          </w:p>
        </w:tc>
        <w:tc>
          <w:tcPr>
            <w:tcW w:w="734" w:type="dxa"/>
            <w:vAlign w:val="bottom"/>
          </w:tcPr>
          <w:p w:rsidR="00770658" w:rsidRPr="00B23C89" w:rsidRDefault="00770658" w:rsidP="0072488F">
            <w:pPr>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rPr>
              <w:t>2.82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1.38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2.14</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1.81</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 </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 </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20</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omt</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5.40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1.31</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3.65</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2.97</w:t>
            </w:r>
          </w:p>
        </w:tc>
        <w:tc>
          <w:tcPr>
            <w:tcW w:w="556"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GDP</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1.88</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1.53</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2.09</w:t>
            </w:r>
          </w:p>
        </w:tc>
        <w:tc>
          <w:tcPr>
            <w:tcW w:w="732"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1.81</w:t>
            </w: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21</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vol</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3.90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2.99</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1.71</w:t>
            </w:r>
          </w:p>
        </w:tc>
        <w:tc>
          <w:tcPr>
            <w:tcW w:w="556" w:type="dxa"/>
            <w:tcBorders>
              <w:top w:val="single" w:sz="18" w:space="0" w:color="7F7F7F" w:themeColor="text1" w:themeTint="80"/>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Borders>
              <w:top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22</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mil</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1.95</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1.50</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1.30</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23</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pcr</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0.96</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1.38</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1.14</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24</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sgr</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2.06</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1.89</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25</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ofd</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2.80</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2.41</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26</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b_t</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1.21</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2.22</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2.02</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27</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tex</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3.69</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0.55</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3.97</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2.64</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28</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wap</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3.18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1.14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3.97</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2.42</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29</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lea</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7.33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4.49</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2.59</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30</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lum</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3.47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-0.19</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2.80</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1.75</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31</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ppp</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3.22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0.85</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3.01</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2.04</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32</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p_c</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3.28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2.14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2.99</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2.22</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33</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crp</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3.29</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0.93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3.34</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2.08</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34</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nmm</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0.82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0.53</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2.44</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1.71</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35</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i_s</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1.48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-0.24</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2.92</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1.28</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36</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nfm</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2.61</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1.46</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3.23</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1.26</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37</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fmp</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1.96</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-0.02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2.87</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1.51</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38</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mvh</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0.00</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0.57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3.10</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2.23</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39</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otn</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4.32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0.66</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3.63</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1.80</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40</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ele</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1.28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-0.58</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2.86</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0.62</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41</w:t>
            </w:r>
          </w:p>
        </w:tc>
        <w:tc>
          <w:tcPr>
            <w:tcW w:w="850" w:type="dxa"/>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ome</w:t>
            </w:r>
          </w:p>
        </w:tc>
        <w:tc>
          <w:tcPr>
            <w:tcW w:w="734"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2.97</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-0.42</w:t>
            </w:r>
          </w:p>
        </w:tc>
        <w:tc>
          <w:tcPr>
            <w:tcW w:w="735" w:type="dxa"/>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3.48</w:t>
            </w:r>
          </w:p>
        </w:tc>
        <w:tc>
          <w:tcPr>
            <w:tcW w:w="735" w:type="dxa"/>
            <w:tcBorders>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1.38</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r w:rsidRPr="00B23C89">
              <w:rPr>
                <w:rFonts w:ascii="Times New Roman" w:hAnsi="Times New Roman"/>
                <w:color w:val="000000"/>
                <w:sz w:val="18"/>
                <w:szCs w:val="18"/>
                <w:lang w:eastAsia="en-AU"/>
              </w:rPr>
              <w:t>42</w:t>
            </w:r>
          </w:p>
        </w:tc>
        <w:tc>
          <w:tcPr>
            <w:tcW w:w="850" w:type="dxa"/>
            <w:tcBorders>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color w:val="000000"/>
                <w:sz w:val="18"/>
                <w:szCs w:val="18"/>
                <w:lang w:eastAsia="en-AU"/>
              </w:rPr>
            </w:pPr>
            <w:r w:rsidRPr="00B23C89">
              <w:rPr>
                <w:rFonts w:ascii="Times New Roman" w:hAnsi="Times New Roman"/>
                <w:color w:val="000000"/>
                <w:sz w:val="18"/>
                <w:szCs w:val="18"/>
                <w:lang w:eastAsia="en-AU"/>
              </w:rPr>
              <w:t>omf</w:t>
            </w:r>
          </w:p>
        </w:tc>
        <w:tc>
          <w:tcPr>
            <w:tcW w:w="734"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2.08</w:t>
            </w:r>
          </w:p>
        </w:tc>
        <w:tc>
          <w:tcPr>
            <w:tcW w:w="735"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0.10</w:t>
            </w:r>
          </w:p>
        </w:tc>
        <w:tc>
          <w:tcPr>
            <w:tcW w:w="735" w:type="dxa"/>
            <w:tcBorders>
              <w:bottom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3.24</w:t>
            </w:r>
          </w:p>
        </w:tc>
        <w:tc>
          <w:tcPr>
            <w:tcW w:w="735" w:type="dxa"/>
            <w:tcBorders>
              <w:bottom w:val="single" w:sz="18" w:space="0" w:color="7F7F7F" w:themeColor="text1" w:themeTint="80"/>
              <w:right w:val="single" w:sz="18" w:space="0" w:color="7F7F7F" w:themeColor="text1" w:themeTint="80"/>
            </w:tcBorders>
            <w:vAlign w:val="bottom"/>
          </w:tcPr>
          <w:p w:rsidR="00770658" w:rsidRPr="00B23C89" w:rsidRDefault="00770658" w:rsidP="0072488F">
            <w:pPr>
              <w:spacing w:before="0" w:line="240" w:lineRule="auto"/>
              <w:jc w:val="right"/>
              <w:rPr>
                <w:rFonts w:ascii="Times New Roman" w:hAnsi="Times New Roman"/>
                <w:color w:val="000000"/>
                <w:sz w:val="18"/>
                <w:szCs w:val="18"/>
              </w:rPr>
            </w:pPr>
            <w:r w:rsidRPr="00B23C89">
              <w:rPr>
                <w:rFonts w:ascii="Times New Roman" w:hAnsi="Times New Roman"/>
                <w:color w:val="000000"/>
                <w:sz w:val="18"/>
                <w:szCs w:val="18"/>
              </w:rPr>
              <w:t>1.66</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r w:rsidR="00770658" w:rsidTr="0072488F">
        <w:tc>
          <w:tcPr>
            <w:tcW w:w="461"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850" w:type="dxa"/>
            <w:tcBorders>
              <w:top w:val="single" w:sz="18" w:space="0" w:color="7F7F7F" w:themeColor="text1" w:themeTint="80"/>
              <w:bottom w:val="single" w:sz="18" w:space="0" w:color="7F7F7F" w:themeColor="text1" w:themeTint="80"/>
            </w:tcBorders>
          </w:tcPr>
          <w:p w:rsidR="00770658" w:rsidRPr="00B23C89" w:rsidRDefault="00770658" w:rsidP="0072488F">
            <w:pPr>
              <w:autoSpaceDE w:val="0"/>
              <w:autoSpaceDN w:val="0"/>
              <w:adjustRightInd w:val="0"/>
              <w:spacing w:before="0" w:line="240" w:lineRule="auto"/>
              <w:ind w:left="0"/>
              <w:rPr>
                <w:rFonts w:ascii="Times New Roman" w:hAnsi="Times New Roman"/>
                <w:b/>
                <w:bCs/>
                <w:i/>
                <w:iCs/>
                <w:color w:val="000000"/>
                <w:sz w:val="18"/>
                <w:szCs w:val="18"/>
                <w:lang w:eastAsia="en-AU"/>
              </w:rPr>
            </w:pPr>
            <w:r w:rsidRPr="00B23C89">
              <w:rPr>
                <w:rFonts w:ascii="Times New Roman" w:hAnsi="Times New Roman"/>
                <w:b/>
                <w:bCs/>
                <w:i/>
                <w:iCs/>
                <w:color w:val="000000"/>
                <w:sz w:val="18"/>
                <w:szCs w:val="18"/>
                <w:lang w:eastAsia="en-AU"/>
              </w:rPr>
              <w:t>MANU</w:t>
            </w:r>
          </w:p>
        </w:tc>
        <w:tc>
          <w:tcPr>
            <w:tcW w:w="734"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2.41</w:t>
            </w:r>
          </w:p>
        </w:tc>
        <w:tc>
          <w:tcPr>
            <w:tcW w:w="735"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0.78</w:t>
            </w:r>
          </w:p>
        </w:tc>
        <w:tc>
          <w:tcPr>
            <w:tcW w:w="735" w:type="dxa"/>
            <w:tcBorders>
              <w:top w:val="single" w:sz="18" w:space="0" w:color="7F7F7F" w:themeColor="text1" w:themeTint="80"/>
              <w:bottom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3.05</w:t>
            </w:r>
          </w:p>
        </w:tc>
        <w:tc>
          <w:tcPr>
            <w:tcW w:w="735" w:type="dxa"/>
            <w:tcBorders>
              <w:top w:val="single" w:sz="18" w:space="0" w:color="7F7F7F" w:themeColor="text1" w:themeTint="80"/>
              <w:bottom w:val="single" w:sz="18" w:space="0" w:color="7F7F7F" w:themeColor="text1" w:themeTint="80"/>
              <w:right w:val="single" w:sz="18" w:space="0" w:color="7F7F7F" w:themeColor="text1" w:themeTint="80"/>
            </w:tcBorders>
            <w:vAlign w:val="center"/>
          </w:tcPr>
          <w:p w:rsidR="00770658" w:rsidRPr="00B23C89" w:rsidRDefault="00770658" w:rsidP="0072488F">
            <w:pPr>
              <w:spacing w:before="0" w:line="240" w:lineRule="auto"/>
              <w:jc w:val="right"/>
              <w:rPr>
                <w:rFonts w:ascii="Times New Roman" w:hAnsi="Times New Roman"/>
                <w:b/>
                <w:bCs/>
                <w:i/>
                <w:iCs/>
                <w:color w:val="000000"/>
                <w:sz w:val="18"/>
                <w:szCs w:val="18"/>
              </w:rPr>
            </w:pPr>
            <w:r w:rsidRPr="00B23C89">
              <w:rPr>
                <w:rFonts w:ascii="Times New Roman" w:hAnsi="Times New Roman"/>
                <w:b/>
                <w:bCs/>
                <w:i/>
                <w:iCs/>
                <w:color w:val="000000"/>
                <w:sz w:val="18"/>
                <w:szCs w:val="18"/>
              </w:rPr>
              <w:t>1.91</w:t>
            </w:r>
          </w:p>
        </w:tc>
        <w:tc>
          <w:tcPr>
            <w:tcW w:w="556" w:type="dxa"/>
            <w:tcBorders>
              <w:left w:val="single" w:sz="18" w:space="0" w:color="7F7F7F" w:themeColor="text1" w:themeTint="80"/>
            </w:tcBorders>
          </w:tcPr>
          <w:p w:rsidR="00770658" w:rsidRPr="00B23C89" w:rsidRDefault="00770658" w:rsidP="0072488F">
            <w:pPr>
              <w:autoSpaceDE w:val="0"/>
              <w:autoSpaceDN w:val="0"/>
              <w:adjustRightInd w:val="0"/>
              <w:spacing w:before="0" w:line="240" w:lineRule="auto"/>
              <w:ind w:left="0"/>
              <w:jc w:val="right"/>
              <w:rPr>
                <w:rFonts w:ascii="Times New Roman" w:hAnsi="Times New Roman"/>
                <w:b/>
                <w:bCs/>
                <w:i/>
                <w:iCs/>
                <w:color w:val="000000"/>
                <w:sz w:val="18"/>
                <w:szCs w:val="18"/>
                <w:lang w:eastAsia="en-AU"/>
              </w:rPr>
            </w:pPr>
          </w:p>
        </w:tc>
        <w:tc>
          <w:tcPr>
            <w:tcW w:w="957"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c>
          <w:tcPr>
            <w:tcW w:w="732" w:type="dxa"/>
          </w:tcPr>
          <w:p w:rsidR="00770658" w:rsidRPr="00B23C89" w:rsidRDefault="00770658" w:rsidP="0072488F">
            <w:pPr>
              <w:autoSpaceDE w:val="0"/>
              <w:autoSpaceDN w:val="0"/>
              <w:adjustRightInd w:val="0"/>
              <w:spacing w:before="0" w:line="240" w:lineRule="auto"/>
              <w:ind w:left="0"/>
              <w:jc w:val="right"/>
              <w:rPr>
                <w:rFonts w:ascii="Times New Roman" w:hAnsi="Times New Roman"/>
                <w:color w:val="000000"/>
                <w:sz w:val="18"/>
                <w:szCs w:val="18"/>
                <w:lang w:eastAsia="en-AU"/>
              </w:rPr>
            </w:pPr>
          </w:p>
        </w:tc>
      </w:tr>
    </w:tbl>
    <w:p w:rsidR="00770658" w:rsidRPr="0089331F" w:rsidRDefault="00770658" w:rsidP="00770658">
      <w:pPr>
        <w:ind w:left="0"/>
        <w:rPr>
          <w:rFonts w:ascii="Times New Roman" w:hAnsi="Times New Roman"/>
          <w:b/>
          <w:sz w:val="24"/>
          <w:szCs w:val="24"/>
        </w:rPr>
      </w:pPr>
      <w:r w:rsidRPr="0089331F">
        <w:rPr>
          <w:rFonts w:ascii="Times New Roman" w:hAnsi="Times New Roman"/>
          <w:b/>
          <w:sz w:val="28"/>
          <w:szCs w:val="28"/>
          <w:vertAlign w:val="superscript"/>
        </w:rPr>
        <w:t>*</w:t>
      </w:r>
      <w:r w:rsidRPr="0089331F">
        <w:rPr>
          <w:rFonts w:ascii="Times New Roman" w:hAnsi="Times New Roman"/>
          <w:b/>
          <w:sz w:val="28"/>
          <w:szCs w:val="28"/>
        </w:rPr>
        <w:t xml:space="preserve">  </w:t>
      </w:r>
      <w:r>
        <w:rPr>
          <w:rFonts w:ascii="Times New Roman" w:hAnsi="Times New Roman"/>
          <w:sz w:val="20"/>
          <w:szCs w:val="20"/>
        </w:rPr>
        <w:t xml:space="preserve">Full industry names and definitions are in Appendix 4.  </w:t>
      </w:r>
    </w:p>
    <w:p w:rsidR="00770658" w:rsidRDefault="00770658" w:rsidP="00770658">
      <w:pPr>
        <w:spacing w:before="0" w:line="240" w:lineRule="auto"/>
        <w:ind w:left="0"/>
        <w:rPr>
          <w:rFonts w:ascii="Times New Roman" w:hAnsi="Times New Roman"/>
          <w:b/>
          <w:sz w:val="24"/>
          <w:szCs w:val="24"/>
        </w:rPr>
      </w:pPr>
      <w:r>
        <w:rPr>
          <w:rFonts w:ascii="Times New Roman" w:hAnsi="Times New Roman"/>
          <w:b/>
          <w:sz w:val="24"/>
          <w:szCs w:val="24"/>
        </w:rPr>
        <w:br w:type="page"/>
      </w:r>
    </w:p>
    <w:p w:rsidR="00770658" w:rsidRPr="001148D2" w:rsidRDefault="00770658" w:rsidP="00770658">
      <w:pPr>
        <w:ind w:left="0"/>
        <w:jc w:val="center"/>
        <w:rPr>
          <w:rFonts w:ascii="Times New Roman" w:hAnsi="Times New Roman"/>
          <w:b/>
          <w:i/>
          <w:sz w:val="24"/>
          <w:szCs w:val="24"/>
        </w:rPr>
      </w:pPr>
      <w:r>
        <w:rPr>
          <w:rFonts w:ascii="Times New Roman" w:hAnsi="Times New Roman"/>
          <w:b/>
          <w:i/>
          <w:sz w:val="24"/>
          <w:szCs w:val="24"/>
        </w:rPr>
        <w:lastRenderedPageBreak/>
        <w:t>Table 7.2.  Macro results for Canada: average-annual per cent growth</w:t>
      </w:r>
    </w:p>
    <w:tbl>
      <w:tblPr>
        <w:tblStyle w:val="TableGrid"/>
        <w:tblW w:w="80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304"/>
        <w:gridCol w:w="1304"/>
        <w:gridCol w:w="1304"/>
        <w:gridCol w:w="1304"/>
      </w:tblGrid>
      <w:tr w:rsidR="00770658" w:rsidTr="0072488F">
        <w:tc>
          <w:tcPr>
            <w:tcW w:w="2830"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770658" w:rsidRPr="00520D40" w:rsidRDefault="00770658" w:rsidP="0072488F">
            <w:pPr>
              <w:spacing w:before="0"/>
              <w:ind w:left="29"/>
              <w:rPr>
                <w:rFonts w:ascii="Times New Roman" w:hAnsi="Times New Roman"/>
                <w:sz w:val="20"/>
                <w:szCs w:val="20"/>
                <w:lang w:eastAsia="en-AU"/>
              </w:rPr>
            </w:pPr>
          </w:p>
        </w:tc>
        <w:tc>
          <w:tcPr>
            <w:tcW w:w="1304" w:type="dxa"/>
            <w:tcBorders>
              <w:top w:val="single" w:sz="18" w:space="0" w:color="7F7F7F" w:themeColor="text1" w:themeTint="80"/>
              <w:left w:val="single" w:sz="18" w:space="0" w:color="7F7F7F" w:themeColor="text1" w:themeTint="80"/>
              <w:bottom w:val="single" w:sz="18" w:space="0" w:color="7F7F7F" w:themeColor="text1" w:themeTint="80"/>
            </w:tcBorders>
          </w:tcPr>
          <w:p w:rsidR="00770658" w:rsidRPr="00520D40" w:rsidRDefault="00770658" w:rsidP="0072488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2014-19</w:t>
            </w:r>
          </w:p>
        </w:tc>
        <w:tc>
          <w:tcPr>
            <w:tcW w:w="1304" w:type="dxa"/>
            <w:tcBorders>
              <w:top w:val="single" w:sz="18" w:space="0" w:color="7F7F7F" w:themeColor="text1" w:themeTint="80"/>
              <w:bottom w:val="single" w:sz="18" w:space="0" w:color="7F7F7F" w:themeColor="text1" w:themeTint="80"/>
            </w:tcBorders>
          </w:tcPr>
          <w:p w:rsidR="00770658" w:rsidRPr="00520D40" w:rsidRDefault="00770658" w:rsidP="0072488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2019-30</w:t>
            </w:r>
          </w:p>
        </w:tc>
        <w:tc>
          <w:tcPr>
            <w:tcW w:w="1304" w:type="dxa"/>
            <w:tcBorders>
              <w:top w:val="single" w:sz="18" w:space="0" w:color="7F7F7F" w:themeColor="text1" w:themeTint="80"/>
              <w:bottom w:val="single" w:sz="18" w:space="0" w:color="7F7F7F" w:themeColor="text1" w:themeTint="80"/>
            </w:tcBorders>
          </w:tcPr>
          <w:p w:rsidR="00770658" w:rsidRPr="00520D40" w:rsidRDefault="00770658" w:rsidP="0072488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2030-40</w:t>
            </w:r>
          </w:p>
        </w:tc>
        <w:tc>
          <w:tcPr>
            <w:tcW w:w="1304" w:type="dxa"/>
            <w:tcBorders>
              <w:top w:val="single" w:sz="18" w:space="0" w:color="7F7F7F" w:themeColor="text1" w:themeTint="80"/>
              <w:bottom w:val="single" w:sz="18" w:space="0" w:color="7F7F7F" w:themeColor="text1" w:themeTint="80"/>
            </w:tcBorders>
          </w:tcPr>
          <w:p w:rsidR="00770658" w:rsidRPr="00520D40" w:rsidRDefault="00770658" w:rsidP="0072488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2040-50</w:t>
            </w:r>
          </w:p>
        </w:tc>
      </w:tr>
      <w:tr w:rsidR="00770658" w:rsidTr="0072488F">
        <w:tc>
          <w:tcPr>
            <w:tcW w:w="2830" w:type="dxa"/>
            <w:tcBorders>
              <w:top w:val="single" w:sz="18" w:space="0" w:color="7F7F7F" w:themeColor="text1" w:themeTint="80"/>
              <w:right w:val="single" w:sz="18" w:space="0" w:color="7F7F7F" w:themeColor="text1" w:themeTint="80"/>
            </w:tcBorders>
            <w:vAlign w:val="bottom"/>
          </w:tcPr>
          <w:p w:rsidR="00770658" w:rsidRPr="00520D40" w:rsidRDefault="00770658" w:rsidP="0072488F">
            <w:pPr>
              <w:spacing w:before="0"/>
              <w:ind w:left="29"/>
              <w:rPr>
                <w:rFonts w:ascii="Times New Roman" w:hAnsi="Times New Roman"/>
                <w:color w:val="000000"/>
                <w:sz w:val="20"/>
                <w:szCs w:val="20"/>
              </w:rPr>
            </w:pPr>
            <w:r w:rsidRPr="00520D40">
              <w:rPr>
                <w:rFonts w:ascii="Times New Roman" w:hAnsi="Times New Roman"/>
                <w:color w:val="000000"/>
                <w:sz w:val="20"/>
                <w:szCs w:val="20"/>
              </w:rPr>
              <w:t>Real GDP</w:t>
            </w:r>
          </w:p>
        </w:tc>
        <w:tc>
          <w:tcPr>
            <w:tcW w:w="1304" w:type="dxa"/>
            <w:tcBorders>
              <w:top w:val="single" w:sz="18" w:space="0" w:color="7F7F7F" w:themeColor="text1" w:themeTint="80"/>
              <w:left w:val="single" w:sz="18" w:space="0" w:color="7F7F7F" w:themeColor="text1" w:themeTint="80"/>
            </w:tcBorders>
          </w:tcPr>
          <w:p w:rsidR="00770658" w:rsidRPr="009E0F6C" w:rsidRDefault="00770658" w:rsidP="0072488F">
            <w:pPr>
              <w:tabs>
                <w:tab w:val="decimal" w:pos="526"/>
              </w:tabs>
              <w:spacing w:before="0" w:line="240" w:lineRule="auto"/>
              <w:ind w:left="0"/>
              <w:rPr>
                <w:rFonts w:ascii="Times New Roman" w:hAnsi="Times New Roman"/>
                <w:color w:val="000000"/>
                <w:sz w:val="18"/>
                <w:szCs w:val="18"/>
                <w:lang w:eastAsia="en-AU"/>
              </w:rPr>
            </w:pPr>
            <w:r w:rsidRPr="009E0F6C">
              <w:rPr>
                <w:rFonts w:ascii="Times New Roman" w:hAnsi="Times New Roman"/>
                <w:color w:val="000000"/>
                <w:sz w:val="18"/>
                <w:szCs w:val="18"/>
              </w:rPr>
              <w:t>1.88</w:t>
            </w:r>
          </w:p>
        </w:tc>
        <w:tc>
          <w:tcPr>
            <w:tcW w:w="1304" w:type="dxa"/>
            <w:tcBorders>
              <w:top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1.53</w:t>
            </w:r>
          </w:p>
        </w:tc>
        <w:tc>
          <w:tcPr>
            <w:tcW w:w="1304" w:type="dxa"/>
            <w:tcBorders>
              <w:top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2.09</w:t>
            </w:r>
          </w:p>
        </w:tc>
        <w:tc>
          <w:tcPr>
            <w:tcW w:w="1304" w:type="dxa"/>
            <w:tcBorders>
              <w:top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1.81</w:t>
            </w:r>
          </w:p>
        </w:tc>
      </w:tr>
      <w:tr w:rsidR="00770658" w:rsidTr="0072488F">
        <w:tc>
          <w:tcPr>
            <w:tcW w:w="2830" w:type="dxa"/>
            <w:tcBorders>
              <w:right w:val="single" w:sz="18" w:space="0" w:color="7F7F7F" w:themeColor="text1" w:themeTint="80"/>
            </w:tcBorders>
            <w:vAlign w:val="bottom"/>
          </w:tcPr>
          <w:p w:rsidR="00770658" w:rsidRPr="00520D40" w:rsidRDefault="00770658" w:rsidP="0072488F">
            <w:pPr>
              <w:spacing w:before="0"/>
              <w:ind w:left="28"/>
              <w:rPr>
                <w:rFonts w:ascii="Times New Roman" w:hAnsi="Times New Roman"/>
                <w:color w:val="000000"/>
                <w:sz w:val="20"/>
                <w:szCs w:val="20"/>
              </w:rPr>
            </w:pPr>
            <w:r w:rsidRPr="00520D40">
              <w:rPr>
                <w:rFonts w:ascii="Times New Roman" w:hAnsi="Times New Roman"/>
                <w:color w:val="000000"/>
                <w:sz w:val="20"/>
                <w:szCs w:val="20"/>
              </w:rPr>
              <w:t>Real priv</w:t>
            </w:r>
            <w:r>
              <w:rPr>
                <w:rFonts w:ascii="Times New Roman" w:hAnsi="Times New Roman"/>
                <w:color w:val="000000"/>
                <w:sz w:val="20"/>
                <w:szCs w:val="20"/>
              </w:rPr>
              <w:t>ate</w:t>
            </w:r>
            <w:r w:rsidRPr="00520D40">
              <w:rPr>
                <w:rFonts w:ascii="Times New Roman" w:hAnsi="Times New Roman"/>
                <w:color w:val="000000"/>
                <w:sz w:val="20"/>
                <w:szCs w:val="20"/>
              </w:rPr>
              <w:t xml:space="preserve"> cons</w:t>
            </w:r>
            <w:r>
              <w:rPr>
                <w:rFonts w:ascii="Times New Roman" w:hAnsi="Times New Roman"/>
                <w:color w:val="000000"/>
                <w:sz w:val="20"/>
                <w:szCs w:val="20"/>
              </w:rPr>
              <w:t>umption</w:t>
            </w:r>
          </w:p>
        </w:tc>
        <w:tc>
          <w:tcPr>
            <w:tcW w:w="1304" w:type="dxa"/>
            <w:tcBorders>
              <w:left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2.46</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2.13</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1.84</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1.84</w:t>
            </w:r>
          </w:p>
        </w:tc>
      </w:tr>
      <w:tr w:rsidR="00770658" w:rsidTr="0072488F">
        <w:tc>
          <w:tcPr>
            <w:tcW w:w="2830" w:type="dxa"/>
            <w:tcBorders>
              <w:right w:val="single" w:sz="18" w:space="0" w:color="7F7F7F" w:themeColor="text1" w:themeTint="80"/>
            </w:tcBorders>
            <w:vAlign w:val="bottom"/>
          </w:tcPr>
          <w:p w:rsidR="00770658" w:rsidRPr="00520D40" w:rsidRDefault="00770658" w:rsidP="0072488F">
            <w:pPr>
              <w:spacing w:before="0"/>
              <w:ind w:left="29"/>
              <w:rPr>
                <w:rFonts w:ascii="Times New Roman" w:hAnsi="Times New Roman"/>
                <w:color w:val="000000"/>
                <w:sz w:val="20"/>
                <w:szCs w:val="20"/>
              </w:rPr>
            </w:pPr>
            <w:r w:rsidRPr="00520D40">
              <w:rPr>
                <w:rFonts w:ascii="Times New Roman" w:hAnsi="Times New Roman"/>
                <w:color w:val="000000"/>
                <w:sz w:val="20"/>
                <w:szCs w:val="20"/>
              </w:rPr>
              <w:t>Real gov</w:t>
            </w:r>
            <w:r>
              <w:rPr>
                <w:rFonts w:ascii="Times New Roman" w:hAnsi="Times New Roman"/>
                <w:color w:val="000000"/>
                <w:sz w:val="20"/>
                <w:szCs w:val="20"/>
              </w:rPr>
              <w:t xml:space="preserve">ernment </w:t>
            </w:r>
            <w:r w:rsidRPr="00520D40">
              <w:rPr>
                <w:rFonts w:ascii="Times New Roman" w:hAnsi="Times New Roman"/>
                <w:color w:val="000000"/>
                <w:sz w:val="20"/>
                <w:szCs w:val="20"/>
              </w:rPr>
              <w:t>cons</w:t>
            </w:r>
            <w:r>
              <w:rPr>
                <w:rFonts w:ascii="Times New Roman" w:hAnsi="Times New Roman"/>
                <w:color w:val="000000"/>
                <w:sz w:val="20"/>
                <w:szCs w:val="20"/>
              </w:rPr>
              <w:t>umption</w:t>
            </w:r>
          </w:p>
        </w:tc>
        <w:tc>
          <w:tcPr>
            <w:tcW w:w="1304" w:type="dxa"/>
            <w:tcBorders>
              <w:left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1.89</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2.13</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1.84</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1.84</w:t>
            </w:r>
          </w:p>
        </w:tc>
      </w:tr>
      <w:tr w:rsidR="00770658" w:rsidTr="0072488F">
        <w:tc>
          <w:tcPr>
            <w:tcW w:w="2830" w:type="dxa"/>
            <w:tcBorders>
              <w:right w:val="single" w:sz="18" w:space="0" w:color="7F7F7F" w:themeColor="text1" w:themeTint="80"/>
            </w:tcBorders>
            <w:vAlign w:val="bottom"/>
          </w:tcPr>
          <w:p w:rsidR="00770658" w:rsidRPr="00520D40" w:rsidRDefault="00770658" w:rsidP="0072488F">
            <w:pPr>
              <w:spacing w:before="0"/>
              <w:ind w:left="29"/>
              <w:rPr>
                <w:rFonts w:ascii="Times New Roman" w:hAnsi="Times New Roman"/>
                <w:color w:val="000000"/>
                <w:sz w:val="20"/>
                <w:szCs w:val="20"/>
              </w:rPr>
            </w:pPr>
            <w:r w:rsidRPr="00520D40">
              <w:rPr>
                <w:rFonts w:ascii="Times New Roman" w:hAnsi="Times New Roman"/>
                <w:color w:val="000000"/>
                <w:sz w:val="20"/>
                <w:szCs w:val="20"/>
              </w:rPr>
              <w:t>Real investment</w:t>
            </w:r>
          </w:p>
        </w:tc>
        <w:tc>
          <w:tcPr>
            <w:tcW w:w="1304" w:type="dxa"/>
            <w:tcBorders>
              <w:left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-0.55</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0.76</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1.59</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1.59</w:t>
            </w:r>
          </w:p>
        </w:tc>
      </w:tr>
      <w:tr w:rsidR="00770658" w:rsidTr="0072488F">
        <w:tc>
          <w:tcPr>
            <w:tcW w:w="2830" w:type="dxa"/>
            <w:tcBorders>
              <w:right w:val="single" w:sz="18" w:space="0" w:color="7F7F7F" w:themeColor="text1" w:themeTint="80"/>
            </w:tcBorders>
            <w:vAlign w:val="bottom"/>
          </w:tcPr>
          <w:p w:rsidR="00770658" w:rsidRPr="00520D40" w:rsidRDefault="00770658" w:rsidP="0072488F">
            <w:pPr>
              <w:spacing w:before="0"/>
              <w:ind w:left="29"/>
              <w:rPr>
                <w:rFonts w:ascii="Times New Roman" w:hAnsi="Times New Roman"/>
                <w:color w:val="000000"/>
                <w:sz w:val="20"/>
                <w:szCs w:val="20"/>
              </w:rPr>
            </w:pPr>
            <w:r w:rsidRPr="00520D40">
              <w:rPr>
                <w:rFonts w:ascii="Times New Roman" w:hAnsi="Times New Roman"/>
                <w:color w:val="000000"/>
                <w:sz w:val="20"/>
                <w:szCs w:val="20"/>
              </w:rPr>
              <w:t>Export volume</w:t>
            </w:r>
          </w:p>
        </w:tc>
        <w:tc>
          <w:tcPr>
            <w:tcW w:w="1304" w:type="dxa"/>
            <w:tcBorders>
              <w:left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2.63</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0.90</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3.02</w:t>
            </w:r>
          </w:p>
        </w:tc>
        <w:tc>
          <w:tcPr>
            <w:tcW w:w="1304" w:type="dxa"/>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1.89</w:t>
            </w:r>
          </w:p>
        </w:tc>
      </w:tr>
      <w:tr w:rsidR="00770658" w:rsidTr="0072488F">
        <w:tc>
          <w:tcPr>
            <w:tcW w:w="2830" w:type="dxa"/>
            <w:tcBorders>
              <w:bottom w:val="single" w:sz="18" w:space="0" w:color="7F7F7F" w:themeColor="text1" w:themeTint="80"/>
              <w:right w:val="single" w:sz="18" w:space="0" w:color="7F7F7F" w:themeColor="text1" w:themeTint="80"/>
            </w:tcBorders>
            <w:vAlign w:val="bottom"/>
          </w:tcPr>
          <w:p w:rsidR="00770658" w:rsidRPr="00520D40" w:rsidRDefault="00770658" w:rsidP="0072488F">
            <w:pPr>
              <w:spacing w:before="0"/>
              <w:ind w:left="29"/>
              <w:rPr>
                <w:rFonts w:ascii="Times New Roman" w:hAnsi="Times New Roman"/>
                <w:color w:val="000000"/>
                <w:sz w:val="20"/>
                <w:szCs w:val="20"/>
              </w:rPr>
            </w:pPr>
            <w:r w:rsidRPr="00520D40">
              <w:rPr>
                <w:rFonts w:ascii="Times New Roman" w:hAnsi="Times New Roman"/>
                <w:color w:val="000000"/>
                <w:sz w:val="20"/>
                <w:szCs w:val="20"/>
              </w:rPr>
              <w:t>Import volume</w:t>
            </w:r>
          </w:p>
        </w:tc>
        <w:tc>
          <w:tcPr>
            <w:tcW w:w="1304" w:type="dxa"/>
            <w:tcBorders>
              <w:left w:val="single" w:sz="18" w:space="0" w:color="7F7F7F" w:themeColor="text1" w:themeTint="80"/>
              <w:bottom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1.81</w:t>
            </w:r>
          </w:p>
        </w:tc>
        <w:tc>
          <w:tcPr>
            <w:tcW w:w="1304" w:type="dxa"/>
            <w:tcBorders>
              <w:bottom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1.87</w:t>
            </w:r>
          </w:p>
        </w:tc>
        <w:tc>
          <w:tcPr>
            <w:tcW w:w="1304" w:type="dxa"/>
            <w:tcBorders>
              <w:bottom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2.06</w:t>
            </w:r>
          </w:p>
        </w:tc>
        <w:tc>
          <w:tcPr>
            <w:tcW w:w="1304" w:type="dxa"/>
            <w:tcBorders>
              <w:bottom w:val="single" w:sz="18" w:space="0" w:color="7F7F7F" w:themeColor="text1" w:themeTint="80"/>
            </w:tcBorders>
          </w:tcPr>
          <w:p w:rsidR="00770658" w:rsidRPr="009E0F6C" w:rsidRDefault="00770658" w:rsidP="0072488F">
            <w:pPr>
              <w:tabs>
                <w:tab w:val="decimal" w:pos="526"/>
              </w:tabs>
              <w:spacing w:before="0" w:line="240" w:lineRule="auto"/>
              <w:rPr>
                <w:rFonts w:ascii="Times New Roman" w:hAnsi="Times New Roman"/>
                <w:color w:val="000000"/>
                <w:sz w:val="18"/>
                <w:szCs w:val="18"/>
              </w:rPr>
            </w:pPr>
            <w:r w:rsidRPr="009E0F6C">
              <w:rPr>
                <w:rFonts w:ascii="Times New Roman" w:hAnsi="Times New Roman"/>
                <w:color w:val="000000"/>
                <w:sz w:val="18"/>
                <w:szCs w:val="18"/>
              </w:rPr>
              <w:t>1.85</w:t>
            </w:r>
          </w:p>
        </w:tc>
      </w:tr>
    </w:tbl>
    <w:p w:rsidR="00770658" w:rsidRDefault="00770658" w:rsidP="00770658">
      <w:pPr>
        <w:ind w:left="0"/>
        <w:jc w:val="center"/>
        <w:rPr>
          <w:rFonts w:ascii="Times New Roman" w:hAnsi="Times New Roman"/>
          <w:b/>
          <w:i/>
          <w:sz w:val="24"/>
          <w:szCs w:val="24"/>
        </w:rPr>
      </w:pPr>
    </w:p>
    <w:p w:rsidR="0081677A" w:rsidRDefault="00DA283D" w:rsidP="00754172">
      <w:pPr>
        <w:ind w:left="0"/>
        <w:rPr>
          <w:rFonts w:ascii="Times New Roman" w:hAnsi="Times New Roman"/>
          <w:sz w:val="24"/>
          <w:szCs w:val="24"/>
        </w:rPr>
      </w:pPr>
      <w:r>
        <w:rPr>
          <w:rFonts w:ascii="Times New Roman" w:hAnsi="Times New Roman"/>
          <w:sz w:val="24"/>
          <w:szCs w:val="24"/>
        </w:rPr>
        <w:t xml:space="preserve">However, movements in macro variables alone can give us only a partial explanation </w:t>
      </w:r>
      <w:r w:rsidR="00ED45E4">
        <w:rPr>
          <w:rFonts w:ascii="Times New Roman" w:hAnsi="Times New Roman"/>
          <w:sz w:val="24"/>
          <w:szCs w:val="24"/>
        </w:rPr>
        <w:t>o</w:t>
      </w:r>
      <w:r>
        <w:rPr>
          <w:rFonts w:ascii="Times New Roman" w:hAnsi="Times New Roman"/>
          <w:sz w:val="24"/>
          <w:szCs w:val="24"/>
        </w:rPr>
        <w:t>f the industry and sectoral results.  For example</w:t>
      </w:r>
      <w:r w:rsidR="00D67320">
        <w:rPr>
          <w:rFonts w:ascii="Times New Roman" w:hAnsi="Times New Roman"/>
          <w:sz w:val="24"/>
          <w:szCs w:val="24"/>
        </w:rPr>
        <w:t>,</w:t>
      </w:r>
      <w:r>
        <w:rPr>
          <w:rFonts w:ascii="Times New Roman" w:hAnsi="Times New Roman"/>
          <w:sz w:val="24"/>
          <w:szCs w:val="24"/>
        </w:rPr>
        <w:t xml:space="preserve"> why does the consumption-oriented housing services industry (ind 57) grow quick</w:t>
      </w:r>
      <w:r w:rsidR="00D67320">
        <w:rPr>
          <w:rFonts w:ascii="Times New Roman" w:hAnsi="Times New Roman"/>
          <w:sz w:val="24"/>
          <w:szCs w:val="24"/>
        </w:rPr>
        <w:t>er</w:t>
      </w:r>
      <w:r>
        <w:rPr>
          <w:rFonts w:ascii="Times New Roman" w:hAnsi="Times New Roman"/>
          <w:sz w:val="24"/>
          <w:szCs w:val="24"/>
        </w:rPr>
        <w:t xml:space="preserve"> </w:t>
      </w:r>
      <w:r w:rsidR="00ED45E4">
        <w:rPr>
          <w:rFonts w:ascii="Times New Roman" w:hAnsi="Times New Roman"/>
          <w:sz w:val="24"/>
          <w:szCs w:val="24"/>
        </w:rPr>
        <w:t xml:space="preserve">in every period </w:t>
      </w:r>
      <w:r>
        <w:rPr>
          <w:rFonts w:ascii="Times New Roman" w:hAnsi="Times New Roman"/>
          <w:sz w:val="24"/>
          <w:szCs w:val="24"/>
        </w:rPr>
        <w:t xml:space="preserve">than </w:t>
      </w:r>
      <w:r w:rsidR="00ED45E4">
        <w:rPr>
          <w:rFonts w:ascii="Times New Roman" w:hAnsi="Times New Roman"/>
          <w:sz w:val="24"/>
          <w:szCs w:val="24"/>
        </w:rPr>
        <w:t xml:space="preserve">aggregate real </w:t>
      </w:r>
      <w:r>
        <w:rPr>
          <w:rFonts w:ascii="Times New Roman" w:hAnsi="Times New Roman"/>
          <w:sz w:val="24"/>
          <w:szCs w:val="24"/>
        </w:rPr>
        <w:t>private consumption</w:t>
      </w:r>
      <w:r w:rsidR="00D67320">
        <w:rPr>
          <w:rFonts w:ascii="Times New Roman" w:hAnsi="Times New Roman"/>
          <w:sz w:val="24"/>
          <w:szCs w:val="24"/>
        </w:rPr>
        <w:t xml:space="preserve">?  Why does the investment-oriented construction sector outperform </w:t>
      </w:r>
      <w:r w:rsidR="00ED45E4">
        <w:rPr>
          <w:rFonts w:ascii="Times New Roman" w:hAnsi="Times New Roman"/>
          <w:sz w:val="24"/>
          <w:szCs w:val="24"/>
        </w:rPr>
        <w:t xml:space="preserve">aggregate </w:t>
      </w:r>
      <w:r w:rsidR="00D67320">
        <w:rPr>
          <w:rFonts w:ascii="Times New Roman" w:hAnsi="Times New Roman"/>
          <w:sz w:val="24"/>
          <w:szCs w:val="24"/>
        </w:rPr>
        <w:t>real investment in every period?  What determines the very strong growth rate (7.33 per cent) for leather products (lea, ind 29) in 2014-19?</w:t>
      </w:r>
      <w:r w:rsidR="00205BFF">
        <w:rPr>
          <w:rFonts w:ascii="Times New Roman" w:hAnsi="Times New Roman"/>
          <w:sz w:val="24"/>
          <w:szCs w:val="24"/>
        </w:rPr>
        <w:t xml:space="preserve">  </w:t>
      </w:r>
    </w:p>
    <w:p w:rsidR="00B932FF" w:rsidRDefault="00B932FF" w:rsidP="00754172">
      <w:pPr>
        <w:ind w:left="0"/>
        <w:rPr>
          <w:rFonts w:ascii="Times New Roman" w:hAnsi="Times New Roman"/>
          <w:sz w:val="24"/>
          <w:szCs w:val="24"/>
        </w:rPr>
      </w:pPr>
      <w:r>
        <w:rPr>
          <w:rFonts w:ascii="Times New Roman" w:hAnsi="Times New Roman"/>
          <w:sz w:val="24"/>
          <w:szCs w:val="24"/>
        </w:rPr>
        <w:t>To answer quantitative questions like these and to explore the industry results systematically, we need a framework. In the next subsection, we develop such a framework.  Then in subsection 7.</w:t>
      </w:r>
      <w:r w:rsidR="00ED45E4">
        <w:rPr>
          <w:rFonts w:ascii="Times New Roman" w:hAnsi="Times New Roman"/>
          <w:sz w:val="24"/>
          <w:szCs w:val="24"/>
        </w:rPr>
        <w:t>2</w:t>
      </w:r>
      <w:r>
        <w:rPr>
          <w:rFonts w:ascii="Times New Roman" w:hAnsi="Times New Roman"/>
          <w:sz w:val="24"/>
          <w:szCs w:val="24"/>
        </w:rPr>
        <w:t xml:space="preserve"> we apply the framework to the Canadian results.  </w:t>
      </w:r>
    </w:p>
    <w:p w:rsidR="007D55F2" w:rsidRPr="007D55F2" w:rsidRDefault="007D55F2" w:rsidP="00754172">
      <w:pPr>
        <w:ind w:left="0"/>
        <w:rPr>
          <w:rFonts w:ascii="Times New Roman" w:hAnsi="Times New Roman"/>
          <w:b/>
          <w:i/>
          <w:sz w:val="24"/>
          <w:szCs w:val="24"/>
        </w:rPr>
      </w:pPr>
      <w:r>
        <w:rPr>
          <w:rFonts w:ascii="Times New Roman" w:hAnsi="Times New Roman"/>
          <w:b/>
          <w:i/>
          <w:sz w:val="24"/>
          <w:szCs w:val="24"/>
        </w:rPr>
        <w:t>7.1.  A decomposition framework for interpreting industry results</w:t>
      </w:r>
    </w:p>
    <w:p w:rsidR="0009697F" w:rsidRDefault="0009697F" w:rsidP="00754172">
      <w:pPr>
        <w:ind w:left="0"/>
        <w:rPr>
          <w:rFonts w:ascii="Times New Roman" w:hAnsi="Times New Roman"/>
          <w:sz w:val="24"/>
          <w:szCs w:val="24"/>
        </w:rPr>
      </w:pPr>
      <w:r>
        <w:rPr>
          <w:rFonts w:ascii="Times New Roman" w:hAnsi="Times New Roman"/>
          <w:sz w:val="24"/>
          <w:szCs w:val="24"/>
        </w:rPr>
        <w:t xml:space="preserve">The principal question addressed by our framework is: why </w:t>
      </w:r>
      <w:r w:rsidR="008B25D8">
        <w:rPr>
          <w:rFonts w:ascii="Times New Roman" w:hAnsi="Times New Roman"/>
          <w:sz w:val="24"/>
          <w:szCs w:val="24"/>
        </w:rPr>
        <w:t xml:space="preserve">is the simulated growth in output of industry j fast or slow relative to growth in GDP?  We break the answer into two parts:  the </w:t>
      </w:r>
      <w:r w:rsidR="008B25D8" w:rsidRPr="008B25D8">
        <w:rPr>
          <w:rFonts w:ascii="Times New Roman" w:hAnsi="Times New Roman"/>
          <w:i/>
          <w:sz w:val="24"/>
          <w:szCs w:val="24"/>
        </w:rPr>
        <w:t>sales-mix</w:t>
      </w:r>
      <w:r w:rsidR="008B25D8">
        <w:rPr>
          <w:rFonts w:ascii="Times New Roman" w:hAnsi="Times New Roman"/>
          <w:sz w:val="24"/>
          <w:szCs w:val="24"/>
        </w:rPr>
        <w:t xml:space="preserve"> effect (SME) and the </w:t>
      </w:r>
      <w:r w:rsidR="008B25D8">
        <w:rPr>
          <w:rFonts w:ascii="Times New Roman" w:hAnsi="Times New Roman"/>
          <w:i/>
          <w:sz w:val="24"/>
          <w:szCs w:val="24"/>
        </w:rPr>
        <w:t xml:space="preserve">industry-performance </w:t>
      </w:r>
      <w:r w:rsidR="008B25D8" w:rsidRPr="008B25D8">
        <w:rPr>
          <w:rFonts w:ascii="Times New Roman" w:hAnsi="Times New Roman"/>
          <w:sz w:val="24"/>
          <w:szCs w:val="24"/>
        </w:rPr>
        <w:t xml:space="preserve">effect </w:t>
      </w:r>
      <w:r w:rsidR="008B25D8">
        <w:rPr>
          <w:rFonts w:ascii="Times New Roman" w:hAnsi="Times New Roman"/>
          <w:sz w:val="24"/>
          <w:szCs w:val="24"/>
        </w:rPr>
        <w:t xml:space="preserve">(IPE).  These two effects are computed for industry j in region </w:t>
      </w:r>
      <w:r w:rsidR="00ED45E4">
        <w:rPr>
          <w:rFonts w:ascii="Times New Roman" w:hAnsi="Times New Roman"/>
          <w:sz w:val="24"/>
          <w:szCs w:val="24"/>
        </w:rPr>
        <w:t>r</w:t>
      </w:r>
      <w:r w:rsidR="008B25D8">
        <w:rPr>
          <w:rFonts w:ascii="Times New Roman" w:hAnsi="Times New Roman"/>
          <w:sz w:val="24"/>
          <w:szCs w:val="24"/>
        </w:rPr>
        <w:t xml:space="preserve"> as follows:</w:t>
      </w:r>
    </w:p>
    <w:p w:rsidR="008B25D8" w:rsidRDefault="008B25D8" w:rsidP="00754172">
      <w:pPr>
        <w:tabs>
          <w:tab w:val="left" w:pos="1134"/>
          <w:tab w:val="right" w:pos="8931"/>
        </w:tabs>
        <w:ind w:left="0"/>
        <w:rPr>
          <w:rFonts w:ascii="Times New Roman" w:hAnsi="Times New Roman"/>
          <w:sz w:val="24"/>
          <w:szCs w:val="24"/>
        </w:rPr>
      </w:pPr>
      <w:r>
        <w:rPr>
          <w:rFonts w:ascii="Times New Roman" w:hAnsi="Times New Roman"/>
          <w:sz w:val="24"/>
          <w:szCs w:val="24"/>
        </w:rPr>
        <w:tab/>
      </w:r>
      <w:r w:rsidRPr="008B25D8">
        <w:rPr>
          <w:rFonts w:ascii="Times New Roman" w:hAnsi="Times New Roman"/>
          <w:position w:val="-26"/>
          <w:sz w:val="24"/>
          <w:szCs w:val="24"/>
        </w:rPr>
        <w:object w:dxaOrig="3720" w:dyaOrig="520">
          <v:shape id="_x0000_i1054" type="#_x0000_t75" style="width:186pt;height:26.25pt" o:ole="">
            <v:imagedata r:id="rId72" o:title=""/>
          </v:shape>
          <o:OLEObject Type="Embed" ProgID="Equation.DSMT4" ShapeID="_x0000_i1054" DrawAspect="Content" ObjectID="_1774671675" r:id="rId73"/>
        </w:object>
      </w:r>
      <w:r>
        <w:rPr>
          <w:rFonts w:ascii="Times New Roman" w:hAnsi="Times New Roman"/>
          <w:sz w:val="24"/>
          <w:szCs w:val="24"/>
        </w:rPr>
        <w:t xml:space="preserve"> </w:t>
      </w:r>
      <w:r w:rsidR="008047EB">
        <w:rPr>
          <w:rFonts w:ascii="Times New Roman" w:hAnsi="Times New Roman"/>
          <w:sz w:val="24"/>
          <w:szCs w:val="24"/>
        </w:rPr>
        <w:tab/>
        <w:t>(7.1)</w:t>
      </w:r>
    </w:p>
    <w:p w:rsidR="008B25D8" w:rsidRDefault="008B25D8" w:rsidP="00754172">
      <w:pPr>
        <w:ind w:left="0"/>
        <w:rPr>
          <w:rFonts w:ascii="Times New Roman" w:hAnsi="Times New Roman"/>
          <w:sz w:val="24"/>
          <w:szCs w:val="24"/>
        </w:rPr>
      </w:pPr>
      <w:r>
        <w:rPr>
          <w:rFonts w:ascii="Times New Roman" w:hAnsi="Times New Roman"/>
          <w:sz w:val="24"/>
          <w:szCs w:val="24"/>
        </w:rPr>
        <w:t>and</w:t>
      </w:r>
    </w:p>
    <w:p w:rsidR="008047EB" w:rsidRDefault="008B25D8" w:rsidP="00754172">
      <w:pPr>
        <w:tabs>
          <w:tab w:val="left" w:pos="1134"/>
          <w:tab w:val="right" w:pos="8931"/>
        </w:tabs>
        <w:ind w:left="0"/>
        <w:rPr>
          <w:rFonts w:ascii="Times New Roman" w:hAnsi="Times New Roman"/>
          <w:sz w:val="24"/>
          <w:szCs w:val="24"/>
        </w:rPr>
      </w:pPr>
      <w:r>
        <w:rPr>
          <w:rFonts w:ascii="Times New Roman" w:hAnsi="Times New Roman"/>
          <w:sz w:val="24"/>
          <w:szCs w:val="24"/>
        </w:rPr>
        <w:tab/>
      </w:r>
      <w:r w:rsidR="008047EB" w:rsidRPr="008B25D8">
        <w:rPr>
          <w:rFonts w:ascii="Times New Roman" w:hAnsi="Times New Roman"/>
          <w:position w:val="-26"/>
          <w:sz w:val="24"/>
          <w:szCs w:val="24"/>
        </w:rPr>
        <w:object w:dxaOrig="3760" w:dyaOrig="520">
          <v:shape id="_x0000_i1055" type="#_x0000_t75" style="width:186.75pt;height:26.25pt" o:ole="">
            <v:imagedata r:id="rId74" o:title=""/>
          </v:shape>
          <o:OLEObject Type="Embed" ProgID="Equation.DSMT4" ShapeID="_x0000_i1055" DrawAspect="Content" ObjectID="_1774671676" r:id="rId75"/>
        </w:object>
      </w:r>
      <w:r w:rsidR="008047EB">
        <w:rPr>
          <w:rFonts w:ascii="Times New Roman" w:hAnsi="Times New Roman"/>
          <w:sz w:val="24"/>
          <w:szCs w:val="24"/>
        </w:rPr>
        <w:tab/>
        <w:t>(7.2)</w:t>
      </w:r>
    </w:p>
    <w:p w:rsidR="008B25D8" w:rsidRDefault="008B25D8" w:rsidP="00754172">
      <w:pPr>
        <w:ind w:left="0"/>
        <w:rPr>
          <w:rFonts w:ascii="Times New Roman" w:hAnsi="Times New Roman"/>
          <w:sz w:val="24"/>
          <w:szCs w:val="24"/>
        </w:rPr>
      </w:pPr>
      <w:r>
        <w:rPr>
          <w:rFonts w:ascii="Times New Roman" w:hAnsi="Times New Roman"/>
          <w:sz w:val="24"/>
          <w:szCs w:val="24"/>
        </w:rPr>
        <w:t>In these equations:</w:t>
      </w:r>
    </w:p>
    <w:p w:rsidR="008B25D8" w:rsidRDefault="008B25D8" w:rsidP="00754172">
      <w:pPr>
        <w:ind w:left="567"/>
        <w:rPr>
          <w:rFonts w:ascii="Times New Roman" w:hAnsi="Times New Roman"/>
          <w:sz w:val="24"/>
          <w:szCs w:val="24"/>
        </w:rPr>
      </w:pPr>
      <w:r>
        <w:rPr>
          <w:rFonts w:ascii="Times New Roman" w:hAnsi="Times New Roman"/>
          <w:sz w:val="24"/>
          <w:szCs w:val="24"/>
        </w:rPr>
        <w:t>f denotes sales categories.  These are intermediate sales to industry 1, industry 2, …, industry 57, and sales to households, government, investment and export</w:t>
      </w:r>
      <w:r w:rsidR="0043113F">
        <w:rPr>
          <w:rFonts w:ascii="Times New Roman" w:hAnsi="Times New Roman"/>
          <w:sz w:val="24"/>
          <w:szCs w:val="24"/>
        </w:rPr>
        <w:t xml:space="preserve">.  </w:t>
      </w:r>
      <w:r>
        <w:rPr>
          <w:rFonts w:ascii="Times New Roman" w:hAnsi="Times New Roman"/>
          <w:sz w:val="24"/>
          <w:szCs w:val="24"/>
        </w:rPr>
        <w:t xml:space="preserve">  </w:t>
      </w:r>
    </w:p>
    <w:p w:rsidR="008B25D8" w:rsidRDefault="008B25D8" w:rsidP="00754172">
      <w:pPr>
        <w:ind w:left="567"/>
        <w:rPr>
          <w:rFonts w:ascii="Times New Roman" w:hAnsi="Times New Roman"/>
          <w:sz w:val="24"/>
          <w:szCs w:val="24"/>
        </w:rPr>
      </w:pPr>
      <w:r>
        <w:rPr>
          <w:rFonts w:ascii="Times New Roman" w:hAnsi="Times New Roman"/>
          <w:sz w:val="24"/>
          <w:szCs w:val="24"/>
        </w:rPr>
        <w:t>S</w:t>
      </w:r>
      <w:r>
        <w:rPr>
          <w:rFonts w:ascii="Times New Roman" w:hAnsi="Times New Roman"/>
          <w:sz w:val="24"/>
          <w:szCs w:val="24"/>
          <w:vertAlign w:val="subscript"/>
        </w:rPr>
        <w:t>f</w:t>
      </w:r>
      <w:r>
        <w:rPr>
          <w:rFonts w:ascii="Times New Roman" w:hAnsi="Times New Roman"/>
          <w:sz w:val="24"/>
          <w:szCs w:val="24"/>
        </w:rPr>
        <w:t>(j</w:t>
      </w:r>
      <w:r w:rsidR="0043113F">
        <w:rPr>
          <w:rFonts w:ascii="Times New Roman" w:hAnsi="Times New Roman"/>
          <w:sz w:val="24"/>
          <w:szCs w:val="24"/>
        </w:rPr>
        <w:t>,r</w:t>
      </w:r>
      <w:r>
        <w:rPr>
          <w:rFonts w:ascii="Times New Roman" w:hAnsi="Times New Roman"/>
          <w:sz w:val="24"/>
          <w:szCs w:val="24"/>
        </w:rPr>
        <w:t xml:space="preserve">) is the share of </w:t>
      </w:r>
      <w:r w:rsidR="0043113F">
        <w:rPr>
          <w:rFonts w:ascii="Times New Roman" w:hAnsi="Times New Roman"/>
          <w:sz w:val="24"/>
          <w:szCs w:val="24"/>
        </w:rPr>
        <w:t xml:space="preserve">the sales of industry j in region r </w:t>
      </w:r>
      <w:r>
        <w:rPr>
          <w:rFonts w:ascii="Times New Roman" w:hAnsi="Times New Roman"/>
          <w:sz w:val="24"/>
          <w:szCs w:val="24"/>
        </w:rPr>
        <w:t>accounted for by category f</w:t>
      </w:r>
      <w:r w:rsidR="0043113F">
        <w:rPr>
          <w:rFonts w:ascii="Times New Roman" w:hAnsi="Times New Roman"/>
          <w:sz w:val="24"/>
          <w:szCs w:val="24"/>
        </w:rPr>
        <w:t>.</w:t>
      </w:r>
    </w:p>
    <w:p w:rsidR="008B25D8" w:rsidRDefault="0043113F" w:rsidP="00754172">
      <w:pPr>
        <w:ind w:left="567"/>
        <w:rPr>
          <w:rFonts w:ascii="Times New Roman" w:hAnsi="Times New Roman"/>
          <w:sz w:val="24"/>
          <w:szCs w:val="24"/>
        </w:rPr>
      </w:pPr>
      <w:r>
        <w:rPr>
          <w:rFonts w:ascii="Times New Roman" w:hAnsi="Times New Roman"/>
          <w:sz w:val="24"/>
          <w:szCs w:val="24"/>
        </w:rPr>
        <w:t>T</w:t>
      </w:r>
      <w:r w:rsidR="008B25D8">
        <w:rPr>
          <w:rFonts w:ascii="Times New Roman" w:hAnsi="Times New Roman"/>
          <w:sz w:val="24"/>
          <w:szCs w:val="24"/>
          <w:vertAlign w:val="subscript"/>
        </w:rPr>
        <w:t>f</w:t>
      </w:r>
      <w:r>
        <w:rPr>
          <w:rFonts w:ascii="Times New Roman" w:hAnsi="Times New Roman"/>
          <w:sz w:val="24"/>
          <w:szCs w:val="24"/>
        </w:rPr>
        <w:t>(r)</w:t>
      </w:r>
      <w:r w:rsidR="008B25D8">
        <w:rPr>
          <w:rFonts w:ascii="Times New Roman" w:hAnsi="Times New Roman"/>
          <w:sz w:val="24"/>
          <w:szCs w:val="24"/>
        </w:rPr>
        <w:t xml:space="preserve"> is the share of category f in total</w:t>
      </w:r>
      <w:r>
        <w:rPr>
          <w:rFonts w:ascii="Times New Roman" w:hAnsi="Times New Roman"/>
          <w:sz w:val="24"/>
          <w:szCs w:val="24"/>
        </w:rPr>
        <w:t xml:space="preserve"> sales of all commodities produced in region r.  In calculating these shares, we use the sum of the values of industry outputs as the denominator.  For the </w:t>
      </w:r>
      <w:r w:rsidR="007D2BFC">
        <w:rPr>
          <w:rFonts w:ascii="Times New Roman" w:hAnsi="Times New Roman"/>
          <w:sz w:val="24"/>
          <w:szCs w:val="24"/>
        </w:rPr>
        <w:t xml:space="preserve">industry categories (f= 1, …, 57) </w:t>
      </w:r>
      <w:r>
        <w:rPr>
          <w:rFonts w:ascii="Times New Roman" w:hAnsi="Times New Roman"/>
          <w:sz w:val="24"/>
          <w:szCs w:val="24"/>
        </w:rPr>
        <w:t xml:space="preserve">the numerator is the value of domestic intermediates sold to </w:t>
      </w:r>
      <w:r w:rsidR="007D2BFC">
        <w:rPr>
          <w:rFonts w:ascii="Times New Roman" w:hAnsi="Times New Roman"/>
          <w:sz w:val="24"/>
          <w:szCs w:val="24"/>
        </w:rPr>
        <w:t xml:space="preserve">a particular industry.  For the final demand categories (f= C, G , </w:t>
      </w:r>
      <w:r w:rsidR="00D83547">
        <w:rPr>
          <w:rFonts w:ascii="Times New Roman" w:hAnsi="Times New Roman"/>
          <w:sz w:val="24"/>
          <w:szCs w:val="24"/>
        </w:rPr>
        <w:t xml:space="preserve">I, </w:t>
      </w:r>
      <w:r w:rsidR="007D2BFC">
        <w:rPr>
          <w:rFonts w:ascii="Times New Roman" w:hAnsi="Times New Roman"/>
          <w:sz w:val="24"/>
          <w:szCs w:val="24"/>
        </w:rPr>
        <w:t>X)</w:t>
      </w:r>
      <w:r>
        <w:rPr>
          <w:rFonts w:ascii="Times New Roman" w:hAnsi="Times New Roman"/>
          <w:sz w:val="24"/>
          <w:szCs w:val="24"/>
        </w:rPr>
        <w:t xml:space="preserve"> </w:t>
      </w:r>
      <w:r w:rsidR="007D2BFC">
        <w:rPr>
          <w:rFonts w:ascii="Times New Roman" w:hAnsi="Times New Roman"/>
          <w:sz w:val="24"/>
          <w:szCs w:val="24"/>
        </w:rPr>
        <w:t xml:space="preserve">, the numerator is the value of domestic commodities </w:t>
      </w:r>
      <w:r w:rsidR="00ED45E4">
        <w:rPr>
          <w:rFonts w:ascii="Times New Roman" w:hAnsi="Times New Roman"/>
          <w:sz w:val="24"/>
          <w:szCs w:val="24"/>
        </w:rPr>
        <w:t xml:space="preserve">sold </w:t>
      </w:r>
      <w:r w:rsidR="007D2BFC">
        <w:rPr>
          <w:rFonts w:ascii="Times New Roman" w:hAnsi="Times New Roman"/>
          <w:sz w:val="24"/>
          <w:szCs w:val="24"/>
        </w:rPr>
        <w:t xml:space="preserve">to the particular final demand category.  </w:t>
      </w:r>
    </w:p>
    <w:p w:rsidR="008B25D8" w:rsidRDefault="008B25D8" w:rsidP="00754172">
      <w:pPr>
        <w:ind w:left="567"/>
        <w:rPr>
          <w:rFonts w:ascii="Times New Roman" w:hAnsi="Times New Roman"/>
          <w:sz w:val="24"/>
          <w:szCs w:val="24"/>
        </w:rPr>
      </w:pPr>
      <w:r>
        <w:rPr>
          <w:rFonts w:ascii="Times New Roman" w:hAnsi="Times New Roman"/>
          <w:sz w:val="24"/>
          <w:szCs w:val="24"/>
        </w:rPr>
        <w:t>g</w:t>
      </w:r>
      <w:r>
        <w:rPr>
          <w:rFonts w:ascii="Times New Roman" w:hAnsi="Times New Roman"/>
          <w:sz w:val="24"/>
          <w:szCs w:val="24"/>
          <w:vertAlign w:val="subscript"/>
        </w:rPr>
        <w:t>f</w:t>
      </w:r>
      <w:r>
        <w:rPr>
          <w:rFonts w:ascii="Times New Roman" w:hAnsi="Times New Roman"/>
          <w:sz w:val="24"/>
          <w:szCs w:val="24"/>
        </w:rPr>
        <w:t>(j</w:t>
      </w:r>
      <w:r w:rsidR="0043113F">
        <w:rPr>
          <w:rFonts w:ascii="Times New Roman" w:hAnsi="Times New Roman"/>
          <w:sz w:val="24"/>
          <w:szCs w:val="24"/>
        </w:rPr>
        <w:t>,r</w:t>
      </w:r>
      <w:r>
        <w:rPr>
          <w:rFonts w:ascii="Times New Roman" w:hAnsi="Times New Roman"/>
          <w:sz w:val="24"/>
          <w:szCs w:val="24"/>
        </w:rPr>
        <w:t>) is the g</w:t>
      </w:r>
      <w:r w:rsidR="007D2BFC">
        <w:rPr>
          <w:rFonts w:ascii="Times New Roman" w:hAnsi="Times New Roman"/>
          <w:sz w:val="24"/>
          <w:szCs w:val="24"/>
        </w:rPr>
        <w:t xml:space="preserve">rowth rate for </w:t>
      </w:r>
      <w:r w:rsidR="00ED45E4">
        <w:rPr>
          <w:rFonts w:ascii="Times New Roman" w:hAnsi="Times New Roman"/>
          <w:sz w:val="24"/>
          <w:szCs w:val="24"/>
        </w:rPr>
        <w:t xml:space="preserve">the </w:t>
      </w:r>
      <w:r>
        <w:rPr>
          <w:rFonts w:ascii="Times New Roman" w:hAnsi="Times New Roman"/>
          <w:sz w:val="24"/>
          <w:szCs w:val="24"/>
        </w:rPr>
        <w:t xml:space="preserve">quantity </w:t>
      </w:r>
      <w:r w:rsidR="007D2BFC">
        <w:rPr>
          <w:rFonts w:ascii="Times New Roman" w:hAnsi="Times New Roman"/>
          <w:sz w:val="24"/>
          <w:szCs w:val="24"/>
        </w:rPr>
        <w:t xml:space="preserve">of sales from industry j in region r to </w:t>
      </w:r>
      <w:r>
        <w:rPr>
          <w:rFonts w:ascii="Times New Roman" w:hAnsi="Times New Roman"/>
          <w:sz w:val="24"/>
          <w:szCs w:val="24"/>
        </w:rPr>
        <w:t>category f</w:t>
      </w:r>
      <w:r w:rsidR="007D2BFC">
        <w:rPr>
          <w:rFonts w:ascii="Times New Roman" w:hAnsi="Times New Roman"/>
          <w:sz w:val="24"/>
          <w:szCs w:val="24"/>
        </w:rPr>
        <w:t xml:space="preserve">.  </w:t>
      </w:r>
      <w:r>
        <w:rPr>
          <w:rFonts w:ascii="Times New Roman" w:hAnsi="Times New Roman"/>
          <w:sz w:val="24"/>
          <w:szCs w:val="24"/>
        </w:rPr>
        <w:t xml:space="preserve"> </w:t>
      </w:r>
    </w:p>
    <w:p w:rsidR="008B25D8" w:rsidRPr="005874BE" w:rsidRDefault="00D83547" w:rsidP="00754172">
      <w:pPr>
        <w:ind w:left="567"/>
        <w:rPr>
          <w:rFonts w:ascii="Times New Roman" w:hAnsi="Times New Roman"/>
          <w:sz w:val="24"/>
          <w:szCs w:val="24"/>
        </w:rPr>
      </w:pPr>
      <w:r>
        <w:rPr>
          <w:rFonts w:ascii="Times New Roman" w:hAnsi="Times New Roman"/>
          <w:sz w:val="24"/>
          <w:szCs w:val="24"/>
        </w:rPr>
        <w:t>gt</w:t>
      </w:r>
      <w:r>
        <w:rPr>
          <w:rFonts w:ascii="Times New Roman" w:hAnsi="Times New Roman"/>
          <w:sz w:val="24"/>
          <w:szCs w:val="24"/>
          <w:vertAlign w:val="subscript"/>
        </w:rPr>
        <w:t>f</w:t>
      </w:r>
      <w:r>
        <w:rPr>
          <w:rFonts w:ascii="Times New Roman" w:hAnsi="Times New Roman"/>
          <w:sz w:val="24"/>
          <w:szCs w:val="24"/>
        </w:rPr>
        <w:t xml:space="preserve">(r) </w:t>
      </w:r>
      <w:r w:rsidR="008B25D8">
        <w:rPr>
          <w:rFonts w:ascii="Times New Roman" w:hAnsi="Times New Roman"/>
          <w:sz w:val="24"/>
          <w:szCs w:val="24"/>
        </w:rPr>
        <w:t xml:space="preserve">is the growth rate </w:t>
      </w:r>
      <w:r w:rsidR="00384A4B">
        <w:rPr>
          <w:rFonts w:ascii="Times New Roman" w:hAnsi="Times New Roman"/>
          <w:sz w:val="24"/>
          <w:szCs w:val="24"/>
        </w:rPr>
        <w:t>we adopt for category f in region r.   Where f is an industry, gt</w:t>
      </w:r>
      <w:r w:rsidR="00384A4B">
        <w:rPr>
          <w:rFonts w:ascii="Times New Roman" w:hAnsi="Times New Roman"/>
          <w:sz w:val="24"/>
          <w:szCs w:val="24"/>
          <w:vertAlign w:val="subscript"/>
        </w:rPr>
        <w:t>f</w:t>
      </w:r>
      <w:r w:rsidR="00384A4B">
        <w:rPr>
          <w:rFonts w:ascii="Times New Roman" w:hAnsi="Times New Roman"/>
          <w:sz w:val="24"/>
          <w:szCs w:val="24"/>
        </w:rPr>
        <w:t xml:space="preserve">(r) is the the growth rate for output of industry f in region r.  </w:t>
      </w:r>
      <w:r>
        <w:rPr>
          <w:rFonts w:ascii="Times New Roman" w:hAnsi="Times New Roman"/>
          <w:sz w:val="24"/>
          <w:szCs w:val="24"/>
        </w:rPr>
        <w:t xml:space="preserve">Where f is a final </w:t>
      </w:r>
      <w:r>
        <w:rPr>
          <w:rFonts w:ascii="Times New Roman" w:hAnsi="Times New Roman"/>
          <w:sz w:val="24"/>
          <w:szCs w:val="24"/>
        </w:rPr>
        <w:lastRenderedPageBreak/>
        <w:t>demand category, gt</w:t>
      </w:r>
      <w:r>
        <w:rPr>
          <w:rFonts w:ascii="Times New Roman" w:hAnsi="Times New Roman"/>
          <w:sz w:val="24"/>
          <w:szCs w:val="24"/>
          <w:vertAlign w:val="subscript"/>
        </w:rPr>
        <w:t>f</w:t>
      </w:r>
      <w:r>
        <w:rPr>
          <w:rFonts w:ascii="Times New Roman" w:hAnsi="Times New Roman"/>
          <w:sz w:val="24"/>
          <w:szCs w:val="24"/>
        </w:rPr>
        <w:t>(r) is the growth rate in region r for real private consumption, real government consumption, rea</w:t>
      </w:r>
      <w:r w:rsidR="008047EB">
        <w:rPr>
          <w:rFonts w:ascii="Times New Roman" w:hAnsi="Times New Roman"/>
          <w:sz w:val="24"/>
          <w:szCs w:val="24"/>
        </w:rPr>
        <w:t xml:space="preserve">l investment and real exports. </w:t>
      </w:r>
      <w:r>
        <w:rPr>
          <w:rFonts w:ascii="Times New Roman" w:hAnsi="Times New Roman"/>
          <w:sz w:val="24"/>
          <w:szCs w:val="24"/>
        </w:rPr>
        <w:t xml:space="preserve"> </w:t>
      </w:r>
    </w:p>
    <w:p w:rsidR="008B25D8" w:rsidRPr="005874BE" w:rsidRDefault="008047EB" w:rsidP="00754172">
      <w:pPr>
        <w:ind w:left="0"/>
        <w:rPr>
          <w:rFonts w:ascii="Times New Roman" w:hAnsi="Times New Roman"/>
          <w:sz w:val="24"/>
          <w:szCs w:val="24"/>
        </w:rPr>
      </w:pPr>
      <w:r>
        <w:rPr>
          <w:rFonts w:ascii="Times New Roman" w:hAnsi="Times New Roman"/>
          <w:sz w:val="24"/>
          <w:szCs w:val="24"/>
        </w:rPr>
        <w:t xml:space="preserve">From (7.1) and (7.2) we obtain </w:t>
      </w:r>
    </w:p>
    <w:p w:rsidR="008047EB" w:rsidRDefault="008047EB" w:rsidP="00754172">
      <w:pPr>
        <w:tabs>
          <w:tab w:val="left" w:pos="1134"/>
          <w:tab w:val="right" w:pos="8931"/>
        </w:tabs>
        <w:ind w:left="0"/>
        <w:rPr>
          <w:rFonts w:ascii="Times New Roman" w:hAnsi="Times New Roman"/>
          <w:sz w:val="24"/>
          <w:szCs w:val="24"/>
        </w:rPr>
      </w:pPr>
      <w:r>
        <w:rPr>
          <w:rFonts w:ascii="Times New Roman" w:hAnsi="Times New Roman"/>
          <w:sz w:val="24"/>
          <w:szCs w:val="24"/>
        </w:rPr>
        <w:tab/>
      </w:r>
      <w:r w:rsidRPr="00BA6603">
        <w:rPr>
          <w:rFonts w:ascii="Times New Roman" w:hAnsi="Times New Roman"/>
          <w:position w:val="-12"/>
          <w:sz w:val="24"/>
          <w:szCs w:val="24"/>
        </w:rPr>
        <w:object w:dxaOrig="4740" w:dyaOrig="360">
          <v:shape id="_x0000_i1056" type="#_x0000_t75" style="width:237.75pt;height:18pt" o:ole="">
            <v:imagedata r:id="rId76" o:title=""/>
          </v:shape>
          <o:OLEObject Type="Embed" ProgID="Equation.DSMT4" ShapeID="_x0000_i1056" DrawAspect="Content" ObjectID="_1774671677" r:id="rId77"/>
        </w:object>
      </w:r>
      <w:r>
        <w:rPr>
          <w:rFonts w:ascii="Times New Roman" w:hAnsi="Times New Roman"/>
          <w:sz w:val="24"/>
          <w:szCs w:val="24"/>
        </w:rPr>
        <w:t xml:space="preserve"> </w:t>
      </w:r>
      <w:r>
        <w:rPr>
          <w:rFonts w:ascii="Times New Roman" w:hAnsi="Times New Roman"/>
          <w:sz w:val="24"/>
          <w:szCs w:val="24"/>
        </w:rPr>
        <w:tab/>
        <w:t>(7.3)</w:t>
      </w:r>
    </w:p>
    <w:p w:rsidR="008047EB" w:rsidRDefault="008047EB" w:rsidP="00754172">
      <w:pPr>
        <w:ind w:left="0"/>
        <w:rPr>
          <w:rFonts w:ascii="Times New Roman" w:hAnsi="Times New Roman"/>
          <w:sz w:val="24"/>
          <w:szCs w:val="24"/>
        </w:rPr>
      </w:pPr>
      <w:r>
        <w:rPr>
          <w:rFonts w:ascii="Times New Roman" w:hAnsi="Times New Roman"/>
          <w:sz w:val="24"/>
          <w:szCs w:val="24"/>
        </w:rPr>
        <w:t>where</w:t>
      </w:r>
    </w:p>
    <w:p w:rsidR="008047EB" w:rsidRDefault="008047EB" w:rsidP="00754172">
      <w:pPr>
        <w:ind w:left="567"/>
        <w:rPr>
          <w:rFonts w:ascii="Times New Roman" w:hAnsi="Times New Roman"/>
          <w:sz w:val="24"/>
          <w:szCs w:val="24"/>
        </w:rPr>
      </w:pPr>
      <w:r>
        <w:rPr>
          <w:rFonts w:ascii="Times New Roman" w:hAnsi="Times New Roman"/>
          <w:sz w:val="24"/>
          <w:szCs w:val="24"/>
        </w:rPr>
        <w:t>g</w:t>
      </w:r>
      <w:r>
        <w:rPr>
          <w:rFonts w:ascii="Times New Roman" w:hAnsi="Times New Roman"/>
          <w:sz w:val="24"/>
          <w:szCs w:val="24"/>
          <w:vertAlign w:val="subscript"/>
        </w:rPr>
        <w:t>ind</w:t>
      </w:r>
      <w:r>
        <w:rPr>
          <w:rFonts w:ascii="Times New Roman" w:hAnsi="Times New Roman"/>
          <w:sz w:val="24"/>
          <w:szCs w:val="24"/>
        </w:rPr>
        <w:t xml:space="preserve">(j,r) is the growth rate in </w:t>
      </w:r>
      <w:r w:rsidR="00ED45E4">
        <w:rPr>
          <w:rFonts w:ascii="Times New Roman" w:hAnsi="Times New Roman"/>
          <w:sz w:val="24"/>
          <w:szCs w:val="24"/>
        </w:rPr>
        <w:t xml:space="preserve">the </w:t>
      </w:r>
      <w:r>
        <w:rPr>
          <w:rFonts w:ascii="Times New Roman" w:hAnsi="Times New Roman"/>
          <w:sz w:val="24"/>
          <w:szCs w:val="24"/>
        </w:rPr>
        <w:t>output of industry j in region r given by:</w:t>
      </w:r>
    </w:p>
    <w:p w:rsidR="00754172" w:rsidRDefault="00754172" w:rsidP="00754172">
      <w:pPr>
        <w:tabs>
          <w:tab w:val="left" w:pos="1134"/>
          <w:tab w:val="right" w:pos="8931"/>
        </w:tabs>
        <w:ind w:left="0"/>
        <w:rPr>
          <w:rFonts w:ascii="Times New Roman" w:hAnsi="Times New Roman"/>
          <w:sz w:val="24"/>
          <w:szCs w:val="24"/>
        </w:rPr>
      </w:pPr>
      <w:r>
        <w:rPr>
          <w:rFonts w:ascii="Times New Roman" w:hAnsi="Times New Roman"/>
          <w:sz w:val="24"/>
          <w:szCs w:val="24"/>
        </w:rPr>
        <w:tab/>
      </w:r>
      <w:r w:rsidRPr="00754172">
        <w:rPr>
          <w:rFonts w:ascii="Times New Roman" w:hAnsi="Times New Roman"/>
          <w:position w:val="-26"/>
          <w:sz w:val="24"/>
          <w:szCs w:val="24"/>
        </w:rPr>
        <w:object w:dxaOrig="2799" w:dyaOrig="499">
          <v:shape id="_x0000_i1057" type="#_x0000_t75" style="width:140.25pt;height:24.75pt" o:ole="">
            <v:imagedata r:id="rId78" o:title=""/>
          </v:shape>
          <o:OLEObject Type="Embed" ProgID="Equation.DSMT4" ShapeID="_x0000_i1057" DrawAspect="Content" ObjectID="_1774671678" r:id="rId79"/>
        </w:object>
      </w:r>
      <w:r>
        <w:rPr>
          <w:rFonts w:ascii="Times New Roman" w:hAnsi="Times New Roman"/>
          <w:sz w:val="24"/>
          <w:szCs w:val="24"/>
        </w:rPr>
        <w:t xml:space="preserve"> </w:t>
      </w:r>
      <w:r>
        <w:rPr>
          <w:rFonts w:ascii="Times New Roman" w:hAnsi="Times New Roman"/>
          <w:sz w:val="24"/>
          <w:szCs w:val="24"/>
        </w:rPr>
        <w:tab/>
        <w:t>(7.4)</w:t>
      </w:r>
    </w:p>
    <w:p w:rsidR="00754172" w:rsidRDefault="00754172" w:rsidP="00754172">
      <w:pPr>
        <w:tabs>
          <w:tab w:val="left" w:pos="1134"/>
          <w:tab w:val="right" w:pos="8931"/>
        </w:tabs>
        <w:ind w:left="567"/>
        <w:rPr>
          <w:rFonts w:ascii="Times New Roman" w:hAnsi="Times New Roman"/>
          <w:sz w:val="24"/>
          <w:szCs w:val="24"/>
        </w:rPr>
      </w:pPr>
      <w:r>
        <w:rPr>
          <w:rFonts w:ascii="Times New Roman" w:hAnsi="Times New Roman"/>
          <w:sz w:val="24"/>
          <w:szCs w:val="24"/>
        </w:rPr>
        <w:t xml:space="preserve">and </w:t>
      </w:r>
    </w:p>
    <w:p w:rsidR="00754172" w:rsidRDefault="00754172" w:rsidP="00754172">
      <w:pPr>
        <w:tabs>
          <w:tab w:val="left" w:pos="1134"/>
          <w:tab w:val="right" w:pos="8931"/>
        </w:tabs>
        <w:ind w:left="567"/>
        <w:rPr>
          <w:rFonts w:ascii="Times New Roman" w:hAnsi="Times New Roman"/>
          <w:sz w:val="24"/>
          <w:szCs w:val="24"/>
        </w:rPr>
      </w:pPr>
      <w:r>
        <w:rPr>
          <w:rFonts w:ascii="Times New Roman" w:hAnsi="Times New Roman"/>
          <w:sz w:val="24"/>
          <w:szCs w:val="24"/>
        </w:rPr>
        <w:t>gdp_approx(r) is an approximation to the growth rate in GDP in region r given by:</w:t>
      </w:r>
    </w:p>
    <w:p w:rsidR="00754172" w:rsidRDefault="00754172" w:rsidP="00754172">
      <w:pPr>
        <w:tabs>
          <w:tab w:val="left" w:pos="1134"/>
          <w:tab w:val="right" w:pos="8931"/>
        </w:tabs>
        <w:ind w:left="0"/>
        <w:rPr>
          <w:rFonts w:ascii="Times New Roman" w:hAnsi="Times New Roman"/>
          <w:sz w:val="24"/>
          <w:szCs w:val="24"/>
        </w:rPr>
      </w:pPr>
      <w:r>
        <w:rPr>
          <w:rFonts w:ascii="Times New Roman" w:hAnsi="Times New Roman"/>
          <w:sz w:val="24"/>
          <w:szCs w:val="24"/>
        </w:rPr>
        <w:tab/>
      </w:r>
      <w:r w:rsidRPr="00754172">
        <w:rPr>
          <w:rFonts w:ascii="Times New Roman" w:hAnsi="Times New Roman"/>
          <w:position w:val="-26"/>
          <w:sz w:val="24"/>
          <w:szCs w:val="24"/>
        </w:rPr>
        <w:object w:dxaOrig="3240" w:dyaOrig="499">
          <v:shape id="_x0000_i1058" type="#_x0000_t75" style="width:162pt;height:24.75pt" o:ole="">
            <v:imagedata r:id="rId80" o:title=""/>
          </v:shape>
          <o:OLEObject Type="Embed" ProgID="Equation.DSMT4" ShapeID="_x0000_i1058" DrawAspect="Content" ObjectID="_1774671679" r:id="rId81"/>
        </w:object>
      </w:r>
      <w:r>
        <w:rPr>
          <w:rFonts w:ascii="Times New Roman" w:hAnsi="Times New Roman"/>
          <w:sz w:val="24"/>
          <w:szCs w:val="24"/>
        </w:rPr>
        <w:t xml:space="preserve"> </w:t>
      </w:r>
      <w:r>
        <w:rPr>
          <w:rFonts w:ascii="Times New Roman" w:hAnsi="Times New Roman"/>
          <w:sz w:val="24"/>
          <w:szCs w:val="24"/>
        </w:rPr>
        <w:tab/>
        <w:t>(7.5)</w:t>
      </w:r>
    </w:p>
    <w:p w:rsidR="009804CD" w:rsidRDefault="009804CD" w:rsidP="002731BD">
      <w:pPr>
        <w:ind w:left="0"/>
        <w:rPr>
          <w:rFonts w:ascii="Times New Roman" w:hAnsi="Times New Roman"/>
          <w:sz w:val="24"/>
          <w:szCs w:val="24"/>
        </w:rPr>
      </w:pPr>
      <w:r>
        <w:rPr>
          <w:rFonts w:ascii="Times New Roman" w:hAnsi="Times New Roman"/>
          <w:sz w:val="24"/>
          <w:szCs w:val="24"/>
        </w:rPr>
        <w:t xml:space="preserve">As can be seen from (7.5), gdp_approx(r) is a weighted average of growth rates in industry outputs and final demand categories.  This is not the same as the growth in GDP.  But in our simulations it is a close approximation and we will interpret it as growth in GDP in region r. With this interpretation, (7.3) confirms that SME(j,r) and IPE(j,r) are a </w:t>
      </w:r>
      <w:r w:rsidR="007D55F2">
        <w:rPr>
          <w:rFonts w:ascii="Times New Roman" w:hAnsi="Times New Roman"/>
          <w:sz w:val="24"/>
          <w:szCs w:val="24"/>
        </w:rPr>
        <w:t>complete decomposition</w:t>
      </w:r>
      <w:r>
        <w:rPr>
          <w:rFonts w:ascii="Times New Roman" w:hAnsi="Times New Roman"/>
          <w:sz w:val="24"/>
          <w:szCs w:val="24"/>
        </w:rPr>
        <w:t xml:space="preserve"> of the gap between industry j’s growth rate in region r and the growth rate of GDP in region r.   </w:t>
      </w:r>
    </w:p>
    <w:p w:rsidR="00FA3525" w:rsidRDefault="00F71700" w:rsidP="002731BD">
      <w:pPr>
        <w:ind w:left="0"/>
        <w:rPr>
          <w:rFonts w:ascii="Times New Roman" w:hAnsi="Times New Roman"/>
          <w:sz w:val="24"/>
          <w:szCs w:val="24"/>
        </w:rPr>
      </w:pPr>
      <w:r>
        <w:rPr>
          <w:rFonts w:ascii="Times New Roman" w:hAnsi="Times New Roman"/>
          <w:sz w:val="24"/>
          <w:szCs w:val="24"/>
        </w:rPr>
        <w:t xml:space="preserve">SME(j,r), is the part of the gap for industry j in region r associated with sales-mix.  To see </w:t>
      </w:r>
      <w:r w:rsidR="00ED45E4">
        <w:rPr>
          <w:rFonts w:ascii="Times New Roman" w:hAnsi="Times New Roman"/>
          <w:sz w:val="24"/>
          <w:szCs w:val="24"/>
        </w:rPr>
        <w:t>h</w:t>
      </w:r>
      <w:r>
        <w:rPr>
          <w:rFonts w:ascii="Times New Roman" w:hAnsi="Times New Roman"/>
          <w:sz w:val="24"/>
          <w:szCs w:val="24"/>
        </w:rPr>
        <w:t xml:space="preserve">ow this works, </w:t>
      </w:r>
      <w:r w:rsidR="00FA3525">
        <w:rPr>
          <w:rFonts w:ascii="Times New Roman" w:hAnsi="Times New Roman"/>
          <w:sz w:val="24"/>
          <w:szCs w:val="24"/>
        </w:rPr>
        <w:t>it is convenient to rewrite (7.1) as:</w:t>
      </w:r>
    </w:p>
    <w:p w:rsidR="00FA3525" w:rsidRDefault="00FA3525" w:rsidP="00FA3525">
      <w:pPr>
        <w:tabs>
          <w:tab w:val="left" w:pos="1134"/>
          <w:tab w:val="right" w:pos="8931"/>
        </w:tabs>
        <w:ind w:left="0"/>
        <w:rPr>
          <w:rFonts w:ascii="Times New Roman" w:hAnsi="Times New Roman"/>
          <w:sz w:val="24"/>
          <w:szCs w:val="24"/>
        </w:rPr>
      </w:pPr>
      <w:r>
        <w:rPr>
          <w:rFonts w:ascii="Times New Roman" w:hAnsi="Times New Roman"/>
          <w:sz w:val="24"/>
          <w:szCs w:val="24"/>
        </w:rPr>
        <w:tab/>
      </w:r>
      <w:r w:rsidRPr="008B25D8">
        <w:rPr>
          <w:rFonts w:ascii="Times New Roman" w:hAnsi="Times New Roman"/>
          <w:position w:val="-26"/>
          <w:sz w:val="24"/>
          <w:szCs w:val="24"/>
        </w:rPr>
        <w:object w:dxaOrig="5620" w:dyaOrig="520">
          <v:shape id="_x0000_i1059" type="#_x0000_t75" style="width:280.5pt;height:26.25pt" o:ole="">
            <v:imagedata r:id="rId82" o:title=""/>
          </v:shape>
          <o:OLEObject Type="Embed" ProgID="Equation.DSMT4" ShapeID="_x0000_i1059" DrawAspect="Content" ObjectID="_1774671680" r:id="rId83"/>
        </w:object>
      </w:r>
      <w:r w:rsidR="00F71700">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t>(7.6)</w:t>
      </w:r>
    </w:p>
    <w:p w:rsidR="00FA3525" w:rsidRDefault="00FA3525" w:rsidP="002731BD">
      <w:pPr>
        <w:ind w:left="0"/>
        <w:rPr>
          <w:rFonts w:ascii="Times New Roman" w:hAnsi="Times New Roman"/>
          <w:sz w:val="24"/>
          <w:szCs w:val="24"/>
        </w:rPr>
      </w:pPr>
      <w:r>
        <w:rPr>
          <w:rFonts w:ascii="Times New Roman" w:hAnsi="Times New Roman"/>
          <w:sz w:val="24"/>
          <w:szCs w:val="24"/>
        </w:rPr>
        <w:t>The inclusion of gdp_approx(r) makes no difference to the value of the RHS of (7.6) because</w:t>
      </w:r>
    </w:p>
    <w:p w:rsidR="00FA3525" w:rsidRDefault="00FA3525" w:rsidP="00FA3525">
      <w:pPr>
        <w:tabs>
          <w:tab w:val="left" w:pos="1134"/>
          <w:tab w:val="right" w:pos="8931"/>
        </w:tabs>
        <w:ind w:left="0"/>
        <w:rPr>
          <w:rFonts w:ascii="Times New Roman" w:hAnsi="Times New Roman"/>
          <w:sz w:val="24"/>
          <w:szCs w:val="24"/>
        </w:rPr>
      </w:pPr>
      <w:r>
        <w:rPr>
          <w:rFonts w:ascii="Times New Roman" w:hAnsi="Times New Roman"/>
          <w:sz w:val="24"/>
          <w:szCs w:val="24"/>
        </w:rPr>
        <w:tab/>
      </w:r>
      <w:r w:rsidRPr="008B25D8">
        <w:rPr>
          <w:rFonts w:ascii="Times New Roman" w:hAnsi="Times New Roman"/>
          <w:position w:val="-26"/>
          <w:sz w:val="24"/>
          <w:szCs w:val="24"/>
        </w:rPr>
        <w:object w:dxaOrig="2180" w:dyaOrig="499">
          <v:shape id="_x0000_i1060" type="#_x0000_t75" style="width:108.75pt;height:24.75pt" o:ole="">
            <v:imagedata r:id="rId84" o:title=""/>
          </v:shape>
          <o:OLEObject Type="Embed" ProgID="Equation.DSMT4" ShapeID="_x0000_i1060" DrawAspect="Content" ObjectID="_1774671681" r:id="rId85"/>
        </w:object>
      </w:r>
      <w:r>
        <w:rPr>
          <w:rFonts w:ascii="Times New Roman" w:hAnsi="Times New Roman"/>
          <w:sz w:val="24"/>
          <w:szCs w:val="24"/>
        </w:rPr>
        <w:t xml:space="preserve"> </w:t>
      </w:r>
      <w:r>
        <w:rPr>
          <w:rFonts w:ascii="Times New Roman" w:hAnsi="Times New Roman"/>
          <w:sz w:val="24"/>
          <w:szCs w:val="24"/>
        </w:rPr>
        <w:tab/>
        <w:t>(7.7)</w:t>
      </w:r>
    </w:p>
    <w:p w:rsidR="00FD1615" w:rsidRDefault="00FA3525" w:rsidP="002731BD">
      <w:pPr>
        <w:ind w:left="0"/>
        <w:rPr>
          <w:rFonts w:ascii="Times New Roman" w:hAnsi="Times New Roman"/>
          <w:sz w:val="24"/>
          <w:szCs w:val="24"/>
        </w:rPr>
      </w:pPr>
      <w:r>
        <w:rPr>
          <w:rFonts w:ascii="Times New Roman" w:hAnsi="Times New Roman"/>
          <w:sz w:val="24"/>
          <w:szCs w:val="24"/>
        </w:rPr>
        <w:t xml:space="preserve">However, with the inclusion we see that </w:t>
      </w:r>
      <w:r w:rsidR="00FD1615">
        <w:rPr>
          <w:rFonts w:ascii="Times New Roman" w:hAnsi="Times New Roman"/>
          <w:sz w:val="24"/>
          <w:szCs w:val="24"/>
        </w:rPr>
        <w:t xml:space="preserve">SME(j,r) will be positive if industry (j,r) has a </w:t>
      </w:r>
      <w:r w:rsidR="00F71700">
        <w:rPr>
          <w:rFonts w:ascii="Times New Roman" w:hAnsi="Times New Roman"/>
          <w:sz w:val="24"/>
          <w:szCs w:val="24"/>
        </w:rPr>
        <w:t xml:space="preserve">relatively </w:t>
      </w:r>
      <w:r w:rsidR="00FD1615">
        <w:rPr>
          <w:rFonts w:ascii="Times New Roman" w:hAnsi="Times New Roman"/>
          <w:sz w:val="24"/>
          <w:szCs w:val="24"/>
        </w:rPr>
        <w:t>high share of its sales [S</w:t>
      </w:r>
      <w:r w:rsidR="00FD1615">
        <w:rPr>
          <w:rFonts w:ascii="Times New Roman" w:hAnsi="Times New Roman"/>
          <w:sz w:val="24"/>
          <w:szCs w:val="24"/>
          <w:vertAlign w:val="subscript"/>
        </w:rPr>
        <w:t>f</w:t>
      </w:r>
      <w:r w:rsidR="00FD1615">
        <w:rPr>
          <w:rFonts w:ascii="Times New Roman" w:hAnsi="Times New Roman"/>
          <w:sz w:val="24"/>
          <w:szCs w:val="24"/>
        </w:rPr>
        <w:t>(j,r) &gt; T</w:t>
      </w:r>
      <w:r w:rsidR="00FD1615">
        <w:rPr>
          <w:rFonts w:ascii="Times New Roman" w:hAnsi="Times New Roman"/>
          <w:sz w:val="24"/>
          <w:szCs w:val="24"/>
          <w:vertAlign w:val="subscript"/>
        </w:rPr>
        <w:t>f</w:t>
      </w:r>
      <w:r w:rsidR="00FD1615">
        <w:rPr>
          <w:rFonts w:ascii="Times New Roman" w:hAnsi="Times New Roman"/>
          <w:sz w:val="24"/>
          <w:szCs w:val="24"/>
        </w:rPr>
        <w:t xml:space="preserve">(r)] to categories f with </w:t>
      </w:r>
      <w:r w:rsidR="00F71700">
        <w:rPr>
          <w:rFonts w:ascii="Times New Roman" w:hAnsi="Times New Roman"/>
          <w:sz w:val="24"/>
          <w:szCs w:val="24"/>
        </w:rPr>
        <w:t xml:space="preserve">relatively </w:t>
      </w:r>
      <w:r w:rsidR="00FD1615">
        <w:rPr>
          <w:rFonts w:ascii="Times New Roman" w:hAnsi="Times New Roman"/>
          <w:sz w:val="24"/>
          <w:szCs w:val="24"/>
        </w:rPr>
        <w:t>high growth rates [</w:t>
      </w:r>
      <w:r w:rsidR="00AC14CA">
        <w:rPr>
          <w:rFonts w:ascii="Times New Roman" w:hAnsi="Times New Roman"/>
          <w:sz w:val="24"/>
          <w:szCs w:val="24"/>
        </w:rPr>
        <w:t>gt</w:t>
      </w:r>
      <w:r w:rsidR="00AC14CA">
        <w:rPr>
          <w:rFonts w:ascii="Times New Roman" w:hAnsi="Times New Roman"/>
          <w:sz w:val="24"/>
          <w:szCs w:val="24"/>
          <w:vertAlign w:val="subscript"/>
        </w:rPr>
        <w:t>f</w:t>
      </w:r>
      <w:r w:rsidR="00AC14CA">
        <w:rPr>
          <w:rFonts w:ascii="Times New Roman" w:hAnsi="Times New Roman"/>
          <w:sz w:val="24"/>
          <w:szCs w:val="24"/>
        </w:rPr>
        <w:t xml:space="preserve">(r) </w:t>
      </w:r>
      <w:r w:rsidR="00F71700">
        <w:rPr>
          <w:rFonts w:ascii="Times New Roman" w:hAnsi="Times New Roman"/>
          <w:sz w:val="24"/>
          <w:szCs w:val="24"/>
        </w:rPr>
        <w:t>&gt; gdp_approx</w:t>
      </w:r>
      <w:r w:rsidR="00AC14CA">
        <w:rPr>
          <w:rFonts w:ascii="Times New Roman" w:hAnsi="Times New Roman"/>
          <w:sz w:val="24"/>
          <w:szCs w:val="24"/>
        </w:rPr>
        <w:t xml:space="preserve">].  </w:t>
      </w:r>
      <w:r w:rsidR="00F71700">
        <w:rPr>
          <w:rFonts w:ascii="Times New Roman" w:hAnsi="Times New Roman"/>
          <w:sz w:val="24"/>
          <w:szCs w:val="24"/>
        </w:rPr>
        <w:t>Similarly, SME(j,r) will be positive if industry (j,r) has a relatively low share of its sales [S</w:t>
      </w:r>
      <w:r w:rsidR="00F71700">
        <w:rPr>
          <w:rFonts w:ascii="Times New Roman" w:hAnsi="Times New Roman"/>
          <w:sz w:val="24"/>
          <w:szCs w:val="24"/>
          <w:vertAlign w:val="subscript"/>
        </w:rPr>
        <w:t>f</w:t>
      </w:r>
      <w:r w:rsidR="00F71700">
        <w:rPr>
          <w:rFonts w:ascii="Times New Roman" w:hAnsi="Times New Roman"/>
          <w:sz w:val="24"/>
          <w:szCs w:val="24"/>
        </w:rPr>
        <w:t>(j,r) &lt; T</w:t>
      </w:r>
      <w:r w:rsidR="00F71700">
        <w:rPr>
          <w:rFonts w:ascii="Times New Roman" w:hAnsi="Times New Roman"/>
          <w:sz w:val="24"/>
          <w:szCs w:val="24"/>
          <w:vertAlign w:val="subscript"/>
        </w:rPr>
        <w:t>f</w:t>
      </w:r>
      <w:r w:rsidR="00F71700">
        <w:rPr>
          <w:rFonts w:ascii="Times New Roman" w:hAnsi="Times New Roman"/>
          <w:sz w:val="24"/>
          <w:szCs w:val="24"/>
        </w:rPr>
        <w:t>(r)] to categories f with relatively low growth rates [gt</w:t>
      </w:r>
      <w:r w:rsidR="00F71700">
        <w:rPr>
          <w:rFonts w:ascii="Times New Roman" w:hAnsi="Times New Roman"/>
          <w:sz w:val="24"/>
          <w:szCs w:val="24"/>
          <w:vertAlign w:val="subscript"/>
        </w:rPr>
        <w:t>f</w:t>
      </w:r>
      <w:r w:rsidR="00F71700">
        <w:rPr>
          <w:rFonts w:ascii="Times New Roman" w:hAnsi="Times New Roman"/>
          <w:sz w:val="24"/>
          <w:szCs w:val="24"/>
        </w:rPr>
        <w:t xml:space="preserve">(r) &lt; gdp_approx].  SME(j,r) will be negative if (j,r)’s sales are concentrated on low growth categories or if (j,r) has low sales to high growth categories.  </w:t>
      </w:r>
    </w:p>
    <w:p w:rsidR="00FD1615" w:rsidRDefault="006526E6" w:rsidP="002731BD">
      <w:pPr>
        <w:ind w:left="0"/>
        <w:rPr>
          <w:rFonts w:ascii="Times New Roman" w:hAnsi="Times New Roman"/>
          <w:sz w:val="24"/>
          <w:szCs w:val="24"/>
        </w:rPr>
      </w:pPr>
      <w:r>
        <w:rPr>
          <w:rFonts w:ascii="Times New Roman" w:hAnsi="Times New Roman"/>
          <w:sz w:val="24"/>
          <w:szCs w:val="24"/>
        </w:rPr>
        <w:t xml:space="preserve">IPE(j,r) is the part of the gap between industry (j,r)’s growth and GDP growth accounted for by (j,r)’s performance in each of its sales categories.  </w:t>
      </w:r>
      <w:r w:rsidR="006B5B2A">
        <w:rPr>
          <w:rFonts w:ascii="Times New Roman" w:hAnsi="Times New Roman"/>
          <w:sz w:val="24"/>
          <w:szCs w:val="24"/>
        </w:rPr>
        <w:t>Industry (j,r)’s p</w:t>
      </w:r>
      <w:r>
        <w:rPr>
          <w:rFonts w:ascii="Times New Roman" w:hAnsi="Times New Roman"/>
          <w:sz w:val="24"/>
          <w:szCs w:val="24"/>
        </w:rPr>
        <w:t xml:space="preserve">erformance </w:t>
      </w:r>
      <w:r w:rsidR="006B5B2A">
        <w:rPr>
          <w:rFonts w:ascii="Times New Roman" w:hAnsi="Times New Roman"/>
          <w:sz w:val="24"/>
          <w:szCs w:val="24"/>
        </w:rPr>
        <w:t xml:space="preserve">in sales category f is measured by the growth </w:t>
      </w:r>
      <w:r w:rsidR="00ED45E4">
        <w:rPr>
          <w:rFonts w:ascii="Times New Roman" w:hAnsi="Times New Roman"/>
          <w:sz w:val="24"/>
          <w:szCs w:val="24"/>
        </w:rPr>
        <w:t>[g</w:t>
      </w:r>
      <w:r w:rsidR="00ED45E4">
        <w:rPr>
          <w:rFonts w:ascii="Times New Roman" w:hAnsi="Times New Roman"/>
          <w:sz w:val="24"/>
          <w:szCs w:val="24"/>
          <w:vertAlign w:val="subscript"/>
        </w:rPr>
        <w:t>f</w:t>
      </w:r>
      <w:r w:rsidR="00ED45E4">
        <w:rPr>
          <w:rFonts w:ascii="Times New Roman" w:hAnsi="Times New Roman"/>
          <w:sz w:val="24"/>
          <w:szCs w:val="24"/>
        </w:rPr>
        <w:t xml:space="preserve">(j,r)] </w:t>
      </w:r>
      <w:r w:rsidR="006B5B2A">
        <w:rPr>
          <w:rFonts w:ascii="Times New Roman" w:hAnsi="Times New Roman"/>
          <w:sz w:val="24"/>
          <w:szCs w:val="24"/>
        </w:rPr>
        <w:t xml:space="preserve">in its sales to f compared with the </w:t>
      </w:r>
      <w:r w:rsidR="00ED45E4">
        <w:rPr>
          <w:rFonts w:ascii="Times New Roman" w:hAnsi="Times New Roman"/>
          <w:sz w:val="24"/>
          <w:szCs w:val="24"/>
        </w:rPr>
        <w:t>growth</w:t>
      </w:r>
      <w:r w:rsidR="006B5B2A">
        <w:rPr>
          <w:rFonts w:ascii="Times New Roman" w:hAnsi="Times New Roman"/>
          <w:sz w:val="24"/>
          <w:szCs w:val="24"/>
        </w:rPr>
        <w:t xml:space="preserve"> </w:t>
      </w:r>
      <w:r w:rsidR="00ED45E4">
        <w:rPr>
          <w:rFonts w:ascii="Times New Roman" w:hAnsi="Times New Roman"/>
          <w:sz w:val="24"/>
          <w:szCs w:val="24"/>
        </w:rPr>
        <w:t>[gt</w:t>
      </w:r>
      <w:r w:rsidR="00ED45E4">
        <w:rPr>
          <w:rFonts w:ascii="Times New Roman" w:hAnsi="Times New Roman"/>
          <w:sz w:val="24"/>
          <w:szCs w:val="24"/>
          <w:vertAlign w:val="subscript"/>
        </w:rPr>
        <w:t>f</w:t>
      </w:r>
      <w:r w:rsidR="00ED45E4">
        <w:rPr>
          <w:rFonts w:ascii="Times New Roman" w:hAnsi="Times New Roman"/>
          <w:sz w:val="24"/>
          <w:szCs w:val="24"/>
        </w:rPr>
        <w:t xml:space="preserve">(r)] in </w:t>
      </w:r>
      <w:r w:rsidR="006B5B2A">
        <w:rPr>
          <w:rFonts w:ascii="Times New Roman" w:hAnsi="Times New Roman"/>
          <w:sz w:val="24"/>
          <w:szCs w:val="24"/>
        </w:rPr>
        <w:t>all sales to f.  IPE(j,r) will be positive i</w:t>
      </w:r>
      <w:r w:rsidR="00ED45E4">
        <w:rPr>
          <w:rFonts w:ascii="Times New Roman" w:hAnsi="Times New Roman"/>
          <w:sz w:val="24"/>
          <w:szCs w:val="24"/>
        </w:rPr>
        <w:t xml:space="preserve">f (j,r) has strong performance </w:t>
      </w:r>
      <w:r w:rsidR="006B5B2A">
        <w:rPr>
          <w:rFonts w:ascii="Times New Roman" w:hAnsi="Times New Roman"/>
          <w:sz w:val="24"/>
          <w:szCs w:val="24"/>
        </w:rPr>
        <w:t>[g</w:t>
      </w:r>
      <w:r w:rsidR="006B5B2A">
        <w:rPr>
          <w:rFonts w:ascii="Times New Roman" w:hAnsi="Times New Roman"/>
          <w:sz w:val="24"/>
          <w:szCs w:val="24"/>
          <w:vertAlign w:val="subscript"/>
        </w:rPr>
        <w:t>f</w:t>
      </w:r>
      <w:r w:rsidR="006B5B2A">
        <w:rPr>
          <w:rFonts w:ascii="Times New Roman" w:hAnsi="Times New Roman"/>
          <w:sz w:val="24"/>
          <w:szCs w:val="24"/>
        </w:rPr>
        <w:t>(j,r) – gt</w:t>
      </w:r>
      <w:r w:rsidR="006B5B2A">
        <w:rPr>
          <w:rFonts w:ascii="Times New Roman" w:hAnsi="Times New Roman"/>
          <w:sz w:val="24"/>
          <w:szCs w:val="24"/>
          <w:vertAlign w:val="subscript"/>
        </w:rPr>
        <w:t>f</w:t>
      </w:r>
      <w:r w:rsidR="006B5B2A">
        <w:rPr>
          <w:rFonts w:ascii="Times New Roman" w:hAnsi="Times New Roman"/>
          <w:sz w:val="24"/>
          <w:szCs w:val="24"/>
        </w:rPr>
        <w:t>(r) &gt; 0] in markets that are important for the industry [S</w:t>
      </w:r>
      <w:r w:rsidR="006B5B2A">
        <w:rPr>
          <w:rFonts w:ascii="Times New Roman" w:hAnsi="Times New Roman"/>
          <w:sz w:val="24"/>
          <w:szCs w:val="24"/>
          <w:vertAlign w:val="subscript"/>
        </w:rPr>
        <w:t>f</w:t>
      </w:r>
      <w:r w:rsidR="006B5B2A">
        <w:rPr>
          <w:rFonts w:ascii="Times New Roman" w:hAnsi="Times New Roman"/>
          <w:sz w:val="24"/>
          <w:szCs w:val="24"/>
        </w:rPr>
        <w:t xml:space="preserve">(j,r) is large].  IPE(j,r) will be negative </w:t>
      </w:r>
      <w:r w:rsidR="00ED45E4">
        <w:rPr>
          <w:rFonts w:ascii="Times New Roman" w:hAnsi="Times New Roman"/>
          <w:sz w:val="24"/>
          <w:szCs w:val="24"/>
        </w:rPr>
        <w:t xml:space="preserve">if (j,r)  has weak performance </w:t>
      </w:r>
      <w:r w:rsidR="006B5B2A">
        <w:rPr>
          <w:rFonts w:ascii="Times New Roman" w:hAnsi="Times New Roman"/>
          <w:sz w:val="24"/>
          <w:szCs w:val="24"/>
        </w:rPr>
        <w:t>[g</w:t>
      </w:r>
      <w:r w:rsidR="006B5B2A">
        <w:rPr>
          <w:rFonts w:ascii="Times New Roman" w:hAnsi="Times New Roman"/>
          <w:sz w:val="24"/>
          <w:szCs w:val="24"/>
          <w:vertAlign w:val="subscript"/>
        </w:rPr>
        <w:t>f</w:t>
      </w:r>
      <w:r w:rsidR="006B5B2A">
        <w:rPr>
          <w:rFonts w:ascii="Times New Roman" w:hAnsi="Times New Roman"/>
          <w:sz w:val="24"/>
          <w:szCs w:val="24"/>
        </w:rPr>
        <w:t>(j,r) – gt</w:t>
      </w:r>
      <w:r w:rsidR="006B5B2A">
        <w:rPr>
          <w:rFonts w:ascii="Times New Roman" w:hAnsi="Times New Roman"/>
          <w:sz w:val="24"/>
          <w:szCs w:val="24"/>
          <w:vertAlign w:val="subscript"/>
        </w:rPr>
        <w:t>f</w:t>
      </w:r>
      <w:r w:rsidR="006B5B2A">
        <w:rPr>
          <w:rFonts w:ascii="Times New Roman" w:hAnsi="Times New Roman"/>
          <w:sz w:val="24"/>
          <w:szCs w:val="24"/>
        </w:rPr>
        <w:t xml:space="preserve">(r) &lt; 0] in its important markets.   </w:t>
      </w:r>
    </w:p>
    <w:p w:rsidR="007D55F2" w:rsidRDefault="007D55F2" w:rsidP="002731BD">
      <w:pPr>
        <w:ind w:left="0"/>
        <w:rPr>
          <w:rFonts w:ascii="Times New Roman" w:hAnsi="Times New Roman"/>
          <w:sz w:val="24"/>
          <w:szCs w:val="24"/>
          <w:highlight w:val="yellow"/>
        </w:rPr>
      </w:pPr>
      <w:r>
        <w:rPr>
          <w:rFonts w:ascii="Times New Roman" w:hAnsi="Times New Roman"/>
          <w:b/>
          <w:i/>
          <w:sz w:val="24"/>
          <w:szCs w:val="24"/>
        </w:rPr>
        <w:t>7.2.  Simulated growth rates in Canadian industries</w:t>
      </w:r>
    </w:p>
    <w:p w:rsidR="00770658" w:rsidRDefault="00DD7CAE" w:rsidP="002731BD">
      <w:pPr>
        <w:ind w:left="0"/>
        <w:rPr>
          <w:rFonts w:ascii="Times New Roman" w:hAnsi="Times New Roman"/>
          <w:sz w:val="24"/>
          <w:szCs w:val="24"/>
        </w:rPr>
        <w:sectPr w:rsidR="00770658" w:rsidSect="00E36C91">
          <w:pgSz w:w="11906" w:h="16838"/>
          <w:pgMar w:top="1440" w:right="1440" w:bottom="1440" w:left="1440" w:header="708" w:footer="708" w:gutter="0"/>
          <w:cols w:space="708"/>
          <w:docGrid w:linePitch="360"/>
        </w:sectPr>
      </w:pPr>
      <w:r w:rsidRPr="00DD7CAE">
        <w:rPr>
          <w:rFonts w:ascii="Times New Roman" w:hAnsi="Times New Roman"/>
          <w:sz w:val="24"/>
          <w:szCs w:val="24"/>
        </w:rPr>
        <w:t>Table 7.</w:t>
      </w:r>
      <w:r w:rsidR="005C7999">
        <w:rPr>
          <w:rFonts w:ascii="Times New Roman" w:hAnsi="Times New Roman"/>
          <w:sz w:val="24"/>
          <w:szCs w:val="24"/>
        </w:rPr>
        <w:t>3</w:t>
      </w:r>
      <w:r>
        <w:rPr>
          <w:rFonts w:ascii="Times New Roman" w:hAnsi="Times New Roman"/>
          <w:sz w:val="24"/>
          <w:szCs w:val="24"/>
        </w:rPr>
        <w:t xml:space="preserve"> has 4 panels corresponding to our 4 linked simulation</w:t>
      </w:r>
      <w:r w:rsidR="005C7999">
        <w:rPr>
          <w:rFonts w:ascii="Times New Roman" w:hAnsi="Times New Roman"/>
          <w:sz w:val="24"/>
          <w:szCs w:val="24"/>
        </w:rPr>
        <w:t>s</w:t>
      </w:r>
      <w:r>
        <w:rPr>
          <w:rFonts w:ascii="Times New Roman" w:hAnsi="Times New Roman"/>
          <w:sz w:val="24"/>
          <w:szCs w:val="24"/>
        </w:rPr>
        <w:t>.  The first column in each panel shows average annual growth rates for industry outputs in Canada</w:t>
      </w:r>
      <w:r w:rsidR="005C7999">
        <w:rPr>
          <w:rFonts w:ascii="Times New Roman" w:hAnsi="Times New Roman"/>
          <w:sz w:val="24"/>
          <w:szCs w:val="24"/>
        </w:rPr>
        <w:t xml:space="preserve">, </w:t>
      </w:r>
      <w:r w:rsidR="001E5F5F">
        <w:rPr>
          <w:rFonts w:ascii="Times New Roman" w:hAnsi="Times New Roman"/>
          <w:sz w:val="24"/>
          <w:szCs w:val="24"/>
        </w:rPr>
        <w:t xml:space="preserve">reproduced from </w:t>
      </w:r>
    </w:p>
    <w:p w:rsidR="00770658" w:rsidRPr="00BE2DA2" w:rsidRDefault="00770658" w:rsidP="00770658">
      <w:pPr>
        <w:spacing w:before="0" w:line="240" w:lineRule="auto"/>
        <w:ind w:left="0"/>
        <w:jc w:val="center"/>
        <w:rPr>
          <w:rFonts w:ascii="Times New Roman" w:hAnsi="Times New Roman"/>
          <w:b/>
          <w:i/>
          <w:sz w:val="24"/>
          <w:szCs w:val="24"/>
        </w:rPr>
      </w:pPr>
      <w:r>
        <w:rPr>
          <w:rFonts w:ascii="Times New Roman" w:hAnsi="Times New Roman"/>
          <w:b/>
          <w:i/>
          <w:sz w:val="24"/>
          <w:szCs w:val="24"/>
        </w:rPr>
        <w:lastRenderedPageBreak/>
        <w:t>Table 7.3.  Average annual growth rates for Canadian industries and decomposition into sales-mix and industry-performance effects</w:t>
      </w:r>
    </w:p>
    <w:tbl>
      <w:tblPr>
        <w:tblStyle w:val="TableGrid"/>
        <w:tblW w:w="1172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80"/>
        <w:gridCol w:w="680"/>
        <w:gridCol w:w="680"/>
        <w:gridCol w:w="680"/>
        <w:gridCol w:w="680"/>
        <w:gridCol w:w="680"/>
        <w:gridCol w:w="680"/>
        <w:gridCol w:w="680"/>
        <w:gridCol w:w="680"/>
        <w:gridCol w:w="680"/>
        <w:gridCol w:w="680"/>
        <w:gridCol w:w="680"/>
        <w:gridCol w:w="680"/>
        <w:gridCol w:w="680"/>
        <w:gridCol w:w="680"/>
        <w:gridCol w:w="680"/>
      </w:tblGrid>
      <w:tr w:rsidR="00770658" w:rsidTr="0072488F">
        <w:tc>
          <w:tcPr>
            <w:tcW w:w="846" w:type="dxa"/>
            <w:tcBorders>
              <w:top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ind w:left="29"/>
              <w:jc w:val="right"/>
              <w:rPr>
                <w:rFonts w:ascii="Times New Roman" w:hAnsi="Times New Roman"/>
                <w:color w:val="000000"/>
                <w:sz w:val="18"/>
                <w:szCs w:val="18"/>
                <w:lang w:eastAsia="en-AU"/>
              </w:rPr>
            </w:pPr>
          </w:p>
        </w:tc>
        <w:tc>
          <w:tcPr>
            <w:tcW w:w="2720" w:type="dxa"/>
            <w:gridSpan w:val="4"/>
            <w:tcBorders>
              <w:top w:val="single" w:sz="18" w:space="0" w:color="7F7F7F" w:themeColor="text1" w:themeTint="80"/>
              <w:left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2014-2019</w:t>
            </w:r>
          </w:p>
        </w:tc>
        <w:tc>
          <w:tcPr>
            <w:tcW w:w="2720" w:type="dxa"/>
            <w:gridSpan w:val="4"/>
            <w:tcBorders>
              <w:top w:val="single" w:sz="18" w:space="0" w:color="7F7F7F" w:themeColor="text1" w:themeTint="80"/>
              <w:left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2019-</w:t>
            </w:r>
            <w:r w:rsidRPr="00D50932">
              <w:rPr>
                <w:rFonts w:ascii="Times New Roman" w:hAnsi="Times New Roman"/>
                <w:color w:val="000000"/>
                <w:sz w:val="18"/>
                <w:szCs w:val="18"/>
              </w:rPr>
              <w:t>2030</w:t>
            </w:r>
          </w:p>
        </w:tc>
        <w:tc>
          <w:tcPr>
            <w:tcW w:w="2720" w:type="dxa"/>
            <w:gridSpan w:val="4"/>
            <w:tcBorders>
              <w:top w:val="single" w:sz="18" w:space="0" w:color="7F7F7F" w:themeColor="text1" w:themeTint="80"/>
              <w:left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2030-</w:t>
            </w:r>
            <w:r w:rsidRPr="00D50932">
              <w:rPr>
                <w:rFonts w:ascii="Times New Roman" w:hAnsi="Times New Roman"/>
                <w:color w:val="000000"/>
                <w:sz w:val="18"/>
                <w:szCs w:val="18"/>
              </w:rPr>
              <w:t>2040</w:t>
            </w:r>
          </w:p>
        </w:tc>
        <w:tc>
          <w:tcPr>
            <w:tcW w:w="2720" w:type="dxa"/>
            <w:gridSpan w:val="4"/>
            <w:tcBorders>
              <w:top w:val="single" w:sz="18" w:space="0" w:color="7F7F7F" w:themeColor="text1" w:themeTint="80"/>
              <w:lef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2040-</w:t>
            </w:r>
            <w:r w:rsidRPr="00D50932">
              <w:rPr>
                <w:rFonts w:ascii="Times New Roman" w:hAnsi="Times New Roman"/>
                <w:color w:val="000000"/>
                <w:sz w:val="18"/>
                <w:szCs w:val="18"/>
              </w:rPr>
              <w:t>2050</w:t>
            </w:r>
          </w:p>
        </w:tc>
      </w:tr>
      <w:tr w:rsidR="00770658" w:rsidTr="0072488F">
        <w:tc>
          <w:tcPr>
            <w:tcW w:w="846" w:type="dxa"/>
            <w:tcBorders>
              <w:bottom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Pr>
                <w:rFonts w:ascii="Times New Roman" w:hAnsi="Times New Roman"/>
                <w:color w:val="000000"/>
                <w:sz w:val="18"/>
                <w:szCs w:val="18"/>
              </w:rPr>
              <w:t>Industry</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left w:val="nil"/>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r>
      <w:tr w:rsidR="00770658" w:rsidTr="0072488F">
        <w:tc>
          <w:tcPr>
            <w:tcW w:w="846" w:type="dxa"/>
            <w:tcBorders>
              <w:top w:val="single" w:sz="18"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 pdr</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ind w:left="0"/>
              <w:jc w:val="right"/>
              <w:rPr>
                <w:rFonts w:ascii="Times New Roman" w:hAnsi="Times New Roman"/>
                <w:color w:val="000000"/>
                <w:sz w:val="18"/>
                <w:szCs w:val="18"/>
                <w:lang w:eastAsia="en-AU"/>
              </w:rPr>
            </w:pPr>
            <w:r w:rsidRPr="00684E4D">
              <w:rPr>
                <w:rFonts w:ascii="Times New Roman" w:hAnsi="Times New Roman"/>
                <w:color w:val="000000"/>
                <w:sz w:val="18"/>
                <w:szCs w:val="18"/>
              </w:rPr>
              <w:t>1.29</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-0.64</w:t>
            </w:r>
          </w:p>
        </w:tc>
        <w:tc>
          <w:tcPr>
            <w:tcW w:w="680" w:type="dxa"/>
            <w:tcBorders>
              <w:top w:val="single" w:sz="18"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1.24</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-0.26</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-0.27</w:t>
            </w:r>
          </w:p>
        </w:tc>
        <w:tc>
          <w:tcPr>
            <w:tcW w:w="680" w:type="dxa"/>
            <w:tcBorders>
              <w:top w:val="single" w:sz="18"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1.88</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-0.27</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-0.29</w:t>
            </w:r>
          </w:p>
        </w:tc>
        <w:tc>
          <w:tcPr>
            <w:tcW w:w="680" w:type="dxa"/>
            <w:tcBorders>
              <w:top w:val="single" w:sz="18"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1.67</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 wht</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6.15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4.23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3.45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2.11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-0.82</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 gro</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2.38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2.66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2.15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 v_f</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2.26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2.67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2.55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 osd</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4.37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1.45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0.58</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6 c_b</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7 pfb</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8 ocr</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3.79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1.49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2.32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-0.61</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9 ctl</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1.49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10 oap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1.47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2.67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-0.12</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11 rmk</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12 wol</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5.23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3.31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3.31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3.90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2.63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-0.86</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13 frs</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2.64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14 fsh</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-2.23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2.67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2.32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15 coa</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-4.36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-4.96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-2.25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-3.76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-3.31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-2.33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-3.00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-3.00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16 oil</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-3.94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-4.66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-3.46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-3.65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17 gas</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-2.14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-3.25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-3.62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-2.86</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18 omn</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2.27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2.54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19 cmt</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2.82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20 omt</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5.40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3.49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2.28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3.65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0.87</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21 vol</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3.90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2.13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22 mil</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-0.47</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23 pcr</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24 sgr</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25 ofd</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2.80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26 b_t</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1.94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2.22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0.17</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27 tex</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3.69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3.97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2.64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0.72</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28 wap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3.18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3.97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29 lea</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7.33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5.41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4.70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4.49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2.34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1.84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2.59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30 lum</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3.47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1.55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1.48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-1.69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2.80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31 ppp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3.22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0.17</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32 p_c</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3.28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2.22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33 crp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3.29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1.38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3.34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0.18</w:t>
            </w:r>
          </w:p>
        </w:tc>
      </w:tr>
      <w:tr w:rsidR="00770658" w:rsidTr="0072488F">
        <w:trPr>
          <w:trHeight w:val="179"/>
        </w:trPr>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34 nmm</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0.82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-1.01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2.44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0.36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-0.01</w:t>
            </w:r>
          </w:p>
        </w:tc>
      </w:tr>
      <w:tr w:rsidR="00770658" w:rsidTr="0072488F">
        <w:tc>
          <w:tcPr>
            <w:tcW w:w="846" w:type="dxa"/>
            <w:tcBorders>
              <w:top w:val="single" w:sz="4" w:space="0" w:color="7F7F7F" w:themeColor="text1" w:themeTint="80"/>
              <w:bottom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35 i_s</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1.48</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-0.44</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bottom w:val="single" w:sz="18"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-0.50</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-0.24</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-1.74</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-0.98</w:t>
            </w:r>
          </w:p>
        </w:tc>
        <w:tc>
          <w:tcPr>
            <w:tcW w:w="680" w:type="dxa"/>
            <w:tcBorders>
              <w:top w:val="single" w:sz="4" w:space="0" w:color="7F7F7F" w:themeColor="text1" w:themeTint="80"/>
              <w:bottom w:val="single" w:sz="18"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-0.76</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2.92</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0.76</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0.69</w:t>
            </w:r>
          </w:p>
        </w:tc>
        <w:tc>
          <w:tcPr>
            <w:tcW w:w="680" w:type="dxa"/>
            <w:tcBorders>
              <w:top w:val="single" w:sz="4" w:space="0" w:color="7F7F7F" w:themeColor="text1" w:themeTint="80"/>
              <w:bottom w:val="single" w:sz="18" w:space="0" w:color="7F7F7F" w:themeColor="text1" w:themeTint="80"/>
              <w:right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1.28</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line="240" w:lineRule="auto"/>
              <w:jc w:val="right"/>
              <w:rPr>
                <w:rFonts w:ascii="Times New Roman" w:hAnsi="Times New Roman"/>
                <w:color w:val="000000"/>
                <w:sz w:val="18"/>
                <w:szCs w:val="18"/>
              </w:rPr>
            </w:pPr>
            <w:r w:rsidRPr="00684E4D">
              <w:rPr>
                <w:rFonts w:ascii="Times New Roman" w:hAnsi="Times New Roman"/>
                <w:color w:val="000000"/>
                <w:sz w:val="18"/>
                <w:szCs w:val="18"/>
              </w:rPr>
              <w:t>-0.42</w:t>
            </w:r>
          </w:p>
        </w:tc>
      </w:tr>
    </w:tbl>
    <w:p w:rsidR="00770658" w:rsidRDefault="00770658" w:rsidP="00770658">
      <w:pPr>
        <w:ind w:right="1625"/>
        <w:jc w:val="right"/>
        <w:rPr>
          <w:rFonts w:ascii="Times New Roman" w:hAnsi="Times New Roman"/>
          <w:b/>
          <w:i/>
          <w:sz w:val="24"/>
          <w:szCs w:val="24"/>
        </w:rPr>
      </w:pPr>
      <w:r>
        <w:rPr>
          <w:rFonts w:ascii="Times New Roman" w:hAnsi="Times New Roman"/>
          <w:b/>
          <w:i/>
          <w:sz w:val="24"/>
          <w:szCs w:val="24"/>
        </w:rPr>
        <w:t>Table7.3  continued …</w:t>
      </w:r>
      <w:r>
        <w:rPr>
          <w:rFonts w:ascii="Times New Roman" w:hAnsi="Times New Roman"/>
          <w:b/>
          <w:i/>
          <w:sz w:val="24"/>
          <w:szCs w:val="24"/>
        </w:rPr>
        <w:br w:type="page"/>
      </w:r>
    </w:p>
    <w:p w:rsidR="00770658" w:rsidRPr="008F45A8" w:rsidRDefault="00770658" w:rsidP="00770658">
      <w:pPr>
        <w:spacing w:before="0" w:line="240" w:lineRule="auto"/>
        <w:ind w:left="709"/>
        <w:rPr>
          <w:rFonts w:ascii="Times New Roman" w:hAnsi="Times New Roman"/>
          <w:sz w:val="24"/>
          <w:szCs w:val="24"/>
        </w:rPr>
      </w:pPr>
      <w:r>
        <w:rPr>
          <w:rFonts w:ascii="Times New Roman" w:hAnsi="Times New Roman"/>
          <w:b/>
          <w:i/>
          <w:sz w:val="24"/>
          <w:szCs w:val="24"/>
        </w:rPr>
        <w:lastRenderedPageBreak/>
        <w:t>… Table 7.3 continues</w:t>
      </w:r>
    </w:p>
    <w:tbl>
      <w:tblPr>
        <w:tblStyle w:val="TableGrid"/>
        <w:tblW w:w="1172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80"/>
        <w:gridCol w:w="680"/>
        <w:gridCol w:w="680"/>
        <w:gridCol w:w="680"/>
        <w:gridCol w:w="680"/>
        <w:gridCol w:w="680"/>
        <w:gridCol w:w="680"/>
        <w:gridCol w:w="680"/>
        <w:gridCol w:w="680"/>
        <w:gridCol w:w="680"/>
        <w:gridCol w:w="680"/>
        <w:gridCol w:w="680"/>
        <w:gridCol w:w="680"/>
        <w:gridCol w:w="680"/>
        <w:gridCol w:w="680"/>
        <w:gridCol w:w="680"/>
      </w:tblGrid>
      <w:tr w:rsidR="00770658" w:rsidTr="0072488F">
        <w:tc>
          <w:tcPr>
            <w:tcW w:w="846" w:type="dxa"/>
            <w:tcBorders>
              <w:top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ind w:left="29"/>
              <w:jc w:val="right"/>
              <w:rPr>
                <w:rFonts w:ascii="Times New Roman" w:hAnsi="Times New Roman"/>
                <w:color w:val="000000"/>
                <w:sz w:val="18"/>
                <w:szCs w:val="18"/>
                <w:lang w:eastAsia="en-AU"/>
              </w:rPr>
            </w:pPr>
          </w:p>
        </w:tc>
        <w:tc>
          <w:tcPr>
            <w:tcW w:w="2720" w:type="dxa"/>
            <w:gridSpan w:val="4"/>
            <w:tcBorders>
              <w:top w:val="single" w:sz="18" w:space="0" w:color="7F7F7F" w:themeColor="text1" w:themeTint="80"/>
              <w:left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2014-2019</w:t>
            </w:r>
          </w:p>
        </w:tc>
        <w:tc>
          <w:tcPr>
            <w:tcW w:w="2720" w:type="dxa"/>
            <w:gridSpan w:val="4"/>
            <w:tcBorders>
              <w:top w:val="single" w:sz="18" w:space="0" w:color="7F7F7F" w:themeColor="text1" w:themeTint="80"/>
              <w:left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2019-</w:t>
            </w:r>
            <w:r w:rsidRPr="00D50932">
              <w:rPr>
                <w:rFonts w:ascii="Times New Roman" w:hAnsi="Times New Roman"/>
                <w:color w:val="000000"/>
                <w:sz w:val="18"/>
                <w:szCs w:val="18"/>
              </w:rPr>
              <w:t>2030</w:t>
            </w:r>
          </w:p>
        </w:tc>
        <w:tc>
          <w:tcPr>
            <w:tcW w:w="2720" w:type="dxa"/>
            <w:gridSpan w:val="4"/>
            <w:tcBorders>
              <w:top w:val="single" w:sz="18" w:space="0" w:color="7F7F7F" w:themeColor="text1" w:themeTint="80"/>
              <w:left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2030-</w:t>
            </w:r>
            <w:r w:rsidRPr="00D50932">
              <w:rPr>
                <w:rFonts w:ascii="Times New Roman" w:hAnsi="Times New Roman"/>
                <w:color w:val="000000"/>
                <w:sz w:val="18"/>
                <w:szCs w:val="18"/>
              </w:rPr>
              <w:t>2040</w:t>
            </w:r>
          </w:p>
        </w:tc>
        <w:tc>
          <w:tcPr>
            <w:tcW w:w="2720" w:type="dxa"/>
            <w:gridSpan w:val="4"/>
            <w:tcBorders>
              <w:top w:val="single" w:sz="18" w:space="0" w:color="7F7F7F" w:themeColor="text1" w:themeTint="80"/>
              <w:left w:val="single" w:sz="18" w:space="0" w:color="7F7F7F" w:themeColor="text1" w:themeTint="80"/>
            </w:tcBorders>
          </w:tcPr>
          <w:p w:rsidR="00770658" w:rsidRPr="00D50932" w:rsidRDefault="00770658" w:rsidP="0072488F">
            <w:pPr>
              <w:spacing w:before="0" w:line="240" w:lineRule="auto"/>
              <w:jc w:val="center"/>
              <w:rPr>
                <w:rFonts w:ascii="Times New Roman" w:hAnsi="Times New Roman"/>
                <w:color w:val="000000"/>
                <w:sz w:val="18"/>
                <w:szCs w:val="18"/>
              </w:rPr>
            </w:pPr>
            <w:r>
              <w:rPr>
                <w:rFonts w:ascii="Times New Roman" w:hAnsi="Times New Roman"/>
                <w:color w:val="000000"/>
                <w:sz w:val="18"/>
                <w:szCs w:val="18"/>
              </w:rPr>
              <w:t>2040-</w:t>
            </w:r>
            <w:r w:rsidRPr="00D50932">
              <w:rPr>
                <w:rFonts w:ascii="Times New Roman" w:hAnsi="Times New Roman"/>
                <w:color w:val="000000"/>
                <w:sz w:val="18"/>
                <w:szCs w:val="18"/>
              </w:rPr>
              <w:t>2050</w:t>
            </w:r>
          </w:p>
        </w:tc>
      </w:tr>
      <w:tr w:rsidR="00770658" w:rsidTr="0072488F">
        <w:tc>
          <w:tcPr>
            <w:tcW w:w="846" w:type="dxa"/>
            <w:tcBorders>
              <w:bottom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Pr>
                <w:rFonts w:ascii="Times New Roman" w:hAnsi="Times New Roman"/>
                <w:color w:val="000000"/>
                <w:sz w:val="18"/>
                <w:szCs w:val="18"/>
              </w:rPr>
              <w:t>Industry</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right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c>
          <w:tcPr>
            <w:tcW w:w="680" w:type="dxa"/>
            <w:tcBorders>
              <w:left w:val="single" w:sz="18" w:space="0" w:color="7F7F7F" w:themeColor="text1" w:themeTint="80"/>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Output</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Gap</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SME</w:t>
            </w:r>
          </w:p>
        </w:tc>
        <w:tc>
          <w:tcPr>
            <w:tcW w:w="680" w:type="dxa"/>
            <w:tcBorders>
              <w:bottom w:val="single" w:sz="18" w:space="0" w:color="7F7F7F" w:themeColor="text1" w:themeTint="80"/>
            </w:tcBorders>
            <w:vAlign w:val="bottom"/>
          </w:tcPr>
          <w:p w:rsidR="00770658" w:rsidRPr="00D50932" w:rsidRDefault="00770658" w:rsidP="0072488F">
            <w:pPr>
              <w:spacing w:before="0" w:line="240" w:lineRule="auto"/>
              <w:jc w:val="right"/>
              <w:rPr>
                <w:rFonts w:ascii="Times New Roman" w:hAnsi="Times New Roman"/>
                <w:color w:val="000000"/>
                <w:sz w:val="18"/>
                <w:szCs w:val="18"/>
              </w:rPr>
            </w:pPr>
            <w:r>
              <w:rPr>
                <w:rFonts w:ascii="Times New Roman" w:hAnsi="Times New Roman"/>
                <w:color w:val="000000"/>
                <w:sz w:val="18"/>
                <w:szCs w:val="18"/>
              </w:rPr>
              <w:t>IPE</w:t>
            </w:r>
          </w:p>
        </w:tc>
      </w:tr>
      <w:tr w:rsidR="00770658" w:rsidTr="0072488F">
        <w:tc>
          <w:tcPr>
            <w:tcW w:w="846" w:type="dxa"/>
            <w:tcBorders>
              <w:top w:val="single" w:sz="18"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36 nfm</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line="240" w:lineRule="auto"/>
              <w:ind w:left="0"/>
              <w:jc w:val="right"/>
              <w:rPr>
                <w:rFonts w:ascii="Times New Roman" w:hAnsi="Times New Roman"/>
                <w:color w:val="000000"/>
                <w:sz w:val="18"/>
                <w:szCs w:val="18"/>
                <w:lang w:eastAsia="en-AU"/>
              </w:rPr>
            </w:pPr>
            <w:r w:rsidRPr="00684E4D">
              <w:rPr>
                <w:rFonts w:ascii="Times New Roman" w:hAnsi="Times New Roman"/>
                <w:color w:val="000000"/>
                <w:sz w:val="18"/>
                <w:szCs w:val="18"/>
              </w:rPr>
              <w:t>2.61</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0.69</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0.60</w:t>
            </w:r>
          </w:p>
        </w:tc>
        <w:tc>
          <w:tcPr>
            <w:tcW w:w="680" w:type="dxa"/>
            <w:tcBorders>
              <w:top w:val="single" w:sz="18"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1.46</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-0.60</w:t>
            </w:r>
          </w:p>
        </w:tc>
        <w:tc>
          <w:tcPr>
            <w:tcW w:w="680" w:type="dxa"/>
            <w:tcBorders>
              <w:top w:val="single" w:sz="18"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0.55</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3.23</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1.08</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0.86</w:t>
            </w:r>
          </w:p>
        </w:tc>
        <w:tc>
          <w:tcPr>
            <w:tcW w:w="680" w:type="dxa"/>
            <w:tcBorders>
              <w:top w:val="single" w:sz="18"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0.18</w:t>
            </w:r>
          </w:p>
        </w:tc>
        <w:tc>
          <w:tcPr>
            <w:tcW w:w="680" w:type="dxa"/>
            <w:tcBorders>
              <w:top w:val="single" w:sz="18"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1.26</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-0.55</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-0.53</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37 fmp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-0.70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-0.81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2.87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0.72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-0.22</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38 mvh</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-2.19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-0.93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3.10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0.95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2.23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0.33</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39 otn</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4.32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2.40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-0.84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3.63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1.48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0.79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40 ele</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1.28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-0.88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-1.48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2.86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0.71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-1.19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-1.17</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41 ome</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2.97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1.12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-1.34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3.48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1.33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0.89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1.38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-0.41</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42 omf</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-1.40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-1.05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3.24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1.09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0.91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43 ely</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2.77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0.85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2.45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44 gdt</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2.41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2.35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45 wtr</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1.78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46 cns</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-1.75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0.92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47 trd</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1.78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48 otp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2.44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2.29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49 wtp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2.90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0.98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0.56</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0.39</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2.36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0.09</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50 atp</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1.40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51 cmn</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1.76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-0.05</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52 ofi</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0.24</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2.11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53 isr</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-0.20</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2.28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54 obs</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1.66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-0.19</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1.29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-0.14</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-0.07</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1.74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-0.04</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r>
      <w:tr w:rsidR="00770658" w:rsidTr="0072488F">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55 ros</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1.52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0.32</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-0.32</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-0.13</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1.78</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-0.06</w:t>
            </w:r>
          </w:p>
        </w:tc>
      </w:tr>
      <w:tr w:rsidR="00770658" w:rsidTr="0072488F">
        <w:trPr>
          <w:trHeight w:val="70"/>
        </w:trPr>
        <w:tc>
          <w:tcPr>
            <w:tcW w:w="846" w:type="dxa"/>
            <w:tcBorders>
              <w:top w:val="single" w:sz="4" w:space="0" w:color="7F7F7F" w:themeColor="text1" w:themeTint="80"/>
              <w:bottom w:val="single" w:sz="4"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56 osg</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1.95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0.45</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0.51</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-0.08</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1.86</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-0.29</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-0.30</w:t>
            </w:r>
          </w:p>
        </w:tc>
        <w:tc>
          <w:tcPr>
            <w:tcW w:w="680" w:type="dxa"/>
            <w:tcBorders>
              <w:top w:val="single" w:sz="4" w:space="0" w:color="7F7F7F" w:themeColor="text1" w:themeTint="80"/>
              <w:bottom w:val="single" w:sz="4"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left w:val="single" w:sz="18"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1.82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0.02</w:t>
            </w:r>
          </w:p>
        </w:tc>
        <w:tc>
          <w:tcPr>
            <w:tcW w:w="680" w:type="dxa"/>
            <w:tcBorders>
              <w:top w:val="single" w:sz="4" w:space="0" w:color="7F7F7F" w:themeColor="text1" w:themeTint="80"/>
              <w:bottom w:val="single" w:sz="4"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-0.01</w:t>
            </w:r>
          </w:p>
        </w:tc>
      </w:tr>
      <w:tr w:rsidR="00770658" w:rsidTr="0072488F">
        <w:tc>
          <w:tcPr>
            <w:tcW w:w="846" w:type="dxa"/>
            <w:tcBorders>
              <w:top w:val="single" w:sz="4" w:space="0" w:color="7F7F7F" w:themeColor="text1" w:themeTint="80"/>
              <w:bottom w:val="single" w:sz="18" w:space="0" w:color="7F7F7F" w:themeColor="text1" w:themeTint="80"/>
              <w:right w:val="single" w:sz="18" w:space="0" w:color="7F7F7F" w:themeColor="text1" w:themeTint="80"/>
            </w:tcBorders>
          </w:tcPr>
          <w:p w:rsidR="00770658" w:rsidRPr="00D50932" w:rsidRDefault="00770658" w:rsidP="0072488F">
            <w:pPr>
              <w:spacing w:before="0" w:line="240" w:lineRule="auto"/>
              <w:ind w:left="29"/>
              <w:rPr>
                <w:rFonts w:ascii="Times New Roman" w:hAnsi="Times New Roman"/>
                <w:color w:val="000000"/>
                <w:sz w:val="18"/>
                <w:szCs w:val="18"/>
              </w:rPr>
            </w:pPr>
            <w:r w:rsidRPr="00D50932">
              <w:rPr>
                <w:rFonts w:ascii="Times New Roman" w:hAnsi="Times New Roman"/>
                <w:color w:val="000000"/>
                <w:sz w:val="18"/>
                <w:szCs w:val="18"/>
              </w:rPr>
              <w:t>57 dwe</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3.00</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1.09</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bottom w:val="single" w:sz="18"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0.54</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2.65</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1.15</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0.61</w:t>
            </w:r>
          </w:p>
        </w:tc>
        <w:tc>
          <w:tcPr>
            <w:tcW w:w="680" w:type="dxa"/>
            <w:tcBorders>
              <w:top w:val="single" w:sz="4" w:space="0" w:color="7F7F7F" w:themeColor="text1" w:themeTint="80"/>
              <w:bottom w:val="single" w:sz="18"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0.52</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2.30</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0.15</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-0.32</w:t>
            </w:r>
          </w:p>
        </w:tc>
        <w:tc>
          <w:tcPr>
            <w:tcW w:w="680" w:type="dxa"/>
            <w:tcBorders>
              <w:top w:val="single" w:sz="4" w:space="0" w:color="7F7F7F" w:themeColor="text1" w:themeTint="80"/>
              <w:bottom w:val="single" w:sz="18" w:space="0" w:color="7F7F7F" w:themeColor="text1" w:themeTint="80"/>
              <w:right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0.45</w:t>
            </w:r>
          </w:p>
        </w:tc>
        <w:tc>
          <w:tcPr>
            <w:tcW w:w="680" w:type="dxa"/>
            <w:tcBorders>
              <w:top w:val="single" w:sz="4" w:space="0" w:color="7F7F7F" w:themeColor="text1" w:themeTint="80"/>
              <w:left w:val="single" w:sz="18"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2.16</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0.36</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0.03</w:t>
            </w:r>
          </w:p>
        </w:tc>
        <w:tc>
          <w:tcPr>
            <w:tcW w:w="680" w:type="dxa"/>
            <w:tcBorders>
              <w:top w:val="single" w:sz="4" w:space="0" w:color="7F7F7F" w:themeColor="text1" w:themeTint="80"/>
              <w:bottom w:val="single" w:sz="18" w:space="0" w:color="7F7F7F" w:themeColor="text1" w:themeTint="80"/>
            </w:tcBorders>
            <w:vAlign w:val="bottom"/>
          </w:tcPr>
          <w:p w:rsidR="00770658" w:rsidRPr="00684E4D" w:rsidRDefault="00770658" w:rsidP="0072488F">
            <w:pPr>
              <w:spacing w:before="0"/>
              <w:jc w:val="right"/>
              <w:rPr>
                <w:rFonts w:ascii="Times New Roman" w:hAnsi="Times New Roman"/>
                <w:color w:val="000000"/>
                <w:sz w:val="18"/>
                <w:szCs w:val="18"/>
              </w:rPr>
            </w:pPr>
            <w:r w:rsidRPr="00684E4D">
              <w:rPr>
                <w:rFonts w:ascii="Times New Roman" w:hAnsi="Times New Roman"/>
                <w:color w:val="000000"/>
                <w:sz w:val="18"/>
                <w:szCs w:val="18"/>
              </w:rPr>
              <w:t>0.32</w:t>
            </w:r>
          </w:p>
        </w:tc>
      </w:tr>
    </w:tbl>
    <w:p w:rsidR="00770658" w:rsidRDefault="00770658" w:rsidP="00770658">
      <w:pPr>
        <w:spacing w:before="0" w:line="240" w:lineRule="auto"/>
        <w:ind w:left="0"/>
        <w:rPr>
          <w:rFonts w:ascii="Times New Roman" w:hAnsi="Times New Roman"/>
          <w:sz w:val="24"/>
          <w:szCs w:val="24"/>
        </w:rPr>
      </w:pPr>
    </w:p>
    <w:p w:rsidR="00770658" w:rsidRDefault="00770658" w:rsidP="00770658">
      <w:pPr>
        <w:spacing w:before="0" w:line="240" w:lineRule="auto"/>
        <w:ind w:left="0"/>
        <w:rPr>
          <w:rFonts w:ascii="Times New Roman" w:hAnsi="Times New Roman"/>
          <w:sz w:val="24"/>
          <w:szCs w:val="24"/>
        </w:rPr>
      </w:pPr>
    </w:p>
    <w:p w:rsidR="00770658" w:rsidRDefault="00770658" w:rsidP="00770658">
      <w:pPr>
        <w:ind w:left="0"/>
        <w:rPr>
          <w:rFonts w:ascii="Times New Roman" w:hAnsi="Times New Roman"/>
          <w:sz w:val="24"/>
          <w:szCs w:val="24"/>
        </w:rPr>
      </w:pPr>
    </w:p>
    <w:p w:rsidR="00770658" w:rsidRDefault="00770658" w:rsidP="00770658">
      <w:pPr>
        <w:ind w:left="0"/>
        <w:rPr>
          <w:rFonts w:ascii="Times New Roman" w:hAnsi="Times New Roman"/>
          <w:sz w:val="24"/>
          <w:szCs w:val="24"/>
        </w:rPr>
      </w:pPr>
    </w:p>
    <w:p w:rsidR="00770658" w:rsidRDefault="00770658" w:rsidP="002731BD">
      <w:pPr>
        <w:ind w:left="0"/>
        <w:rPr>
          <w:rFonts w:ascii="Times New Roman" w:hAnsi="Times New Roman"/>
          <w:sz w:val="24"/>
          <w:szCs w:val="24"/>
        </w:rPr>
      </w:pPr>
    </w:p>
    <w:p w:rsidR="00770658" w:rsidRDefault="00770658" w:rsidP="002731BD">
      <w:pPr>
        <w:ind w:left="0"/>
        <w:rPr>
          <w:rFonts w:ascii="Times New Roman" w:hAnsi="Times New Roman"/>
          <w:sz w:val="24"/>
          <w:szCs w:val="24"/>
        </w:rPr>
      </w:pPr>
    </w:p>
    <w:p w:rsidR="00770658" w:rsidRDefault="00770658" w:rsidP="002731BD">
      <w:pPr>
        <w:ind w:left="0"/>
        <w:rPr>
          <w:rFonts w:ascii="Times New Roman" w:hAnsi="Times New Roman"/>
          <w:sz w:val="24"/>
          <w:szCs w:val="24"/>
        </w:rPr>
        <w:sectPr w:rsidR="00770658" w:rsidSect="00770658">
          <w:pgSz w:w="16838" w:h="11906" w:orient="landscape"/>
          <w:pgMar w:top="1440" w:right="1440" w:bottom="1440" w:left="1440" w:header="708" w:footer="708" w:gutter="0"/>
          <w:cols w:space="708"/>
          <w:docGrid w:linePitch="360"/>
        </w:sectPr>
      </w:pPr>
    </w:p>
    <w:p w:rsidR="007D55F2" w:rsidRPr="00DD7CAE" w:rsidRDefault="001E5F5F" w:rsidP="002731BD">
      <w:pPr>
        <w:ind w:left="0"/>
        <w:rPr>
          <w:rFonts w:ascii="Times New Roman" w:hAnsi="Times New Roman"/>
          <w:sz w:val="24"/>
          <w:szCs w:val="24"/>
        </w:rPr>
      </w:pPr>
      <w:r>
        <w:rPr>
          <w:rFonts w:ascii="Times New Roman" w:hAnsi="Times New Roman"/>
          <w:sz w:val="24"/>
          <w:szCs w:val="24"/>
        </w:rPr>
        <w:lastRenderedPageBreak/>
        <w:t>Table 7.1</w:t>
      </w:r>
      <w:r w:rsidR="0064231E">
        <w:rPr>
          <w:rFonts w:ascii="Times New Roman" w:hAnsi="Times New Roman"/>
          <w:sz w:val="24"/>
          <w:szCs w:val="24"/>
        </w:rPr>
        <w:t xml:space="preserve">.  The second column is the gap between the industry and GDP growth rates </w:t>
      </w:r>
      <w:r w:rsidR="001476DA">
        <w:rPr>
          <w:rFonts w:ascii="Times New Roman" w:hAnsi="Times New Roman"/>
          <w:sz w:val="24"/>
          <w:szCs w:val="24"/>
        </w:rPr>
        <w:br/>
      </w:r>
      <w:r w:rsidR="0064231E">
        <w:rPr>
          <w:rFonts w:ascii="Times New Roman" w:hAnsi="Times New Roman"/>
          <w:sz w:val="24"/>
          <w:szCs w:val="24"/>
        </w:rPr>
        <w:t>[</w:t>
      </w:r>
      <w:r w:rsidR="0064231E" w:rsidRPr="0064231E">
        <w:rPr>
          <w:rFonts w:ascii="Times New Roman" w:hAnsi="Times New Roman"/>
          <w:position w:val="-12"/>
          <w:sz w:val="24"/>
          <w:szCs w:val="24"/>
        </w:rPr>
        <w:object w:dxaOrig="2580" w:dyaOrig="360">
          <v:shape id="_x0000_i1061" type="#_x0000_t75" style="width:129pt;height:18pt" o:ole="">
            <v:imagedata r:id="rId86" o:title=""/>
          </v:shape>
          <o:OLEObject Type="Embed" ProgID="Equation.DSMT4" ShapeID="_x0000_i1061" DrawAspect="Content" ObjectID="_1774671682" r:id="rId87"/>
        </w:object>
      </w:r>
      <w:r w:rsidR="0064231E">
        <w:rPr>
          <w:rFonts w:ascii="Times New Roman" w:hAnsi="Times New Roman"/>
          <w:sz w:val="24"/>
          <w:szCs w:val="24"/>
        </w:rPr>
        <w:t>, the RHS of (7.3)].  The third and fourth columns are the decomposition of the gaps into sales-mix and industry-performance effects.</w:t>
      </w:r>
      <w:r w:rsidR="001C2DDC">
        <w:rPr>
          <w:rStyle w:val="FootnoteReference"/>
          <w:rFonts w:ascii="Times New Roman" w:hAnsi="Times New Roman"/>
          <w:sz w:val="24"/>
          <w:szCs w:val="24"/>
        </w:rPr>
        <w:footnoteReference w:id="7"/>
      </w:r>
      <w:r w:rsidR="0064231E">
        <w:rPr>
          <w:rFonts w:ascii="Times New Roman" w:hAnsi="Times New Roman"/>
          <w:sz w:val="24"/>
          <w:szCs w:val="24"/>
        </w:rPr>
        <w:t xml:space="preserve">   </w:t>
      </w:r>
    </w:p>
    <w:p w:rsidR="0081337A" w:rsidRDefault="0081337A" w:rsidP="002731BD">
      <w:pPr>
        <w:ind w:left="0"/>
        <w:rPr>
          <w:rFonts w:ascii="Times New Roman" w:hAnsi="Times New Roman"/>
          <w:sz w:val="24"/>
          <w:szCs w:val="24"/>
        </w:rPr>
      </w:pPr>
      <w:r>
        <w:rPr>
          <w:rFonts w:ascii="Times New Roman" w:hAnsi="Times New Roman"/>
          <w:sz w:val="24"/>
          <w:szCs w:val="24"/>
        </w:rPr>
        <w:t xml:space="preserve">Using </w:t>
      </w:r>
      <w:r w:rsidR="001C2DDC">
        <w:rPr>
          <w:rFonts w:ascii="Times New Roman" w:hAnsi="Times New Roman"/>
          <w:sz w:val="24"/>
          <w:szCs w:val="24"/>
        </w:rPr>
        <w:t xml:space="preserve">the decomposition </w:t>
      </w:r>
      <w:r>
        <w:rPr>
          <w:rFonts w:ascii="Times New Roman" w:hAnsi="Times New Roman"/>
          <w:sz w:val="24"/>
          <w:szCs w:val="24"/>
        </w:rPr>
        <w:t>as a guide, we explain the output results in Table 7.</w:t>
      </w:r>
      <w:r w:rsidR="00ED45E4">
        <w:rPr>
          <w:rFonts w:ascii="Times New Roman" w:hAnsi="Times New Roman"/>
          <w:sz w:val="24"/>
          <w:szCs w:val="24"/>
        </w:rPr>
        <w:t>3</w:t>
      </w:r>
      <w:r>
        <w:rPr>
          <w:rFonts w:ascii="Times New Roman" w:hAnsi="Times New Roman"/>
          <w:sz w:val="24"/>
          <w:szCs w:val="24"/>
        </w:rPr>
        <w:t xml:space="preserve"> for </w:t>
      </w:r>
      <w:r w:rsidR="00ED45E4" w:rsidRPr="00ED45E4">
        <w:rPr>
          <w:rFonts w:ascii="Times New Roman" w:hAnsi="Times New Roman"/>
          <w:sz w:val="24"/>
          <w:szCs w:val="24"/>
        </w:rPr>
        <w:t>16</w:t>
      </w:r>
      <w:r w:rsidRPr="00ED45E4">
        <w:rPr>
          <w:rFonts w:ascii="Times New Roman" w:hAnsi="Times New Roman"/>
          <w:sz w:val="24"/>
          <w:szCs w:val="24"/>
        </w:rPr>
        <w:t xml:space="preserve"> s</w:t>
      </w:r>
      <w:r>
        <w:rPr>
          <w:rFonts w:ascii="Times New Roman" w:hAnsi="Times New Roman"/>
          <w:sz w:val="24"/>
          <w:szCs w:val="24"/>
        </w:rPr>
        <w:t xml:space="preserve">elected industries.  The selection was made to </w:t>
      </w:r>
      <w:r w:rsidR="00067A42">
        <w:rPr>
          <w:rFonts w:ascii="Times New Roman" w:hAnsi="Times New Roman"/>
          <w:sz w:val="24"/>
          <w:szCs w:val="24"/>
        </w:rPr>
        <w:t>identify</w:t>
      </w:r>
      <w:r>
        <w:rPr>
          <w:rFonts w:ascii="Times New Roman" w:hAnsi="Times New Roman"/>
          <w:sz w:val="24"/>
          <w:szCs w:val="24"/>
        </w:rPr>
        <w:t xml:space="preserve"> the </w:t>
      </w:r>
      <w:r w:rsidR="00067A42">
        <w:rPr>
          <w:rFonts w:ascii="Times New Roman" w:hAnsi="Times New Roman"/>
          <w:sz w:val="24"/>
          <w:szCs w:val="24"/>
        </w:rPr>
        <w:t>factors</w:t>
      </w:r>
      <w:r>
        <w:rPr>
          <w:rFonts w:ascii="Times New Roman" w:hAnsi="Times New Roman"/>
          <w:sz w:val="24"/>
          <w:szCs w:val="24"/>
        </w:rPr>
        <w:t xml:space="preserve"> that are important in determining industry results in our simulations.  </w:t>
      </w:r>
      <w:r w:rsidR="00067A42">
        <w:rPr>
          <w:rFonts w:ascii="Times New Roman" w:hAnsi="Times New Roman"/>
          <w:sz w:val="24"/>
          <w:szCs w:val="24"/>
        </w:rPr>
        <w:t>With different strengths for different industries, we find that all of the following play a role</w:t>
      </w:r>
      <w:r w:rsidR="00972FFC">
        <w:rPr>
          <w:rFonts w:ascii="Times New Roman" w:hAnsi="Times New Roman"/>
          <w:sz w:val="24"/>
          <w:szCs w:val="24"/>
        </w:rPr>
        <w:t xml:space="preserve"> </w:t>
      </w:r>
      <w:r w:rsidR="00E969F8">
        <w:rPr>
          <w:rFonts w:ascii="Times New Roman" w:hAnsi="Times New Roman"/>
          <w:sz w:val="24"/>
          <w:szCs w:val="24"/>
        </w:rPr>
        <w:t xml:space="preserve">in determining </w:t>
      </w:r>
      <w:r w:rsidR="00972FFC">
        <w:rPr>
          <w:rFonts w:ascii="Times New Roman" w:hAnsi="Times New Roman"/>
          <w:sz w:val="24"/>
          <w:szCs w:val="24"/>
        </w:rPr>
        <w:t>the growth rates in the four period</w:t>
      </w:r>
      <w:r w:rsidR="00770658">
        <w:rPr>
          <w:rFonts w:ascii="Times New Roman" w:hAnsi="Times New Roman"/>
          <w:sz w:val="24"/>
          <w:szCs w:val="24"/>
        </w:rPr>
        <w:t>s</w:t>
      </w:r>
      <w:r w:rsidR="00972FFC">
        <w:rPr>
          <w:rFonts w:ascii="Times New Roman" w:hAnsi="Times New Roman"/>
          <w:sz w:val="24"/>
          <w:szCs w:val="24"/>
        </w:rPr>
        <w:t xml:space="preserve"> for an industry’s output</w:t>
      </w:r>
      <w:r w:rsidR="00067A42">
        <w:rPr>
          <w:rFonts w:ascii="Times New Roman" w:hAnsi="Times New Roman"/>
          <w:sz w:val="24"/>
          <w:szCs w:val="24"/>
        </w:rPr>
        <w:t>:</w:t>
      </w:r>
    </w:p>
    <w:p w:rsidR="00067A42" w:rsidRDefault="00972FFC" w:rsidP="00067A42">
      <w:pPr>
        <w:pStyle w:val="ListParagraph"/>
        <w:numPr>
          <w:ilvl w:val="0"/>
          <w:numId w:val="15"/>
        </w:numPr>
        <w:rPr>
          <w:rFonts w:ascii="Times New Roman" w:hAnsi="Times New Roman"/>
          <w:sz w:val="24"/>
          <w:szCs w:val="24"/>
        </w:rPr>
      </w:pPr>
      <w:r>
        <w:rPr>
          <w:rFonts w:ascii="Times New Roman" w:hAnsi="Times New Roman"/>
          <w:sz w:val="24"/>
          <w:szCs w:val="24"/>
        </w:rPr>
        <w:t>the distribution of the industry’s sales to different sales categories and the</w:t>
      </w:r>
      <w:r w:rsidR="00E969F8">
        <w:rPr>
          <w:rFonts w:ascii="Times New Roman" w:hAnsi="Times New Roman"/>
          <w:sz w:val="24"/>
          <w:szCs w:val="24"/>
        </w:rPr>
        <w:t xml:space="preserve"> growth rates of the categories;</w:t>
      </w:r>
    </w:p>
    <w:p w:rsidR="00972FFC" w:rsidRDefault="00972FFC" w:rsidP="00067A42">
      <w:pPr>
        <w:pStyle w:val="ListParagraph"/>
        <w:numPr>
          <w:ilvl w:val="0"/>
          <w:numId w:val="15"/>
        </w:numPr>
        <w:rPr>
          <w:rFonts w:ascii="Times New Roman" w:hAnsi="Times New Roman"/>
          <w:sz w:val="24"/>
          <w:szCs w:val="24"/>
        </w:rPr>
      </w:pPr>
      <w:r>
        <w:rPr>
          <w:rFonts w:ascii="Times New Roman" w:hAnsi="Times New Roman"/>
          <w:sz w:val="24"/>
          <w:szCs w:val="24"/>
        </w:rPr>
        <w:t>the capital-labour ratio in the industry’s production function and the economy-wide movements in capital rental rates relative to wage rates;</w:t>
      </w:r>
    </w:p>
    <w:p w:rsidR="00972FFC" w:rsidRDefault="00972FFC" w:rsidP="00067A42">
      <w:pPr>
        <w:pStyle w:val="ListParagraph"/>
        <w:numPr>
          <w:ilvl w:val="0"/>
          <w:numId w:val="15"/>
        </w:numPr>
        <w:rPr>
          <w:rFonts w:ascii="Times New Roman" w:hAnsi="Times New Roman"/>
          <w:sz w:val="24"/>
          <w:szCs w:val="24"/>
        </w:rPr>
      </w:pPr>
      <w:r>
        <w:rPr>
          <w:rFonts w:ascii="Times New Roman" w:hAnsi="Times New Roman"/>
          <w:sz w:val="24"/>
          <w:szCs w:val="24"/>
        </w:rPr>
        <w:t xml:space="preserve">the expenditure elasticity of demand by households for the industry’s product; </w:t>
      </w:r>
    </w:p>
    <w:p w:rsidR="00972FFC" w:rsidRDefault="00972FFC" w:rsidP="00067A42">
      <w:pPr>
        <w:pStyle w:val="ListParagraph"/>
        <w:numPr>
          <w:ilvl w:val="0"/>
          <w:numId w:val="15"/>
        </w:numPr>
        <w:rPr>
          <w:rFonts w:ascii="Times New Roman" w:hAnsi="Times New Roman"/>
          <w:sz w:val="24"/>
          <w:szCs w:val="24"/>
        </w:rPr>
      </w:pPr>
      <w:r>
        <w:rPr>
          <w:rFonts w:ascii="Times New Roman" w:hAnsi="Times New Roman"/>
          <w:sz w:val="24"/>
          <w:szCs w:val="24"/>
        </w:rPr>
        <w:t>the distribution of the industry’s exports across trading partners (the proportions of its exports that go to the U.S.</w:t>
      </w:r>
      <w:r w:rsidR="00EB58CE">
        <w:rPr>
          <w:rFonts w:ascii="Times New Roman" w:hAnsi="Times New Roman"/>
          <w:sz w:val="24"/>
          <w:szCs w:val="24"/>
        </w:rPr>
        <w:t>,</w:t>
      </w:r>
      <w:r>
        <w:rPr>
          <w:rFonts w:ascii="Times New Roman" w:hAnsi="Times New Roman"/>
          <w:sz w:val="24"/>
          <w:szCs w:val="24"/>
        </w:rPr>
        <w:t xml:space="preserve"> China, etc)</w:t>
      </w:r>
      <w:r w:rsidR="00EB58CE">
        <w:rPr>
          <w:rFonts w:ascii="Times New Roman" w:hAnsi="Times New Roman"/>
          <w:sz w:val="24"/>
          <w:szCs w:val="24"/>
        </w:rPr>
        <w:t xml:space="preserve"> and the changes in the prices of competitors in Canada’s export markets relative to changes in the price of the Canadian product</w:t>
      </w:r>
      <w:r>
        <w:rPr>
          <w:rFonts w:ascii="Times New Roman" w:hAnsi="Times New Roman"/>
          <w:sz w:val="24"/>
          <w:szCs w:val="24"/>
        </w:rPr>
        <w:t>;</w:t>
      </w:r>
    </w:p>
    <w:p w:rsidR="00972FFC" w:rsidRDefault="00EB58CE" w:rsidP="00067A42">
      <w:pPr>
        <w:pStyle w:val="ListParagraph"/>
        <w:numPr>
          <w:ilvl w:val="0"/>
          <w:numId w:val="15"/>
        </w:numPr>
        <w:rPr>
          <w:rFonts w:ascii="Times New Roman" w:hAnsi="Times New Roman"/>
          <w:sz w:val="24"/>
          <w:szCs w:val="24"/>
        </w:rPr>
      </w:pPr>
      <w:r>
        <w:rPr>
          <w:rFonts w:ascii="Times New Roman" w:hAnsi="Times New Roman"/>
          <w:sz w:val="24"/>
          <w:szCs w:val="24"/>
        </w:rPr>
        <w:t>the sources (U.S., China, etc) of imports that compete with the industry’s product in the Canadian market and changes in the prices of th</w:t>
      </w:r>
      <w:r w:rsidR="00E969F8">
        <w:rPr>
          <w:rFonts w:ascii="Times New Roman" w:hAnsi="Times New Roman"/>
          <w:sz w:val="24"/>
          <w:szCs w:val="24"/>
        </w:rPr>
        <w:t>es</w:t>
      </w:r>
      <w:r>
        <w:rPr>
          <w:rFonts w:ascii="Times New Roman" w:hAnsi="Times New Roman"/>
          <w:sz w:val="24"/>
          <w:szCs w:val="24"/>
        </w:rPr>
        <w:t xml:space="preserve">e imported products relative to </w:t>
      </w:r>
      <w:r w:rsidR="00E969F8">
        <w:rPr>
          <w:rFonts w:ascii="Times New Roman" w:hAnsi="Times New Roman"/>
          <w:sz w:val="24"/>
          <w:szCs w:val="24"/>
        </w:rPr>
        <w:t xml:space="preserve">that of </w:t>
      </w:r>
      <w:r>
        <w:rPr>
          <w:rFonts w:ascii="Times New Roman" w:hAnsi="Times New Roman"/>
          <w:sz w:val="24"/>
          <w:szCs w:val="24"/>
        </w:rPr>
        <w:t xml:space="preserve">the Canadian product; </w:t>
      </w:r>
    </w:p>
    <w:p w:rsidR="00EB58CE" w:rsidRDefault="00EB58CE" w:rsidP="00067A42">
      <w:pPr>
        <w:pStyle w:val="ListParagraph"/>
        <w:numPr>
          <w:ilvl w:val="0"/>
          <w:numId w:val="15"/>
        </w:numPr>
        <w:rPr>
          <w:rFonts w:ascii="Times New Roman" w:hAnsi="Times New Roman"/>
          <w:sz w:val="24"/>
          <w:szCs w:val="24"/>
        </w:rPr>
      </w:pPr>
      <w:r>
        <w:rPr>
          <w:rFonts w:ascii="Times New Roman" w:hAnsi="Times New Roman"/>
          <w:sz w:val="24"/>
          <w:szCs w:val="24"/>
        </w:rPr>
        <w:t>technological/environmental changes affecting the use of fossil-fuel products</w:t>
      </w:r>
      <w:r w:rsidR="00E969F8">
        <w:rPr>
          <w:rFonts w:ascii="Times New Roman" w:hAnsi="Times New Roman"/>
          <w:sz w:val="24"/>
          <w:szCs w:val="24"/>
        </w:rPr>
        <w:t>; and</w:t>
      </w:r>
    </w:p>
    <w:p w:rsidR="00E969F8" w:rsidRDefault="00E969F8" w:rsidP="00067A42">
      <w:pPr>
        <w:pStyle w:val="ListParagraph"/>
        <w:numPr>
          <w:ilvl w:val="0"/>
          <w:numId w:val="15"/>
        </w:numPr>
        <w:rPr>
          <w:rFonts w:ascii="Times New Roman" w:hAnsi="Times New Roman"/>
          <w:sz w:val="24"/>
          <w:szCs w:val="24"/>
        </w:rPr>
      </w:pPr>
      <w:r>
        <w:rPr>
          <w:rFonts w:ascii="Times New Roman" w:hAnsi="Times New Roman"/>
          <w:sz w:val="24"/>
          <w:szCs w:val="24"/>
        </w:rPr>
        <w:t>assumptions about the availability of agricultural land and the share of the industry’s costs accounted for by land.</w:t>
      </w:r>
    </w:p>
    <w:p w:rsidR="007D55F2" w:rsidRPr="0081337A" w:rsidRDefault="0081337A" w:rsidP="002731BD">
      <w:pPr>
        <w:ind w:left="0"/>
        <w:rPr>
          <w:rFonts w:ascii="Times New Roman" w:hAnsi="Times New Roman"/>
          <w:b/>
          <w:i/>
          <w:sz w:val="24"/>
          <w:szCs w:val="24"/>
        </w:rPr>
      </w:pPr>
      <w:r w:rsidRPr="0081337A">
        <w:rPr>
          <w:rFonts w:ascii="Times New Roman" w:hAnsi="Times New Roman"/>
          <w:b/>
          <w:i/>
          <w:sz w:val="24"/>
          <w:szCs w:val="24"/>
        </w:rPr>
        <w:t xml:space="preserve">Services of the housing stock (dwe, ind 57)   </w:t>
      </w:r>
      <w:r w:rsidR="001C2DDC" w:rsidRPr="0081337A">
        <w:rPr>
          <w:rFonts w:ascii="Times New Roman" w:hAnsi="Times New Roman"/>
          <w:b/>
          <w:i/>
          <w:sz w:val="24"/>
          <w:szCs w:val="24"/>
        </w:rPr>
        <w:t xml:space="preserve"> </w:t>
      </w:r>
    </w:p>
    <w:p w:rsidR="009004A4" w:rsidRDefault="009004A4" w:rsidP="002731BD">
      <w:pPr>
        <w:ind w:left="0"/>
        <w:rPr>
          <w:rFonts w:ascii="Times New Roman" w:hAnsi="Times New Roman"/>
          <w:sz w:val="24"/>
          <w:szCs w:val="24"/>
        </w:rPr>
      </w:pPr>
      <w:r>
        <w:rPr>
          <w:rFonts w:ascii="Times New Roman" w:hAnsi="Times New Roman"/>
          <w:sz w:val="24"/>
          <w:szCs w:val="24"/>
        </w:rPr>
        <w:t xml:space="preserve">Growth in services to housing exceeds GDP growth in all simulation periods (gaps of 1.09, 1.15, 0.15 and 0.36 per cent, last row of Table 7.3).  </w:t>
      </w:r>
    </w:p>
    <w:p w:rsidR="007D55F2" w:rsidRDefault="004A205A" w:rsidP="002731BD">
      <w:pPr>
        <w:ind w:left="0"/>
        <w:rPr>
          <w:rFonts w:ascii="Times New Roman" w:hAnsi="Times New Roman"/>
          <w:sz w:val="24"/>
          <w:szCs w:val="24"/>
        </w:rPr>
      </w:pPr>
      <w:r>
        <w:rPr>
          <w:rFonts w:ascii="Times New Roman" w:hAnsi="Times New Roman"/>
          <w:sz w:val="24"/>
          <w:szCs w:val="24"/>
        </w:rPr>
        <w:t>Almost 100 per cent of the sales of this industry is to households.  Consequently, its</w:t>
      </w:r>
      <w:r w:rsidR="001476DA">
        <w:rPr>
          <w:rFonts w:ascii="Times New Roman" w:hAnsi="Times New Roman"/>
          <w:sz w:val="24"/>
          <w:szCs w:val="24"/>
        </w:rPr>
        <w:t xml:space="preserve"> sales-mix effect (SME) is positive in 2014-19, 2019-30 and 2040-50 (0.52, 0.61 and 0.03, last row of Table 7.3</w:t>
      </w:r>
      <w:r>
        <w:rPr>
          <w:rFonts w:ascii="Times New Roman" w:hAnsi="Times New Roman"/>
          <w:sz w:val="24"/>
          <w:szCs w:val="24"/>
        </w:rPr>
        <w:t>)</w:t>
      </w:r>
      <w:r w:rsidR="001476DA">
        <w:rPr>
          <w:rFonts w:ascii="Times New Roman" w:hAnsi="Times New Roman"/>
          <w:sz w:val="24"/>
          <w:szCs w:val="24"/>
        </w:rPr>
        <w:t xml:space="preserve"> because growth in real private consumption in these three periods exceeds growth in real GDP, see Table 7.2.  </w:t>
      </w:r>
      <w:r>
        <w:rPr>
          <w:rFonts w:ascii="Times New Roman" w:hAnsi="Times New Roman"/>
          <w:sz w:val="24"/>
          <w:szCs w:val="24"/>
        </w:rPr>
        <w:t xml:space="preserve">In 2030-40, growth in real private consumption is below that of GDP, giving the industry a negative value for SME.  </w:t>
      </w:r>
    </w:p>
    <w:p w:rsidR="006929F6" w:rsidRDefault="006929F6" w:rsidP="002731BD">
      <w:pPr>
        <w:ind w:left="0"/>
        <w:rPr>
          <w:rFonts w:ascii="Times New Roman" w:hAnsi="Times New Roman"/>
          <w:sz w:val="24"/>
          <w:szCs w:val="24"/>
        </w:rPr>
      </w:pPr>
      <w:r>
        <w:rPr>
          <w:rFonts w:ascii="Times New Roman" w:hAnsi="Times New Roman"/>
          <w:sz w:val="24"/>
          <w:szCs w:val="24"/>
        </w:rPr>
        <w:t xml:space="preserve">The industry-performance effect (IPE) for ind 57 is positive an all periods.  </w:t>
      </w:r>
      <w:r w:rsidR="002F5E2E">
        <w:rPr>
          <w:rFonts w:ascii="Times New Roman" w:hAnsi="Times New Roman"/>
          <w:sz w:val="24"/>
          <w:szCs w:val="24"/>
        </w:rPr>
        <w:t xml:space="preserve">This indicates that demand for housing services increases relative to total real private consumption as a whole.  There are two reasons.  First, </w:t>
      </w:r>
      <w:r w:rsidR="00617A0E">
        <w:rPr>
          <w:rFonts w:ascii="Times New Roman" w:hAnsi="Times New Roman"/>
          <w:sz w:val="24"/>
          <w:szCs w:val="24"/>
        </w:rPr>
        <w:t>the expenditure elasticity of demand for housing services is greater than one, but only a little greater.  The second</w:t>
      </w:r>
      <w:r w:rsidR="005C28A9">
        <w:rPr>
          <w:rFonts w:ascii="Times New Roman" w:hAnsi="Times New Roman"/>
          <w:sz w:val="24"/>
          <w:szCs w:val="24"/>
        </w:rPr>
        <w:t>,</w:t>
      </w:r>
      <w:r w:rsidR="00617A0E">
        <w:rPr>
          <w:rFonts w:ascii="Times New Roman" w:hAnsi="Times New Roman"/>
          <w:sz w:val="24"/>
          <w:szCs w:val="24"/>
        </w:rPr>
        <w:t xml:space="preserve"> but more import</w:t>
      </w:r>
      <w:r w:rsidR="005C28A9">
        <w:rPr>
          <w:rFonts w:ascii="Times New Roman" w:hAnsi="Times New Roman"/>
          <w:sz w:val="24"/>
          <w:szCs w:val="24"/>
        </w:rPr>
        <w:t xml:space="preserve">ant reason, </w:t>
      </w:r>
      <w:r w:rsidR="00617A0E">
        <w:rPr>
          <w:rFonts w:ascii="Times New Roman" w:hAnsi="Times New Roman"/>
          <w:sz w:val="24"/>
          <w:szCs w:val="24"/>
        </w:rPr>
        <w:t>is that the price of housing services falls relative to the price of consumer good</w:t>
      </w:r>
      <w:r w:rsidR="005C28A9">
        <w:rPr>
          <w:rFonts w:ascii="Times New Roman" w:hAnsi="Times New Roman"/>
          <w:sz w:val="24"/>
          <w:szCs w:val="24"/>
        </w:rPr>
        <w:t>s</w:t>
      </w:r>
      <w:r w:rsidR="00617A0E">
        <w:rPr>
          <w:rFonts w:ascii="Times New Roman" w:hAnsi="Times New Roman"/>
          <w:sz w:val="24"/>
          <w:szCs w:val="24"/>
        </w:rPr>
        <w:t xml:space="preserve"> in general, inducing substitution towards housing services.  </w:t>
      </w:r>
    </w:p>
    <w:p w:rsidR="00AB64D5" w:rsidRDefault="00B719CA" w:rsidP="002731BD">
      <w:pPr>
        <w:ind w:left="0"/>
        <w:rPr>
          <w:rFonts w:ascii="Times New Roman" w:hAnsi="Times New Roman"/>
          <w:sz w:val="24"/>
          <w:szCs w:val="24"/>
        </w:rPr>
      </w:pPr>
      <w:r>
        <w:rPr>
          <w:rFonts w:ascii="Times New Roman" w:hAnsi="Times New Roman"/>
          <w:sz w:val="24"/>
          <w:szCs w:val="24"/>
        </w:rPr>
        <w:t xml:space="preserve">Why does the price of housing services fall relative to price of consumer goods in general?  </w:t>
      </w:r>
      <w:r w:rsidR="009004A4">
        <w:rPr>
          <w:rFonts w:ascii="Times New Roman" w:hAnsi="Times New Roman"/>
          <w:sz w:val="24"/>
          <w:szCs w:val="24"/>
        </w:rPr>
        <w:t xml:space="preserve">We considered several possibilities.  Our first thought was technical change.  </w:t>
      </w:r>
      <w:r w:rsidR="00237118">
        <w:rPr>
          <w:rFonts w:ascii="Times New Roman" w:hAnsi="Times New Roman"/>
          <w:sz w:val="24"/>
          <w:szCs w:val="24"/>
        </w:rPr>
        <w:t xml:space="preserve">Does technical change in our simulations reduce costs in some industries relative to others?  The answer is no.  We imposed uniform </w:t>
      </w:r>
      <w:r w:rsidR="009004A4">
        <w:rPr>
          <w:rFonts w:ascii="Times New Roman" w:hAnsi="Times New Roman"/>
          <w:sz w:val="24"/>
          <w:szCs w:val="24"/>
        </w:rPr>
        <w:t xml:space="preserve">primary-factor-saving technical change </w:t>
      </w:r>
      <w:r w:rsidR="00237118">
        <w:rPr>
          <w:rFonts w:ascii="Times New Roman" w:hAnsi="Times New Roman"/>
          <w:sz w:val="24"/>
          <w:szCs w:val="24"/>
        </w:rPr>
        <w:t xml:space="preserve">across all Canadian </w:t>
      </w:r>
      <w:r w:rsidR="00237118">
        <w:rPr>
          <w:rFonts w:ascii="Times New Roman" w:hAnsi="Times New Roman"/>
          <w:sz w:val="24"/>
          <w:szCs w:val="24"/>
        </w:rPr>
        <w:lastRenderedPageBreak/>
        <w:t>industries.  Some industries rely on primary-factor inputs more than others.  But the industries that rely mainly on intermediate inputs get their cost-reducing technical change via these intermediate inputs.  Ultimately</w:t>
      </w:r>
      <w:r w:rsidR="00213A14">
        <w:rPr>
          <w:rFonts w:ascii="Times New Roman" w:hAnsi="Times New Roman"/>
          <w:sz w:val="24"/>
          <w:szCs w:val="24"/>
        </w:rPr>
        <w:t>,</w:t>
      </w:r>
      <w:r w:rsidR="00237118">
        <w:rPr>
          <w:rFonts w:ascii="Times New Roman" w:hAnsi="Times New Roman"/>
          <w:sz w:val="24"/>
          <w:szCs w:val="24"/>
        </w:rPr>
        <w:t xml:space="preserve"> all industries produce their output with primary factors used either directly or indirectly embedded in intermediate inputs.  What about the bias in technical change that we introduced via </w:t>
      </w:r>
      <w:r w:rsidR="00213A14">
        <w:rPr>
          <w:rFonts w:ascii="Times New Roman" w:hAnsi="Times New Roman"/>
          <w:sz w:val="24"/>
          <w:szCs w:val="24"/>
        </w:rPr>
        <w:t xml:space="preserve">twistKL, see the discussions of panel 6 in section 4 and panel 4 in section 5?  twistKL biases technical change towards the use of capital, but we assumed that the bias was cost neutral in every industry.  </w:t>
      </w:r>
      <w:r w:rsidR="00105143">
        <w:rPr>
          <w:rFonts w:ascii="Times New Roman" w:hAnsi="Times New Roman"/>
          <w:sz w:val="24"/>
          <w:szCs w:val="24"/>
        </w:rPr>
        <w:t>Consequently, the twists do not introduce cost saving technical change in one industry relative to another.  Next, we investigated the idea th</w:t>
      </w:r>
      <w:r w:rsidR="00AB64D5">
        <w:rPr>
          <w:rFonts w:ascii="Times New Roman" w:hAnsi="Times New Roman"/>
          <w:sz w:val="24"/>
          <w:szCs w:val="24"/>
        </w:rPr>
        <w:t xml:space="preserve">at imported inputs might explain simulated changes for Canada in </w:t>
      </w:r>
      <w:r w:rsidR="00105143">
        <w:rPr>
          <w:rFonts w:ascii="Times New Roman" w:hAnsi="Times New Roman"/>
          <w:sz w:val="24"/>
          <w:szCs w:val="24"/>
        </w:rPr>
        <w:t xml:space="preserve">relative costs across industries.  However, </w:t>
      </w:r>
      <w:r w:rsidR="00AB64D5">
        <w:rPr>
          <w:rFonts w:ascii="Times New Roman" w:hAnsi="Times New Roman"/>
          <w:sz w:val="24"/>
          <w:szCs w:val="24"/>
        </w:rPr>
        <w:t xml:space="preserve">we found that this was only a minor </w:t>
      </w:r>
      <w:r w:rsidR="005C28A9">
        <w:rPr>
          <w:rFonts w:ascii="Times New Roman" w:hAnsi="Times New Roman"/>
          <w:sz w:val="24"/>
          <w:szCs w:val="24"/>
        </w:rPr>
        <w:t>factor</w:t>
      </w:r>
      <w:r w:rsidR="00AB64D5">
        <w:rPr>
          <w:rFonts w:ascii="Times New Roman" w:hAnsi="Times New Roman"/>
          <w:sz w:val="24"/>
          <w:szCs w:val="24"/>
        </w:rPr>
        <w:t xml:space="preserve">.  </w:t>
      </w:r>
    </w:p>
    <w:p w:rsidR="008C62CA" w:rsidRDefault="00AB64D5" w:rsidP="002731BD">
      <w:pPr>
        <w:ind w:left="0"/>
        <w:rPr>
          <w:rFonts w:ascii="Times New Roman" w:hAnsi="Times New Roman"/>
          <w:sz w:val="24"/>
          <w:szCs w:val="24"/>
        </w:rPr>
      </w:pPr>
      <w:r>
        <w:rPr>
          <w:rFonts w:ascii="Times New Roman" w:hAnsi="Times New Roman"/>
          <w:sz w:val="24"/>
          <w:szCs w:val="24"/>
        </w:rPr>
        <w:t xml:space="preserve">It turned out that changes in factor prices are the explanation for the simulated reductions in the price of housing services relative to the price of consumer goods in general.  As can be seen in Table 7.4, the price of using labour in Canada rises relative to the price of using capital in all four simulation periods.  This </w:t>
      </w:r>
      <w:r w:rsidR="008C62CA">
        <w:rPr>
          <w:rFonts w:ascii="Times New Roman" w:hAnsi="Times New Roman"/>
          <w:sz w:val="24"/>
          <w:szCs w:val="24"/>
        </w:rPr>
        <w:t>lowers</w:t>
      </w:r>
      <w:r>
        <w:rPr>
          <w:rFonts w:ascii="Times New Roman" w:hAnsi="Times New Roman"/>
          <w:sz w:val="24"/>
          <w:szCs w:val="24"/>
        </w:rPr>
        <w:t xml:space="preserve"> the price </w:t>
      </w:r>
      <w:r w:rsidR="008C62CA">
        <w:rPr>
          <w:rFonts w:ascii="Times New Roman" w:hAnsi="Times New Roman"/>
          <w:sz w:val="24"/>
          <w:szCs w:val="24"/>
        </w:rPr>
        <w:t xml:space="preserve">of capital-intensive commodities such as housing services relative to the price of labour-intensive commodities.    </w:t>
      </w:r>
    </w:p>
    <w:p w:rsidR="0078570B" w:rsidRDefault="008937E1" w:rsidP="002731BD">
      <w:pPr>
        <w:ind w:left="0"/>
        <w:rPr>
          <w:rFonts w:ascii="Times New Roman" w:hAnsi="Times New Roman"/>
          <w:sz w:val="24"/>
          <w:szCs w:val="24"/>
        </w:rPr>
      </w:pPr>
      <w:r>
        <w:rPr>
          <w:rFonts w:ascii="Times New Roman" w:hAnsi="Times New Roman"/>
          <w:sz w:val="24"/>
          <w:szCs w:val="24"/>
        </w:rPr>
        <w:t xml:space="preserve">This leads to the question </w:t>
      </w:r>
      <w:r w:rsidR="008C62CA">
        <w:rPr>
          <w:rFonts w:ascii="Times New Roman" w:hAnsi="Times New Roman"/>
          <w:sz w:val="24"/>
          <w:szCs w:val="24"/>
        </w:rPr>
        <w:t xml:space="preserve">of why the cost of using labour increases relative to the cost of using capital.  </w:t>
      </w:r>
      <w:r>
        <w:rPr>
          <w:rFonts w:ascii="Times New Roman" w:hAnsi="Times New Roman"/>
          <w:sz w:val="24"/>
          <w:szCs w:val="24"/>
        </w:rPr>
        <w:t>Recall from Table 6.1 that the capital to labour ratio increases in every country in every simulation period.  Demographic factors dictate slow growth in labour input in nearly all regions, while high average saving rates for the world dictate rapid growth in capital stocks.  Despite the introduction of capital-using bias in technical change, our simulations require reductions in capital-rental</w:t>
      </w:r>
      <w:r w:rsidR="00EB7FA4">
        <w:rPr>
          <w:rFonts w:ascii="Times New Roman" w:hAnsi="Times New Roman"/>
          <w:sz w:val="24"/>
          <w:szCs w:val="24"/>
        </w:rPr>
        <w:t>-</w:t>
      </w:r>
      <w:r>
        <w:rPr>
          <w:rFonts w:ascii="Times New Roman" w:hAnsi="Times New Roman"/>
          <w:sz w:val="24"/>
          <w:szCs w:val="24"/>
        </w:rPr>
        <w:t>to</w:t>
      </w:r>
      <w:r w:rsidR="00EB7FA4">
        <w:rPr>
          <w:rFonts w:ascii="Times New Roman" w:hAnsi="Times New Roman"/>
          <w:sz w:val="24"/>
          <w:szCs w:val="24"/>
        </w:rPr>
        <w:t>-</w:t>
      </w:r>
      <w:r>
        <w:rPr>
          <w:rFonts w:ascii="Times New Roman" w:hAnsi="Times New Roman"/>
          <w:sz w:val="24"/>
          <w:szCs w:val="24"/>
        </w:rPr>
        <w:t>wage ratios to absorb</w:t>
      </w:r>
      <w:r w:rsidR="0078570B">
        <w:rPr>
          <w:rFonts w:ascii="Times New Roman" w:hAnsi="Times New Roman"/>
          <w:sz w:val="24"/>
          <w:szCs w:val="24"/>
        </w:rPr>
        <w:t xml:space="preserve"> the increases in the K/L ratios.  </w:t>
      </w:r>
    </w:p>
    <w:p w:rsidR="00B26152" w:rsidRDefault="0078570B" w:rsidP="002731BD">
      <w:pPr>
        <w:ind w:left="0"/>
        <w:rPr>
          <w:rFonts w:ascii="Times New Roman" w:hAnsi="Times New Roman"/>
          <w:sz w:val="24"/>
          <w:szCs w:val="24"/>
        </w:rPr>
      </w:pPr>
      <w:r>
        <w:rPr>
          <w:rFonts w:ascii="Times New Roman" w:hAnsi="Times New Roman"/>
          <w:sz w:val="24"/>
          <w:szCs w:val="24"/>
        </w:rPr>
        <w:t xml:space="preserve">A final question that worried us was the relationship between </w:t>
      </w:r>
      <w:r w:rsidR="00EB7FA4">
        <w:rPr>
          <w:rFonts w:ascii="Times New Roman" w:hAnsi="Times New Roman"/>
          <w:sz w:val="24"/>
          <w:szCs w:val="24"/>
        </w:rPr>
        <w:t xml:space="preserve">rates of return and the decline in capital rentals relative to wage rates.  </w:t>
      </w:r>
      <w:r w:rsidR="00B26152">
        <w:rPr>
          <w:rFonts w:ascii="Times New Roman" w:hAnsi="Times New Roman"/>
          <w:sz w:val="24"/>
          <w:szCs w:val="24"/>
        </w:rPr>
        <w:t>We were worried that continue</w:t>
      </w:r>
      <w:r w:rsidR="005C28A9">
        <w:rPr>
          <w:rFonts w:ascii="Times New Roman" w:hAnsi="Times New Roman"/>
          <w:sz w:val="24"/>
          <w:szCs w:val="24"/>
        </w:rPr>
        <w:t xml:space="preserve">d </w:t>
      </w:r>
      <w:r w:rsidR="00B26152">
        <w:rPr>
          <w:rFonts w:ascii="Times New Roman" w:hAnsi="Times New Roman"/>
          <w:sz w:val="24"/>
          <w:szCs w:val="24"/>
        </w:rPr>
        <w:t>increase</w:t>
      </w:r>
      <w:r w:rsidR="005C28A9">
        <w:rPr>
          <w:rFonts w:ascii="Times New Roman" w:hAnsi="Times New Roman"/>
          <w:sz w:val="24"/>
          <w:szCs w:val="24"/>
        </w:rPr>
        <w:t>s</w:t>
      </w:r>
      <w:r w:rsidR="00B26152">
        <w:rPr>
          <w:rFonts w:ascii="Times New Roman" w:hAnsi="Times New Roman"/>
          <w:sz w:val="24"/>
          <w:szCs w:val="24"/>
        </w:rPr>
        <w:t xml:space="preserve"> in wage-rental ratios world generate unrealistic and continuing reductions in rates of return on capital.  However, it is clear that this is not the case.  </w:t>
      </w:r>
      <w:r w:rsidR="00FC535F">
        <w:rPr>
          <w:rFonts w:ascii="Times New Roman" w:hAnsi="Times New Roman"/>
          <w:sz w:val="24"/>
          <w:szCs w:val="24"/>
        </w:rPr>
        <w:t>Table 7.4 shows movements in</w:t>
      </w:r>
      <w:r w:rsidR="00B26152">
        <w:rPr>
          <w:rFonts w:ascii="Times New Roman" w:hAnsi="Times New Roman"/>
          <w:sz w:val="24"/>
          <w:szCs w:val="24"/>
        </w:rPr>
        <w:t xml:space="preserve"> rates of return</w:t>
      </w:r>
      <w:r w:rsidR="00FC535F">
        <w:rPr>
          <w:rFonts w:ascii="Times New Roman" w:hAnsi="Times New Roman"/>
          <w:sz w:val="24"/>
          <w:szCs w:val="24"/>
        </w:rPr>
        <w:t xml:space="preserve"> for Canada, reproduced from Table 6.1. These rates of return </w:t>
      </w:r>
      <w:r w:rsidR="00B26152">
        <w:rPr>
          <w:rFonts w:ascii="Times New Roman" w:hAnsi="Times New Roman"/>
          <w:sz w:val="24"/>
          <w:szCs w:val="24"/>
        </w:rPr>
        <w:t>increase in the third and fourth periods, despite the continuing increase</w:t>
      </w:r>
      <w:r w:rsidR="005C28A9">
        <w:rPr>
          <w:rFonts w:ascii="Times New Roman" w:hAnsi="Times New Roman"/>
          <w:sz w:val="24"/>
          <w:szCs w:val="24"/>
        </w:rPr>
        <w:t>s</w:t>
      </w:r>
      <w:r w:rsidR="00B26152">
        <w:rPr>
          <w:rFonts w:ascii="Times New Roman" w:hAnsi="Times New Roman"/>
          <w:sz w:val="24"/>
          <w:szCs w:val="24"/>
        </w:rPr>
        <w:t xml:space="preserve"> in wages relative to rentals.  </w:t>
      </w:r>
    </w:p>
    <w:p w:rsidR="00B26152" w:rsidRDefault="00B26152" w:rsidP="002731BD">
      <w:pPr>
        <w:ind w:left="0"/>
        <w:rPr>
          <w:rFonts w:ascii="Times New Roman" w:hAnsi="Times New Roman"/>
          <w:sz w:val="24"/>
          <w:szCs w:val="24"/>
        </w:rPr>
      </w:pPr>
      <w:r>
        <w:rPr>
          <w:rFonts w:ascii="Times New Roman" w:hAnsi="Times New Roman"/>
          <w:sz w:val="24"/>
          <w:szCs w:val="24"/>
        </w:rPr>
        <w:t xml:space="preserve">Movements in rates of return depend on movements in the ratio of capital rentals to the cost of creating units of capital.  Capital is created in the GTAP model as a mix of commodities such as construction, machinery and financial services.  As can be seen in Table 7.4, </w:t>
      </w:r>
      <w:r w:rsidR="00FC535F">
        <w:rPr>
          <w:rFonts w:ascii="Times New Roman" w:hAnsi="Times New Roman"/>
          <w:sz w:val="24"/>
          <w:szCs w:val="24"/>
        </w:rPr>
        <w:t xml:space="preserve">the </w:t>
      </w:r>
      <w:r>
        <w:rPr>
          <w:rFonts w:ascii="Times New Roman" w:hAnsi="Times New Roman"/>
          <w:sz w:val="24"/>
          <w:szCs w:val="24"/>
        </w:rPr>
        <w:t xml:space="preserve">cost of </w:t>
      </w:r>
      <w:r w:rsidR="001B1CFA">
        <w:rPr>
          <w:rFonts w:ascii="Times New Roman" w:hAnsi="Times New Roman"/>
          <w:sz w:val="24"/>
          <w:szCs w:val="24"/>
        </w:rPr>
        <w:t>this mix</w:t>
      </w:r>
      <w:r>
        <w:rPr>
          <w:rFonts w:ascii="Times New Roman" w:hAnsi="Times New Roman"/>
          <w:sz w:val="24"/>
          <w:szCs w:val="24"/>
        </w:rPr>
        <w:t xml:space="preserve"> in Canada move</w:t>
      </w:r>
      <w:r w:rsidR="001B1CFA">
        <w:rPr>
          <w:rFonts w:ascii="Times New Roman" w:hAnsi="Times New Roman"/>
          <w:sz w:val="24"/>
          <w:szCs w:val="24"/>
        </w:rPr>
        <w:t>s</w:t>
      </w:r>
      <w:r>
        <w:rPr>
          <w:rFonts w:ascii="Times New Roman" w:hAnsi="Times New Roman"/>
          <w:sz w:val="24"/>
          <w:szCs w:val="24"/>
        </w:rPr>
        <w:t xml:space="preserve"> approximately in line with the price of GDP.  Given th</w:t>
      </w:r>
      <w:r w:rsidR="001B1CFA">
        <w:rPr>
          <w:rFonts w:ascii="Times New Roman" w:hAnsi="Times New Roman"/>
          <w:sz w:val="24"/>
          <w:szCs w:val="24"/>
        </w:rPr>
        <w:t>is correlation, a helpful stylized equation for</w:t>
      </w:r>
      <w:r>
        <w:rPr>
          <w:rFonts w:ascii="Times New Roman" w:hAnsi="Times New Roman"/>
          <w:sz w:val="24"/>
          <w:szCs w:val="24"/>
        </w:rPr>
        <w:t xml:space="preserve"> understand</w:t>
      </w:r>
      <w:r w:rsidR="001B1CFA">
        <w:rPr>
          <w:rFonts w:ascii="Times New Roman" w:hAnsi="Times New Roman"/>
          <w:sz w:val="24"/>
          <w:szCs w:val="24"/>
        </w:rPr>
        <w:t>ing</w:t>
      </w:r>
      <w:r>
        <w:rPr>
          <w:rFonts w:ascii="Times New Roman" w:hAnsi="Times New Roman"/>
          <w:sz w:val="24"/>
          <w:szCs w:val="24"/>
        </w:rPr>
        <w:t xml:space="preserve"> the relationship between movements in rates of return and movements in factor prices</w:t>
      </w:r>
      <w:r w:rsidR="009C445A">
        <w:rPr>
          <w:rFonts w:ascii="Times New Roman" w:hAnsi="Times New Roman"/>
          <w:sz w:val="24"/>
          <w:szCs w:val="24"/>
        </w:rPr>
        <w:t xml:space="preserve"> in Canada</w:t>
      </w:r>
      <w:r>
        <w:rPr>
          <w:rFonts w:ascii="Times New Roman" w:hAnsi="Times New Roman"/>
          <w:sz w:val="24"/>
          <w:szCs w:val="24"/>
        </w:rPr>
        <w:t xml:space="preserve"> </w:t>
      </w:r>
      <w:r w:rsidR="001B1CFA">
        <w:rPr>
          <w:rFonts w:ascii="Times New Roman" w:hAnsi="Times New Roman"/>
          <w:sz w:val="24"/>
          <w:szCs w:val="24"/>
        </w:rPr>
        <w:t>is</w:t>
      </w:r>
      <w:r>
        <w:rPr>
          <w:rFonts w:ascii="Times New Roman" w:hAnsi="Times New Roman"/>
          <w:sz w:val="24"/>
          <w:szCs w:val="24"/>
        </w:rPr>
        <w:t>:</w:t>
      </w:r>
    </w:p>
    <w:p w:rsidR="00972EFE" w:rsidRDefault="00972EFE" w:rsidP="00972EFE">
      <w:pPr>
        <w:tabs>
          <w:tab w:val="left" w:pos="1134"/>
          <w:tab w:val="right" w:pos="8931"/>
        </w:tabs>
        <w:ind w:left="0"/>
        <w:rPr>
          <w:rFonts w:ascii="Times New Roman" w:hAnsi="Times New Roman"/>
          <w:sz w:val="24"/>
          <w:szCs w:val="24"/>
        </w:rPr>
      </w:pPr>
      <w:r>
        <w:rPr>
          <w:rFonts w:ascii="Times New Roman" w:hAnsi="Times New Roman"/>
          <w:sz w:val="24"/>
          <w:szCs w:val="24"/>
        </w:rPr>
        <w:tab/>
      </w:r>
      <w:r w:rsidRPr="00972EFE">
        <w:rPr>
          <w:rFonts w:ascii="Times New Roman" w:hAnsi="Times New Roman"/>
          <w:position w:val="-12"/>
          <w:sz w:val="24"/>
          <w:szCs w:val="24"/>
        </w:rPr>
        <w:object w:dxaOrig="5760" w:dyaOrig="360">
          <v:shape id="_x0000_i1062" type="#_x0000_t75" style="width:4in;height:18pt" o:ole="">
            <v:imagedata r:id="rId88" o:title=""/>
          </v:shape>
          <o:OLEObject Type="Embed" ProgID="Equation.DSMT4" ShapeID="_x0000_i1062" DrawAspect="Content" ObjectID="_1774671683" r:id="rId89"/>
        </w:object>
      </w:r>
      <w:r>
        <w:rPr>
          <w:rFonts w:ascii="Times New Roman" w:hAnsi="Times New Roman"/>
          <w:sz w:val="24"/>
          <w:szCs w:val="24"/>
        </w:rPr>
        <w:t xml:space="preserve"> </w:t>
      </w:r>
      <w:r>
        <w:rPr>
          <w:rFonts w:ascii="Times New Roman" w:hAnsi="Times New Roman"/>
          <w:sz w:val="24"/>
          <w:szCs w:val="24"/>
        </w:rPr>
        <w:tab/>
        <w:t>(7.8)</w:t>
      </w:r>
    </w:p>
    <w:p w:rsidR="00972EFE" w:rsidRDefault="00972EFE" w:rsidP="002731BD">
      <w:pPr>
        <w:ind w:left="0"/>
        <w:rPr>
          <w:rFonts w:ascii="Times New Roman" w:hAnsi="Times New Roman"/>
          <w:sz w:val="24"/>
          <w:szCs w:val="24"/>
        </w:rPr>
      </w:pPr>
      <w:r>
        <w:rPr>
          <w:rFonts w:ascii="Times New Roman" w:hAnsi="Times New Roman"/>
          <w:sz w:val="24"/>
          <w:szCs w:val="24"/>
        </w:rPr>
        <w:t xml:space="preserve">In this equation, </w:t>
      </w:r>
    </w:p>
    <w:p w:rsidR="00972EFE" w:rsidRDefault="00972EFE" w:rsidP="00972EFE">
      <w:pPr>
        <w:spacing w:before="0"/>
        <w:ind w:left="284"/>
        <w:rPr>
          <w:rFonts w:ascii="Times New Roman" w:hAnsi="Times New Roman"/>
          <w:sz w:val="24"/>
          <w:szCs w:val="24"/>
        </w:rPr>
      </w:pPr>
      <w:r>
        <w:rPr>
          <w:rFonts w:ascii="Times New Roman" w:hAnsi="Times New Roman"/>
          <w:sz w:val="24"/>
          <w:szCs w:val="24"/>
        </w:rPr>
        <w:t>pgdp(r) is the percentage change in the price deflator for GDP</w:t>
      </w:r>
      <w:r w:rsidR="00FC535F">
        <w:rPr>
          <w:rFonts w:ascii="Times New Roman" w:hAnsi="Times New Roman"/>
          <w:sz w:val="24"/>
          <w:szCs w:val="24"/>
        </w:rPr>
        <w:t xml:space="preserve"> in region r</w:t>
      </w:r>
      <w:r>
        <w:rPr>
          <w:rFonts w:ascii="Times New Roman" w:hAnsi="Times New Roman"/>
          <w:sz w:val="24"/>
          <w:szCs w:val="24"/>
        </w:rPr>
        <w:t>;</w:t>
      </w:r>
    </w:p>
    <w:p w:rsidR="00972EFE" w:rsidRDefault="00972EFE" w:rsidP="00972EFE">
      <w:pPr>
        <w:spacing w:before="0"/>
        <w:ind w:left="284"/>
        <w:rPr>
          <w:rFonts w:ascii="Times New Roman" w:hAnsi="Times New Roman"/>
          <w:sz w:val="24"/>
          <w:szCs w:val="24"/>
        </w:rPr>
      </w:pPr>
      <w:r>
        <w:rPr>
          <w:rFonts w:ascii="Times New Roman" w:hAnsi="Times New Roman"/>
          <w:sz w:val="24"/>
          <w:szCs w:val="24"/>
        </w:rPr>
        <w:t>wage(r) and rent(r) are percentage changes in the wage and capital rental rates in region r;</w:t>
      </w:r>
    </w:p>
    <w:p w:rsidR="00972EFE" w:rsidRDefault="00972EFE" w:rsidP="00972EFE">
      <w:pPr>
        <w:spacing w:before="0"/>
        <w:ind w:left="284"/>
        <w:rPr>
          <w:rFonts w:ascii="Times New Roman" w:hAnsi="Times New Roman"/>
          <w:sz w:val="24"/>
          <w:szCs w:val="24"/>
        </w:rPr>
      </w:pPr>
      <w:r w:rsidRPr="00972EFE">
        <w:rPr>
          <w:rFonts w:ascii="Times New Roman" w:hAnsi="Times New Roman"/>
          <w:position w:val="-12"/>
          <w:sz w:val="24"/>
          <w:szCs w:val="24"/>
        </w:rPr>
        <w:object w:dxaOrig="560" w:dyaOrig="360">
          <v:shape id="_x0000_i1063" type="#_x0000_t75" style="width:29.25pt;height:18pt" o:ole="">
            <v:imagedata r:id="rId90" o:title=""/>
          </v:shape>
          <o:OLEObject Type="Embed" ProgID="Equation.DSMT4" ShapeID="_x0000_i1063" DrawAspect="Content" ObjectID="_1774671684" r:id="rId91"/>
        </w:object>
      </w:r>
      <w:r>
        <w:rPr>
          <w:rFonts w:ascii="Times New Roman" w:hAnsi="Times New Roman"/>
          <w:sz w:val="24"/>
          <w:szCs w:val="24"/>
        </w:rPr>
        <w:t xml:space="preserve"> and </w:t>
      </w:r>
      <w:r w:rsidRPr="00972EFE">
        <w:rPr>
          <w:rFonts w:ascii="Times New Roman" w:hAnsi="Times New Roman"/>
          <w:position w:val="-12"/>
          <w:sz w:val="24"/>
          <w:szCs w:val="24"/>
        </w:rPr>
        <w:object w:dxaOrig="580" w:dyaOrig="360">
          <v:shape id="_x0000_i1064" type="#_x0000_t75" style="width:29.25pt;height:18pt" o:ole="">
            <v:imagedata r:id="rId92" o:title=""/>
          </v:shape>
          <o:OLEObject Type="Embed" ProgID="Equation.DSMT4" ShapeID="_x0000_i1064" DrawAspect="Content" ObjectID="_1774671685" r:id="rId93"/>
        </w:object>
      </w:r>
      <w:r>
        <w:rPr>
          <w:rFonts w:ascii="Times New Roman" w:hAnsi="Times New Roman"/>
          <w:sz w:val="24"/>
          <w:szCs w:val="24"/>
        </w:rPr>
        <w:t xml:space="preserve"> are the labour and capital shares in GDP</w:t>
      </w:r>
      <w:r w:rsidR="009C445A">
        <w:rPr>
          <w:rFonts w:ascii="Times New Roman" w:hAnsi="Times New Roman"/>
          <w:sz w:val="24"/>
          <w:szCs w:val="24"/>
        </w:rPr>
        <w:t xml:space="preserve"> in region r</w:t>
      </w:r>
      <w:r>
        <w:rPr>
          <w:rFonts w:ascii="Times New Roman" w:hAnsi="Times New Roman"/>
          <w:sz w:val="24"/>
          <w:szCs w:val="24"/>
        </w:rPr>
        <w:t xml:space="preserve">; and </w:t>
      </w:r>
    </w:p>
    <w:p w:rsidR="00972EFE" w:rsidRDefault="00972EFE" w:rsidP="00972EFE">
      <w:pPr>
        <w:spacing w:before="0"/>
        <w:ind w:left="284"/>
        <w:rPr>
          <w:rFonts w:ascii="Times New Roman" w:hAnsi="Times New Roman"/>
          <w:sz w:val="24"/>
          <w:szCs w:val="24"/>
        </w:rPr>
      </w:pPr>
      <w:r>
        <w:rPr>
          <w:rFonts w:ascii="Times New Roman" w:hAnsi="Times New Roman"/>
          <w:sz w:val="24"/>
          <w:szCs w:val="24"/>
        </w:rPr>
        <w:t xml:space="preserve">tech_change(r) is total-factor-productivity growth in region r.  </w:t>
      </w:r>
    </w:p>
    <w:p w:rsidR="00972EFE" w:rsidRDefault="00972EFE" w:rsidP="009C445A">
      <w:pPr>
        <w:ind w:left="0"/>
        <w:rPr>
          <w:rFonts w:ascii="Times New Roman" w:hAnsi="Times New Roman"/>
          <w:sz w:val="24"/>
          <w:szCs w:val="24"/>
        </w:rPr>
      </w:pPr>
      <w:r>
        <w:rPr>
          <w:rFonts w:ascii="Times New Roman" w:hAnsi="Times New Roman"/>
          <w:sz w:val="24"/>
          <w:szCs w:val="24"/>
        </w:rPr>
        <w:t xml:space="preserve">Assuming that </w:t>
      </w:r>
      <w:r w:rsidR="001B1CFA">
        <w:rPr>
          <w:rFonts w:ascii="Times New Roman" w:hAnsi="Times New Roman"/>
          <w:sz w:val="24"/>
          <w:szCs w:val="24"/>
        </w:rPr>
        <w:t>tech_change(r) is positive and that wage(r) is greater than rent(r), (7.8) implies that either</w:t>
      </w:r>
    </w:p>
    <w:p w:rsidR="00E14E11" w:rsidRDefault="00E14E11">
      <w:pPr>
        <w:spacing w:before="0" w:line="240" w:lineRule="auto"/>
        <w:ind w:left="0"/>
        <w:rPr>
          <w:rFonts w:ascii="Times New Roman" w:hAnsi="Times New Roman"/>
          <w:b/>
          <w:i/>
          <w:sz w:val="24"/>
          <w:szCs w:val="24"/>
        </w:rPr>
      </w:pPr>
      <w:r>
        <w:rPr>
          <w:rFonts w:ascii="Times New Roman" w:hAnsi="Times New Roman"/>
          <w:b/>
          <w:i/>
          <w:sz w:val="24"/>
          <w:szCs w:val="24"/>
        </w:rPr>
        <w:br w:type="page"/>
      </w:r>
    </w:p>
    <w:p w:rsidR="00C7203F" w:rsidRPr="001148D2" w:rsidRDefault="00C7203F" w:rsidP="00C7203F">
      <w:pPr>
        <w:ind w:left="0"/>
        <w:jc w:val="center"/>
        <w:rPr>
          <w:rFonts w:ascii="Times New Roman" w:hAnsi="Times New Roman"/>
          <w:b/>
          <w:i/>
          <w:sz w:val="24"/>
          <w:szCs w:val="24"/>
        </w:rPr>
      </w:pPr>
      <w:r>
        <w:rPr>
          <w:rFonts w:ascii="Times New Roman" w:hAnsi="Times New Roman"/>
          <w:b/>
          <w:i/>
          <w:sz w:val="24"/>
          <w:szCs w:val="24"/>
        </w:rPr>
        <w:lastRenderedPageBreak/>
        <w:t xml:space="preserve">Table 7.4.  Macro price results for Canada: percentage changes through periods </w:t>
      </w:r>
    </w:p>
    <w:tbl>
      <w:tblPr>
        <w:tblStyle w:val="TableGrid"/>
        <w:tblW w:w="779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134"/>
        <w:gridCol w:w="1134"/>
        <w:gridCol w:w="1134"/>
        <w:gridCol w:w="1134"/>
      </w:tblGrid>
      <w:tr w:rsidR="00C7203F" w:rsidRPr="00520D40" w:rsidTr="00C7203F">
        <w:tc>
          <w:tcPr>
            <w:tcW w:w="3260"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C7203F" w:rsidRPr="00520D40" w:rsidRDefault="00C7203F" w:rsidP="00C7203F">
            <w:pPr>
              <w:spacing w:before="0"/>
              <w:ind w:left="29"/>
              <w:rPr>
                <w:rFonts w:ascii="Times New Roman" w:hAnsi="Times New Roman"/>
                <w:sz w:val="20"/>
                <w:szCs w:val="20"/>
                <w:lang w:eastAsia="en-AU"/>
              </w:rPr>
            </w:pPr>
          </w:p>
        </w:tc>
        <w:tc>
          <w:tcPr>
            <w:tcW w:w="1134" w:type="dxa"/>
            <w:tcBorders>
              <w:top w:val="single" w:sz="18" w:space="0" w:color="7F7F7F" w:themeColor="text1" w:themeTint="80"/>
              <w:left w:val="single" w:sz="18" w:space="0" w:color="7F7F7F" w:themeColor="text1" w:themeTint="80"/>
              <w:bottom w:val="single" w:sz="18" w:space="0" w:color="7F7F7F" w:themeColor="text1" w:themeTint="80"/>
            </w:tcBorders>
          </w:tcPr>
          <w:p w:rsidR="00C7203F" w:rsidRPr="00520D40" w:rsidRDefault="00C7203F" w:rsidP="00C7203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2014-19</w:t>
            </w:r>
          </w:p>
        </w:tc>
        <w:tc>
          <w:tcPr>
            <w:tcW w:w="1134" w:type="dxa"/>
            <w:tcBorders>
              <w:top w:val="single" w:sz="18" w:space="0" w:color="7F7F7F" w:themeColor="text1" w:themeTint="80"/>
              <w:bottom w:val="single" w:sz="18" w:space="0" w:color="7F7F7F" w:themeColor="text1" w:themeTint="80"/>
            </w:tcBorders>
          </w:tcPr>
          <w:p w:rsidR="00C7203F" w:rsidRPr="00520D40" w:rsidRDefault="00C7203F" w:rsidP="00C7203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2019-30</w:t>
            </w:r>
          </w:p>
        </w:tc>
        <w:tc>
          <w:tcPr>
            <w:tcW w:w="1134" w:type="dxa"/>
            <w:tcBorders>
              <w:top w:val="single" w:sz="18" w:space="0" w:color="7F7F7F" w:themeColor="text1" w:themeTint="80"/>
              <w:bottom w:val="single" w:sz="18" w:space="0" w:color="7F7F7F" w:themeColor="text1" w:themeTint="80"/>
            </w:tcBorders>
          </w:tcPr>
          <w:p w:rsidR="00C7203F" w:rsidRPr="00520D40" w:rsidRDefault="00C7203F" w:rsidP="00C7203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2030-40</w:t>
            </w:r>
          </w:p>
        </w:tc>
        <w:tc>
          <w:tcPr>
            <w:tcW w:w="1134" w:type="dxa"/>
            <w:tcBorders>
              <w:top w:val="single" w:sz="18" w:space="0" w:color="7F7F7F" w:themeColor="text1" w:themeTint="80"/>
              <w:bottom w:val="single" w:sz="18" w:space="0" w:color="7F7F7F" w:themeColor="text1" w:themeTint="80"/>
            </w:tcBorders>
          </w:tcPr>
          <w:p w:rsidR="00C7203F" w:rsidRPr="00520D40" w:rsidRDefault="00C7203F" w:rsidP="00C7203F">
            <w:pPr>
              <w:spacing w:before="0"/>
              <w:ind w:left="171" w:hanging="171"/>
              <w:jc w:val="center"/>
              <w:rPr>
                <w:rFonts w:ascii="Times New Roman" w:hAnsi="Times New Roman"/>
                <w:color w:val="000000"/>
                <w:sz w:val="20"/>
                <w:szCs w:val="20"/>
              </w:rPr>
            </w:pPr>
            <w:r w:rsidRPr="00520D40">
              <w:rPr>
                <w:rFonts w:ascii="Times New Roman" w:hAnsi="Times New Roman"/>
                <w:color w:val="000000"/>
                <w:sz w:val="20"/>
                <w:szCs w:val="20"/>
              </w:rPr>
              <w:t>2040-50</w:t>
            </w:r>
          </w:p>
        </w:tc>
      </w:tr>
      <w:tr w:rsidR="00C7203F" w:rsidTr="00C7203F">
        <w:tc>
          <w:tcPr>
            <w:tcW w:w="3260" w:type="dxa"/>
            <w:tcBorders>
              <w:top w:val="single" w:sz="18" w:space="0" w:color="7F7F7F" w:themeColor="text1" w:themeTint="80"/>
              <w:right w:val="single" w:sz="18" w:space="0" w:color="7F7F7F" w:themeColor="text1" w:themeTint="80"/>
            </w:tcBorders>
            <w:vAlign w:val="bottom"/>
          </w:tcPr>
          <w:p w:rsidR="00C7203F" w:rsidRPr="005C28A9" w:rsidRDefault="00C7203F" w:rsidP="00C7203F">
            <w:pPr>
              <w:spacing w:before="0"/>
              <w:ind w:left="0"/>
              <w:rPr>
                <w:rFonts w:ascii="Times New Roman" w:hAnsi="Times New Roman"/>
                <w:color w:val="000000"/>
                <w:sz w:val="20"/>
                <w:szCs w:val="20"/>
                <w:lang w:eastAsia="en-AU"/>
              </w:rPr>
            </w:pPr>
            <w:r w:rsidRPr="005C28A9">
              <w:rPr>
                <w:rFonts w:ascii="Times New Roman" w:hAnsi="Times New Roman"/>
                <w:color w:val="000000"/>
                <w:sz w:val="20"/>
                <w:szCs w:val="20"/>
              </w:rPr>
              <w:t>Price of using labour (wage rate)</w:t>
            </w:r>
          </w:p>
        </w:tc>
        <w:tc>
          <w:tcPr>
            <w:tcW w:w="1134" w:type="dxa"/>
            <w:tcBorders>
              <w:top w:val="single" w:sz="18" w:space="0" w:color="7F7F7F" w:themeColor="text1" w:themeTint="80"/>
              <w:left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-5.20</w:t>
            </w:r>
          </w:p>
        </w:tc>
        <w:tc>
          <w:tcPr>
            <w:tcW w:w="1134" w:type="dxa"/>
            <w:tcBorders>
              <w:top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52.45</w:t>
            </w:r>
          </w:p>
        </w:tc>
        <w:tc>
          <w:tcPr>
            <w:tcW w:w="1134" w:type="dxa"/>
            <w:tcBorders>
              <w:top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36.87</w:t>
            </w:r>
          </w:p>
        </w:tc>
        <w:tc>
          <w:tcPr>
            <w:tcW w:w="1134" w:type="dxa"/>
            <w:tcBorders>
              <w:top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41.67</w:t>
            </w:r>
          </w:p>
        </w:tc>
      </w:tr>
      <w:tr w:rsidR="00C7203F" w:rsidTr="00C7203F">
        <w:tc>
          <w:tcPr>
            <w:tcW w:w="3260" w:type="dxa"/>
            <w:tcBorders>
              <w:right w:val="single" w:sz="18" w:space="0" w:color="7F7F7F" w:themeColor="text1" w:themeTint="80"/>
            </w:tcBorders>
            <w:vAlign w:val="bottom"/>
          </w:tcPr>
          <w:p w:rsidR="00C7203F" w:rsidRPr="005C28A9" w:rsidRDefault="00C7203F" w:rsidP="00C7203F">
            <w:pPr>
              <w:spacing w:before="0"/>
              <w:ind w:left="0"/>
              <w:rPr>
                <w:rFonts w:ascii="Times New Roman" w:hAnsi="Times New Roman"/>
                <w:color w:val="000000"/>
                <w:sz w:val="20"/>
                <w:szCs w:val="20"/>
              </w:rPr>
            </w:pPr>
            <w:r w:rsidRPr="005C28A9">
              <w:rPr>
                <w:rFonts w:ascii="Times New Roman" w:hAnsi="Times New Roman"/>
                <w:color w:val="000000"/>
                <w:sz w:val="20"/>
                <w:szCs w:val="20"/>
              </w:rPr>
              <w:t>Price of using capital (rental rate)</w:t>
            </w:r>
          </w:p>
        </w:tc>
        <w:tc>
          <w:tcPr>
            <w:tcW w:w="1134" w:type="dxa"/>
            <w:tcBorders>
              <w:left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-12.25</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24.40</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22.90</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29.08</w:t>
            </w:r>
          </w:p>
        </w:tc>
      </w:tr>
      <w:tr w:rsidR="00C7203F" w:rsidTr="00C7203F">
        <w:tc>
          <w:tcPr>
            <w:tcW w:w="3260" w:type="dxa"/>
            <w:tcBorders>
              <w:right w:val="single" w:sz="18" w:space="0" w:color="7F7F7F" w:themeColor="text1" w:themeTint="80"/>
            </w:tcBorders>
            <w:vAlign w:val="bottom"/>
          </w:tcPr>
          <w:p w:rsidR="00C7203F" w:rsidRPr="005C28A9" w:rsidRDefault="00C7203F" w:rsidP="00C7203F">
            <w:pPr>
              <w:spacing w:before="0"/>
              <w:ind w:left="0"/>
              <w:rPr>
                <w:rFonts w:ascii="Times New Roman" w:hAnsi="Times New Roman"/>
                <w:color w:val="000000"/>
                <w:sz w:val="20"/>
                <w:szCs w:val="20"/>
              </w:rPr>
            </w:pPr>
            <w:r w:rsidRPr="005C28A9">
              <w:rPr>
                <w:rFonts w:ascii="Times New Roman" w:hAnsi="Times New Roman"/>
                <w:color w:val="000000"/>
                <w:sz w:val="20"/>
                <w:szCs w:val="20"/>
              </w:rPr>
              <w:t>Price of creating a unit of capital</w:t>
            </w:r>
          </w:p>
        </w:tc>
        <w:tc>
          <w:tcPr>
            <w:tcW w:w="1134" w:type="dxa"/>
            <w:tcBorders>
              <w:left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-8.10</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31.56</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22.30</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25.96</w:t>
            </w:r>
          </w:p>
        </w:tc>
      </w:tr>
      <w:tr w:rsidR="00C7203F" w:rsidTr="00C7203F">
        <w:tc>
          <w:tcPr>
            <w:tcW w:w="3260" w:type="dxa"/>
            <w:tcBorders>
              <w:right w:val="single" w:sz="18" w:space="0" w:color="7F7F7F" w:themeColor="text1" w:themeTint="80"/>
            </w:tcBorders>
            <w:vAlign w:val="bottom"/>
          </w:tcPr>
          <w:p w:rsidR="00C7203F" w:rsidRPr="005C28A9" w:rsidRDefault="00C7203F" w:rsidP="00C7203F">
            <w:pPr>
              <w:spacing w:before="0"/>
              <w:ind w:left="28"/>
              <w:rPr>
                <w:rFonts w:ascii="Times New Roman" w:hAnsi="Times New Roman"/>
                <w:color w:val="000000"/>
                <w:sz w:val="20"/>
                <w:szCs w:val="20"/>
              </w:rPr>
            </w:pPr>
            <w:r w:rsidRPr="005C28A9">
              <w:rPr>
                <w:rFonts w:ascii="Times New Roman" w:hAnsi="Times New Roman"/>
                <w:color w:val="000000"/>
                <w:sz w:val="20"/>
                <w:szCs w:val="20"/>
              </w:rPr>
              <w:t>Price of GDP</w:t>
            </w:r>
          </w:p>
        </w:tc>
        <w:tc>
          <w:tcPr>
            <w:tcW w:w="1134" w:type="dxa"/>
            <w:tcBorders>
              <w:left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-11.81</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33.67</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21.32</w:t>
            </w:r>
          </w:p>
        </w:tc>
        <w:tc>
          <w:tcPr>
            <w:tcW w:w="1134" w:type="dxa"/>
            <w:vAlign w:val="bottom"/>
          </w:tcPr>
          <w:p w:rsidR="00C7203F" w:rsidRPr="005C28A9" w:rsidRDefault="00C7203F" w:rsidP="00C7203F">
            <w:pPr>
              <w:spacing w:before="0"/>
              <w:jc w:val="right"/>
              <w:rPr>
                <w:rFonts w:ascii="Times New Roman" w:hAnsi="Times New Roman"/>
                <w:color w:val="000000"/>
                <w:sz w:val="20"/>
                <w:szCs w:val="20"/>
              </w:rPr>
            </w:pPr>
            <w:r w:rsidRPr="005C28A9">
              <w:rPr>
                <w:rFonts w:ascii="Times New Roman" w:hAnsi="Times New Roman"/>
                <w:color w:val="000000"/>
                <w:sz w:val="20"/>
                <w:szCs w:val="20"/>
              </w:rPr>
              <w:t>26.65</w:t>
            </w:r>
          </w:p>
        </w:tc>
      </w:tr>
      <w:tr w:rsidR="00C7203F" w:rsidTr="00C7203F">
        <w:tc>
          <w:tcPr>
            <w:tcW w:w="3260" w:type="dxa"/>
            <w:tcBorders>
              <w:bottom w:val="single" w:sz="18" w:space="0" w:color="7F7F7F" w:themeColor="text1" w:themeTint="80"/>
              <w:right w:val="single" w:sz="18" w:space="0" w:color="7F7F7F" w:themeColor="text1" w:themeTint="80"/>
            </w:tcBorders>
            <w:vAlign w:val="bottom"/>
          </w:tcPr>
          <w:p w:rsidR="00C7203F" w:rsidRPr="005C28A9" w:rsidRDefault="00C7203F" w:rsidP="00C7203F">
            <w:pPr>
              <w:spacing w:before="0"/>
              <w:ind w:left="28"/>
              <w:rPr>
                <w:rFonts w:ascii="Times New Roman" w:hAnsi="Times New Roman"/>
                <w:color w:val="000000"/>
                <w:sz w:val="20"/>
                <w:szCs w:val="20"/>
              </w:rPr>
            </w:pPr>
            <w:r>
              <w:rPr>
                <w:rFonts w:ascii="Times New Roman" w:hAnsi="Times New Roman"/>
                <w:color w:val="000000"/>
                <w:sz w:val="20"/>
                <w:szCs w:val="20"/>
              </w:rPr>
              <w:t>Rates of return on capital</w:t>
            </w:r>
          </w:p>
        </w:tc>
        <w:tc>
          <w:tcPr>
            <w:tcW w:w="1134" w:type="dxa"/>
            <w:tcBorders>
              <w:left w:val="single" w:sz="18" w:space="0" w:color="7F7F7F" w:themeColor="text1" w:themeTint="80"/>
              <w:bottom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Pr>
                <w:rFonts w:ascii="Times New Roman" w:hAnsi="Times New Roman"/>
                <w:color w:val="000000"/>
                <w:sz w:val="20"/>
                <w:szCs w:val="20"/>
              </w:rPr>
              <w:t>-1.46</w:t>
            </w:r>
          </w:p>
        </w:tc>
        <w:tc>
          <w:tcPr>
            <w:tcW w:w="1134" w:type="dxa"/>
            <w:tcBorders>
              <w:bottom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Pr>
                <w:rFonts w:ascii="Times New Roman" w:hAnsi="Times New Roman"/>
                <w:color w:val="000000"/>
                <w:sz w:val="20"/>
                <w:szCs w:val="20"/>
              </w:rPr>
              <w:t>-0.84</w:t>
            </w:r>
          </w:p>
        </w:tc>
        <w:tc>
          <w:tcPr>
            <w:tcW w:w="1134" w:type="dxa"/>
            <w:tcBorders>
              <w:bottom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Pr>
                <w:rFonts w:ascii="Times New Roman" w:hAnsi="Times New Roman"/>
                <w:color w:val="000000"/>
                <w:sz w:val="20"/>
                <w:szCs w:val="20"/>
              </w:rPr>
              <w:t>0.08</w:t>
            </w:r>
          </w:p>
        </w:tc>
        <w:tc>
          <w:tcPr>
            <w:tcW w:w="1134" w:type="dxa"/>
            <w:tcBorders>
              <w:bottom w:val="single" w:sz="18" w:space="0" w:color="7F7F7F" w:themeColor="text1" w:themeTint="80"/>
            </w:tcBorders>
            <w:vAlign w:val="bottom"/>
          </w:tcPr>
          <w:p w:rsidR="00C7203F" w:rsidRPr="005C28A9" w:rsidRDefault="00C7203F" w:rsidP="00C7203F">
            <w:pPr>
              <w:spacing w:before="0"/>
              <w:jc w:val="right"/>
              <w:rPr>
                <w:rFonts w:ascii="Times New Roman" w:hAnsi="Times New Roman"/>
                <w:color w:val="000000"/>
                <w:sz w:val="20"/>
                <w:szCs w:val="20"/>
              </w:rPr>
            </w:pPr>
            <w:r>
              <w:rPr>
                <w:rFonts w:ascii="Times New Roman" w:hAnsi="Times New Roman"/>
                <w:color w:val="000000"/>
                <w:sz w:val="20"/>
                <w:szCs w:val="20"/>
              </w:rPr>
              <w:t>0.41</w:t>
            </w:r>
          </w:p>
        </w:tc>
      </w:tr>
    </w:tbl>
    <w:p w:rsidR="00E14E11" w:rsidRDefault="00E14E11" w:rsidP="00972EFE">
      <w:pPr>
        <w:spacing w:before="0"/>
        <w:ind w:left="0"/>
        <w:rPr>
          <w:rFonts w:ascii="Times New Roman" w:hAnsi="Times New Roman"/>
          <w:sz w:val="24"/>
          <w:szCs w:val="24"/>
        </w:rPr>
      </w:pPr>
    </w:p>
    <w:p w:rsidR="00E14E11" w:rsidRDefault="00E14E11" w:rsidP="00E14E11">
      <w:pPr>
        <w:tabs>
          <w:tab w:val="left" w:pos="1134"/>
          <w:tab w:val="right" w:pos="8931"/>
        </w:tabs>
        <w:ind w:left="0"/>
        <w:rPr>
          <w:rFonts w:ascii="Times New Roman" w:hAnsi="Times New Roman"/>
          <w:sz w:val="24"/>
          <w:szCs w:val="24"/>
        </w:rPr>
      </w:pPr>
      <w:r>
        <w:rPr>
          <w:rFonts w:ascii="Times New Roman" w:hAnsi="Times New Roman"/>
          <w:sz w:val="24"/>
          <w:szCs w:val="24"/>
        </w:rPr>
        <w:tab/>
      </w:r>
      <w:r w:rsidRPr="001B1CFA">
        <w:rPr>
          <w:rFonts w:ascii="Times New Roman" w:hAnsi="Times New Roman"/>
          <w:position w:val="-10"/>
          <w:sz w:val="24"/>
          <w:szCs w:val="24"/>
        </w:rPr>
        <w:object w:dxaOrig="2700" w:dyaOrig="320">
          <v:shape id="_x0000_i1065" type="#_x0000_t75" style="width:135pt;height:16.5pt" o:ole="">
            <v:imagedata r:id="rId94" o:title=""/>
          </v:shape>
          <o:OLEObject Type="Embed" ProgID="Equation.DSMT4" ShapeID="_x0000_i1065" DrawAspect="Content" ObjectID="_1774671686" r:id="rId95"/>
        </w:object>
      </w:r>
      <w:r>
        <w:rPr>
          <w:rFonts w:ascii="Times New Roman" w:hAnsi="Times New Roman"/>
          <w:sz w:val="24"/>
          <w:szCs w:val="24"/>
        </w:rPr>
        <w:t xml:space="preserve"> </w:t>
      </w:r>
      <w:r>
        <w:rPr>
          <w:rFonts w:ascii="Times New Roman" w:hAnsi="Times New Roman"/>
          <w:sz w:val="24"/>
          <w:szCs w:val="24"/>
        </w:rPr>
        <w:tab/>
        <w:t>(7.9)</w:t>
      </w:r>
    </w:p>
    <w:p w:rsidR="00E14E11" w:rsidRDefault="00E14E11" w:rsidP="00E14E11">
      <w:pPr>
        <w:spacing w:before="0"/>
        <w:ind w:left="0"/>
        <w:rPr>
          <w:rFonts w:ascii="Times New Roman" w:hAnsi="Times New Roman"/>
          <w:sz w:val="24"/>
          <w:szCs w:val="24"/>
        </w:rPr>
      </w:pPr>
      <w:r>
        <w:rPr>
          <w:rFonts w:ascii="Times New Roman" w:hAnsi="Times New Roman"/>
          <w:sz w:val="24"/>
          <w:szCs w:val="24"/>
        </w:rPr>
        <w:t>or</w:t>
      </w:r>
    </w:p>
    <w:p w:rsidR="00E14E11" w:rsidRDefault="00E14E11" w:rsidP="00E14E11">
      <w:pPr>
        <w:tabs>
          <w:tab w:val="left" w:pos="1134"/>
          <w:tab w:val="right" w:pos="8931"/>
        </w:tabs>
        <w:ind w:left="0"/>
        <w:rPr>
          <w:rFonts w:ascii="Times New Roman" w:hAnsi="Times New Roman"/>
          <w:sz w:val="24"/>
          <w:szCs w:val="24"/>
        </w:rPr>
      </w:pPr>
      <w:r>
        <w:rPr>
          <w:rFonts w:ascii="Times New Roman" w:hAnsi="Times New Roman"/>
          <w:sz w:val="24"/>
          <w:szCs w:val="24"/>
        </w:rPr>
        <w:tab/>
      </w:r>
      <w:r w:rsidRPr="001B1CFA">
        <w:rPr>
          <w:rFonts w:ascii="Times New Roman" w:hAnsi="Times New Roman"/>
          <w:position w:val="-10"/>
          <w:sz w:val="24"/>
          <w:szCs w:val="24"/>
        </w:rPr>
        <w:object w:dxaOrig="2700" w:dyaOrig="320">
          <v:shape id="_x0000_i1066" type="#_x0000_t75" style="width:135pt;height:16.5pt" o:ole="">
            <v:imagedata r:id="rId96" o:title=""/>
          </v:shape>
          <o:OLEObject Type="Embed" ProgID="Equation.DSMT4" ShapeID="_x0000_i1066" DrawAspect="Content" ObjectID="_1774671687" r:id="rId97"/>
        </w:object>
      </w:r>
      <w:r>
        <w:rPr>
          <w:rFonts w:ascii="Times New Roman" w:hAnsi="Times New Roman"/>
          <w:sz w:val="24"/>
          <w:szCs w:val="24"/>
        </w:rPr>
        <w:t xml:space="preserve"> </w:t>
      </w:r>
      <w:r>
        <w:rPr>
          <w:rFonts w:ascii="Times New Roman" w:hAnsi="Times New Roman"/>
          <w:sz w:val="24"/>
          <w:szCs w:val="24"/>
        </w:rPr>
        <w:tab/>
        <w:t>(7.10)</w:t>
      </w:r>
    </w:p>
    <w:p w:rsidR="003C1275" w:rsidRDefault="003C1275" w:rsidP="00E14E11">
      <w:pPr>
        <w:ind w:left="0"/>
        <w:rPr>
          <w:rFonts w:ascii="Times New Roman" w:hAnsi="Times New Roman"/>
          <w:sz w:val="24"/>
          <w:szCs w:val="24"/>
        </w:rPr>
      </w:pPr>
      <w:r>
        <w:rPr>
          <w:rFonts w:ascii="Times New Roman" w:hAnsi="Times New Roman"/>
          <w:sz w:val="24"/>
          <w:szCs w:val="24"/>
        </w:rPr>
        <w:t xml:space="preserve">For Canada, (7.9) applies in the first two simulation periods and (7.10) in the second two periods.  Consequently, rates of return on Canadian capital fall in the first two periods and rise in the second two periods.  </w:t>
      </w:r>
    </w:p>
    <w:p w:rsidR="009C445A" w:rsidRPr="0081337A" w:rsidRDefault="009770D3" w:rsidP="009C445A">
      <w:pPr>
        <w:ind w:left="0"/>
        <w:rPr>
          <w:rFonts w:ascii="Times New Roman" w:hAnsi="Times New Roman"/>
          <w:b/>
          <w:i/>
          <w:sz w:val="24"/>
          <w:szCs w:val="24"/>
        </w:rPr>
      </w:pPr>
      <w:r>
        <w:rPr>
          <w:rFonts w:ascii="Times New Roman" w:hAnsi="Times New Roman"/>
          <w:b/>
          <w:i/>
          <w:sz w:val="24"/>
          <w:szCs w:val="24"/>
        </w:rPr>
        <w:t>Milk products</w:t>
      </w:r>
      <w:r w:rsidR="009C445A" w:rsidRPr="0081337A">
        <w:rPr>
          <w:rFonts w:ascii="Times New Roman" w:hAnsi="Times New Roman"/>
          <w:b/>
          <w:i/>
          <w:sz w:val="24"/>
          <w:szCs w:val="24"/>
        </w:rPr>
        <w:t xml:space="preserve"> (</w:t>
      </w:r>
      <w:r>
        <w:rPr>
          <w:rFonts w:ascii="Times New Roman" w:hAnsi="Times New Roman"/>
          <w:b/>
          <w:i/>
          <w:sz w:val="24"/>
          <w:szCs w:val="24"/>
        </w:rPr>
        <w:t>mil</w:t>
      </w:r>
      <w:r w:rsidR="009C445A" w:rsidRPr="0081337A">
        <w:rPr>
          <w:rFonts w:ascii="Times New Roman" w:hAnsi="Times New Roman"/>
          <w:b/>
          <w:i/>
          <w:sz w:val="24"/>
          <w:szCs w:val="24"/>
        </w:rPr>
        <w:t xml:space="preserve">, ind </w:t>
      </w:r>
      <w:r>
        <w:rPr>
          <w:rFonts w:ascii="Times New Roman" w:hAnsi="Times New Roman"/>
          <w:b/>
          <w:i/>
          <w:sz w:val="24"/>
          <w:szCs w:val="24"/>
        </w:rPr>
        <w:t>22</w:t>
      </w:r>
      <w:r w:rsidR="009C445A" w:rsidRPr="0081337A">
        <w:rPr>
          <w:rFonts w:ascii="Times New Roman" w:hAnsi="Times New Roman"/>
          <w:b/>
          <w:i/>
          <w:sz w:val="24"/>
          <w:szCs w:val="24"/>
        </w:rPr>
        <w:t xml:space="preserve">)    </w:t>
      </w:r>
    </w:p>
    <w:p w:rsidR="002731BD" w:rsidRDefault="009770D3" w:rsidP="002731BD">
      <w:pPr>
        <w:ind w:left="0"/>
        <w:rPr>
          <w:rFonts w:ascii="Times New Roman" w:hAnsi="Times New Roman"/>
          <w:sz w:val="24"/>
          <w:szCs w:val="24"/>
        </w:rPr>
      </w:pPr>
      <w:r>
        <w:rPr>
          <w:rFonts w:ascii="Times New Roman" w:hAnsi="Times New Roman"/>
          <w:sz w:val="24"/>
          <w:szCs w:val="24"/>
        </w:rPr>
        <w:t xml:space="preserve">This is another consumer-oriented industry, although with a lower share of its sales to households than is the case for ind 57.  Consequently, the SME for milk products is positive for the first two simulation periods, negative in the third period, and negligible in the fourth period.  </w:t>
      </w:r>
    </w:p>
    <w:p w:rsidR="009770D3" w:rsidRDefault="009770D3" w:rsidP="002731BD">
      <w:pPr>
        <w:ind w:left="0"/>
        <w:rPr>
          <w:rFonts w:ascii="Times New Roman" w:hAnsi="Times New Roman"/>
          <w:sz w:val="24"/>
          <w:szCs w:val="24"/>
        </w:rPr>
      </w:pPr>
      <w:r>
        <w:rPr>
          <w:rFonts w:ascii="Times New Roman" w:hAnsi="Times New Roman"/>
          <w:sz w:val="24"/>
          <w:szCs w:val="24"/>
        </w:rPr>
        <w:t xml:space="preserve">IPE for Milk products is negative in all periods and approximately offsets the positive SMEs for the first two periods.  For the third and fourth periods, the negative IPEs </w:t>
      </w:r>
      <w:r w:rsidR="00AD0877">
        <w:rPr>
          <w:rFonts w:ascii="Times New Roman" w:hAnsi="Times New Roman"/>
          <w:sz w:val="24"/>
          <w:szCs w:val="24"/>
        </w:rPr>
        <w:t xml:space="preserve">leave growth in the industry’s output well below that of GDP.  </w:t>
      </w:r>
    </w:p>
    <w:p w:rsidR="0019174D" w:rsidRDefault="0081523C" w:rsidP="002731BD">
      <w:pPr>
        <w:ind w:left="0"/>
        <w:rPr>
          <w:rFonts w:ascii="Times New Roman" w:hAnsi="Times New Roman"/>
          <w:sz w:val="24"/>
          <w:szCs w:val="24"/>
        </w:rPr>
      </w:pPr>
      <w:r>
        <w:rPr>
          <w:rFonts w:ascii="Times New Roman" w:hAnsi="Times New Roman"/>
          <w:sz w:val="24"/>
          <w:szCs w:val="24"/>
        </w:rPr>
        <w:t>The IPEs for milk products are negative because the price of milk products increases relative to the price of consumer goods in general.  Direct and indirect use of labour is a larger share of costs in ind 22 than in ind 57.  However, the main component in the increase in the relative price of milk products is a steady increase in the price of its principal intermediate input, raw milk (rmk, ind 11).  This reflects an increase in the price of agricultural land resulting from an increase in demand for agricultural products and a fixed supply of land</w:t>
      </w:r>
      <w:r w:rsidR="0019174D">
        <w:rPr>
          <w:rFonts w:ascii="Times New Roman" w:hAnsi="Times New Roman"/>
          <w:sz w:val="24"/>
          <w:szCs w:val="24"/>
        </w:rPr>
        <w:t xml:space="preserve">.  </w:t>
      </w:r>
    </w:p>
    <w:p w:rsidR="0019174D" w:rsidRDefault="0019174D" w:rsidP="002731BD">
      <w:pPr>
        <w:ind w:left="0"/>
        <w:rPr>
          <w:rFonts w:ascii="Times New Roman" w:hAnsi="Times New Roman"/>
          <w:sz w:val="24"/>
          <w:szCs w:val="24"/>
        </w:rPr>
      </w:pPr>
      <w:r>
        <w:rPr>
          <w:rFonts w:ascii="Times New Roman" w:hAnsi="Times New Roman"/>
          <w:sz w:val="24"/>
          <w:szCs w:val="24"/>
        </w:rPr>
        <w:t>Another factor contributing to the IPEs for milk products is a low expenditure of demand.  This means that milk products los</w:t>
      </w:r>
      <w:r w:rsidR="007C578A">
        <w:rPr>
          <w:rFonts w:ascii="Times New Roman" w:hAnsi="Times New Roman"/>
          <w:sz w:val="24"/>
          <w:szCs w:val="24"/>
        </w:rPr>
        <w:t>e</w:t>
      </w:r>
      <w:r>
        <w:rPr>
          <w:rFonts w:ascii="Times New Roman" w:hAnsi="Times New Roman"/>
          <w:sz w:val="24"/>
          <w:szCs w:val="24"/>
        </w:rPr>
        <w:t>s gro</w:t>
      </w:r>
      <w:r w:rsidR="007C578A">
        <w:rPr>
          <w:rFonts w:ascii="Times New Roman" w:hAnsi="Times New Roman"/>
          <w:sz w:val="24"/>
          <w:szCs w:val="24"/>
        </w:rPr>
        <w:t xml:space="preserve">und against other consumer products as aggregate real expenditure per household rises.  </w:t>
      </w:r>
    </w:p>
    <w:p w:rsidR="007C578A" w:rsidRPr="0081337A" w:rsidRDefault="007C578A" w:rsidP="007C578A">
      <w:pPr>
        <w:ind w:left="0"/>
        <w:rPr>
          <w:rFonts w:ascii="Times New Roman" w:hAnsi="Times New Roman"/>
          <w:b/>
          <w:i/>
          <w:sz w:val="24"/>
          <w:szCs w:val="24"/>
        </w:rPr>
      </w:pPr>
      <w:r>
        <w:rPr>
          <w:rFonts w:ascii="Times New Roman" w:hAnsi="Times New Roman"/>
          <w:b/>
          <w:i/>
          <w:sz w:val="24"/>
          <w:szCs w:val="24"/>
        </w:rPr>
        <w:t>Raw milk</w:t>
      </w:r>
      <w:r w:rsidRPr="0081337A">
        <w:rPr>
          <w:rFonts w:ascii="Times New Roman" w:hAnsi="Times New Roman"/>
          <w:b/>
          <w:i/>
          <w:sz w:val="24"/>
          <w:szCs w:val="24"/>
        </w:rPr>
        <w:t xml:space="preserve"> (</w:t>
      </w:r>
      <w:r>
        <w:rPr>
          <w:rFonts w:ascii="Times New Roman" w:hAnsi="Times New Roman"/>
          <w:b/>
          <w:i/>
          <w:sz w:val="24"/>
          <w:szCs w:val="24"/>
        </w:rPr>
        <w:t>rmk</w:t>
      </w:r>
      <w:r w:rsidRPr="0081337A">
        <w:rPr>
          <w:rFonts w:ascii="Times New Roman" w:hAnsi="Times New Roman"/>
          <w:b/>
          <w:i/>
          <w:sz w:val="24"/>
          <w:szCs w:val="24"/>
        </w:rPr>
        <w:t xml:space="preserve">, ind </w:t>
      </w:r>
      <w:r>
        <w:rPr>
          <w:rFonts w:ascii="Times New Roman" w:hAnsi="Times New Roman"/>
          <w:b/>
          <w:i/>
          <w:sz w:val="24"/>
          <w:szCs w:val="24"/>
        </w:rPr>
        <w:t>11</w:t>
      </w:r>
      <w:r w:rsidRPr="0081337A">
        <w:rPr>
          <w:rFonts w:ascii="Times New Roman" w:hAnsi="Times New Roman"/>
          <w:b/>
          <w:i/>
          <w:sz w:val="24"/>
          <w:szCs w:val="24"/>
        </w:rPr>
        <w:t xml:space="preserve">)    </w:t>
      </w:r>
    </w:p>
    <w:p w:rsidR="00C75A08" w:rsidRDefault="007C578A" w:rsidP="002731BD">
      <w:pPr>
        <w:ind w:left="0"/>
        <w:rPr>
          <w:rFonts w:ascii="Times New Roman" w:hAnsi="Times New Roman"/>
          <w:sz w:val="24"/>
          <w:szCs w:val="24"/>
        </w:rPr>
      </w:pPr>
      <w:r>
        <w:rPr>
          <w:rFonts w:ascii="Times New Roman" w:hAnsi="Times New Roman"/>
          <w:sz w:val="24"/>
          <w:szCs w:val="24"/>
        </w:rPr>
        <w:t xml:space="preserve">Most of the sales of this product are to Canada’s milk products industry.  Consequently the SME for raw milk is closely in line with the gap </w:t>
      </w:r>
      <w:r w:rsidR="00C75A08">
        <w:rPr>
          <w:rFonts w:ascii="Times New Roman" w:hAnsi="Times New Roman"/>
          <w:sz w:val="24"/>
          <w:szCs w:val="24"/>
        </w:rPr>
        <w:t>for milk products (0.08 versus 0.03, 0.06 versus 0.02, -0.58 versus -0.65, and -0.44 versus -0.51).  Raw milk faces very little competition in its principal market (intermediate sales to milk products).  This means that the IPE for raw milk is small in all periods despite the increase in its price.</w:t>
      </w:r>
    </w:p>
    <w:p w:rsidR="00DF690E" w:rsidRDefault="00C75A08" w:rsidP="002731BD">
      <w:pPr>
        <w:ind w:left="0"/>
        <w:rPr>
          <w:rFonts w:ascii="Times New Roman" w:hAnsi="Times New Roman"/>
          <w:b/>
          <w:i/>
          <w:sz w:val="24"/>
          <w:szCs w:val="24"/>
        </w:rPr>
      </w:pPr>
      <w:r w:rsidRPr="00DF690E">
        <w:rPr>
          <w:rFonts w:ascii="Times New Roman" w:hAnsi="Times New Roman"/>
          <w:b/>
          <w:i/>
          <w:sz w:val="24"/>
          <w:szCs w:val="24"/>
        </w:rPr>
        <w:t>Recreation and other services (ros, ind 55)</w:t>
      </w:r>
    </w:p>
    <w:p w:rsidR="00AF64B4" w:rsidRDefault="00DF690E" w:rsidP="002731BD">
      <w:pPr>
        <w:ind w:left="0"/>
        <w:rPr>
          <w:rFonts w:ascii="Times New Roman" w:hAnsi="Times New Roman"/>
          <w:sz w:val="24"/>
          <w:szCs w:val="24"/>
        </w:rPr>
      </w:pPr>
      <w:r>
        <w:rPr>
          <w:rFonts w:ascii="Times New Roman" w:hAnsi="Times New Roman"/>
          <w:sz w:val="24"/>
          <w:szCs w:val="24"/>
        </w:rPr>
        <w:t>This is a consumer</w:t>
      </w:r>
      <w:r w:rsidR="00572CC4">
        <w:rPr>
          <w:rFonts w:ascii="Times New Roman" w:hAnsi="Times New Roman"/>
          <w:sz w:val="24"/>
          <w:szCs w:val="24"/>
        </w:rPr>
        <w:t>-</w:t>
      </w:r>
      <w:r>
        <w:rPr>
          <w:rFonts w:ascii="Times New Roman" w:hAnsi="Times New Roman"/>
          <w:sz w:val="24"/>
          <w:szCs w:val="24"/>
        </w:rPr>
        <w:t>oriented</w:t>
      </w:r>
      <w:r w:rsidR="00C43B1A">
        <w:rPr>
          <w:rFonts w:ascii="Times New Roman" w:hAnsi="Times New Roman"/>
          <w:sz w:val="24"/>
          <w:szCs w:val="24"/>
        </w:rPr>
        <w:t>,</w:t>
      </w:r>
      <w:r>
        <w:rPr>
          <w:rFonts w:ascii="Times New Roman" w:hAnsi="Times New Roman"/>
          <w:sz w:val="24"/>
          <w:szCs w:val="24"/>
        </w:rPr>
        <w:t xml:space="preserve"> labour-intensive industry</w:t>
      </w:r>
      <w:r w:rsidR="00572CC4">
        <w:rPr>
          <w:rFonts w:ascii="Times New Roman" w:hAnsi="Times New Roman"/>
          <w:sz w:val="24"/>
          <w:szCs w:val="24"/>
        </w:rPr>
        <w:t xml:space="preserve"> with an expenditure elasticity slightly less than one.  </w:t>
      </w:r>
      <w:r w:rsidR="00AF64B4">
        <w:rPr>
          <w:rFonts w:ascii="Times New Roman" w:hAnsi="Times New Roman"/>
          <w:sz w:val="24"/>
          <w:szCs w:val="24"/>
        </w:rPr>
        <w:t xml:space="preserve">Consumer-orientation gives the industry positive SMEs in periods 1, 2 and 4, and a negative SME in period 3.  High labour-intensity increases the price of the product </w:t>
      </w:r>
      <w:r w:rsidR="00AF64B4">
        <w:rPr>
          <w:rFonts w:ascii="Times New Roman" w:hAnsi="Times New Roman"/>
          <w:sz w:val="24"/>
          <w:szCs w:val="24"/>
        </w:rPr>
        <w:lastRenderedPageBreak/>
        <w:t xml:space="preserve">relative to other consumer goods and contributes to negative IPEs in all periods.  </w:t>
      </w:r>
      <w:r w:rsidR="00572CC4">
        <w:rPr>
          <w:rFonts w:ascii="Times New Roman" w:hAnsi="Times New Roman"/>
          <w:sz w:val="24"/>
          <w:szCs w:val="24"/>
        </w:rPr>
        <w:t xml:space="preserve">The relatively low expenditure elasticity also contributes to the negative IPEs.  </w:t>
      </w:r>
      <w:r w:rsidR="00AF64B4">
        <w:rPr>
          <w:rFonts w:ascii="Times New Roman" w:hAnsi="Times New Roman"/>
          <w:sz w:val="24"/>
          <w:szCs w:val="24"/>
        </w:rPr>
        <w:t xml:space="preserve">  </w:t>
      </w:r>
    </w:p>
    <w:p w:rsidR="00572CC4" w:rsidRDefault="004E6BB7" w:rsidP="002731BD">
      <w:pPr>
        <w:ind w:left="0"/>
        <w:rPr>
          <w:rFonts w:ascii="Times New Roman" w:hAnsi="Times New Roman"/>
          <w:sz w:val="24"/>
          <w:szCs w:val="24"/>
        </w:rPr>
      </w:pPr>
      <w:r>
        <w:rPr>
          <w:rFonts w:ascii="Times New Roman" w:hAnsi="Times New Roman"/>
          <w:sz w:val="24"/>
          <w:szCs w:val="24"/>
        </w:rPr>
        <w:t>A</w:t>
      </w:r>
      <w:r w:rsidR="00AF64B4">
        <w:rPr>
          <w:rFonts w:ascii="Times New Roman" w:hAnsi="Times New Roman"/>
          <w:sz w:val="24"/>
          <w:szCs w:val="24"/>
        </w:rPr>
        <w:t xml:space="preserve">bout 20 per cent of the Canadian market </w:t>
      </w:r>
      <w:r w:rsidR="00572CC4">
        <w:rPr>
          <w:rFonts w:ascii="Times New Roman" w:hAnsi="Times New Roman"/>
          <w:sz w:val="24"/>
          <w:szCs w:val="24"/>
        </w:rPr>
        <w:t xml:space="preserve">for ros </w:t>
      </w:r>
      <w:r w:rsidR="00AF64B4">
        <w:rPr>
          <w:rFonts w:ascii="Times New Roman" w:hAnsi="Times New Roman"/>
          <w:sz w:val="24"/>
          <w:szCs w:val="24"/>
        </w:rPr>
        <w:t>is serviced by imports</w:t>
      </w:r>
      <w:r>
        <w:rPr>
          <w:rFonts w:ascii="Times New Roman" w:hAnsi="Times New Roman"/>
          <w:sz w:val="24"/>
          <w:szCs w:val="24"/>
        </w:rPr>
        <w:t xml:space="preserve"> and about 13 per cent of the industry’s product is exported</w:t>
      </w:r>
      <w:r w:rsidR="00AF64B4">
        <w:rPr>
          <w:rFonts w:ascii="Times New Roman" w:hAnsi="Times New Roman"/>
          <w:sz w:val="24"/>
          <w:szCs w:val="24"/>
        </w:rPr>
        <w:t xml:space="preserve">.  </w:t>
      </w:r>
      <w:r>
        <w:rPr>
          <w:rFonts w:ascii="Times New Roman" w:hAnsi="Times New Roman"/>
          <w:sz w:val="24"/>
          <w:szCs w:val="24"/>
        </w:rPr>
        <w:t xml:space="preserve">In the first period there is a </w:t>
      </w:r>
      <w:r w:rsidR="00572CC4">
        <w:rPr>
          <w:rFonts w:ascii="Times New Roman" w:hAnsi="Times New Roman"/>
          <w:sz w:val="24"/>
          <w:szCs w:val="24"/>
        </w:rPr>
        <w:t xml:space="preserve">general </w:t>
      </w:r>
      <w:r>
        <w:rPr>
          <w:rFonts w:ascii="Times New Roman" w:hAnsi="Times New Roman"/>
          <w:sz w:val="24"/>
          <w:szCs w:val="24"/>
        </w:rPr>
        <w:t xml:space="preserve">twist in Canadian preferences towards imports, see Table 4.5.  This contributes negatively to the industry’s IPE.  In the second period, costs in </w:t>
      </w:r>
      <w:r w:rsidR="00C43B1A">
        <w:rPr>
          <w:rFonts w:ascii="Times New Roman" w:hAnsi="Times New Roman"/>
          <w:sz w:val="24"/>
          <w:szCs w:val="24"/>
        </w:rPr>
        <w:t xml:space="preserve">the </w:t>
      </w:r>
      <w:r w:rsidR="00572CC4">
        <w:rPr>
          <w:rFonts w:ascii="Times New Roman" w:hAnsi="Times New Roman"/>
          <w:sz w:val="24"/>
          <w:szCs w:val="24"/>
        </w:rPr>
        <w:t>Canadian ros</w:t>
      </w:r>
      <w:r>
        <w:rPr>
          <w:rFonts w:ascii="Times New Roman" w:hAnsi="Times New Roman"/>
          <w:sz w:val="24"/>
          <w:szCs w:val="24"/>
        </w:rPr>
        <w:t xml:space="preserve"> industry increase relative to the cost of competing import</w:t>
      </w:r>
      <w:r w:rsidR="00572CC4">
        <w:rPr>
          <w:rFonts w:ascii="Times New Roman" w:hAnsi="Times New Roman"/>
          <w:sz w:val="24"/>
          <w:szCs w:val="24"/>
        </w:rPr>
        <w:t>s</w:t>
      </w:r>
      <w:r>
        <w:rPr>
          <w:rFonts w:ascii="Times New Roman" w:hAnsi="Times New Roman"/>
          <w:sz w:val="24"/>
          <w:szCs w:val="24"/>
        </w:rPr>
        <w:t>.  This again contributes negatively to the IPE.  In the other two periods, th</w:t>
      </w:r>
      <w:r w:rsidR="002843A3">
        <w:rPr>
          <w:rFonts w:ascii="Times New Roman" w:hAnsi="Times New Roman"/>
          <w:sz w:val="24"/>
          <w:szCs w:val="24"/>
        </w:rPr>
        <w:t xml:space="preserve">e increase in the price of the </w:t>
      </w:r>
      <w:r>
        <w:rPr>
          <w:rFonts w:ascii="Times New Roman" w:hAnsi="Times New Roman"/>
          <w:sz w:val="24"/>
          <w:szCs w:val="24"/>
        </w:rPr>
        <w:t xml:space="preserve">domestic </w:t>
      </w:r>
      <w:r w:rsidR="002843A3">
        <w:rPr>
          <w:rFonts w:ascii="Times New Roman" w:hAnsi="Times New Roman"/>
          <w:sz w:val="24"/>
          <w:szCs w:val="24"/>
        </w:rPr>
        <w:t xml:space="preserve">product </w:t>
      </w:r>
      <w:r>
        <w:rPr>
          <w:rFonts w:ascii="Times New Roman" w:hAnsi="Times New Roman"/>
          <w:sz w:val="24"/>
          <w:szCs w:val="24"/>
        </w:rPr>
        <w:t>moves broadly in line with that of imports, with little effect on the indust</w:t>
      </w:r>
      <w:r w:rsidR="00C43B1A">
        <w:rPr>
          <w:rFonts w:ascii="Times New Roman" w:hAnsi="Times New Roman"/>
          <w:sz w:val="24"/>
          <w:szCs w:val="24"/>
        </w:rPr>
        <w:t>r</w:t>
      </w:r>
      <w:r>
        <w:rPr>
          <w:rFonts w:ascii="Times New Roman" w:hAnsi="Times New Roman"/>
          <w:sz w:val="24"/>
          <w:szCs w:val="24"/>
        </w:rPr>
        <w:t xml:space="preserve">y’s IPE.  </w:t>
      </w:r>
      <w:r w:rsidR="00572CC4">
        <w:rPr>
          <w:rFonts w:ascii="Times New Roman" w:hAnsi="Times New Roman"/>
          <w:sz w:val="24"/>
          <w:szCs w:val="24"/>
        </w:rPr>
        <w:t xml:space="preserve">   </w:t>
      </w:r>
    </w:p>
    <w:p w:rsidR="002731BD" w:rsidRPr="00210364" w:rsidRDefault="00210364" w:rsidP="002731BD">
      <w:pPr>
        <w:ind w:left="0"/>
        <w:rPr>
          <w:rFonts w:ascii="Times New Roman" w:hAnsi="Times New Roman"/>
          <w:b/>
          <w:i/>
          <w:sz w:val="24"/>
          <w:szCs w:val="24"/>
        </w:rPr>
      </w:pPr>
      <w:r w:rsidRPr="00210364">
        <w:rPr>
          <w:rFonts w:ascii="Times New Roman" w:hAnsi="Times New Roman"/>
          <w:b/>
          <w:i/>
          <w:sz w:val="24"/>
          <w:szCs w:val="24"/>
        </w:rPr>
        <w:t>Government services (osg, ind 56)</w:t>
      </w:r>
    </w:p>
    <w:p w:rsidR="002731BD" w:rsidRDefault="0005225E" w:rsidP="002731BD">
      <w:pPr>
        <w:ind w:left="0"/>
        <w:rPr>
          <w:rFonts w:ascii="Times New Roman" w:hAnsi="Times New Roman"/>
          <w:sz w:val="24"/>
          <w:szCs w:val="24"/>
        </w:rPr>
      </w:pPr>
      <w:r>
        <w:rPr>
          <w:rFonts w:ascii="Times New Roman" w:hAnsi="Times New Roman"/>
          <w:sz w:val="24"/>
          <w:szCs w:val="24"/>
        </w:rPr>
        <w:t>This industry faces little competition from other industries and most of its sales a</w:t>
      </w:r>
      <w:r w:rsidR="003C7EAD">
        <w:rPr>
          <w:rFonts w:ascii="Times New Roman" w:hAnsi="Times New Roman"/>
          <w:sz w:val="24"/>
          <w:szCs w:val="24"/>
        </w:rPr>
        <w:t>r</w:t>
      </w:r>
      <w:r>
        <w:rPr>
          <w:rFonts w:ascii="Times New Roman" w:hAnsi="Times New Roman"/>
          <w:sz w:val="24"/>
          <w:szCs w:val="24"/>
        </w:rPr>
        <w:t>e to government.  In these circumstances, the IPE effect must be small and the gap between the industry’s growth rate and that of GDP must be explained principally by SME.  Thus</w:t>
      </w:r>
      <w:r w:rsidR="003C7EAD">
        <w:rPr>
          <w:rFonts w:ascii="Times New Roman" w:hAnsi="Times New Roman"/>
          <w:sz w:val="24"/>
          <w:szCs w:val="24"/>
        </w:rPr>
        <w:t>,</w:t>
      </w:r>
      <w:r>
        <w:rPr>
          <w:rFonts w:ascii="Times New Roman" w:hAnsi="Times New Roman"/>
          <w:sz w:val="24"/>
          <w:szCs w:val="24"/>
        </w:rPr>
        <w:t xml:space="preserve"> we see a negligible gap in periods 1 and 4 when average annual growth in government expenditure is close to that of GDP (1.89 per cent versus 1.88 per cent in period 1, and 1.8</w:t>
      </w:r>
      <w:r w:rsidR="003C7EAD">
        <w:rPr>
          <w:rFonts w:ascii="Times New Roman" w:hAnsi="Times New Roman"/>
          <w:sz w:val="24"/>
          <w:szCs w:val="24"/>
        </w:rPr>
        <w:t xml:space="preserve">4 </w:t>
      </w:r>
      <w:r>
        <w:rPr>
          <w:rFonts w:ascii="Times New Roman" w:hAnsi="Times New Roman"/>
          <w:sz w:val="24"/>
          <w:szCs w:val="24"/>
        </w:rPr>
        <w:t>per cent</w:t>
      </w:r>
      <w:r w:rsidR="003C7EAD">
        <w:rPr>
          <w:rFonts w:ascii="Times New Roman" w:hAnsi="Times New Roman"/>
          <w:sz w:val="24"/>
          <w:szCs w:val="24"/>
        </w:rPr>
        <w:t xml:space="preserve"> versus</w:t>
      </w:r>
      <w:r>
        <w:rPr>
          <w:rFonts w:ascii="Times New Roman" w:hAnsi="Times New Roman"/>
          <w:sz w:val="24"/>
          <w:szCs w:val="24"/>
        </w:rPr>
        <w:t xml:space="preserve"> 1.81</w:t>
      </w:r>
      <w:r w:rsidR="003C7EAD">
        <w:rPr>
          <w:rFonts w:ascii="Times New Roman" w:hAnsi="Times New Roman"/>
          <w:sz w:val="24"/>
          <w:szCs w:val="24"/>
        </w:rPr>
        <w:t xml:space="preserve"> per cent</w:t>
      </w:r>
      <w:r>
        <w:rPr>
          <w:rFonts w:ascii="Times New Roman" w:hAnsi="Times New Roman"/>
          <w:sz w:val="24"/>
          <w:szCs w:val="24"/>
        </w:rPr>
        <w:t xml:space="preserve"> in period 4, see Table 7.2.).  </w:t>
      </w:r>
      <w:r w:rsidR="003C7EAD">
        <w:rPr>
          <w:rFonts w:ascii="Times New Roman" w:hAnsi="Times New Roman"/>
          <w:sz w:val="24"/>
          <w:szCs w:val="24"/>
        </w:rPr>
        <w:t>In period 2</w:t>
      </w:r>
      <w:r w:rsidR="009023B4">
        <w:rPr>
          <w:rFonts w:ascii="Times New Roman" w:hAnsi="Times New Roman"/>
          <w:sz w:val="24"/>
          <w:szCs w:val="24"/>
        </w:rPr>
        <w:t>,</w:t>
      </w:r>
      <w:r w:rsidR="003C7EAD">
        <w:rPr>
          <w:rFonts w:ascii="Times New Roman" w:hAnsi="Times New Roman"/>
          <w:sz w:val="24"/>
          <w:szCs w:val="24"/>
        </w:rPr>
        <w:t xml:space="preserve"> the gap is positive because growth in government expenditure exceeds growth in GDP (2.13 versus 1.53).  In period 3, the gap is negative because growth in government expenditure is less than the growth in GDP (1.84 versus 2.09).  </w:t>
      </w:r>
    </w:p>
    <w:p w:rsidR="009023B4" w:rsidRDefault="009023B4" w:rsidP="002731BD">
      <w:pPr>
        <w:ind w:left="0"/>
        <w:rPr>
          <w:rFonts w:ascii="Times New Roman" w:hAnsi="Times New Roman"/>
          <w:b/>
          <w:i/>
          <w:sz w:val="24"/>
          <w:szCs w:val="24"/>
        </w:rPr>
      </w:pPr>
      <w:r>
        <w:rPr>
          <w:rFonts w:ascii="Times New Roman" w:hAnsi="Times New Roman"/>
          <w:b/>
          <w:i/>
          <w:sz w:val="24"/>
          <w:szCs w:val="24"/>
        </w:rPr>
        <w:t>Construction (cns, ind 46)</w:t>
      </w:r>
    </w:p>
    <w:p w:rsidR="005A0E15" w:rsidRDefault="00247A90" w:rsidP="002731BD">
      <w:pPr>
        <w:ind w:left="0"/>
        <w:rPr>
          <w:rFonts w:ascii="Times New Roman" w:hAnsi="Times New Roman"/>
          <w:sz w:val="24"/>
          <w:szCs w:val="24"/>
        </w:rPr>
      </w:pPr>
      <w:r>
        <w:rPr>
          <w:rFonts w:ascii="Times New Roman" w:hAnsi="Times New Roman"/>
          <w:sz w:val="24"/>
          <w:szCs w:val="24"/>
        </w:rPr>
        <w:t>Most of the sales of construction (cns, ind</w:t>
      </w:r>
      <w:r w:rsidR="005A0E15">
        <w:rPr>
          <w:rFonts w:ascii="Times New Roman" w:hAnsi="Times New Roman"/>
          <w:sz w:val="24"/>
          <w:szCs w:val="24"/>
        </w:rPr>
        <w:t xml:space="preserve"> </w:t>
      </w:r>
      <w:r>
        <w:rPr>
          <w:rFonts w:ascii="Times New Roman" w:hAnsi="Times New Roman"/>
          <w:sz w:val="24"/>
          <w:szCs w:val="24"/>
        </w:rPr>
        <w:t>46) are intermediate inputs supplied to the capital goods industry (cgds).  In the GTAP model, the output of cgds in region r is the region</w:t>
      </w:r>
      <w:r w:rsidR="00C43B1A">
        <w:rPr>
          <w:rFonts w:ascii="Times New Roman" w:hAnsi="Times New Roman"/>
          <w:sz w:val="24"/>
          <w:szCs w:val="24"/>
        </w:rPr>
        <w:t>’</w:t>
      </w:r>
      <w:r>
        <w:rPr>
          <w:rFonts w:ascii="Times New Roman" w:hAnsi="Times New Roman"/>
          <w:sz w:val="24"/>
          <w:szCs w:val="24"/>
        </w:rPr>
        <w:t>s real investment.  Thus</w:t>
      </w:r>
      <w:r w:rsidR="00C43B1A">
        <w:rPr>
          <w:rFonts w:ascii="Times New Roman" w:hAnsi="Times New Roman"/>
          <w:sz w:val="24"/>
          <w:szCs w:val="24"/>
        </w:rPr>
        <w:t>,</w:t>
      </w:r>
      <w:r>
        <w:rPr>
          <w:rFonts w:ascii="Times New Roman" w:hAnsi="Times New Roman"/>
          <w:sz w:val="24"/>
          <w:szCs w:val="24"/>
        </w:rPr>
        <w:t xml:space="preserve"> the main sales category for cns is investment.  In supplying investment via the cgds industry, cns faces almost no </w:t>
      </w:r>
      <w:r w:rsidR="005A0E15">
        <w:rPr>
          <w:rFonts w:ascii="Times New Roman" w:hAnsi="Times New Roman"/>
          <w:sz w:val="24"/>
          <w:szCs w:val="24"/>
        </w:rPr>
        <w:t>competition</w:t>
      </w:r>
      <w:r>
        <w:rPr>
          <w:rFonts w:ascii="Times New Roman" w:hAnsi="Times New Roman"/>
          <w:sz w:val="24"/>
          <w:szCs w:val="24"/>
        </w:rPr>
        <w:t xml:space="preserve"> from other industries.  </w:t>
      </w:r>
    </w:p>
    <w:p w:rsidR="005A0E15" w:rsidRDefault="005A0E15" w:rsidP="002731BD">
      <w:pPr>
        <w:ind w:left="0"/>
        <w:rPr>
          <w:rFonts w:ascii="Times New Roman" w:hAnsi="Times New Roman"/>
          <w:sz w:val="24"/>
          <w:szCs w:val="24"/>
        </w:rPr>
      </w:pPr>
      <w:r>
        <w:rPr>
          <w:rFonts w:ascii="Times New Roman" w:hAnsi="Times New Roman"/>
          <w:sz w:val="24"/>
          <w:szCs w:val="24"/>
        </w:rPr>
        <w:t>Given these characteristics, we can understand why the gap calculations for ind 46 in Table 7.3 are dominated by SMEs.  In all periods,</w:t>
      </w:r>
      <w:r w:rsidR="00351BFA">
        <w:rPr>
          <w:rFonts w:ascii="Times New Roman" w:hAnsi="Times New Roman"/>
          <w:sz w:val="24"/>
          <w:szCs w:val="24"/>
        </w:rPr>
        <w:t xml:space="preserve"> the output of cns grows slower than GDP with the negative gap explained almost entirely by negative SMEs</w:t>
      </w:r>
      <w:r>
        <w:rPr>
          <w:rFonts w:ascii="Times New Roman" w:hAnsi="Times New Roman"/>
          <w:sz w:val="24"/>
          <w:szCs w:val="24"/>
        </w:rPr>
        <w:t xml:space="preserve"> </w:t>
      </w:r>
      <w:r w:rsidR="00351BFA">
        <w:rPr>
          <w:rFonts w:ascii="Times New Roman" w:hAnsi="Times New Roman"/>
          <w:sz w:val="24"/>
          <w:szCs w:val="24"/>
        </w:rPr>
        <w:t xml:space="preserve">reflecting slow growth in Canada’s </w:t>
      </w:r>
      <w:r>
        <w:rPr>
          <w:rFonts w:ascii="Times New Roman" w:hAnsi="Times New Roman"/>
          <w:sz w:val="24"/>
          <w:szCs w:val="24"/>
        </w:rPr>
        <w:t xml:space="preserve">investment </w:t>
      </w:r>
      <w:r w:rsidR="00351BFA">
        <w:rPr>
          <w:rFonts w:ascii="Times New Roman" w:hAnsi="Times New Roman"/>
          <w:sz w:val="24"/>
          <w:szCs w:val="24"/>
        </w:rPr>
        <w:t>relative</w:t>
      </w:r>
      <w:r>
        <w:rPr>
          <w:rFonts w:ascii="Times New Roman" w:hAnsi="Times New Roman"/>
          <w:sz w:val="24"/>
          <w:szCs w:val="24"/>
        </w:rPr>
        <w:t xml:space="preserve"> </w:t>
      </w:r>
      <w:r w:rsidR="00351BFA">
        <w:rPr>
          <w:rFonts w:ascii="Times New Roman" w:hAnsi="Times New Roman"/>
          <w:sz w:val="24"/>
          <w:szCs w:val="24"/>
        </w:rPr>
        <w:t xml:space="preserve">to </w:t>
      </w:r>
      <w:r>
        <w:rPr>
          <w:rFonts w:ascii="Times New Roman" w:hAnsi="Times New Roman"/>
          <w:sz w:val="24"/>
          <w:szCs w:val="24"/>
        </w:rPr>
        <w:t xml:space="preserve">GDP.  </w:t>
      </w:r>
    </w:p>
    <w:p w:rsidR="00351BFA" w:rsidRDefault="00351BFA" w:rsidP="002731BD">
      <w:pPr>
        <w:ind w:left="0"/>
        <w:rPr>
          <w:rFonts w:ascii="Times New Roman" w:hAnsi="Times New Roman"/>
          <w:sz w:val="24"/>
          <w:szCs w:val="24"/>
        </w:rPr>
      </w:pPr>
      <w:r>
        <w:rPr>
          <w:rFonts w:ascii="Times New Roman" w:hAnsi="Times New Roman"/>
          <w:sz w:val="24"/>
          <w:szCs w:val="24"/>
        </w:rPr>
        <w:t xml:space="preserve">However, there is one curious aspect of the results in the cns row of Table 7.3.  What explains </w:t>
      </w:r>
      <w:r w:rsidR="005A0E15">
        <w:rPr>
          <w:rFonts w:ascii="Times New Roman" w:hAnsi="Times New Roman"/>
          <w:sz w:val="24"/>
          <w:szCs w:val="24"/>
        </w:rPr>
        <w:t xml:space="preserve">the </w:t>
      </w:r>
      <w:r>
        <w:rPr>
          <w:rFonts w:ascii="Times New Roman" w:hAnsi="Times New Roman"/>
          <w:sz w:val="24"/>
          <w:szCs w:val="24"/>
        </w:rPr>
        <w:t>significantly non-zero result (0.35) for IPE in period 1?</w:t>
      </w:r>
    </w:p>
    <w:p w:rsidR="009023B4" w:rsidRDefault="00014671" w:rsidP="002731BD">
      <w:pPr>
        <w:ind w:left="0"/>
        <w:rPr>
          <w:rFonts w:ascii="Times New Roman" w:hAnsi="Times New Roman"/>
          <w:sz w:val="24"/>
          <w:szCs w:val="24"/>
        </w:rPr>
      </w:pPr>
      <w:r>
        <w:rPr>
          <w:rFonts w:ascii="Times New Roman" w:hAnsi="Times New Roman"/>
          <w:sz w:val="24"/>
          <w:szCs w:val="24"/>
        </w:rPr>
        <w:t>Recall from the discussion in section 4 of panel 15 in Table 4.1 that in the 2014-19 simulation we introduced observation</w:t>
      </w:r>
      <w:r w:rsidR="0046305F">
        <w:rPr>
          <w:rFonts w:ascii="Times New Roman" w:hAnsi="Times New Roman"/>
          <w:sz w:val="24"/>
          <w:szCs w:val="24"/>
        </w:rPr>
        <w:t>s</w:t>
      </w:r>
      <w:r>
        <w:rPr>
          <w:rFonts w:ascii="Times New Roman" w:hAnsi="Times New Roman"/>
          <w:sz w:val="24"/>
          <w:szCs w:val="24"/>
        </w:rPr>
        <w:t xml:space="preserve"> on movements in price deflators for investment</w:t>
      </w:r>
      <w:r w:rsidR="0046305F">
        <w:rPr>
          <w:rFonts w:ascii="Times New Roman" w:hAnsi="Times New Roman"/>
          <w:sz w:val="24"/>
          <w:szCs w:val="24"/>
        </w:rPr>
        <w:t>.  In exogenizing these movements, we allowed the model to generate input-saving or -using technical changes in the cgds industry.  In the case of Canada, the technical changes were input using</w:t>
      </w:r>
      <w:r w:rsidR="00C43B1A">
        <w:rPr>
          <w:rFonts w:ascii="Times New Roman" w:hAnsi="Times New Roman"/>
          <w:sz w:val="24"/>
          <w:szCs w:val="24"/>
        </w:rPr>
        <w:t>.  Consequently, sales of cns (</w:t>
      </w:r>
      <w:r w:rsidR="0046305F">
        <w:rPr>
          <w:rFonts w:ascii="Times New Roman" w:hAnsi="Times New Roman"/>
          <w:sz w:val="24"/>
          <w:szCs w:val="24"/>
        </w:rPr>
        <w:t xml:space="preserve">and all other inputs) to </w:t>
      </w:r>
      <w:r w:rsidR="00C43B1A">
        <w:rPr>
          <w:rFonts w:ascii="Times New Roman" w:hAnsi="Times New Roman"/>
          <w:sz w:val="24"/>
          <w:szCs w:val="24"/>
        </w:rPr>
        <w:t>t</w:t>
      </w:r>
      <w:r w:rsidR="00543510">
        <w:rPr>
          <w:rFonts w:ascii="Times New Roman" w:hAnsi="Times New Roman"/>
          <w:sz w:val="24"/>
          <w:szCs w:val="24"/>
        </w:rPr>
        <w:t>he cgds industry</w:t>
      </w:r>
      <w:r w:rsidR="0046305F">
        <w:rPr>
          <w:rFonts w:ascii="Times New Roman" w:hAnsi="Times New Roman"/>
          <w:sz w:val="24"/>
          <w:szCs w:val="24"/>
        </w:rPr>
        <w:t xml:space="preserve"> increased relative to the </w:t>
      </w:r>
      <w:r w:rsidR="00543510">
        <w:rPr>
          <w:rFonts w:ascii="Times New Roman" w:hAnsi="Times New Roman"/>
          <w:sz w:val="24"/>
          <w:szCs w:val="24"/>
        </w:rPr>
        <w:t xml:space="preserve">quantity of cgds </w:t>
      </w:r>
      <w:r w:rsidR="0046305F">
        <w:rPr>
          <w:rFonts w:ascii="Times New Roman" w:hAnsi="Times New Roman"/>
          <w:sz w:val="24"/>
          <w:szCs w:val="24"/>
        </w:rPr>
        <w:t>output</w:t>
      </w:r>
      <w:r w:rsidR="00543510">
        <w:rPr>
          <w:rFonts w:ascii="Times New Roman" w:hAnsi="Times New Roman"/>
          <w:sz w:val="24"/>
          <w:szCs w:val="24"/>
        </w:rPr>
        <w:t xml:space="preserve">, which is </w:t>
      </w:r>
      <w:r w:rsidR="0046305F">
        <w:rPr>
          <w:rFonts w:ascii="Times New Roman" w:hAnsi="Times New Roman"/>
          <w:sz w:val="24"/>
          <w:szCs w:val="24"/>
        </w:rPr>
        <w:t xml:space="preserve">investment.  This generated a positive IPE for cns in period 1.  </w:t>
      </w:r>
      <w:r>
        <w:rPr>
          <w:rFonts w:ascii="Times New Roman" w:hAnsi="Times New Roman"/>
          <w:sz w:val="24"/>
          <w:szCs w:val="24"/>
        </w:rPr>
        <w:t xml:space="preserve"> </w:t>
      </w:r>
      <w:r w:rsidR="005A0E15">
        <w:rPr>
          <w:rFonts w:ascii="Times New Roman" w:hAnsi="Times New Roman"/>
          <w:sz w:val="24"/>
          <w:szCs w:val="24"/>
        </w:rPr>
        <w:t xml:space="preserve">  </w:t>
      </w:r>
    </w:p>
    <w:p w:rsidR="00B20991" w:rsidRDefault="00B20991" w:rsidP="00B20991">
      <w:pPr>
        <w:ind w:left="0"/>
        <w:rPr>
          <w:rFonts w:ascii="Times New Roman" w:hAnsi="Times New Roman"/>
          <w:b/>
          <w:i/>
          <w:sz w:val="24"/>
          <w:szCs w:val="24"/>
        </w:rPr>
      </w:pPr>
      <w:r>
        <w:rPr>
          <w:rFonts w:ascii="Times New Roman" w:hAnsi="Times New Roman"/>
          <w:b/>
          <w:i/>
          <w:sz w:val="24"/>
          <w:szCs w:val="24"/>
        </w:rPr>
        <w:t>Coal (coa, ind 15), Oil (oil, ind 16)and Gas (gas, ind 17)</w:t>
      </w:r>
    </w:p>
    <w:p w:rsidR="004048F7" w:rsidRDefault="00B20991" w:rsidP="002731BD">
      <w:pPr>
        <w:ind w:left="0"/>
        <w:rPr>
          <w:rFonts w:ascii="Times New Roman" w:hAnsi="Times New Roman"/>
          <w:sz w:val="24"/>
          <w:szCs w:val="24"/>
        </w:rPr>
      </w:pPr>
      <w:r>
        <w:rPr>
          <w:rFonts w:ascii="Times New Roman" w:hAnsi="Times New Roman"/>
          <w:sz w:val="24"/>
          <w:szCs w:val="24"/>
        </w:rPr>
        <w:t xml:space="preserve">The growth gap in Canada for these three fossil fuels is negative </w:t>
      </w:r>
      <w:r w:rsidR="004048F7">
        <w:rPr>
          <w:rFonts w:ascii="Times New Roman" w:hAnsi="Times New Roman"/>
          <w:sz w:val="24"/>
          <w:szCs w:val="24"/>
        </w:rPr>
        <w:t>i</w:t>
      </w:r>
      <w:r>
        <w:rPr>
          <w:rFonts w:ascii="Times New Roman" w:hAnsi="Times New Roman"/>
          <w:sz w:val="24"/>
          <w:szCs w:val="24"/>
        </w:rPr>
        <w:t>n all four periods</w:t>
      </w:r>
      <w:r w:rsidR="00544E67">
        <w:rPr>
          <w:rFonts w:ascii="Times New Roman" w:hAnsi="Times New Roman"/>
          <w:sz w:val="24"/>
          <w:szCs w:val="24"/>
        </w:rPr>
        <w:t>, dominated by negative IPEs</w:t>
      </w:r>
      <w:r>
        <w:rPr>
          <w:rFonts w:ascii="Times New Roman" w:hAnsi="Times New Roman"/>
          <w:sz w:val="24"/>
          <w:szCs w:val="24"/>
        </w:rPr>
        <w:t xml:space="preserve">.  </w:t>
      </w:r>
    </w:p>
    <w:p w:rsidR="004048F7" w:rsidRDefault="00075EF6" w:rsidP="002731BD">
      <w:pPr>
        <w:ind w:left="0"/>
        <w:rPr>
          <w:rFonts w:ascii="Times New Roman" w:hAnsi="Times New Roman"/>
          <w:sz w:val="24"/>
          <w:szCs w:val="24"/>
        </w:rPr>
      </w:pPr>
      <w:r>
        <w:rPr>
          <w:rFonts w:ascii="Times New Roman" w:hAnsi="Times New Roman"/>
          <w:sz w:val="24"/>
          <w:szCs w:val="24"/>
        </w:rPr>
        <w:t xml:space="preserve">In Canada and in all other countries, the forecasts from </w:t>
      </w:r>
      <w:r w:rsidR="00FF2B26">
        <w:rPr>
          <w:rFonts w:ascii="Times New Roman" w:hAnsi="Times New Roman"/>
          <w:sz w:val="24"/>
          <w:szCs w:val="24"/>
        </w:rPr>
        <w:t>IEA</w:t>
      </w:r>
      <w:r>
        <w:rPr>
          <w:rFonts w:ascii="Times New Roman" w:hAnsi="Times New Roman"/>
          <w:sz w:val="24"/>
          <w:szCs w:val="24"/>
        </w:rPr>
        <w:t xml:space="preserve"> that we introduced to the simulations imply partial replacement of fossil-fuel inputs with other inputs </w:t>
      </w:r>
      <w:r w:rsidR="004048F7">
        <w:rPr>
          <w:rFonts w:ascii="Times New Roman" w:hAnsi="Times New Roman"/>
          <w:sz w:val="24"/>
          <w:szCs w:val="24"/>
        </w:rPr>
        <w:t xml:space="preserve">in all using </w:t>
      </w:r>
      <w:r w:rsidR="004048F7">
        <w:rPr>
          <w:rFonts w:ascii="Times New Roman" w:hAnsi="Times New Roman"/>
          <w:sz w:val="24"/>
          <w:szCs w:val="24"/>
        </w:rPr>
        <w:lastRenderedPageBreak/>
        <w:t>industries (see Tables 4.6 and 6.5).  This means that Canadian sales of fossil products exhibit slow or negative growth in both their domestic and export markets</w:t>
      </w:r>
      <w:r w:rsidR="004D68BE">
        <w:rPr>
          <w:rFonts w:ascii="Times New Roman" w:hAnsi="Times New Roman"/>
          <w:sz w:val="24"/>
          <w:szCs w:val="24"/>
        </w:rPr>
        <w:t xml:space="preserve">, </w:t>
      </w:r>
      <w:r w:rsidR="00544E67">
        <w:rPr>
          <w:rFonts w:ascii="Times New Roman" w:hAnsi="Times New Roman"/>
          <w:sz w:val="24"/>
          <w:szCs w:val="24"/>
        </w:rPr>
        <w:t>explaining</w:t>
      </w:r>
      <w:r w:rsidR="004048F7">
        <w:rPr>
          <w:rFonts w:ascii="Times New Roman" w:hAnsi="Times New Roman"/>
          <w:sz w:val="24"/>
          <w:szCs w:val="24"/>
        </w:rPr>
        <w:t xml:space="preserve"> </w:t>
      </w:r>
      <w:r w:rsidR="00544E67">
        <w:rPr>
          <w:rFonts w:ascii="Times New Roman" w:hAnsi="Times New Roman"/>
          <w:sz w:val="24"/>
          <w:szCs w:val="24"/>
        </w:rPr>
        <w:t>their</w:t>
      </w:r>
      <w:r w:rsidR="004048F7">
        <w:rPr>
          <w:rFonts w:ascii="Times New Roman" w:hAnsi="Times New Roman"/>
          <w:sz w:val="24"/>
          <w:szCs w:val="24"/>
        </w:rPr>
        <w:t xml:space="preserve"> strongly negative IPEs.  </w:t>
      </w:r>
    </w:p>
    <w:p w:rsidR="00920BA9" w:rsidRDefault="004D68BE" w:rsidP="002731BD">
      <w:pPr>
        <w:ind w:left="0"/>
        <w:rPr>
          <w:rFonts w:ascii="Times New Roman" w:hAnsi="Times New Roman"/>
          <w:sz w:val="24"/>
          <w:szCs w:val="24"/>
        </w:rPr>
      </w:pPr>
      <w:r>
        <w:rPr>
          <w:rFonts w:ascii="Times New Roman" w:hAnsi="Times New Roman"/>
          <w:sz w:val="24"/>
          <w:szCs w:val="24"/>
        </w:rPr>
        <w:t>For Canada</w:t>
      </w:r>
      <w:r w:rsidR="00544E67">
        <w:rPr>
          <w:rFonts w:ascii="Times New Roman" w:hAnsi="Times New Roman"/>
          <w:sz w:val="24"/>
          <w:szCs w:val="24"/>
        </w:rPr>
        <w:t>,</w:t>
      </w:r>
      <w:r>
        <w:rPr>
          <w:rFonts w:ascii="Times New Roman" w:hAnsi="Times New Roman"/>
          <w:sz w:val="24"/>
          <w:szCs w:val="24"/>
        </w:rPr>
        <w:t xml:space="preserve"> the main sales category for the 3 fossil-fuel </w:t>
      </w:r>
      <w:r w:rsidR="00544E67">
        <w:rPr>
          <w:rFonts w:ascii="Times New Roman" w:hAnsi="Times New Roman"/>
          <w:sz w:val="24"/>
          <w:szCs w:val="24"/>
        </w:rPr>
        <w:t>products i</w:t>
      </w:r>
      <w:r w:rsidR="00543510">
        <w:rPr>
          <w:rFonts w:ascii="Times New Roman" w:hAnsi="Times New Roman"/>
          <w:sz w:val="24"/>
          <w:szCs w:val="24"/>
        </w:rPr>
        <w:t>s</w:t>
      </w:r>
      <w:r w:rsidR="00544E67">
        <w:rPr>
          <w:rFonts w:ascii="Times New Roman" w:hAnsi="Times New Roman"/>
          <w:sz w:val="24"/>
          <w:szCs w:val="24"/>
        </w:rPr>
        <w:t xml:space="preserve"> exports.  In period 1</w:t>
      </w:r>
      <w:r>
        <w:rPr>
          <w:rFonts w:ascii="Times New Roman" w:hAnsi="Times New Roman"/>
          <w:sz w:val="24"/>
          <w:szCs w:val="24"/>
        </w:rPr>
        <w:t>, Canadian exports grew faster than GDP (2.63</w:t>
      </w:r>
      <w:r w:rsidR="00543510">
        <w:rPr>
          <w:rFonts w:ascii="Times New Roman" w:hAnsi="Times New Roman"/>
          <w:sz w:val="24"/>
          <w:szCs w:val="24"/>
        </w:rPr>
        <w:t xml:space="preserve"> </w:t>
      </w:r>
      <w:r>
        <w:rPr>
          <w:rFonts w:ascii="Times New Roman" w:hAnsi="Times New Roman"/>
          <w:sz w:val="24"/>
          <w:szCs w:val="24"/>
        </w:rPr>
        <w:t xml:space="preserve">per cent versus 1.88 per cent, Table 7.2), generating positive SMEs.  Similarly, the SMEs in period 3 are positive because export growth is significantly greater than GDP growth.  The opposite holds in period 2.  In period 4, export growth is only slightly greater than GDP growth (1.89 versus 1.81).  Consequently, the SMEs </w:t>
      </w:r>
      <w:r w:rsidR="00544E67">
        <w:rPr>
          <w:rFonts w:ascii="Times New Roman" w:hAnsi="Times New Roman"/>
          <w:sz w:val="24"/>
          <w:szCs w:val="24"/>
        </w:rPr>
        <w:t xml:space="preserve">for this period </w:t>
      </w:r>
      <w:r>
        <w:rPr>
          <w:rFonts w:ascii="Times New Roman" w:hAnsi="Times New Roman"/>
          <w:sz w:val="24"/>
          <w:szCs w:val="24"/>
        </w:rPr>
        <w:t xml:space="preserve">are small. </w:t>
      </w:r>
    </w:p>
    <w:p w:rsidR="00920BA9" w:rsidRDefault="00920BA9" w:rsidP="00920BA9">
      <w:pPr>
        <w:ind w:left="0"/>
        <w:rPr>
          <w:rFonts w:ascii="Times New Roman" w:hAnsi="Times New Roman"/>
          <w:b/>
          <w:i/>
          <w:sz w:val="24"/>
          <w:szCs w:val="24"/>
        </w:rPr>
      </w:pPr>
      <w:r>
        <w:rPr>
          <w:rFonts w:ascii="Times New Roman" w:hAnsi="Times New Roman"/>
          <w:b/>
          <w:i/>
          <w:sz w:val="24"/>
          <w:szCs w:val="24"/>
        </w:rPr>
        <w:t>Electricity (ely, ind 4</w:t>
      </w:r>
      <w:r w:rsidR="00D33236">
        <w:rPr>
          <w:rFonts w:ascii="Times New Roman" w:hAnsi="Times New Roman"/>
          <w:b/>
          <w:i/>
          <w:sz w:val="24"/>
          <w:szCs w:val="24"/>
        </w:rPr>
        <w:t>3</w:t>
      </w:r>
      <w:r>
        <w:rPr>
          <w:rFonts w:ascii="Times New Roman" w:hAnsi="Times New Roman"/>
          <w:b/>
          <w:i/>
          <w:sz w:val="24"/>
          <w:szCs w:val="24"/>
        </w:rPr>
        <w:t>)</w:t>
      </w:r>
    </w:p>
    <w:p w:rsidR="00D33236" w:rsidRDefault="00D33236" w:rsidP="002731BD">
      <w:pPr>
        <w:ind w:left="0"/>
        <w:rPr>
          <w:rFonts w:ascii="Times New Roman" w:hAnsi="Times New Roman"/>
          <w:sz w:val="24"/>
          <w:szCs w:val="24"/>
        </w:rPr>
      </w:pPr>
      <w:r>
        <w:rPr>
          <w:rFonts w:ascii="Times New Roman" w:hAnsi="Times New Roman"/>
          <w:sz w:val="24"/>
          <w:szCs w:val="24"/>
        </w:rPr>
        <w:t xml:space="preserve">Electricity sales are distributed across all industries and households.  The product faces only a minor amount of competition from other products in its domestic markets and has only a small exposure to export markets. Thus, it is not surprising that the gaps between the growth rates of electricity output and GDP in periods 2, 3 and 4 are modest (0.17, 0.30 and 0.02).  </w:t>
      </w:r>
    </w:p>
    <w:p w:rsidR="008E5129" w:rsidRDefault="00C325D9" w:rsidP="002731BD">
      <w:pPr>
        <w:ind w:left="0"/>
        <w:rPr>
          <w:rFonts w:ascii="Times New Roman" w:hAnsi="Times New Roman"/>
          <w:sz w:val="24"/>
          <w:szCs w:val="24"/>
        </w:rPr>
      </w:pPr>
      <w:r>
        <w:rPr>
          <w:rFonts w:ascii="Times New Roman" w:hAnsi="Times New Roman"/>
          <w:sz w:val="24"/>
          <w:szCs w:val="24"/>
        </w:rPr>
        <w:t xml:space="preserve">Major markets for electricity include households and electricity-intensive, export-oriented industries such as other mining (omn, ind 18), non-ferrous metals (nfm, ind 36), and paper and paper products (ppp, ind 31).  </w:t>
      </w:r>
      <w:r w:rsidR="00D33236">
        <w:rPr>
          <w:rFonts w:ascii="Times New Roman" w:hAnsi="Times New Roman"/>
          <w:sz w:val="24"/>
          <w:szCs w:val="24"/>
        </w:rPr>
        <w:t xml:space="preserve">In period 1, </w:t>
      </w:r>
      <w:r>
        <w:rPr>
          <w:rFonts w:ascii="Times New Roman" w:hAnsi="Times New Roman"/>
          <w:sz w:val="24"/>
          <w:szCs w:val="24"/>
        </w:rPr>
        <w:t xml:space="preserve">all of these markets grow strongly relative to GDP.  This gives electricity a relatively strong SME (0.43).  Electricity production is capital intensive.  Consequently, the price of electricity falls relative to that of prices in general.  This gives electricity positive IPEs in all periods, particularly period 1. </w:t>
      </w:r>
    </w:p>
    <w:p w:rsidR="008E5129" w:rsidRDefault="008E5129" w:rsidP="008E5129">
      <w:pPr>
        <w:ind w:left="0"/>
        <w:rPr>
          <w:rFonts w:ascii="Times New Roman" w:hAnsi="Times New Roman"/>
          <w:b/>
          <w:i/>
          <w:sz w:val="24"/>
          <w:szCs w:val="24"/>
        </w:rPr>
      </w:pPr>
      <w:r>
        <w:rPr>
          <w:rFonts w:ascii="Times New Roman" w:hAnsi="Times New Roman"/>
          <w:b/>
          <w:i/>
          <w:sz w:val="24"/>
          <w:szCs w:val="24"/>
        </w:rPr>
        <w:t>Wheat (wht, ind 2)</w:t>
      </w:r>
    </w:p>
    <w:p w:rsidR="00C74AA0" w:rsidRDefault="00C74AA0" w:rsidP="002731BD">
      <w:pPr>
        <w:ind w:left="0"/>
        <w:rPr>
          <w:rFonts w:ascii="Times New Roman" w:hAnsi="Times New Roman"/>
          <w:sz w:val="24"/>
          <w:szCs w:val="24"/>
        </w:rPr>
      </w:pPr>
      <w:r>
        <w:rPr>
          <w:rFonts w:ascii="Times New Roman" w:hAnsi="Times New Roman"/>
          <w:sz w:val="24"/>
          <w:szCs w:val="24"/>
        </w:rPr>
        <w:t xml:space="preserve">The output-GDP growth gap for wheat moves from strongly positive to negative through the four simulation periods.   In the first period, SME and IPE are both positive.  In the second period, SME becomes negative but is outweighed by a positive IPE.  In the third and fourth periods, the SMEs are positive but are outweighed by negative IPEs.   </w:t>
      </w:r>
    </w:p>
    <w:p w:rsidR="00217E1F" w:rsidRDefault="00F5047E" w:rsidP="002731BD">
      <w:pPr>
        <w:ind w:left="0"/>
        <w:rPr>
          <w:rFonts w:ascii="Times New Roman" w:hAnsi="Times New Roman"/>
          <w:sz w:val="24"/>
          <w:szCs w:val="24"/>
        </w:rPr>
      </w:pPr>
      <w:r>
        <w:rPr>
          <w:rFonts w:ascii="Times New Roman" w:hAnsi="Times New Roman"/>
          <w:sz w:val="24"/>
          <w:szCs w:val="24"/>
        </w:rPr>
        <w:t xml:space="preserve">The Canadian output of </w:t>
      </w:r>
      <w:r w:rsidR="00C74AA0">
        <w:rPr>
          <w:rFonts w:ascii="Times New Roman" w:hAnsi="Times New Roman"/>
          <w:sz w:val="24"/>
          <w:szCs w:val="24"/>
        </w:rPr>
        <w:t>wheat</w:t>
      </w:r>
      <w:r>
        <w:rPr>
          <w:rFonts w:ascii="Times New Roman" w:hAnsi="Times New Roman"/>
          <w:sz w:val="24"/>
          <w:szCs w:val="24"/>
        </w:rPr>
        <w:t xml:space="preserve"> is almost entirely exported.  Consequently, the SMEs for wh</w:t>
      </w:r>
      <w:r w:rsidR="00217E1F">
        <w:rPr>
          <w:rFonts w:ascii="Times New Roman" w:hAnsi="Times New Roman"/>
          <w:sz w:val="24"/>
          <w:szCs w:val="24"/>
        </w:rPr>
        <w:t>ea</w:t>
      </w:r>
      <w:r>
        <w:rPr>
          <w:rFonts w:ascii="Times New Roman" w:hAnsi="Times New Roman"/>
          <w:sz w:val="24"/>
          <w:szCs w:val="24"/>
        </w:rPr>
        <w:t xml:space="preserve">t are strongly positive (0.69 and 0.84) in periods 1 and 3 because growth in aggregate exports in these periods significantly exceeds growth in GDP.  The SME in period 2 is negative because growth in aggregate exports is less than growth in GDP, and the SME in period 4 is close to zero because growth in aggregate exports is close to growth in GDP.  </w:t>
      </w:r>
    </w:p>
    <w:p w:rsidR="00C74AA0" w:rsidRDefault="0082039F" w:rsidP="002731BD">
      <w:pPr>
        <w:ind w:left="0"/>
        <w:rPr>
          <w:rFonts w:ascii="Times New Roman" w:hAnsi="Times New Roman"/>
          <w:sz w:val="24"/>
          <w:szCs w:val="24"/>
        </w:rPr>
      </w:pPr>
      <w:r>
        <w:rPr>
          <w:rFonts w:ascii="Times New Roman" w:hAnsi="Times New Roman"/>
          <w:sz w:val="24"/>
          <w:szCs w:val="24"/>
        </w:rPr>
        <w:t>A</w:t>
      </w:r>
      <w:r w:rsidR="00217E1F">
        <w:rPr>
          <w:rFonts w:ascii="Times New Roman" w:hAnsi="Times New Roman"/>
          <w:sz w:val="24"/>
          <w:szCs w:val="24"/>
        </w:rPr>
        <w:t xml:space="preserve">bout </w:t>
      </w:r>
      <w:r w:rsidR="00D632C9">
        <w:rPr>
          <w:rFonts w:ascii="Times New Roman" w:hAnsi="Times New Roman"/>
          <w:sz w:val="24"/>
          <w:szCs w:val="24"/>
        </w:rPr>
        <w:t xml:space="preserve">60 per cent </w:t>
      </w:r>
      <w:r>
        <w:rPr>
          <w:rFonts w:ascii="Times New Roman" w:hAnsi="Times New Roman"/>
          <w:sz w:val="24"/>
          <w:szCs w:val="24"/>
        </w:rPr>
        <w:t>of Canadian wheat sales go to RoW.  The main competitors to Canada in the RoW wheat market are the U.S., France, RoEU and RoW itself.  In the first period, RoW wheat imports grow very strongly</w:t>
      </w:r>
      <w:r w:rsidR="0010410A">
        <w:rPr>
          <w:rFonts w:ascii="Times New Roman" w:hAnsi="Times New Roman"/>
          <w:sz w:val="24"/>
          <w:szCs w:val="24"/>
        </w:rPr>
        <w:t xml:space="preserve">.  At the same time, high capital intensity in the Canadian wheat industry relative to other wheat producers gives the </w:t>
      </w:r>
      <w:r>
        <w:rPr>
          <w:rFonts w:ascii="Times New Roman" w:hAnsi="Times New Roman"/>
          <w:sz w:val="24"/>
          <w:szCs w:val="24"/>
        </w:rPr>
        <w:t>Canad</w:t>
      </w:r>
      <w:r w:rsidR="0010410A">
        <w:rPr>
          <w:rFonts w:ascii="Times New Roman" w:hAnsi="Times New Roman"/>
          <w:sz w:val="24"/>
          <w:szCs w:val="24"/>
        </w:rPr>
        <w:t>i</w:t>
      </w:r>
      <w:r>
        <w:rPr>
          <w:rFonts w:ascii="Times New Roman" w:hAnsi="Times New Roman"/>
          <w:sz w:val="24"/>
          <w:szCs w:val="24"/>
        </w:rPr>
        <w:t>a</w:t>
      </w:r>
      <w:r w:rsidR="0010410A">
        <w:rPr>
          <w:rFonts w:ascii="Times New Roman" w:hAnsi="Times New Roman"/>
          <w:sz w:val="24"/>
          <w:szCs w:val="24"/>
        </w:rPr>
        <w:t>n industry an edge in</w:t>
      </w:r>
      <w:r>
        <w:rPr>
          <w:rFonts w:ascii="Times New Roman" w:hAnsi="Times New Roman"/>
          <w:sz w:val="24"/>
          <w:szCs w:val="24"/>
        </w:rPr>
        <w:t xml:space="preserve"> price competitive</w:t>
      </w:r>
      <w:r w:rsidR="0010410A">
        <w:rPr>
          <w:rFonts w:ascii="Times New Roman" w:hAnsi="Times New Roman"/>
          <w:sz w:val="24"/>
          <w:szCs w:val="24"/>
        </w:rPr>
        <w:t>ness. Sales to RoW and Canadian price competitiveness</w:t>
      </w:r>
      <w:r>
        <w:rPr>
          <w:rFonts w:ascii="Times New Roman" w:hAnsi="Times New Roman"/>
          <w:sz w:val="24"/>
          <w:szCs w:val="24"/>
        </w:rPr>
        <w:t xml:space="preserve"> combine to </w:t>
      </w:r>
      <w:r w:rsidR="0010410A">
        <w:rPr>
          <w:rFonts w:ascii="Times New Roman" w:hAnsi="Times New Roman"/>
          <w:sz w:val="24"/>
          <w:szCs w:val="24"/>
        </w:rPr>
        <w:t>generate</w:t>
      </w:r>
      <w:r>
        <w:rPr>
          <w:rFonts w:ascii="Times New Roman" w:hAnsi="Times New Roman"/>
          <w:sz w:val="24"/>
          <w:szCs w:val="24"/>
        </w:rPr>
        <w:t xml:space="preserve"> </w:t>
      </w:r>
      <w:r w:rsidR="0010410A">
        <w:rPr>
          <w:rFonts w:ascii="Times New Roman" w:hAnsi="Times New Roman"/>
          <w:sz w:val="24"/>
          <w:szCs w:val="24"/>
        </w:rPr>
        <w:t xml:space="preserve">strongly positive growth in </w:t>
      </w:r>
      <w:r>
        <w:rPr>
          <w:rFonts w:ascii="Times New Roman" w:hAnsi="Times New Roman"/>
          <w:sz w:val="24"/>
          <w:szCs w:val="24"/>
        </w:rPr>
        <w:t>Canadian wheat exports relative to grow</w:t>
      </w:r>
      <w:r w:rsidR="00E63F3A">
        <w:rPr>
          <w:rFonts w:ascii="Times New Roman" w:hAnsi="Times New Roman"/>
          <w:sz w:val="24"/>
          <w:szCs w:val="24"/>
        </w:rPr>
        <w:t>t</w:t>
      </w:r>
      <w:r>
        <w:rPr>
          <w:rFonts w:ascii="Times New Roman" w:hAnsi="Times New Roman"/>
          <w:sz w:val="24"/>
          <w:szCs w:val="24"/>
        </w:rPr>
        <w:t>h in Canadian exports in general</w:t>
      </w:r>
      <w:r w:rsidR="0010410A">
        <w:rPr>
          <w:rFonts w:ascii="Times New Roman" w:hAnsi="Times New Roman"/>
          <w:sz w:val="24"/>
          <w:szCs w:val="24"/>
        </w:rPr>
        <w:t>, a positive IPE</w:t>
      </w:r>
      <w:r>
        <w:rPr>
          <w:rFonts w:ascii="Times New Roman" w:hAnsi="Times New Roman"/>
          <w:sz w:val="24"/>
          <w:szCs w:val="24"/>
        </w:rPr>
        <w:t>.  In later periods</w:t>
      </w:r>
      <w:r w:rsidR="00C74AA0">
        <w:rPr>
          <w:rFonts w:ascii="Times New Roman" w:hAnsi="Times New Roman"/>
          <w:sz w:val="24"/>
          <w:szCs w:val="24"/>
        </w:rPr>
        <w:t>,</w:t>
      </w:r>
      <w:r>
        <w:rPr>
          <w:rFonts w:ascii="Times New Roman" w:hAnsi="Times New Roman"/>
          <w:sz w:val="24"/>
          <w:szCs w:val="24"/>
        </w:rPr>
        <w:t xml:space="preserve"> growth in wheat demand by RoW slows </w:t>
      </w:r>
      <w:r w:rsidR="0010410A">
        <w:rPr>
          <w:rFonts w:ascii="Times New Roman" w:hAnsi="Times New Roman"/>
          <w:sz w:val="24"/>
          <w:szCs w:val="24"/>
        </w:rPr>
        <w:t>and</w:t>
      </w:r>
      <w:r>
        <w:rPr>
          <w:rFonts w:ascii="Times New Roman" w:hAnsi="Times New Roman"/>
          <w:sz w:val="24"/>
          <w:szCs w:val="24"/>
        </w:rPr>
        <w:t xml:space="preserve"> Canadian price competitiveness in the RoW market declines.  These developments take the grown </w:t>
      </w:r>
      <w:r w:rsidR="00C74AA0">
        <w:rPr>
          <w:rFonts w:ascii="Times New Roman" w:hAnsi="Times New Roman"/>
          <w:sz w:val="24"/>
          <w:szCs w:val="24"/>
        </w:rPr>
        <w:t xml:space="preserve">rates for </w:t>
      </w:r>
      <w:r>
        <w:rPr>
          <w:rFonts w:ascii="Times New Roman" w:hAnsi="Times New Roman"/>
          <w:sz w:val="24"/>
          <w:szCs w:val="24"/>
        </w:rPr>
        <w:t xml:space="preserve">Canadian wheat exports </w:t>
      </w:r>
      <w:r w:rsidR="00C74AA0">
        <w:rPr>
          <w:rFonts w:ascii="Times New Roman" w:hAnsi="Times New Roman"/>
          <w:sz w:val="24"/>
          <w:szCs w:val="24"/>
        </w:rPr>
        <w:t xml:space="preserve">below the growth rates for Canadian exports in general producing negative IPEs in the third and fourth periods.  </w:t>
      </w:r>
    </w:p>
    <w:p w:rsidR="00E14E11" w:rsidRDefault="00E14E11">
      <w:pPr>
        <w:spacing w:before="0" w:line="240" w:lineRule="auto"/>
        <w:ind w:left="0"/>
        <w:rPr>
          <w:rFonts w:ascii="Times New Roman" w:hAnsi="Times New Roman"/>
          <w:b/>
          <w:i/>
          <w:sz w:val="24"/>
          <w:szCs w:val="24"/>
        </w:rPr>
      </w:pPr>
      <w:r>
        <w:rPr>
          <w:rFonts w:ascii="Times New Roman" w:hAnsi="Times New Roman"/>
          <w:b/>
          <w:i/>
          <w:sz w:val="24"/>
          <w:szCs w:val="24"/>
        </w:rPr>
        <w:br w:type="page"/>
      </w:r>
    </w:p>
    <w:p w:rsidR="005B61BC" w:rsidRDefault="005B61BC" w:rsidP="005B61BC">
      <w:pPr>
        <w:ind w:left="0"/>
        <w:rPr>
          <w:rFonts w:ascii="Times New Roman" w:hAnsi="Times New Roman"/>
          <w:b/>
          <w:i/>
          <w:sz w:val="24"/>
          <w:szCs w:val="24"/>
        </w:rPr>
      </w:pPr>
      <w:r>
        <w:rPr>
          <w:rFonts w:ascii="Times New Roman" w:hAnsi="Times New Roman"/>
          <w:b/>
          <w:i/>
          <w:sz w:val="24"/>
          <w:szCs w:val="24"/>
        </w:rPr>
        <w:lastRenderedPageBreak/>
        <w:t>Iron and steel (i_s, ind 35)</w:t>
      </w:r>
    </w:p>
    <w:p w:rsidR="007131B2" w:rsidRDefault="007131B2" w:rsidP="002731BD">
      <w:pPr>
        <w:ind w:left="0"/>
        <w:rPr>
          <w:rFonts w:ascii="Times New Roman" w:hAnsi="Times New Roman"/>
          <w:sz w:val="24"/>
          <w:szCs w:val="24"/>
        </w:rPr>
      </w:pPr>
      <w:r>
        <w:rPr>
          <w:rFonts w:ascii="Times New Roman" w:hAnsi="Times New Roman"/>
          <w:sz w:val="24"/>
          <w:szCs w:val="24"/>
        </w:rPr>
        <w:t>The output-GDP growth gap for this industry is negative in periods 1, 2 and 4, with</w:t>
      </w:r>
      <w:r w:rsidR="00543510">
        <w:rPr>
          <w:rFonts w:ascii="Times New Roman" w:hAnsi="Times New Roman"/>
          <w:sz w:val="24"/>
          <w:szCs w:val="24"/>
        </w:rPr>
        <w:t xml:space="preserve"> the</w:t>
      </w:r>
      <w:r>
        <w:rPr>
          <w:rFonts w:ascii="Times New Roman" w:hAnsi="Times New Roman"/>
          <w:sz w:val="24"/>
          <w:szCs w:val="24"/>
        </w:rPr>
        <w:t xml:space="preserve"> IPE</w:t>
      </w:r>
      <w:r w:rsidR="00543510">
        <w:rPr>
          <w:rFonts w:ascii="Times New Roman" w:hAnsi="Times New Roman"/>
          <w:sz w:val="24"/>
          <w:szCs w:val="24"/>
        </w:rPr>
        <w:t>s</w:t>
      </w:r>
      <w:r>
        <w:rPr>
          <w:rFonts w:ascii="Times New Roman" w:hAnsi="Times New Roman"/>
          <w:sz w:val="24"/>
          <w:szCs w:val="24"/>
        </w:rPr>
        <w:t xml:space="preserve"> making significant negative contributions.  In period 3, the IPE is slightly positive, and combines with a strongly positive SME to give a growth gap of 0.76.   </w:t>
      </w:r>
    </w:p>
    <w:p w:rsidR="000055B3" w:rsidRDefault="007131B2" w:rsidP="002731BD">
      <w:pPr>
        <w:ind w:left="0"/>
        <w:rPr>
          <w:rFonts w:ascii="Times New Roman" w:hAnsi="Times New Roman"/>
          <w:sz w:val="24"/>
          <w:szCs w:val="24"/>
        </w:rPr>
      </w:pPr>
      <w:r>
        <w:rPr>
          <w:rFonts w:ascii="Times New Roman" w:hAnsi="Times New Roman"/>
          <w:sz w:val="24"/>
          <w:szCs w:val="24"/>
        </w:rPr>
        <w:t>Canada’s i_</w:t>
      </w:r>
      <w:r w:rsidR="00066459">
        <w:rPr>
          <w:rFonts w:ascii="Times New Roman" w:hAnsi="Times New Roman"/>
          <w:sz w:val="24"/>
          <w:szCs w:val="24"/>
        </w:rPr>
        <w:t>s</w:t>
      </w:r>
      <w:r w:rsidR="0010410A">
        <w:rPr>
          <w:rFonts w:ascii="Times New Roman" w:hAnsi="Times New Roman"/>
          <w:sz w:val="24"/>
          <w:szCs w:val="24"/>
        </w:rPr>
        <w:t xml:space="preserve"> industry exports </w:t>
      </w:r>
      <w:r w:rsidR="004C0583">
        <w:rPr>
          <w:rFonts w:ascii="Times New Roman" w:hAnsi="Times New Roman"/>
          <w:sz w:val="24"/>
          <w:szCs w:val="24"/>
        </w:rPr>
        <w:t>nearly 50 per c</w:t>
      </w:r>
      <w:r w:rsidR="0010410A">
        <w:rPr>
          <w:rFonts w:ascii="Times New Roman" w:hAnsi="Times New Roman"/>
          <w:sz w:val="24"/>
          <w:szCs w:val="24"/>
        </w:rPr>
        <w:t>ent of its output</w:t>
      </w:r>
      <w:r w:rsidR="001B7D17">
        <w:rPr>
          <w:rFonts w:ascii="Times New Roman" w:hAnsi="Times New Roman"/>
          <w:sz w:val="24"/>
          <w:szCs w:val="24"/>
        </w:rPr>
        <w:t xml:space="preserve">, overwhelmingly to the U.S., </w:t>
      </w:r>
      <w:r w:rsidR="0010410A">
        <w:rPr>
          <w:rFonts w:ascii="Times New Roman" w:hAnsi="Times New Roman"/>
          <w:sz w:val="24"/>
          <w:szCs w:val="24"/>
        </w:rPr>
        <w:t xml:space="preserve">and sells the rest </w:t>
      </w:r>
      <w:r w:rsidR="004C0583">
        <w:rPr>
          <w:rFonts w:ascii="Times New Roman" w:hAnsi="Times New Roman"/>
          <w:sz w:val="24"/>
          <w:szCs w:val="24"/>
        </w:rPr>
        <w:t>as intermediate inputs mainly to the Canadian industries that produce fabricated metal products (fmp, ind 37), motor vehicles (mvh,</w:t>
      </w:r>
      <w:r w:rsidR="006D14DB">
        <w:rPr>
          <w:rFonts w:ascii="Times New Roman" w:hAnsi="Times New Roman"/>
          <w:sz w:val="24"/>
          <w:szCs w:val="24"/>
        </w:rPr>
        <w:t xml:space="preserve"> </w:t>
      </w:r>
      <w:r w:rsidR="004C0583">
        <w:rPr>
          <w:rFonts w:ascii="Times New Roman" w:hAnsi="Times New Roman"/>
          <w:sz w:val="24"/>
          <w:szCs w:val="24"/>
        </w:rPr>
        <w:t xml:space="preserve">ind 38), other machinery and equipment (ome, ind 41), and construction (cns, ind 46).  </w:t>
      </w:r>
      <w:r w:rsidR="001B7D17">
        <w:rPr>
          <w:rFonts w:ascii="Times New Roman" w:hAnsi="Times New Roman"/>
          <w:sz w:val="24"/>
          <w:szCs w:val="24"/>
        </w:rPr>
        <w:t>In its Canadian market</w:t>
      </w:r>
      <w:r w:rsidR="00543510">
        <w:rPr>
          <w:rFonts w:ascii="Times New Roman" w:hAnsi="Times New Roman"/>
          <w:sz w:val="24"/>
          <w:szCs w:val="24"/>
        </w:rPr>
        <w:t>s</w:t>
      </w:r>
      <w:r w:rsidR="001B7D17">
        <w:rPr>
          <w:rFonts w:ascii="Times New Roman" w:hAnsi="Times New Roman"/>
          <w:sz w:val="24"/>
          <w:szCs w:val="24"/>
        </w:rPr>
        <w:t xml:space="preserve">, the i_s industry faces considerable import competition from the U.S.  </w:t>
      </w:r>
    </w:p>
    <w:p w:rsidR="00F21638" w:rsidRDefault="004C0583" w:rsidP="002731BD">
      <w:pPr>
        <w:ind w:left="0"/>
        <w:rPr>
          <w:rFonts w:ascii="Times New Roman" w:hAnsi="Times New Roman"/>
          <w:sz w:val="24"/>
          <w:szCs w:val="24"/>
        </w:rPr>
      </w:pPr>
      <w:r>
        <w:rPr>
          <w:rFonts w:ascii="Times New Roman" w:hAnsi="Times New Roman"/>
          <w:sz w:val="24"/>
          <w:szCs w:val="24"/>
        </w:rPr>
        <w:t xml:space="preserve">In the first period, the reliance of the i_s industry on exports contributes positively to </w:t>
      </w:r>
      <w:r w:rsidR="000055B3">
        <w:rPr>
          <w:rFonts w:ascii="Times New Roman" w:hAnsi="Times New Roman"/>
          <w:sz w:val="24"/>
          <w:szCs w:val="24"/>
        </w:rPr>
        <w:t xml:space="preserve">its </w:t>
      </w:r>
      <w:r>
        <w:rPr>
          <w:rFonts w:ascii="Times New Roman" w:hAnsi="Times New Roman"/>
          <w:sz w:val="24"/>
          <w:szCs w:val="24"/>
        </w:rPr>
        <w:t>SME but its reliance on intermediate</w:t>
      </w:r>
      <w:r w:rsidR="002241AB">
        <w:rPr>
          <w:rFonts w:ascii="Times New Roman" w:hAnsi="Times New Roman"/>
          <w:sz w:val="24"/>
          <w:szCs w:val="24"/>
        </w:rPr>
        <w:t xml:space="preserve"> sales contributes negatively</w:t>
      </w:r>
      <w:r w:rsidR="000055B3">
        <w:rPr>
          <w:rFonts w:ascii="Times New Roman" w:hAnsi="Times New Roman"/>
          <w:sz w:val="24"/>
          <w:szCs w:val="24"/>
        </w:rPr>
        <w:t xml:space="preserve"> (positive gaps for fmp and ome, heavily outweighed by negative gaps for mvh and cns)</w:t>
      </w:r>
      <w:r w:rsidR="002241AB">
        <w:rPr>
          <w:rFonts w:ascii="Times New Roman" w:hAnsi="Times New Roman"/>
          <w:sz w:val="24"/>
          <w:szCs w:val="24"/>
        </w:rPr>
        <w:t xml:space="preserve">.  The opposing </w:t>
      </w:r>
      <w:r w:rsidR="000055B3">
        <w:rPr>
          <w:rFonts w:ascii="Times New Roman" w:hAnsi="Times New Roman"/>
          <w:sz w:val="24"/>
          <w:szCs w:val="24"/>
        </w:rPr>
        <w:t xml:space="preserve">export and intermediate-input effects </w:t>
      </w:r>
      <w:r w:rsidR="002241AB">
        <w:rPr>
          <w:rFonts w:ascii="Times New Roman" w:hAnsi="Times New Roman"/>
          <w:sz w:val="24"/>
          <w:szCs w:val="24"/>
        </w:rPr>
        <w:t xml:space="preserve">leave the overall SME at close to zero (0.05).  In period 2, the export contribution to SME for i_s is negative and the composition of intermediate </w:t>
      </w:r>
      <w:r w:rsidR="00F21638">
        <w:rPr>
          <w:rFonts w:ascii="Times New Roman" w:hAnsi="Times New Roman"/>
          <w:sz w:val="24"/>
          <w:szCs w:val="24"/>
        </w:rPr>
        <w:t xml:space="preserve">i_s </w:t>
      </w:r>
      <w:r w:rsidR="002241AB">
        <w:rPr>
          <w:rFonts w:ascii="Times New Roman" w:hAnsi="Times New Roman"/>
          <w:sz w:val="24"/>
          <w:szCs w:val="24"/>
        </w:rPr>
        <w:t>sales remain</w:t>
      </w:r>
      <w:r w:rsidR="00F21638">
        <w:rPr>
          <w:rFonts w:ascii="Times New Roman" w:hAnsi="Times New Roman"/>
          <w:sz w:val="24"/>
          <w:szCs w:val="24"/>
        </w:rPr>
        <w:t>s</w:t>
      </w:r>
      <w:r w:rsidR="002241AB">
        <w:rPr>
          <w:rFonts w:ascii="Times New Roman" w:hAnsi="Times New Roman"/>
          <w:sz w:val="24"/>
          <w:szCs w:val="24"/>
        </w:rPr>
        <w:t xml:space="preserve"> unfavourable (negative gaps for fpm, mvh, ome</w:t>
      </w:r>
      <w:r w:rsidR="00F21638">
        <w:rPr>
          <w:rFonts w:ascii="Times New Roman" w:hAnsi="Times New Roman"/>
          <w:sz w:val="24"/>
          <w:szCs w:val="24"/>
        </w:rPr>
        <w:t xml:space="preserve"> and cns)</w:t>
      </w:r>
      <w:r w:rsidR="002241AB">
        <w:rPr>
          <w:rFonts w:ascii="Times New Roman" w:hAnsi="Times New Roman"/>
          <w:sz w:val="24"/>
          <w:szCs w:val="24"/>
        </w:rPr>
        <w:t xml:space="preserve">.  </w:t>
      </w:r>
      <w:r w:rsidR="00F21638">
        <w:rPr>
          <w:rFonts w:ascii="Times New Roman" w:hAnsi="Times New Roman"/>
          <w:sz w:val="24"/>
          <w:szCs w:val="24"/>
        </w:rPr>
        <w:t>This explains period 2’s strongly negative SME (-0.98).  In period 3, strong growth in aggregate exports and positive gaps for fmp, mvh and ome produce a strongly positive SME (0.69).  In the fourth period, both the export and the intermediate-input contributions to SME for i_s are small, with a net outcome that</w:t>
      </w:r>
      <w:r w:rsidR="000055B3">
        <w:rPr>
          <w:rFonts w:ascii="Times New Roman" w:hAnsi="Times New Roman"/>
          <w:sz w:val="24"/>
          <w:szCs w:val="24"/>
        </w:rPr>
        <w:t xml:space="preserve"> </w:t>
      </w:r>
      <w:r w:rsidR="00F21638">
        <w:rPr>
          <w:rFonts w:ascii="Times New Roman" w:hAnsi="Times New Roman"/>
          <w:sz w:val="24"/>
          <w:szCs w:val="24"/>
        </w:rPr>
        <w:t xml:space="preserve">is slightly negative (-0.10).  </w:t>
      </w:r>
    </w:p>
    <w:p w:rsidR="00A4635D" w:rsidRDefault="00EE683B" w:rsidP="002731BD">
      <w:pPr>
        <w:ind w:left="0"/>
        <w:rPr>
          <w:rFonts w:ascii="Times New Roman" w:hAnsi="Times New Roman"/>
          <w:sz w:val="24"/>
          <w:szCs w:val="24"/>
        </w:rPr>
      </w:pPr>
      <w:r>
        <w:rPr>
          <w:rFonts w:ascii="Times New Roman" w:hAnsi="Times New Roman"/>
          <w:sz w:val="24"/>
          <w:szCs w:val="24"/>
        </w:rPr>
        <w:t>To help us</w:t>
      </w:r>
      <w:r w:rsidR="001B7D17">
        <w:rPr>
          <w:rFonts w:ascii="Times New Roman" w:hAnsi="Times New Roman"/>
          <w:sz w:val="24"/>
          <w:szCs w:val="24"/>
        </w:rPr>
        <w:t xml:space="preserve"> understand the IPE results for the i_s industry, we looked at the movements in the price of the Canadian product relative </w:t>
      </w:r>
      <w:r w:rsidR="006D14DB">
        <w:rPr>
          <w:rFonts w:ascii="Times New Roman" w:hAnsi="Times New Roman"/>
          <w:sz w:val="24"/>
          <w:szCs w:val="24"/>
        </w:rPr>
        <w:t xml:space="preserve">to prices in other regions.  </w:t>
      </w:r>
      <w:r w:rsidR="00A4635D">
        <w:rPr>
          <w:rFonts w:ascii="Times New Roman" w:hAnsi="Times New Roman"/>
          <w:sz w:val="24"/>
          <w:szCs w:val="24"/>
        </w:rPr>
        <w:t xml:space="preserve">Keeping in mind that </w:t>
      </w:r>
      <w:r w:rsidR="006D14DB">
        <w:rPr>
          <w:rFonts w:ascii="Times New Roman" w:hAnsi="Times New Roman"/>
          <w:sz w:val="24"/>
          <w:szCs w:val="24"/>
        </w:rPr>
        <w:t>most of</w:t>
      </w:r>
      <w:r w:rsidR="00A4635D">
        <w:rPr>
          <w:rFonts w:ascii="Times New Roman" w:hAnsi="Times New Roman"/>
          <w:sz w:val="24"/>
          <w:szCs w:val="24"/>
        </w:rPr>
        <w:t xml:space="preserve"> Canada’s trade in iron and steel is with the U.S., we were particularly </w:t>
      </w:r>
      <w:r w:rsidR="00066459">
        <w:rPr>
          <w:rFonts w:ascii="Times New Roman" w:hAnsi="Times New Roman"/>
          <w:sz w:val="24"/>
          <w:szCs w:val="24"/>
        </w:rPr>
        <w:t>interested</w:t>
      </w:r>
      <w:r w:rsidR="00A4635D">
        <w:rPr>
          <w:rFonts w:ascii="Times New Roman" w:hAnsi="Times New Roman"/>
          <w:sz w:val="24"/>
          <w:szCs w:val="24"/>
        </w:rPr>
        <w:t xml:space="preserve"> </w:t>
      </w:r>
      <w:r w:rsidR="00066459">
        <w:rPr>
          <w:rFonts w:ascii="Times New Roman" w:hAnsi="Times New Roman"/>
          <w:sz w:val="24"/>
          <w:szCs w:val="24"/>
        </w:rPr>
        <w:t>in</w:t>
      </w:r>
      <w:r w:rsidR="00A4635D">
        <w:rPr>
          <w:rFonts w:ascii="Times New Roman" w:hAnsi="Times New Roman"/>
          <w:sz w:val="24"/>
          <w:szCs w:val="24"/>
        </w:rPr>
        <w:t xml:space="preserve"> the Canada/U.S. price comparison.  </w:t>
      </w:r>
    </w:p>
    <w:p w:rsidR="00217E1F" w:rsidRDefault="001B7D17" w:rsidP="002731BD">
      <w:pPr>
        <w:ind w:left="0"/>
        <w:rPr>
          <w:rFonts w:ascii="Times New Roman" w:hAnsi="Times New Roman"/>
          <w:sz w:val="24"/>
          <w:szCs w:val="24"/>
        </w:rPr>
      </w:pPr>
      <w:r>
        <w:rPr>
          <w:rFonts w:ascii="Times New Roman" w:hAnsi="Times New Roman"/>
          <w:sz w:val="24"/>
          <w:szCs w:val="24"/>
        </w:rPr>
        <w:t xml:space="preserve">In the first period, </w:t>
      </w:r>
      <w:r w:rsidR="00EE683B">
        <w:rPr>
          <w:rFonts w:ascii="Times New Roman" w:hAnsi="Times New Roman"/>
          <w:sz w:val="24"/>
          <w:szCs w:val="24"/>
        </w:rPr>
        <w:t>the price of the Canadian product fell relative to that of the U.S. product, mainly because of real appreciation by the U.S.</w:t>
      </w:r>
      <w:r w:rsidR="00A4635D">
        <w:rPr>
          <w:rFonts w:ascii="Times New Roman" w:hAnsi="Times New Roman"/>
          <w:sz w:val="24"/>
          <w:szCs w:val="24"/>
        </w:rPr>
        <w:t xml:space="preserve"> relative to Canada.  </w:t>
      </w:r>
      <w:r w:rsidR="00EE683B">
        <w:rPr>
          <w:rFonts w:ascii="Times New Roman" w:hAnsi="Times New Roman"/>
          <w:sz w:val="24"/>
          <w:szCs w:val="24"/>
        </w:rPr>
        <w:t xml:space="preserve">We expected this to generate a positive IPE </w:t>
      </w:r>
      <w:r w:rsidR="00A4635D">
        <w:rPr>
          <w:rFonts w:ascii="Times New Roman" w:hAnsi="Times New Roman"/>
          <w:sz w:val="24"/>
          <w:szCs w:val="24"/>
        </w:rPr>
        <w:t xml:space="preserve">for i_s </w:t>
      </w:r>
      <w:r w:rsidR="00EE683B">
        <w:rPr>
          <w:rFonts w:ascii="Times New Roman" w:hAnsi="Times New Roman"/>
          <w:sz w:val="24"/>
          <w:szCs w:val="24"/>
        </w:rPr>
        <w:t xml:space="preserve">via </w:t>
      </w:r>
      <w:r w:rsidR="00A4635D">
        <w:rPr>
          <w:rFonts w:ascii="Times New Roman" w:hAnsi="Times New Roman"/>
          <w:sz w:val="24"/>
          <w:szCs w:val="24"/>
        </w:rPr>
        <w:t xml:space="preserve">replacement in Canadian industries of imports from the U.S. by iron and steel produced in Canada, and possibly via </w:t>
      </w:r>
      <w:r w:rsidR="00EE683B">
        <w:rPr>
          <w:rFonts w:ascii="Times New Roman" w:hAnsi="Times New Roman"/>
          <w:sz w:val="24"/>
          <w:szCs w:val="24"/>
        </w:rPr>
        <w:t xml:space="preserve">price-induced growth in Canadian exports to the U.S.  </w:t>
      </w:r>
      <w:r w:rsidR="00A4635D">
        <w:rPr>
          <w:rFonts w:ascii="Times New Roman" w:hAnsi="Times New Roman"/>
          <w:sz w:val="24"/>
          <w:szCs w:val="24"/>
        </w:rPr>
        <w:t xml:space="preserve">However, </w:t>
      </w:r>
      <w:r w:rsidR="006D14DB">
        <w:rPr>
          <w:rFonts w:ascii="Times New Roman" w:hAnsi="Times New Roman"/>
          <w:sz w:val="24"/>
          <w:szCs w:val="24"/>
        </w:rPr>
        <w:t xml:space="preserve">the </w:t>
      </w:r>
      <w:r w:rsidR="00A4635D">
        <w:rPr>
          <w:rFonts w:ascii="Times New Roman" w:hAnsi="Times New Roman"/>
          <w:sz w:val="24"/>
          <w:szCs w:val="24"/>
        </w:rPr>
        <w:t>IPE</w:t>
      </w:r>
      <w:r w:rsidR="00F21638">
        <w:rPr>
          <w:rFonts w:ascii="Times New Roman" w:hAnsi="Times New Roman"/>
          <w:sz w:val="24"/>
          <w:szCs w:val="24"/>
        </w:rPr>
        <w:t xml:space="preserve"> </w:t>
      </w:r>
      <w:r w:rsidR="006D14DB">
        <w:rPr>
          <w:rFonts w:ascii="Times New Roman" w:hAnsi="Times New Roman"/>
          <w:sz w:val="24"/>
          <w:szCs w:val="24"/>
        </w:rPr>
        <w:t xml:space="preserve">result for </w:t>
      </w:r>
      <w:r w:rsidR="00A4635D">
        <w:rPr>
          <w:rFonts w:ascii="Times New Roman" w:hAnsi="Times New Roman"/>
          <w:sz w:val="24"/>
          <w:szCs w:val="24"/>
        </w:rPr>
        <w:t xml:space="preserve">period 1 is negative, -0.50.  </w:t>
      </w:r>
      <w:r w:rsidR="003C34EB">
        <w:rPr>
          <w:rFonts w:ascii="Times New Roman" w:hAnsi="Times New Roman"/>
          <w:sz w:val="24"/>
          <w:szCs w:val="24"/>
        </w:rPr>
        <w:t>We traced this surprising result to the endogenous preference twist that we introduced in the 2014-19 simulation in favour of U.S. products (see Table 4.</w:t>
      </w:r>
      <w:r w:rsidR="00543510">
        <w:rPr>
          <w:rFonts w:ascii="Times New Roman" w:hAnsi="Times New Roman"/>
          <w:sz w:val="24"/>
          <w:szCs w:val="24"/>
        </w:rPr>
        <w:t>7</w:t>
      </w:r>
      <w:r w:rsidR="003C34EB">
        <w:rPr>
          <w:rFonts w:ascii="Times New Roman" w:hAnsi="Times New Roman"/>
          <w:sz w:val="24"/>
          <w:szCs w:val="24"/>
        </w:rPr>
        <w:t xml:space="preserve">).  This preference twist affects imports </w:t>
      </w:r>
      <w:r w:rsidR="001F4DD5">
        <w:rPr>
          <w:rFonts w:ascii="Times New Roman" w:hAnsi="Times New Roman"/>
          <w:sz w:val="24"/>
          <w:szCs w:val="24"/>
        </w:rPr>
        <w:t xml:space="preserve">of all products </w:t>
      </w:r>
      <w:r w:rsidR="003C34EB">
        <w:rPr>
          <w:rFonts w:ascii="Times New Roman" w:hAnsi="Times New Roman"/>
          <w:sz w:val="24"/>
          <w:szCs w:val="24"/>
        </w:rPr>
        <w:t>from the U.S</w:t>
      </w:r>
      <w:r w:rsidR="001F4DD5">
        <w:rPr>
          <w:rFonts w:ascii="Times New Roman" w:hAnsi="Times New Roman"/>
          <w:sz w:val="24"/>
          <w:szCs w:val="24"/>
        </w:rPr>
        <w:t xml:space="preserve"> to all region</w:t>
      </w:r>
      <w:r w:rsidR="00066459">
        <w:rPr>
          <w:rFonts w:ascii="Times New Roman" w:hAnsi="Times New Roman"/>
          <w:sz w:val="24"/>
          <w:szCs w:val="24"/>
        </w:rPr>
        <w:t>s</w:t>
      </w:r>
      <w:r w:rsidR="003C34EB">
        <w:rPr>
          <w:rFonts w:ascii="Times New Roman" w:hAnsi="Times New Roman"/>
          <w:sz w:val="24"/>
          <w:szCs w:val="24"/>
        </w:rPr>
        <w:t xml:space="preserve">.  In particular, it restrains Canadian output of </w:t>
      </w:r>
      <w:r w:rsidR="00B06C3B">
        <w:rPr>
          <w:rFonts w:ascii="Times New Roman" w:hAnsi="Times New Roman"/>
          <w:sz w:val="24"/>
          <w:szCs w:val="24"/>
        </w:rPr>
        <w:t xml:space="preserve">iron and steel by stimulating i_s imports from the U.S. by the Canadian fmp, mvh, ome and cns industries. </w:t>
      </w:r>
    </w:p>
    <w:p w:rsidR="00BF07D3" w:rsidRDefault="00B06C3B" w:rsidP="002731BD">
      <w:pPr>
        <w:ind w:left="0"/>
        <w:rPr>
          <w:rFonts w:ascii="Times New Roman" w:hAnsi="Times New Roman"/>
          <w:sz w:val="24"/>
          <w:szCs w:val="24"/>
        </w:rPr>
      </w:pPr>
      <w:r>
        <w:rPr>
          <w:rFonts w:ascii="Times New Roman" w:hAnsi="Times New Roman"/>
          <w:sz w:val="24"/>
          <w:szCs w:val="24"/>
        </w:rPr>
        <w:t xml:space="preserve">In periods 2, 3 and 4, the preference shift is not operating.  In period 2, </w:t>
      </w:r>
      <w:r w:rsidR="00AE1E8D">
        <w:rPr>
          <w:rFonts w:ascii="Times New Roman" w:hAnsi="Times New Roman"/>
          <w:sz w:val="24"/>
          <w:szCs w:val="24"/>
        </w:rPr>
        <w:t>the IPE result is negative reflecting an increase in the price of i_s produced in Canada relative to i_s produced by the U.S.  In period 3 the price changes for the Canadian and U.S. products are approximately the same</w:t>
      </w:r>
      <w:r w:rsidR="00955DE9">
        <w:rPr>
          <w:rFonts w:ascii="Times New Roman" w:hAnsi="Times New Roman"/>
          <w:sz w:val="24"/>
          <w:szCs w:val="24"/>
        </w:rPr>
        <w:t xml:space="preserve"> and approximately match the average </w:t>
      </w:r>
      <w:r w:rsidR="001F4DD5">
        <w:rPr>
          <w:rFonts w:ascii="Times New Roman" w:hAnsi="Times New Roman"/>
          <w:sz w:val="24"/>
          <w:szCs w:val="24"/>
        </w:rPr>
        <w:t xml:space="preserve">price changes </w:t>
      </w:r>
      <w:r w:rsidR="00955DE9">
        <w:rPr>
          <w:rFonts w:ascii="Times New Roman" w:hAnsi="Times New Roman"/>
          <w:sz w:val="24"/>
          <w:szCs w:val="24"/>
        </w:rPr>
        <w:t>across other regions.  This gives an</w:t>
      </w:r>
      <w:r w:rsidR="00BF07D3">
        <w:rPr>
          <w:rFonts w:ascii="Times New Roman" w:hAnsi="Times New Roman"/>
          <w:sz w:val="24"/>
          <w:szCs w:val="24"/>
        </w:rPr>
        <w:t xml:space="preserve"> IPE result for Canada of close to zero (0.05).  </w:t>
      </w:r>
      <w:r w:rsidR="00955DE9">
        <w:rPr>
          <w:rFonts w:ascii="Times New Roman" w:hAnsi="Times New Roman"/>
          <w:sz w:val="24"/>
          <w:szCs w:val="24"/>
        </w:rPr>
        <w:t xml:space="preserve">In </w:t>
      </w:r>
      <w:r w:rsidR="00BF07D3">
        <w:rPr>
          <w:rFonts w:ascii="Times New Roman" w:hAnsi="Times New Roman"/>
          <w:sz w:val="24"/>
          <w:szCs w:val="24"/>
        </w:rPr>
        <w:t>period 4</w:t>
      </w:r>
      <w:r w:rsidR="00066459">
        <w:rPr>
          <w:rFonts w:ascii="Times New Roman" w:hAnsi="Times New Roman"/>
          <w:sz w:val="24"/>
          <w:szCs w:val="24"/>
        </w:rPr>
        <w:t xml:space="preserve">, the U.S. and Canadian price movements were again approximately the same.  Nevertheless, </w:t>
      </w:r>
      <w:r w:rsidR="00BF07D3">
        <w:rPr>
          <w:rFonts w:ascii="Times New Roman" w:hAnsi="Times New Roman"/>
          <w:sz w:val="24"/>
          <w:szCs w:val="24"/>
        </w:rPr>
        <w:t xml:space="preserve">the IPE result </w:t>
      </w:r>
      <w:r w:rsidR="00066459">
        <w:rPr>
          <w:rFonts w:ascii="Times New Roman" w:hAnsi="Times New Roman"/>
          <w:sz w:val="24"/>
          <w:szCs w:val="24"/>
        </w:rPr>
        <w:t xml:space="preserve">for period 4 is </w:t>
      </w:r>
      <w:r w:rsidR="00BF07D3">
        <w:rPr>
          <w:rFonts w:ascii="Times New Roman" w:hAnsi="Times New Roman"/>
          <w:sz w:val="24"/>
          <w:szCs w:val="24"/>
        </w:rPr>
        <w:t xml:space="preserve">significantly negative (-0.42).  We found that growth in Canadian exports of i_s to the U.S. was restrained </w:t>
      </w:r>
      <w:r w:rsidR="006D14DB">
        <w:rPr>
          <w:rFonts w:ascii="Times New Roman" w:hAnsi="Times New Roman"/>
          <w:sz w:val="24"/>
          <w:szCs w:val="24"/>
        </w:rPr>
        <w:t xml:space="preserve">in period 4 </w:t>
      </w:r>
      <w:r w:rsidR="00BF07D3">
        <w:rPr>
          <w:rFonts w:ascii="Times New Roman" w:hAnsi="Times New Roman"/>
          <w:sz w:val="24"/>
          <w:szCs w:val="24"/>
        </w:rPr>
        <w:t xml:space="preserve">by loss of competitiveness </w:t>
      </w:r>
      <w:r w:rsidR="006D14DB">
        <w:rPr>
          <w:rFonts w:ascii="Times New Roman" w:hAnsi="Times New Roman"/>
          <w:sz w:val="24"/>
          <w:szCs w:val="24"/>
        </w:rPr>
        <w:t xml:space="preserve">relative to other suppliers to the U.S., particularly China, India and RoW.  </w:t>
      </w:r>
    </w:p>
    <w:p w:rsidR="00E14E11" w:rsidRDefault="00E14E11">
      <w:pPr>
        <w:spacing w:before="0" w:line="240" w:lineRule="auto"/>
        <w:ind w:left="0"/>
        <w:rPr>
          <w:rFonts w:ascii="Times New Roman" w:hAnsi="Times New Roman"/>
          <w:b/>
          <w:i/>
          <w:sz w:val="24"/>
          <w:szCs w:val="24"/>
        </w:rPr>
      </w:pPr>
      <w:r>
        <w:rPr>
          <w:rFonts w:ascii="Times New Roman" w:hAnsi="Times New Roman"/>
          <w:b/>
          <w:i/>
          <w:sz w:val="24"/>
          <w:szCs w:val="24"/>
        </w:rPr>
        <w:br w:type="page"/>
      </w:r>
    </w:p>
    <w:p w:rsidR="008C4C64" w:rsidRDefault="008C4C64" w:rsidP="008C4C64">
      <w:pPr>
        <w:ind w:left="0"/>
        <w:rPr>
          <w:rFonts w:ascii="Times New Roman" w:hAnsi="Times New Roman"/>
          <w:b/>
          <w:i/>
          <w:sz w:val="24"/>
          <w:szCs w:val="24"/>
        </w:rPr>
      </w:pPr>
      <w:r>
        <w:rPr>
          <w:rFonts w:ascii="Times New Roman" w:hAnsi="Times New Roman"/>
          <w:b/>
          <w:i/>
          <w:sz w:val="24"/>
          <w:szCs w:val="24"/>
        </w:rPr>
        <w:lastRenderedPageBreak/>
        <w:t>Motor vehicles (mvh, ind 38)</w:t>
      </w:r>
    </w:p>
    <w:p w:rsidR="008C4C64" w:rsidRDefault="008C4C64" w:rsidP="008C4C64">
      <w:pPr>
        <w:ind w:left="0"/>
        <w:rPr>
          <w:rFonts w:ascii="Times New Roman" w:hAnsi="Times New Roman"/>
          <w:sz w:val="24"/>
          <w:szCs w:val="24"/>
        </w:rPr>
      </w:pPr>
      <w:r w:rsidRPr="007654B9">
        <w:rPr>
          <w:rFonts w:ascii="Times New Roman" w:hAnsi="Times New Roman"/>
          <w:sz w:val="24"/>
          <w:szCs w:val="24"/>
        </w:rPr>
        <w:t>The output-GDP growth gap for this industry is negative in periods 1</w:t>
      </w:r>
      <w:r w:rsidR="007654B9" w:rsidRPr="007654B9">
        <w:rPr>
          <w:rFonts w:ascii="Times New Roman" w:hAnsi="Times New Roman"/>
          <w:sz w:val="24"/>
          <w:szCs w:val="24"/>
        </w:rPr>
        <w:t xml:space="preserve"> and</w:t>
      </w:r>
      <w:r w:rsidRPr="007654B9">
        <w:rPr>
          <w:rFonts w:ascii="Times New Roman" w:hAnsi="Times New Roman"/>
          <w:sz w:val="24"/>
          <w:szCs w:val="24"/>
        </w:rPr>
        <w:t xml:space="preserve"> 2</w:t>
      </w:r>
      <w:r w:rsidR="007654B9" w:rsidRPr="007654B9">
        <w:rPr>
          <w:rFonts w:ascii="Times New Roman" w:hAnsi="Times New Roman"/>
          <w:sz w:val="24"/>
          <w:szCs w:val="24"/>
        </w:rPr>
        <w:t xml:space="preserve">, </w:t>
      </w:r>
      <w:r w:rsidRPr="007654B9">
        <w:rPr>
          <w:rFonts w:ascii="Times New Roman" w:hAnsi="Times New Roman"/>
          <w:sz w:val="24"/>
          <w:szCs w:val="24"/>
        </w:rPr>
        <w:t>and</w:t>
      </w:r>
      <w:r w:rsidR="007654B9" w:rsidRPr="007654B9">
        <w:rPr>
          <w:rFonts w:ascii="Times New Roman" w:hAnsi="Times New Roman"/>
          <w:sz w:val="24"/>
          <w:szCs w:val="24"/>
        </w:rPr>
        <w:t xml:space="preserve"> positive in periods 3 and</w:t>
      </w:r>
      <w:r w:rsidRPr="007654B9">
        <w:rPr>
          <w:rFonts w:ascii="Times New Roman" w:hAnsi="Times New Roman"/>
          <w:sz w:val="24"/>
          <w:szCs w:val="24"/>
        </w:rPr>
        <w:t xml:space="preserve"> 4</w:t>
      </w:r>
      <w:r w:rsidR="007654B9" w:rsidRPr="007654B9">
        <w:rPr>
          <w:rFonts w:ascii="Times New Roman" w:hAnsi="Times New Roman"/>
          <w:sz w:val="24"/>
          <w:szCs w:val="24"/>
        </w:rPr>
        <w:t xml:space="preserve">.  </w:t>
      </w:r>
      <w:r>
        <w:rPr>
          <w:rFonts w:ascii="Times New Roman" w:hAnsi="Times New Roman"/>
          <w:sz w:val="24"/>
          <w:szCs w:val="24"/>
        </w:rPr>
        <w:t xml:space="preserve">   </w:t>
      </w:r>
    </w:p>
    <w:p w:rsidR="00FA73A1" w:rsidRDefault="008C4C64" w:rsidP="008C4C64">
      <w:pPr>
        <w:ind w:left="0"/>
        <w:rPr>
          <w:rFonts w:ascii="Times New Roman" w:hAnsi="Times New Roman"/>
          <w:sz w:val="24"/>
          <w:szCs w:val="24"/>
        </w:rPr>
      </w:pPr>
      <w:r>
        <w:rPr>
          <w:rFonts w:ascii="Times New Roman" w:hAnsi="Times New Roman"/>
          <w:sz w:val="24"/>
          <w:szCs w:val="24"/>
        </w:rPr>
        <w:t xml:space="preserve">Canada’s </w:t>
      </w:r>
      <w:r w:rsidR="006871BE">
        <w:rPr>
          <w:rFonts w:ascii="Times New Roman" w:hAnsi="Times New Roman"/>
          <w:sz w:val="24"/>
          <w:szCs w:val="24"/>
        </w:rPr>
        <w:t>mvh</w:t>
      </w:r>
      <w:r>
        <w:rPr>
          <w:rFonts w:ascii="Times New Roman" w:hAnsi="Times New Roman"/>
          <w:sz w:val="24"/>
          <w:szCs w:val="24"/>
        </w:rPr>
        <w:t xml:space="preserve"> industry</w:t>
      </w:r>
      <w:r w:rsidR="00907E4D">
        <w:rPr>
          <w:rFonts w:ascii="Times New Roman" w:hAnsi="Times New Roman"/>
          <w:sz w:val="24"/>
          <w:szCs w:val="24"/>
        </w:rPr>
        <w:t xml:space="preserve"> produces finished cars and parts.  Ne</w:t>
      </w:r>
      <w:r>
        <w:rPr>
          <w:rFonts w:ascii="Times New Roman" w:hAnsi="Times New Roman"/>
          <w:sz w:val="24"/>
          <w:szCs w:val="24"/>
        </w:rPr>
        <w:t>arly</w:t>
      </w:r>
      <w:r w:rsidR="006871BE">
        <w:rPr>
          <w:rFonts w:ascii="Times New Roman" w:hAnsi="Times New Roman"/>
          <w:sz w:val="24"/>
          <w:szCs w:val="24"/>
        </w:rPr>
        <w:t xml:space="preserve"> 80</w:t>
      </w:r>
      <w:r>
        <w:rPr>
          <w:rFonts w:ascii="Times New Roman" w:hAnsi="Times New Roman"/>
          <w:sz w:val="24"/>
          <w:szCs w:val="24"/>
        </w:rPr>
        <w:t xml:space="preserve"> per cent of </w:t>
      </w:r>
      <w:r w:rsidR="00907E4D">
        <w:rPr>
          <w:rFonts w:ascii="Times New Roman" w:hAnsi="Times New Roman"/>
          <w:sz w:val="24"/>
          <w:szCs w:val="24"/>
        </w:rPr>
        <w:t>Canada’s mvh</w:t>
      </w:r>
      <w:r>
        <w:rPr>
          <w:rFonts w:ascii="Times New Roman" w:hAnsi="Times New Roman"/>
          <w:sz w:val="24"/>
          <w:szCs w:val="24"/>
        </w:rPr>
        <w:t xml:space="preserve"> output</w:t>
      </w:r>
      <w:r w:rsidR="00907E4D">
        <w:rPr>
          <w:rFonts w:ascii="Times New Roman" w:hAnsi="Times New Roman"/>
          <w:sz w:val="24"/>
          <w:szCs w:val="24"/>
        </w:rPr>
        <w:t xml:space="preserve"> is exported, </w:t>
      </w:r>
      <w:r>
        <w:rPr>
          <w:rFonts w:ascii="Times New Roman" w:hAnsi="Times New Roman"/>
          <w:sz w:val="24"/>
          <w:szCs w:val="24"/>
        </w:rPr>
        <w:t>overwhelmingly to the U.S.</w:t>
      </w:r>
      <w:r w:rsidR="006871BE">
        <w:rPr>
          <w:rFonts w:ascii="Times New Roman" w:hAnsi="Times New Roman"/>
          <w:sz w:val="24"/>
          <w:szCs w:val="24"/>
        </w:rPr>
        <w:t xml:space="preserve">  </w:t>
      </w:r>
      <w:r w:rsidR="00907E4D">
        <w:rPr>
          <w:rFonts w:ascii="Times New Roman" w:hAnsi="Times New Roman"/>
          <w:sz w:val="24"/>
          <w:szCs w:val="24"/>
        </w:rPr>
        <w:t xml:space="preserve">About 8 per cent is sold as an intermediate input to the mvh industry itself.  The rest of the sales </w:t>
      </w:r>
      <w:r w:rsidR="004F72FC">
        <w:rPr>
          <w:rFonts w:ascii="Times New Roman" w:hAnsi="Times New Roman"/>
          <w:sz w:val="24"/>
          <w:szCs w:val="24"/>
        </w:rPr>
        <w:t xml:space="preserve">from Canada’s mvh industry </w:t>
      </w:r>
      <w:r w:rsidR="006871BE">
        <w:rPr>
          <w:rFonts w:ascii="Times New Roman" w:hAnsi="Times New Roman"/>
          <w:sz w:val="24"/>
          <w:szCs w:val="24"/>
        </w:rPr>
        <w:t xml:space="preserve">are spread widely across households, industries and capital creation.  </w:t>
      </w:r>
      <w:r w:rsidR="00907E4D">
        <w:rPr>
          <w:rFonts w:ascii="Times New Roman" w:hAnsi="Times New Roman"/>
          <w:sz w:val="24"/>
          <w:szCs w:val="24"/>
        </w:rPr>
        <w:t xml:space="preserve">In all parts of the Canadian market for mvh products imports dominate, accounting for 78 per cent of sales of mvh products in Canada.  </w:t>
      </w:r>
      <w:r w:rsidR="00776F30">
        <w:rPr>
          <w:rFonts w:ascii="Times New Roman" w:hAnsi="Times New Roman"/>
          <w:sz w:val="24"/>
          <w:szCs w:val="24"/>
        </w:rPr>
        <w:t xml:space="preserve">The U.S. supplies 77 per cent of Canada’s mvh imports.  </w:t>
      </w:r>
    </w:p>
    <w:p w:rsidR="006871BE" w:rsidRDefault="00FA73A1" w:rsidP="008C4C64">
      <w:pPr>
        <w:ind w:left="0"/>
        <w:rPr>
          <w:rFonts w:ascii="Times New Roman" w:hAnsi="Times New Roman"/>
          <w:sz w:val="24"/>
          <w:szCs w:val="24"/>
        </w:rPr>
      </w:pPr>
      <w:r>
        <w:rPr>
          <w:rFonts w:ascii="Times New Roman" w:hAnsi="Times New Roman"/>
          <w:sz w:val="24"/>
          <w:szCs w:val="24"/>
        </w:rPr>
        <w:t xml:space="preserve">The high export share in mvh sales generates significantly positive SMEs in periods 1 and 3 when Canada’s aggregate export growth is well above GDP growth.  In period 2, when aggregate export growth is below GDP growth, the SME for mvh is negative.  In period 4, aggregate export and GDP growth are approximately the same, leading to an SME result for mvh that is close to zero.  </w:t>
      </w:r>
    </w:p>
    <w:p w:rsidR="00315FA9" w:rsidRDefault="00A52652" w:rsidP="008C4C64">
      <w:pPr>
        <w:ind w:left="0"/>
        <w:rPr>
          <w:rFonts w:ascii="Times New Roman" w:hAnsi="Times New Roman"/>
          <w:sz w:val="24"/>
          <w:szCs w:val="24"/>
        </w:rPr>
      </w:pPr>
      <w:r>
        <w:rPr>
          <w:rFonts w:ascii="Times New Roman" w:hAnsi="Times New Roman"/>
          <w:sz w:val="24"/>
          <w:szCs w:val="24"/>
        </w:rPr>
        <w:t xml:space="preserve">As was the case for i_s, in period 1 the Canadian mvh industry gains considerable price advantage </w:t>
      </w:r>
      <w:r w:rsidR="00315FA9">
        <w:rPr>
          <w:rFonts w:ascii="Times New Roman" w:hAnsi="Times New Roman"/>
          <w:sz w:val="24"/>
          <w:szCs w:val="24"/>
        </w:rPr>
        <w:t xml:space="preserve">over the U.S. via exchange-rate appreciation of the U.S. relative to Canada.  However, this is more than offset by the twist in preferences in favour of U.S. products that was introduced endogenously in the 2014-19 simulation.  With the twist, Canadian users of mvh products shift their purchases towards imports from the U.S., generating a negative IPE.  </w:t>
      </w:r>
    </w:p>
    <w:p w:rsidR="00A52652" w:rsidRDefault="00315FA9" w:rsidP="008C4C64">
      <w:pPr>
        <w:ind w:left="0"/>
        <w:rPr>
          <w:rFonts w:ascii="Times New Roman" w:hAnsi="Times New Roman"/>
          <w:sz w:val="24"/>
          <w:szCs w:val="24"/>
        </w:rPr>
      </w:pPr>
      <w:r>
        <w:rPr>
          <w:rFonts w:ascii="Times New Roman" w:hAnsi="Times New Roman"/>
          <w:sz w:val="24"/>
          <w:szCs w:val="24"/>
        </w:rPr>
        <w:t>Again, as was the case for i_s, the Canadian mvh price rises relative to the U.S. price in period 2 and then moves approximately in line with the U.S. price in period 3 and 4.  The loss of competitiveness in period 2 generates a negative IPE for the Canadian mvh industry.  In periods 3 and 4, the IPEs are moderate positives (0.25 and 0.33)</w:t>
      </w:r>
      <w:r w:rsidR="007654B9">
        <w:rPr>
          <w:rFonts w:ascii="Times New Roman" w:hAnsi="Times New Roman"/>
          <w:sz w:val="24"/>
          <w:szCs w:val="24"/>
        </w:rPr>
        <w:t>.  We traced these favourable IPEs to an improvement in competitiveness</w:t>
      </w:r>
      <w:r w:rsidR="007654B9" w:rsidRPr="007654B9">
        <w:rPr>
          <w:rFonts w:ascii="Times New Roman" w:hAnsi="Times New Roman"/>
          <w:sz w:val="24"/>
          <w:szCs w:val="24"/>
        </w:rPr>
        <w:t xml:space="preserve"> </w:t>
      </w:r>
      <w:r w:rsidR="007654B9">
        <w:rPr>
          <w:rFonts w:ascii="Times New Roman" w:hAnsi="Times New Roman"/>
          <w:sz w:val="24"/>
          <w:szCs w:val="24"/>
        </w:rPr>
        <w:t xml:space="preserve">of Canadian mvh producers supplying the U.S. market relative to other suppliers of the U.S. market, particularly Mexico.   </w:t>
      </w:r>
    </w:p>
    <w:p w:rsidR="00717DFA" w:rsidRDefault="00717DFA" w:rsidP="00717DFA">
      <w:pPr>
        <w:ind w:left="0"/>
        <w:rPr>
          <w:rFonts w:ascii="Times New Roman" w:hAnsi="Times New Roman"/>
          <w:b/>
          <w:i/>
          <w:sz w:val="24"/>
          <w:szCs w:val="24"/>
        </w:rPr>
      </w:pPr>
      <w:r>
        <w:rPr>
          <w:rFonts w:ascii="Times New Roman" w:hAnsi="Times New Roman"/>
          <w:b/>
          <w:i/>
          <w:sz w:val="24"/>
          <w:szCs w:val="24"/>
        </w:rPr>
        <w:t>Electronic equipment (ele, ind 40)</w:t>
      </w:r>
    </w:p>
    <w:p w:rsidR="00717DFA" w:rsidRDefault="002877CE" w:rsidP="002877CE">
      <w:pPr>
        <w:ind w:left="0"/>
        <w:rPr>
          <w:rFonts w:ascii="Times New Roman" w:hAnsi="Times New Roman"/>
          <w:sz w:val="24"/>
          <w:szCs w:val="24"/>
        </w:rPr>
      </w:pPr>
      <w:r>
        <w:rPr>
          <w:rFonts w:ascii="Times New Roman" w:hAnsi="Times New Roman"/>
          <w:sz w:val="24"/>
          <w:szCs w:val="24"/>
        </w:rPr>
        <w:t>Canada’s ele industry shares important characteristics with its mvh industry.  It is highly export</w:t>
      </w:r>
      <w:r w:rsidR="00543510">
        <w:rPr>
          <w:rFonts w:ascii="Times New Roman" w:hAnsi="Times New Roman"/>
          <w:sz w:val="24"/>
          <w:szCs w:val="24"/>
        </w:rPr>
        <w:t>-</w:t>
      </w:r>
      <w:r>
        <w:rPr>
          <w:rFonts w:ascii="Times New Roman" w:hAnsi="Times New Roman"/>
          <w:sz w:val="24"/>
          <w:szCs w:val="24"/>
        </w:rPr>
        <w:t xml:space="preserve">oriented: </w:t>
      </w:r>
      <w:r w:rsidR="00DC310F">
        <w:rPr>
          <w:rFonts w:ascii="Times New Roman" w:hAnsi="Times New Roman"/>
          <w:sz w:val="24"/>
          <w:szCs w:val="24"/>
        </w:rPr>
        <w:t>69</w:t>
      </w:r>
      <w:r>
        <w:rPr>
          <w:rFonts w:ascii="Times New Roman" w:hAnsi="Times New Roman"/>
          <w:sz w:val="24"/>
          <w:szCs w:val="24"/>
        </w:rPr>
        <w:t xml:space="preserve"> per cent of Canadian ele </w:t>
      </w:r>
      <w:r w:rsidR="00665AAF">
        <w:rPr>
          <w:rFonts w:ascii="Times New Roman" w:hAnsi="Times New Roman"/>
          <w:sz w:val="24"/>
          <w:szCs w:val="24"/>
        </w:rPr>
        <w:t xml:space="preserve">is </w:t>
      </w:r>
      <w:r>
        <w:rPr>
          <w:rFonts w:ascii="Times New Roman" w:hAnsi="Times New Roman"/>
          <w:sz w:val="24"/>
          <w:szCs w:val="24"/>
        </w:rPr>
        <w:t>exported.  About 18 per cent of Canadian ele output goes to a wide variety of industries as an intermediate input</w:t>
      </w:r>
      <w:r w:rsidR="00DC310F">
        <w:rPr>
          <w:rFonts w:ascii="Times New Roman" w:hAnsi="Times New Roman"/>
          <w:sz w:val="24"/>
          <w:szCs w:val="24"/>
        </w:rPr>
        <w:t xml:space="preserve">.  Investment takes 9 per cent and households take 4 per cent.  Similar to mvh, imports dominate in all parts of the Canadian market for ele products.  They account for nearly 90 per cent of ele sales in Canada.  </w:t>
      </w:r>
    </w:p>
    <w:p w:rsidR="00DC310F" w:rsidRDefault="00DC310F" w:rsidP="002877CE">
      <w:pPr>
        <w:ind w:left="0"/>
        <w:rPr>
          <w:rFonts w:ascii="Times New Roman" w:hAnsi="Times New Roman"/>
          <w:sz w:val="24"/>
          <w:szCs w:val="24"/>
        </w:rPr>
      </w:pPr>
      <w:r>
        <w:rPr>
          <w:rFonts w:ascii="Times New Roman" w:hAnsi="Times New Roman"/>
          <w:sz w:val="24"/>
          <w:szCs w:val="24"/>
        </w:rPr>
        <w:t xml:space="preserve">In the case of mvh, </w:t>
      </w:r>
      <w:r w:rsidR="00543510">
        <w:rPr>
          <w:rFonts w:ascii="Times New Roman" w:hAnsi="Times New Roman"/>
          <w:sz w:val="24"/>
          <w:szCs w:val="24"/>
        </w:rPr>
        <w:t xml:space="preserve">the </w:t>
      </w:r>
      <w:r>
        <w:rPr>
          <w:rFonts w:ascii="Times New Roman" w:hAnsi="Times New Roman"/>
          <w:sz w:val="24"/>
          <w:szCs w:val="24"/>
        </w:rPr>
        <w:t xml:space="preserve">U.S. is overwhelming Canada’s main trade partner for both imports and exports.  </w:t>
      </w:r>
      <w:r w:rsidR="005F2417">
        <w:rPr>
          <w:rFonts w:ascii="Times New Roman" w:hAnsi="Times New Roman"/>
          <w:sz w:val="24"/>
          <w:szCs w:val="24"/>
        </w:rPr>
        <w:t xml:space="preserve">For ele, the U.S. takes about 50 per cent of Canada’s exports, but supplies only about 21 per cent of Canada’s imports.  China supplies about 50 per cent of Canada’s ele imports.  China is also the main supplier of U.S. imports of ele.  </w:t>
      </w:r>
    </w:p>
    <w:p w:rsidR="00A0601E" w:rsidRDefault="00A0601E" w:rsidP="00A0601E">
      <w:pPr>
        <w:ind w:left="0"/>
        <w:rPr>
          <w:rFonts w:ascii="Times New Roman" w:hAnsi="Times New Roman"/>
          <w:sz w:val="24"/>
          <w:szCs w:val="24"/>
        </w:rPr>
      </w:pPr>
      <w:r>
        <w:rPr>
          <w:rFonts w:ascii="Times New Roman" w:hAnsi="Times New Roman"/>
          <w:sz w:val="24"/>
          <w:szCs w:val="24"/>
        </w:rPr>
        <w:t xml:space="preserve">Similar to mvh, the ele output-GDP growth gaps are negative in periods 1 and 2 and positive in period 3.  In period 4, mvh has a positive gap but the gap for ele is negative, driven by a large negative IPE.   </w:t>
      </w:r>
    </w:p>
    <w:p w:rsidR="00660103" w:rsidRDefault="005F2417" w:rsidP="008C4C64">
      <w:pPr>
        <w:ind w:left="0"/>
        <w:rPr>
          <w:rFonts w:ascii="Times New Roman" w:hAnsi="Times New Roman"/>
          <w:sz w:val="24"/>
          <w:szCs w:val="24"/>
        </w:rPr>
      </w:pPr>
      <w:r>
        <w:rPr>
          <w:rFonts w:ascii="Times New Roman" w:hAnsi="Times New Roman"/>
          <w:sz w:val="24"/>
          <w:szCs w:val="24"/>
        </w:rPr>
        <w:t>The U.S.-Canada ele price movements are sim</w:t>
      </w:r>
      <w:r w:rsidR="00BE04E6">
        <w:rPr>
          <w:rFonts w:ascii="Times New Roman" w:hAnsi="Times New Roman"/>
          <w:sz w:val="24"/>
          <w:szCs w:val="24"/>
        </w:rPr>
        <w:t>i</w:t>
      </w:r>
      <w:r>
        <w:rPr>
          <w:rFonts w:ascii="Times New Roman" w:hAnsi="Times New Roman"/>
          <w:sz w:val="24"/>
          <w:szCs w:val="24"/>
        </w:rPr>
        <w:t>la</w:t>
      </w:r>
      <w:r w:rsidR="00BE04E6">
        <w:rPr>
          <w:rFonts w:ascii="Times New Roman" w:hAnsi="Times New Roman"/>
          <w:sz w:val="24"/>
          <w:szCs w:val="24"/>
        </w:rPr>
        <w:t>r</w:t>
      </w:r>
      <w:r>
        <w:rPr>
          <w:rFonts w:ascii="Times New Roman" w:hAnsi="Times New Roman"/>
          <w:sz w:val="24"/>
          <w:szCs w:val="24"/>
        </w:rPr>
        <w:t xml:space="preserve"> to those for mvh: improved competitiveness for Canada in peri</w:t>
      </w:r>
      <w:r w:rsidR="00BE04E6">
        <w:rPr>
          <w:rFonts w:ascii="Times New Roman" w:hAnsi="Times New Roman"/>
          <w:sz w:val="24"/>
          <w:szCs w:val="24"/>
        </w:rPr>
        <w:t>o</w:t>
      </w:r>
      <w:r>
        <w:rPr>
          <w:rFonts w:ascii="Times New Roman" w:hAnsi="Times New Roman"/>
          <w:sz w:val="24"/>
          <w:szCs w:val="24"/>
        </w:rPr>
        <w:t>d 1</w:t>
      </w:r>
      <w:r w:rsidR="00BE04E6">
        <w:rPr>
          <w:rFonts w:ascii="Times New Roman" w:hAnsi="Times New Roman"/>
          <w:sz w:val="24"/>
          <w:szCs w:val="24"/>
        </w:rPr>
        <w:t>;</w:t>
      </w:r>
      <w:r>
        <w:rPr>
          <w:rFonts w:ascii="Times New Roman" w:hAnsi="Times New Roman"/>
          <w:sz w:val="24"/>
          <w:szCs w:val="24"/>
        </w:rPr>
        <w:t xml:space="preserve"> reduced competitiveness for </w:t>
      </w:r>
      <w:r w:rsidR="00BE04E6">
        <w:rPr>
          <w:rFonts w:ascii="Times New Roman" w:hAnsi="Times New Roman"/>
          <w:sz w:val="24"/>
          <w:szCs w:val="24"/>
        </w:rPr>
        <w:t>Canada in period 2; and very little change in periods 3 and 4.  But for ele</w:t>
      </w:r>
      <w:r w:rsidR="007F15E5">
        <w:rPr>
          <w:rFonts w:ascii="Times New Roman" w:hAnsi="Times New Roman"/>
          <w:sz w:val="24"/>
          <w:szCs w:val="24"/>
        </w:rPr>
        <w:t>,</w:t>
      </w:r>
      <w:r w:rsidR="00BE04E6">
        <w:rPr>
          <w:rFonts w:ascii="Times New Roman" w:hAnsi="Times New Roman"/>
          <w:sz w:val="24"/>
          <w:szCs w:val="24"/>
        </w:rPr>
        <w:t xml:space="preserve"> competitiveness against China is also </w:t>
      </w:r>
      <w:r w:rsidR="00BE04E6">
        <w:rPr>
          <w:rFonts w:ascii="Times New Roman" w:hAnsi="Times New Roman"/>
          <w:sz w:val="24"/>
          <w:szCs w:val="24"/>
        </w:rPr>
        <w:lastRenderedPageBreak/>
        <w:t xml:space="preserve">important.  In periods 1 </w:t>
      </w:r>
      <w:r w:rsidR="00660103">
        <w:rPr>
          <w:rFonts w:ascii="Times New Roman" w:hAnsi="Times New Roman"/>
          <w:sz w:val="24"/>
          <w:szCs w:val="24"/>
        </w:rPr>
        <w:t xml:space="preserve">and 3, the Canada price for ele falls relative to the China price.  In periods 2 and 4 the Canada price rises relative to the China price.  </w:t>
      </w:r>
    </w:p>
    <w:p w:rsidR="00717DFA" w:rsidRDefault="00665AAF" w:rsidP="008C4C64">
      <w:pPr>
        <w:ind w:left="0"/>
        <w:rPr>
          <w:rFonts w:ascii="Times New Roman" w:hAnsi="Times New Roman"/>
          <w:sz w:val="24"/>
          <w:szCs w:val="24"/>
        </w:rPr>
      </w:pPr>
      <w:r>
        <w:rPr>
          <w:rFonts w:ascii="Times New Roman" w:hAnsi="Times New Roman"/>
          <w:sz w:val="24"/>
          <w:szCs w:val="24"/>
        </w:rPr>
        <w:t>E</w:t>
      </w:r>
      <w:r w:rsidR="00660103">
        <w:rPr>
          <w:rFonts w:ascii="Times New Roman" w:hAnsi="Times New Roman"/>
          <w:sz w:val="24"/>
          <w:szCs w:val="24"/>
        </w:rPr>
        <w:t>xport orientation gives Canada’s ele industry positive SMEs in periods 1 and 3 and a negative SME in period</w:t>
      </w:r>
      <w:r w:rsidR="00BE04E6">
        <w:rPr>
          <w:rFonts w:ascii="Times New Roman" w:hAnsi="Times New Roman"/>
          <w:sz w:val="24"/>
          <w:szCs w:val="24"/>
        </w:rPr>
        <w:t xml:space="preserve"> </w:t>
      </w:r>
      <w:r w:rsidR="00660103">
        <w:rPr>
          <w:rFonts w:ascii="Times New Roman" w:hAnsi="Times New Roman"/>
          <w:sz w:val="24"/>
          <w:szCs w:val="24"/>
        </w:rPr>
        <w:t xml:space="preserve">2.  The SME is close to zero in period 4 in which growth in Canada’s aggregate exports is close to growth in GDP.  </w:t>
      </w:r>
    </w:p>
    <w:p w:rsidR="00660103" w:rsidRDefault="00660103" w:rsidP="008C4C64">
      <w:pPr>
        <w:ind w:left="0"/>
        <w:rPr>
          <w:rFonts w:ascii="Times New Roman" w:hAnsi="Times New Roman"/>
          <w:sz w:val="24"/>
          <w:szCs w:val="24"/>
        </w:rPr>
      </w:pPr>
      <w:r>
        <w:rPr>
          <w:rFonts w:ascii="Times New Roman" w:hAnsi="Times New Roman"/>
          <w:sz w:val="24"/>
          <w:szCs w:val="24"/>
        </w:rPr>
        <w:t>Despite competiveness improvements for Canada against both the U.S</w:t>
      </w:r>
      <w:r w:rsidR="007F15E5">
        <w:rPr>
          <w:rFonts w:ascii="Times New Roman" w:hAnsi="Times New Roman"/>
          <w:sz w:val="24"/>
          <w:szCs w:val="24"/>
        </w:rPr>
        <w:t>.</w:t>
      </w:r>
      <w:r>
        <w:rPr>
          <w:rFonts w:ascii="Times New Roman" w:hAnsi="Times New Roman"/>
          <w:sz w:val="24"/>
          <w:szCs w:val="24"/>
        </w:rPr>
        <w:t xml:space="preserve"> and China in period 1, the Canadian ele industry suffers a negative IPE (-0.88).  </w:t>
      </w:r>
      <w:r w:rsidR="007F15E5">
        <w:rPr>
          <w:rFonts w:ascii="Times New Roman" w:hAnsi="Times New Roman"/>
          <w:sz w:val="24"/>
          <w:szCs w:val="24"/>
        </w:rPr>
        <w:t>This is explained by the twist in favour of U.S. products, but also by a twist in favour of Chinese products (37.56 per cent, see Table 4.7).  In period 2, loss of competitiveness against both the U.S. and China generates a negative IPE for Canada’s ele industry.  In period 3, the improvement in Canadi</w:t>
      </w:r>
      <w:r w:rsidR="00665AAF">
        <w:rPr>
          <w:rFonts w:ascii="Times New Roman" w:hAnsi="Times New Roman"/>
          <w:sz w:val="24"/>
          <w:szCs w:val="24"/>
        </w:rPr>
        <w:t>a</w:t>
      </w:r>
      <w:r w:rsidR="007F15E5">
        <w:rPr>
          <w:rFonts w:ascii="Times New Roman" w:hAnsi="Times New Roman"/>
          <w:sz w:val="24"/>
          <w:szCs w:val="24"/>
        </w:rPr>
        <w:t xml:space="preserve">n </w:t>
      </w:r>
      <w:r w:rsidR="00665AAF">
        <w:rPr>
          <w:rFonts w:ascii="Times New Roman" w:hAnsi="Times New Roman"/>
          <w:sz w:val="24"/>
          <w:szCs w:val="24"/>
        </w:rPr>
        <w:t xml:space="preserve">competiveness </w:t>
      </w:r>
      <w:r w:rsidR="007F15E5">
        <w:rPr>
          <w:rFonts w:ascii="Times New Roman" w:hAnsi="Times New Roman"/>
          <w:sz w:val="24"/>
          <w:szCs w:val="24"/>
        </w:rPr>
        <w:t xml:space="preserve">against China </w:t>
      </w:r>
      <w:r w:rsidR="00665AAF">
        <w:rPr>
          <w:rFonts w:ascii="Times New Roman" w:hAnsi="Times New Roman"/>
          <w:sz w:val="24"/>
          <w:szCs w:val="24"/>
        </w:rPr>
        <w:t xml:space="preserve">produces a positive IPE and in period 4 the deterioration in Canadian competiveness against China produces a negative IPE.  </w:t>
      </w:r>
    </w:p>
    <w:p w:rsidR="006E08FA" w:rsidRDefault="006E08FA" w:rsidP="006E08FA">
      <w:pPr>
        <w:ind w:left="0"/>
        <w:rPr>
          <w:rFonts w:ascii="Times New Roman" w:hAnsi="Times New Roman"/>
          <w:b/>
          <w:i/>
          <w:sz w:val="24"/>
          <w:szCs w:val="24"/>
        </w:rPr>
      </w:pPr>
      <w:r>
        <w:rPr>
          <w:rFonts w:ascii="Times New Roman" w:hAnsi="Times New Roman"/>
          <w:b/>
          <w:i/>
          <w:sz w:val="24"/>
          <w:szCs w:val="24"/>
        </w:rPr>
        <w:t>Water services (wtr, ind 45)</w:t>
      </w:r>
    </w:p>
    <w:p w:rsidR="0090586B" w:rsidRPr="0090586B" w:rsidRDefault="0090586B" w:rsidP="006E08FA">
      <w:pPr>
        <w:ind w:left="0"/>
        <w:rPr>
          <w:rFonts w:ascii="Times New Roman" w:hAnsi="Times New Roman"/>
          <w:sz w:val="24"/>
          <w:szCs w:val="24"/>
        </w:rPr>
      </w:pPr>
      <w:r>
        <w:rPr>
          <w:rFonts w:ascii="Times New Roman" w:hAnsi="Times New Roman"/>
          <w:sz w:val="24"/>
          <w:szCs w:val="24"/>
        </w:rPr>
        <w:t xml:space="preserve">Trade is of only minor importance for this industry.  For such industries, </w:t>
      </w:r>
      <w:r w:rsidR="00773F82">
        <w:rPr>
          <w:rFonts w:ascii="Times New Roman" w:hAnsi="Times New Roman"/>
          <w:sz w:val="24"/>
          <w:szCs w:val="24"/>
        </w:rPr>
        <w:t>o</w:t>
      </w:r>
      <w:r>
        <w:rPr>
          <w:rFonts w:ascii="Times New Roman" w:hAnsi="Times New Roman"/>
          <w:sz w:val="24"/>
          <w:szCs w:val="24"/>
        </w:rPr>
        <w:t xml:space="preserve">utput-GDP growth gaps are </w:t>
      </w:r>
      <w:r w:rsidR="00773F82">
        <w:rPr>
          <w:rFonts w:ascii="Times New Roman" w:hAnsi="Times New Roman"/>
          <w:sz w:val="24"/>
          <w:szCs w:val="24"/>
        </w:rPr>
        <w:t xml:space="preserve">usually </w:t>
      </w:r>
      <w:r>
        <w:rPr>
          <w:rFonts w:ascii="Times New Roman" w:hAnsi="Times New Roman"/>
          <w:sz w:val="24"/>
          <w:szCs w:val="24"/>
        </w:rPr>
        <w:t>small</w:t>
      </w:r>
      <w:r w:rsidR="00773F82">
        <w:rPr>
          <w:rFonts w:ascii="Times New Roman" w:hAnsi="Times New Roman"/>
          <w:sz w:val="24"/>
          <w:szCs w:val="24"/>
        </w:rPr>
        <w:t>, and this industry is no exception</w:t>
      </w:r>
      <w:r w:rsidR="002877CE">
        <w:rPr>
          <w:rFonts w:ascii="Times New Roman" w:hAnsi="Times New Roman"/>
          <w:sz w:val="24"/>
          <w:szCs w:val="24"/>
        </w:rPr>
        <w:t>.</w:t>
      </w:r>
      <w:r>
        <w:rPr>
          <w:rFonts w:ascii="Times New Roman" w:hAnsi="Times New Roman"/>
          <w:sz w:val="24"/>
          <w:szCs w:val="24"/>
        </w:rPr>
        <w:t xml:space="preserve"> </w:t>
      </w:r>
    </w:p>
    <w:p w:rsidR="00907E4D" w:rsidRDefault="00222076" w:rsidP="008C4C64">
      <w:pPr>
        <w:ind w:left="0"/>
        <w:rPr>
          <w:rFonts w:ascii="Times New Roman" w:hAnsi="Times New Roman"/>
          <w:sz w:val="24"/>
          <w:szCs w:val="24"/>
        </w:rPr>
      </w:pPr>
      <w:r>
        <w:rPr>
          <w:rFonts w:ascii="Times New Roman" w:hAnsi="Times New Roman"/>
          <w:sz w:val="24"/>
          <w:szCs w:val="24"/>
        </w:rPr>
        <w:t>Water services are sold mainly to households and government.  The sales to government are via sales to the government services industry (osg, ind 56).  With this sales pattern, the SME for wtr is positive in periods 1, 2 and 4.  In these periods</w:t>
      </w:r>
      <w:r w:rsidR="004C64FE">
        <w:rPr>
          <w:rFonts w:ascii="Times New Roman" w:hAnsi="Times New Roman"/>
          <w:sz w:val="24"/>
          <w:szCs w:val="24"/>
        </w:rPr>
        <w:t>,</w:t>
      </w:r>
      <w:r>
        <w:rPr>
          <w:rFonts w:ascii="Times New Roman" w:hAnsi="Times New Roman"/>
          <w:sz w:val="24"/>
          <w:szCs w:val="24"/>
        </w:rPr>
        <w:t xml:space="preserve"> private and public consumption g</w:t>
      </w:r>
      <w:r w:rsidR="004C64FE">
        <w:rPr>
          <w:rFonts w:ascii="Times New Roman" w:hAnsi="Times New Roman"/>
          <w:sz w:val="24"/>
          <w:szCs w:val="24"/>
        </w:rPr>
        <w:t xml:space="preserve">rowth exceeds GDP growth (but only slightly in period 4).  In period 3, private and public consumption growth is less than GDP growth giving a negative SME.  </w:t>
      </w:r>
    </w:p>
    <w:p w:rsidR="00521FA2" w:rsidRDefault="004C64FE" w:rsidP="008C4C64">
      <w:pPr>
        <w:ind w:left="0"/>
        <w:rPr>
          <w:rFonts w:ascii="Times New Roman" w:hAnsi="Times New Roman"/>
          <w:sz w:val="24"/>
          <w:szCs w:val="24"/>
        </w:rPr>
      </w:pPr>
      <w:r>
        <w:rPr>
          <w:rFonts w:ascii="Times New Roman" w:hAnsi="Times New Roman"/>
          <w:sz w:val="24"/>
          <w:szCs w:val="24"/>
        </w:rPr>
        <w:t>Canadian exports of water services are negligible.  However, imports, mainly from the U.S., account for about 12 per cent of wtr sales in Canada.  Given the presence of these imports, the t</w:t>
      </w:r>
      <w:r w:rsidR="00521FA2">
        <w:rPr>
          <w:rFonts w:ascii="Times New Roman" w:hAnsi="Times New Roman"/>
          <w:sz w:val="24"/>
          <w:szCs w:val="24"/>
        </w:rPr>
        <w:t>w</w:t>
      </w:r>
      <w:r>
        <w:rPr>
          <w:rFonts w:ascii="Times New Roman" w:hAnsi="Times New Roman"/>
          <w:sz w:val="24"/>
          <w:szCs w:val="24"/>
        </w:rPr>
        <w:t xml:space="preserve">ist in favour of U.S. products in period 1 produces a negative IPE (-0.08) despite a competitive advantage </w:t>
      </w:r>
      <w:r w:rsidR="00521FA2">
        <w:rPr>
          <w:rFonts w:ascii="Times New Roman" w:hAnsi="Times New Roman"/>
          <w:sz w:val="24"/>
          <w:szCs w:val="24"/>
        </w:rPr>
        <w:t xml:space="preserve">for the Canadian industry </w:t>
      </w:r>
      <w:r>
        <w:rPr>
          <w:rFonts w:ascii="Times New Roman" w:hAnsi="Times New Roman"/>
          <w:sz w:val="24"/>
          <w:szCs w:val="24"/>
        </w:rPr>
        <w:t xml:space="preserve">from U.S. exchange rate appreciation.  </w:t>
      </w:r>
      <w:r w:rsidR="00580978">
        <w:rPr>
          <w:rFonts w:ascii="Times New Roman" w:hAnsi="Times New Roman"/>
          <w:sz w:val="24"/>
          <w:szCs w:val="24"/>
        </w:rPr>
        <w:t xml:space="preserve">In period 2, the Canadian wtr industry loses competitiveness relative to imports from the U.S.  This produces a negative IPE.  In periods 3 and 4, Canadian and U.S. prices for wtr move approximately in line.  </w:t>
      </w:r>
      <w:r w:rsidR="0090586B">
        <w:rPr>
          <w:rFonts w:ascii="Times New Roman" w:hAnsi="Times New Roman"/>
          <w:sz w:val="24"/>
          <w:szCs w:val="24"/>
        </w:rPr>
        <w:t xml:space="preserve">Consequently, the IPEs for wtr in these periods are small.  They are slightly negative (-0.02 and -0.04) because the expenditure elasticity of demand for this product in Canada is a little less than one.  This inhibits growth in demand relative to growth in aggregate consumption.  </w:t>
      </w:r>
    </w:p>
    <w:p w:rsidR="00773F82" w:rsidRDefault="00FD659A" w:rsidP="00773F82">
      <w:pPr>
        <w:ind w:left="0"/>
        <w:rPr>
          <w:rFonts w:ascii="Times New Roman" w:hAnsi="Times New Roman"/>
          <w:b/>
          <w:i/>
          <w:sz w:val="24"/>
          <w:szCs w:val="24"/>
        </w:rPr>
      </w:pPr>
      <w:r>
        <w:rPr>
          <w:rFonts w:ascii="Times New Roman" w:hAnsi="Times New Roman"/>
          <w:b/>
          <w:i/>
          <w:sz w:val="24"/>
          <w:szCs w:val="24"/>
        </w:rPr>
        <w:t>Wholesale and retail trade</w:t>
      </w:r>
      <w:r w:rsidR="00773F82">
        <w:rPr>
          <w:rFonts w:ascii="Times New Roman" w:hAnsi="Times New Roman"/>
          <w:b/>
          <w:i/>
          <w:sz w:val="24"/>
          <w:szCs w:val="24"/>
        </w:rPr>
        <w:t xml:space="preserve"> (</w:t>
      </w:r>
      <w:r>
        <w:rPr>
          <w:rFonts w:ascii="Times New Roman" w:hAnsi="Times New Roman"/>
          <w:b/>
          <w:i/>
          <w:sz w:val="24"/>
          <w:szCs w:val="24"/>
        </w:rPr>
        <w:t>trd</w:t>
      </w:r>
      <w:r w:rsidR="00773F82">
        <w:rPr>
          <w:rFonts w:ascii="Times New Roman" w:hAnsi="Times New Roman"/>
          <w:b/>
          <w:i/>
          <w:sz w:val="24"/>
          <w:szCs w:val="24"/>
        </w:rPr>
        <w:t>, ind 4</w:t>
      </w:r>
      <w:r w:rsidR="00543510">
        <w:rPr>
          <w:rFonts w:ascii="Times New Roman" w:hAnsi="Times New Roman"/>
          <w:b/>
          <w:i/>
          <w:sz w:val="24"/>
          <w:szCs w:val="24"/>
        </w:rPr>
        <w:t>7</w:t>
      </w:r>
      <w:r w:rsidR="00773F82">
        <w:rPr>
          <w:rFonts w:ascii="Times New Roman" w:hAnsi="Times New Roman"/>
          <w:b/>
          <w:i/>
          <w:sz w:val="24"/>
          <w:szCs w:val="24"/>
        </w:rPr>
        <w:t>)</w:t>
      </w:r>
    </w:p>
    <w:p w:rsidR="00955DE9" w:rsidRPr="0046305F" w:rsidRDefault="00FD659A" w:rsidP="00955DE9">
      <w:pPr>
        <w:spacing w:before="0" w:line="240" w:lineRule="auto"/>
        <w:ind w:left="0"/>
        <w:rPr>
          <w:rFonts w:ascii="Times New Roman" w:hAnsi="Times New Roman"/>
          <w:sz w:val="24"/>
          <w:szCs w:val="24"/>
        </w:rPr>
      </w:pPr>
      <w:r>
        <w:rPr>
          <w:rFonts w:ascii="Times New Roman" w:hAnsi="Times New Roman"/>
          <w:sz w:val="24"/>
          <w:szCs w:val="24"/>
        </w:rPr>
        <w:t>Like water services, wholesale and retail trade in the GTAP model is essentially non-traded with sales spread across households and a wide range of industries.  Consequently, the results in Table 7.3 for this industry are similar to those for wtr.  Their main features are: small positive SMEs in periods 1 and 2</w:t>
      </w:r>
      <w:r w:rsidR="00717DFA">
        <w:rPr>
          <w:rFonts w:ascii="Times New Roman" w:hAnsi="Times New Roman"/>
          <w:sz w:val="24"/>
          <w:szCs w:val="24"/>
        </w:rPr>
        <w:t>,</w:t>
      </w:r>
      <w:r>
        <w:rPr>
          <w:rFonts w:ascii="Times New Roman" w:hAnsi="Times New Roman"/>
          <w:sz w:val="24"/>
          <w:szCs w:val="24"/>
        </w:rPr>
        <w:t xml:space="preserve"> and small negative SMEs in periods 3 and 4; IPEs close to zero in all periods; and </w:t>
      </w:r>
      <w:r w:rsidR="00717DFA">
        <w:rPr>
          <w:rFonts w:ascii="Times New Roman" w:hAnsi="Times New Roman"/>
          <w:sz w:val="24"/>
          <w:szCs w:val="24"/>
        </w:rPr>
        <w:t>s</w:t>
      </w:r>
      <w:r>
        <w:rPr>
          <w:rFonts w:ascii="Times New Roman" w:hAnsi="Times New Roman"/>
          <w:sz w:val="24"/>
          <w:szCs w:val="24"/>
        </w:rPr>
        <w:t xml:space="preserve">mall </w:t>
      </w:r>
      <w:r w:rsidR="00717DFA">
        <w:rPr>
          <w:rFonts w:ascii="Times New Roman" w:hAnsi="Times New Roman"/>
          <w:sz w:val="24"/>
          <w:szCs w:val="24"/>
        </w:rPr>
        <w:t xml:space="preserve">positive </w:t>
      </w:r>
      <w:r>
        <w:rPr>
          <w:rFonts w:ascii="Times New Roman" w:hAnsi="Times New Roman"/>
          <w:sz w:val="24"/>
          <w:szCs w:val="24"/>
        </w:rPr>
        <w:t xml:space="preserve">output-GDP growth gaps </w:t>
      </w:r>
      <w:r w:rsidR="00717DFA">
        <w:rPr>
          <w:rFonts w:ascii="Times New Roman" w:hAnsi="Times New Roman"/>
          <w:sz w:val="24"/>
          <w:szCs w:val="24"/>
        </w:rPr>
        <w:t>in periods 1 and 2 followed by small negative gaps in periods 3 and 4</w:t>
      </w:r>
      <w:r>
        <w:rPr>
          <w:rFonts w:ascii="Times New Roman" w:hAnsi="Times New Roman"/>
          <w:sz w:val="24"/>
          <w:szCs w:val="24"/>
        </w:rPr>
        <w:t xml:space="preserve">.   </w:t>
      </w:r>
    </w:p>
    <w:p w:rsidR="008E07F8" w:rsidRPr="00065A3D" w:rsidRDefault="00822BD0" w:rsidP="00314843">
      <w:pPr>
        <w:ind w:left="0"/>
        <w:rPr>
          <w:rFonts w:ascii="Times New Roman" w:hAnsi="Times New Roman"/>
          <w:b/>
          <w:sz w:val="24"/>
          <w:szCs w:val="24"/>
        </w:rPr>
      </w:pPr>
      <w:r>
        <w:rPr>
          <w:rFonts w:ascii="Times New Roman" w:hAnsi="Times New Roman"/>
          <w:b/>
          <w:sz w:val="24"/>
          <w:szCs w:val="24"/>
        </w:rPr>
        <w:t>8</w:t>
      </w:r>
      <w:r w:rsidR="008E07F8">
        <w:rPr>
          <w:rFonts w:ascii="Times New Roman" w:hAnsi="Times New Roman"/>
          <w:b/>
          <w:sz w:val="24"/>
          <w:szCs w:val="24"/>
        </w:rPr>
        <w:t>.  Concluding remarks</w:t>
      </w:r>
      <w:r w:rsidR="00484014">
        <w:rPr>
          <w:rFonts w:ascii="Times New Roman" w:hAnsi="Times New Roman"/>
          <w:b/>
          <w:sz w:val="24"/>
          <w:szCs w:val="24"/>
        </w:rPr>
        <w:t xml:space="preserve">  </w:t>
      </w:r>
    </w:p>
    <w:p w:rsidR="008E07F8" w:rsidRDefault="008E07F8" w:rsidP="008E07F8">
      <w:pPr>
        <w:ind w:left="0"/>
        <w:rPr>
          <w:rFonts w:ascii="Times New Roman" w:hAnsi="Times New Roman"/>
          <w:sz w:val="24"/>
          <w:szCs w:val="24"/>
        </w:rPr>
      </w:pPr>
      <w:r>
        <w:rPr>
          <w:rFonts w:ascii="Times New Roman" w:hAnsi="Times New Roman"/>
          <w:sz w:val="24"/>
          <w:szCs w:val="24"/>
        </w:rPr>
        <w:t xml:space="preserve">This is our third paper for the USITC and the WTO prepared under a contract concerned with baseline projections (Req 6400-00EC-22-0008, modification no. 34300021P0044 and VU/WTO agreement, September 2021).  </w:t>
      </w:r>
      <w:r w:rsidR="00B82FEB">
        <w:rPr>
          <w:rFonts w:ascii="Times New Roman" w:hAnsi="Times New Roman"/>
          <w:sz w:val="24"/>
          <w:szCs w:val="24"/>
        </w:rPr>
        <w:t xml:space="preserve">Since February 2023, Global Affaires Canada has also supported the project.   </w:t>
      </w:r>
    </w:p>
    <w:p w:rsidR="008E07F8" w:rsidRDefault="008E07F8" w:rsidP="008E07F8">
      <w:pPr>
        <w:ind w:left="0"/>
        <w:rPr>
          <w:rFonts w:ascii="Times New Roman" w:hAnsi="Times New Roman"/>
          <w:sz w:val="24"/>
          <w:szCs w:val="24"/>
        </w:rPr>
      </w:pPr>
      <w:r>
        <w:rPr>
          <w:rFonts w:ascii="Times New Roman" w:hAnsi="Times New Roman"/>
          <w:sz w:val="24"/>
          <w:szCs w:val="24"/>
        </w:rPr>
        <w:lastRenderedPageBreak/>
        <w:t xml:space="preserve">The first paper, Dixon and Rimmer (2023a), described an historical simulation for 2004 to 2014, both </w:t>
      </w:r>
      <w:r w:rsidR="00282500">
        <w:rPr>
          <w:rFonts w:ascii="Times New Roman" w:hAnsi="Times New Roman"/>
          <w:sz w:val="24"/>
          <w:szCs w:val="24"/>
        </w:rPr>
        <w:t xml:space="preserve">of which are </w:t>
      </w:r>
      <w:r>
        <w:rPr>
          <w:rFonts w:ascii="Times New Roman" w:hAnsi="Times New Roman"/>
          <w:sz w:val="24"/>
          <w:szCs w:val="24"/>
        </w:rPr>
        <w:t xml:space="preserve">GTAP database years.  The main purpose of the simulation was to deduce changes in industry technologies and </w:t>
      </w:r>
      <w:r w:rsidR="007B4D55">
        <w:rPr>
          <w:rFonts w:ascii="Times New Roman" w:hAnsi="Times New Roman"/>
          <w:sz w:val="24"/>
          <w:szCs w:val="24"/>
        </w:rPr>
        <w:t xml:space="preserve">in </w:t>
      </w:r>
      <w:r>
        <w:rPr>
          <w:rFonts w:ascii="Times New Roman" w:hAnsi="Times New Roman"/>
          <w:sz w:val="24"/>
          <w:szCs w:val="24"/>
        </w:rPr>
        <w:t xml:space="preserve">preferences by agents between commodities and between countries of origin from which they source their imports.  </w:t>
      </w:r>
    </w:p>
    <w:p w:rsidR="008E07F8" w:rsidRDefault="008E07F8" w:rsidP="008E07F8">
      <w:pPr>
        <w:ind w:left="0"/>
        <w:rPr>
          <w:rFonts w:ascii="Times New Roman" w:hAnsi="Times New Roman"/>
          <w:sz w:val="24"/>
          <w:szCs w:val="24"/>
        </w:rPr>
      </w:pPr>
      <w:r>
        <w:rPr>
          <w:rFonts w:ascii="Times New Roman" w:hAnsi="Times New Roman"/>
          <w:sz w:val="24"/>
          <w:szCs w:val="24"/>
        </w:rPr>
        <w:t xml:space="preserve">The second paper (Dixon and Rimmer, 2023b) described a validation exercise.  We </w:t>
      </w:r>
      <w:r w:rsidR="00282500">
        <w:rPr>
          <w:rFonts w:ascii="Times New Roman" w:hAnsi="Times New Roman"/>
          <w:sz w:val="24"/>
          <w:szCs w:val="24"/>
        </w:rPr>
        <w:t xml:space="preserve">simulated from </w:t>
      </w:r>
      <w:r>
        <w:rPr>
          <w:rFonts w:ascii="Times New Roman" w:hAnsi="Times New Roman"/>
          <w:sz w:val="24"/>
          <w:szCs w:val="24"/>
        </w:rPr>
        <w:t xml:space="preserve">2014 to 2017 building in technology and preference trends from the 2004-14 </w:t>
      </w:r>
      <w:r w:rsidR="00282500">
        <w:rPr>
          <w:rFonts w:ascii="Times New Roman" w:hAnsi="Times New Roman"/>
          <w:sz w:val="24"/>
          <w:szCs w:val="24"/>
        </w:rPr>
        <w:t xml:space="preserve">historical </w:t>
      </w:r>
      <w:r>
        <w:rPr>
          <w:rFonts w:ascii="Times New Roman" w:hAnsi="Times New Roman"/>
          <w:sz w:val="24"/>
          <w:szCs w:val="24"/>
        </w:rPr>
        <w:t xml:space="preserve">simulation.  Then we assessed the performance of the 2014-17 simulation by comparing the results with </w:t>
      </w:r>
      <w:r w:rsidR="00282500">
        <w:rPr>
          <w:rFonts w:ascii="Times New Roman" w:hAnsi="Times New Roman"/>
          <w:sz w:val="24"/>
          <w:szCs w:val="24"/>
        </w:rPr>
        <w:t xml:space="preserve">the </w:t>
      </w:r>
      <w:r>
        <w:rPr>
          <w:rFonts w:ascii="Times New Roman" w:hAnsi="Times New Roman"/>
          <w:sz w:val="24"/>
          <w:szCs w:val="24"/>
        </w:rPr>
        <w:t>GTAP data</w:t>
      </w:r>
      <w:r w:rsidR="00282500">
        <w:rPr>
          <w:rFonts w:ascii="Times New Roman" w:hAnsi="Times New Roman"/>
          <w:sz w:val="24"/>
          <w:szCs w:val="24"/>
        </w:rPr>
        <w:t>base</w:t>
      </w:r>
      <w:r>
        <w:rPr>
          <w:rFonts w:ascii="Times New Roman" w:hAnsi="Times New Roman"/>
          <w:sz w:val="24"/>
          <w:szCs w:val="24"/>
        </w:rPr>
        <w:t xml:space="preserve"> for 2017.  The assessed performance was unsatisfactory.  The 2014-17 simulation produced a picture of 2017 </w:t>
      </w:r>
      <w:r w:rsidR="000A10D0">
        <w:rPr>
          <w:rFonts w:ascii="Times New Roman" w:hAnsi="Times New Roman"/>
          <w:sz w:val="24"/>
          <w:szCs w:val="24"/>
        </w:rPr>
        <w:t xml:space="preserve">that </w:t>
      </w:r>
      <w:r>
        <w:rPr>
          <w:rFonts w:ascii="Times New Roman" w:hAnsi="Times New Roman"/>
          <w:sz w:val="24"/>
          <w:szCs w:val="24"/>
        </w:rPr>
        <w:t xml:space="preserve">was no closer to the 2017 GTAP database than could have been produced by assuming no technology or preference changes.  However, the 2017 GTAP database has subsequently been revised and various problems rectified.  We think it would be worthwhile to repeat the validation exercise.  </w:t>
      </w:r>
    </w:p>
    <w:p w:rsidR="00081DA1" w:rsidRDefault="008E07F8" w:rsidP="008E07F8">
      <w:pPr>
        <w:ind w:left="0"/>
        <w:rPr>
          <w:rFonts w:ascii="Times New Roman" w:hAnsi="Times New Roman"/>
          <w:sz w:val="24"/>
          <w:szCs w:val="24"/>
        </w:rPr>
      </w:pPr>
      <w:r>
        <w:rPr>
          <w:rFonts w:ascii="Times New Roman" w:hAnsi="Times New Roman"/>
          <w:sz w:val="24"/>
          <w:szCs w:val="24"/>
        </w:rPr>
        <w:t xml:space="preserve">For this paper, our initial intention to build into the 2014-2050 baseline comprehensive technology and preference trends from the two earlier papers.  However, in view of the unsatisfactory results in the validation exercise, we went only a small way down that path: we built in </w:t>
      </w:r>
      <w:r w:rsidR="00282500">
        <w:rPr>
          <w:rFonts w:ascii="Times New Roman" w:hAnsi="Times New Roman"/>
          <w:sz w:val="24"/>
          <w:szCs w:val="24"/>
        </w:rPr>
        <w:t xml:space="preserve">trends in </w:t>
      </w:r>
      <w:r>
        <w:rPr>
          <w:rFonts w:ascii="Times New Roman" w:hAnsi="Times New Roman"/>
          <w:sz w:val="24"/>
          <w:szCs w:val="24"/>
        </w:rPr>
        <w:t xml:space="preserve">technology biases favouring the use of capital relative to labour.  </w:t>
      </w:r>
    </w:p>
    <w:p w:rsidR="00081DA1" w:rsidRDefault="00081DA1" w:rsidP="008E07F8">
      <w:pPr>
        <w:ind w:left="0"/>
        <w:rPr>
          <w:rFonts w:ascii="Times New Roman" w:hAnsi="Times New Roman"/>
          <w:sz w:val="24"/>
          <w:szCs w:val="24"/>
        </w:rPr>
      </w:pPr>
      <w:r>
        <w:rPr>
          <w:rFonts w:ascii="Times New Roman" w:hAnsi="Times New Roman"/>
          <w:sz w:val="24"/>
          <w:szCs w:val="24"/>
        </w:rPr>
        <w:t xml:space="preserve">While the research in this paper has not taken us as far as we would have liked, there are positives.  </w:t>
      </w:r>
    </w:p>
    <w:p w:rsidR="008E07F8" w:rsidRDefault="00081DA1" w:rsidP="008E07F8">
      <w:pPr>
        <w:ind w:left="0"/>
        <w:rPr>
          <w:rFonts w:ascii="Times New Roman" w:hAnsi="Times New Roman"/>
          <w:sz w:val="24"/>
          <w:szCs w:val="24"/>
        </w:rPr>
      </w:pPr>
      <w:r>
        <w:rPr>
          <w:rFonts w:ascii="Times New Roman" w:hAnsi="Times New Roman"/>
          <w:sz w:val="24"/>
          <w:szCs w:val="24"/>
        </w:rPr>
        <w:t xml:space="preserve">First, we have developed </w:t>
      </w:r>
      <w:r w:rsidR="0036723B">
        <w:rPr>
          <w:rFonts w:ascii="Times New Roman" w:hAnsi="Times New Roman"/>
          <w:sz w:val="24"/>
          <w:szCs w:val="24"/>
        </w:rPr>
        <w:t xml:space="preserve">and applied </w:t>
      </w:r>
      <w:r>
        <w:rPr>
          <w:rFonts w:ascii="Times New Roman" w:hAnsi="Times New Roman"/>
          <w:sz w:val="24"/>
          <w:szCs w:val="24"/>
        </w:rPr>
        <w:t xml:space="preserve">a method to generate linked long-run simulations.  The links include accumulation relationships for capital and foreign assets and liabilities.  </w:t>
      </w:r>
      <w:r w:rsidR="0036723B">
        <w:rPr>
          <w:rFonts w:ascii="Times New Roman" w:hAnsi="Times New Roman"/>
          <w:sz w:val="24"/>
          <w:szCs w:val="24"/>
        </w:rPr>
        <w:t xml:space="preserve">Under our method, we link disjoint years: 2014 to 2019, 2019 to 2030, etc.  The computational burden is kept manageable by avoiding explicit modelling of intermediate years through smooth-growth assumptions applied to saving.  We were able to work at the full GTAP industry dimension.  Although, we aggregated to 13 regions, it would not be computationally prohibitive to work at a much higher level of regional disaggregation.  </w:t>
      </w:r>
    </w:p>
    <w:p w:rsidR="00B30BDC" w:rsidRDefault="00B30BDC" w:rsidP="008E07F8">
      <w:pPr>
        <w:ind w:left="0"/>
        <w:rPr>
          <w:rFonts w:ascii="Times New Roman" w:hAnsi="Times New Roman"/>
          <w:sz w:val="24"/>
          <w:szCs w:val="24"/>
        </w:rPr>
      </w:pPr>
      <w:r>
        <w:rPr>
          <w:rFonts w:ascii="Times New Roman" w:hAnsi="Times New Roman"/>
          <w:sz w:val="24"/>
          <w:szCs w:val="24"/>
        </w:rPr>
        <w:t xml:space="preserve">Second, we have introduced to the GTAP baseline simulations macro, demographic and energy forecasts for each region made by international organizations such as OECD, IMF, IEA, IIASA and Penn World Tables.  This required new variables and equations and the creation of closures in which the extraneous forecasts could be introduced as exogenous shocks.  The development of the closures was undertaken in step-by-step processes set out in tables and documented in this paper.  </w:t>
      </w:r>
    </w:p>
    <w:p w:rsidR="00B30BDC" w:rsidRDefault="00B30BDC" w:rsidP="008E07F8">
      <w:pPr>
        <w:ind w:left="0"/>
        <w:rPr>
          <w:rFonts w:ascii="Times New Roman" w:hAnsi="Times New Roman"/>
          <w:sz w:val="24"/>
          <w:szCs w:val="24"/>
        </w:rPr>
      </w:pPr>
      <w:r>
        <w:rPr>
          <w:rFonts w:ascii="Times New Roman" w:hAnsi="Times New Roman"/>
          <w:sz w:val="24"/>
          <w:szCs w:val="24"/>
        </w:rPr>
        <w:t>Third, we have implemented a simple iterative method for undertaking linked simulations in which investors have forward-looking expectations.  In our 2019 to 2030 simulation</w:t>
      </w:r>
      <w:r w:rsidR="0015205D">
        <w:rPr>
          <w:rFonts w:ascii="Times New Roman" w:hAnsi="Times New Roman"/>
          <w:sz w:val="24"/>
          <w:szCs w:val="24"/>
        </w:rPr>
        <w:t>,</w:t>
      </w:r>
      <w:r>
        <w:rPr>
          <w:rFonts w:ascii="Times New Roman" w:hAnsi="Times New Roman"/>
          <w:sz w:val="24"/>
          <w:szCs w:val="24"/>
        </w:rPr>
        <w:t xml:space="preserve"> investment in region r depends on the region’s capital growth for 2030 to 2040.  In the 2030 to 2040 simulation</w:t>
      </w:r>
      <w:r w:rsidR="0015205D">
        <w:rPr>
          <w:rFonts w:ascii="Times New Roman" w:hAnsi="Times New Roman"/>
          <w:sz w:val="24"/>
          <w:szCs w:val="24"/>
        </w:rPr>
        <w:t>,</w:t>
      </w:r>
      <w:r>
        <w:rPr>
          <w:rFonts w:ascii="Times New Roman" w:hAnsi="Times New Roman"/>
          <w:sz w:val="24"/>
          <w:szCs w:val="24"/>
        </w:rPr>
        <w:t xml:space="preserve"> investment in region r depends on the region’s capital growth for 2040 to 2050.  Forward-looking expectations are important in our simulations.  For example, investors in China in 2030 will know that demographic factors will reduce growth over the following decade relative to that over the previous decade.  Consequently, an investment forecast </w:t>
      </w:r>
      <w:r>
        <w:rPr>
          <w:rFonts w:ascii="Times New Roman" w:hAnsi="Times New Roman"/>
          <w:i/>
          <w:sz w:val="24"/>
          <w:szCs w:val="24"/>
        </w:rPr>
        <w:t>for</w:t>
      </w:r>
      <w:r>
        <w:rPr>
          <w:rFonts w:ascii="Times New Roman" w:hAnsi="Times New Roman"/>
          <w:sz w:val="24"/>
          <w:szCs w:val="24"/>
        </w:rPr>
        <w:t xml:space="preserve"> 2030 based on capital growth between 2019 and 2030 is likely to be an overestimate, with </w:t>
      </w:r>
      <w:r w:rsidR="00480831">
        <w:rPr>
          <w:rFonts w:ascii="Times New Roman" w:hAnsi="Times New Roman"/>
          <w:sz w:val="24"/>
          <w:szCs w:val="24"/>
        </w:rPr>
        <w:t xml:space="preserve">unrealistic </w:t>
      </w:r>
      <w:r>
        <w:rPr>
          <w:rFonts w:ascii="Times New Roman" w:hAnsi="Times New Roman"/>
          <w:sz w:val="24"/>
          <w:szCs w:val="24"/>
        </w:rPr>
        <w:t xml:space="preserve">implications </w:t>
      </w:r>
      <w:r w:rsidR="00480831">
        <w:rPr>
          <w:rFonts w:ascii="Times New Roman" w:hAnsi="Times New Roman"/>
          <w:sz w:val="24"/>
          <w:szCs w:val="24"/>
        </w:rPr>
        <w:t xml:space="preserve">for </w:t>
      </w:r>
      <w:r w:rsidR="00CF61C0">
        <w:rPr>
          <w:rFonts w:ascii="Times New Roman" w:hAnsi="Times New Roman"/>
          <w:sz w:val="24"/>
          <w:szCs w:val="24"/>
        </w:rPr>
        <w:t xml:space="preserve">other variables such as the trade balance.  </w:t>
      </w:r>
    </w:p>
    <w:p w:rsidR="00CF61C0" w:rsidRDefault="007F7ED4" w:rsidP="008E07F8">
      <w:pPr>
        <w:ind w:left="0"/>
        <w:rPr>
          <w:rFonts w:ascii="Times New Roman" w:hAnsi="Times New Roman"/>
          <w:sz w:val="24"/>
          <w:szCs w:val="24"/>
        </w:rPr>
      </w:pPr>
      <w:r>
        <w:rPr>
          <w:rFonts w:ascii="Times New Roman" w:hAnsi="Times New Roman"/>
          <w:sz w:val="24"/>
          <w:szCs w:val="24"/>
        </w:rPr>
        <w:t>Fourth</w:t>
      </w:r>
      <w:r w:rsidR="00CF61C0">
        <w:rPr>
          <w:rFonts w:ascii="Times New Roman" w:hAnsi="Times New Roman"/>
          <w:sz w:val="24"/>
          <w:szCs w:val="24"/>
        </w:rPr>
        <w:t>, the simulations show some interesting results.  These include:</w:t>
      </w:r>
    </w:p>
    <w:p w:rsidR="00E36BF2" w:rsidRDefault="00E36BF2" w:rsidP="00E36BF2">
      <w:pPr>
        <w:pStyle w:val="ListParagraph"/>
        <w:numPr>
          <w:ilvl w:val="0"/>
          <w:numId w:val="8"/>
        </w:numPr>
        <w:spacing w:before="0"/>
        <w:ind w:left="1003" w:hanging="357"/>
        <w:rPr>
          <w:rFonts w:ascii="Times New Roman" w:hAnsi="Times New Roman"/>
          <w:sz w:val="24"/>
          <w:szCs w:val="24"/>
        </w:rPr>
      </w:pPr>
      <w:r w:rsidRPr="00E36BF2">
        <w:rPr>
          <w:rFonts w:ascii="Times New Roman" w:hAnsi="Times New Roman"/>
          <w:sz w:val="24"/>
          <w:szCs w:val="24"/>
        </w:rPr>
        <w:t>A</w:t>
      </w:r>
      <w:r w:rsidR="00CF61C0" w:rsidRPr="00E36BF2">
        <w:rPr>
          <w:rFonts w:ascii="Times New Roman" w:hAnsi="Times New Roman"/>
          <w:sz w:val="24"/>
          <w:szCs w:val="24"/>
        </w:rPr>
        <w:t xml:space="preserve"> slowdown in the Chinese economy with weak investment growth </w:t>
      </w:r>
      <w:r w:rsidR="00C57238">
        <w:rPr>
          <w:rFonts w:ascii="Times New Roman" w:hAnsi="Times New Roman"/>
          <w:sz w:val="24"/>
          <w:szCs w:val="24"/>
        </w:rPr>
        <w:t>to 2030</w:t>
      </w:r>
      <w:r w:rsidR="00CF61C0" w:rsidRPr="00E36BF2">
        <w:rPr>
          <w:rFonts w:ascii="Times New Roman" w:hAnsi="Times New Roman"/>
          <w:sz w:val="24"/>
          <w:szCs w:val="24"/>
        </w:rPr>
        <w:t xml:space="preserve"> and a turnaround in </w:t>
      </w:r>
      <w:r>
        <w:rPr>
          <w:rFonts w:ascii="Times New Roman" w:hAnsi="Times New Roman"/>
          <w:sz w:val="24"/>
          <w:szCs w:val="24"/>
        </w:rPr>
        <w:t>its</w:t>
      </w:r>
      <w:r w:rsidR="00CF61C0" w:rsidRPr="00E36BF2">
        <w:rPr>
          <w:rFonts w:ascii="Times New Roman" w:hAnsi="Times New Roman"/>
          <w:sz w:val="24"/>
          <w:szCs w:val="24"/>
        </w:rPr>
        <w:t xml:space="preserve"> trade accounts after 2030 with import growth exceeding export growth (Table 6.2)</w:t>
      </w:r>
      <w:r w:rsidR="00C57238">
        <w:rPr>
          <w:rFonts w:ascii="Times New Roman" w:hAnsi="Times New Roman"/>
          <w:sz w:val="24"/>
          <w:szCs w:val="24"/>
        </w:rPr>
        <w:t>;</w:t>
      </w:r>
      <w:r w:rsidR="00CF61C0" w:rsidRPr="00E36BF2">
        <w:rPr>
          <w:rFonts w:ascii="Times New Roman" w:hAnsi="Times New Roman"/>
          <w:sz w:val="24"/>
          <w:szCs w:val="24"/>
        </w:rPr>
        <w:t xml:space="preserve">  </w:t>
      </w:r>
    </w:p>
    <w:p w:rsidR="00CF61C0" w:rsidRDefault="00E36BF2" w:rsidP="00E36BF2">
      <w:pPr>
        <w:pStyle w:val="ListParagraph"/>
        <w:numPr>
          <w:ilvl w:val="0"/>
          <w:numId w:val="8"/>
        </w:numPr>
        <w:rPr>
          <w:rFonts w:ascii="Times New Roman" w:hAnsi="Times New Roman"/>
          <w:sz w:val="24"/>
          <w:szCs w:val="24"/>
        </w:rPr>
      </w:pPr>
      <w:r>
        <w:rPr>
          <w:rFonts w:ascii="Times New Roman" w:hAnsi="Times New Roman"/>
          <w:sz w:val="24"/>
          <w:szCs w:val="24"/>
        </w:rPr>
        <w:lastRenderedPageBreak/>
        <w:t>E</w:t>
      </w:r>
      <w:r w:rsidR="00CF61C0" w:rsidRPr="00E36BF2">
        <w:rPr>
          <w:rFonts w:ascii="Times New Roman" w:hAnsi="Times New Roman"/>
          <w:sz w:val="24"/>
          <w:szCs w:val="24"/>
        </w:rPr>
        <w:t>xtremely strong growth in trade for India with annual export growth sustained out to 2050 at between 6 and 8 per cent and import growth between 4 and 5 per cent (Tabl</w:t>
      </w:r>
      <w:r>
        <w:rPr>
          <w:rFonts w:ascii="Times New Roman" w:hAnsi="Times New Roman"/>
          <w:sz w:val="24"/>
          <w:szCs w:val="24"/>
        </w:rPr>
        <w:t>e</w:t>
      </w:r>
      <w:r w:rsidR="00CF61C0" w:rsidRPr="00E36BF2">
        <w:rPr>
          <w:rFonts w:ascii="Times New Roman" w:hAnsi="Times New Roman"/>
          <w:sz w:val="24"/>
          <w:szCs w:val="24"/>
        </w:rPr>
        <w:t xml:space="preserve"> 6.2)</w:t>
      </w:r>
      <w:r w:rsidR="007B4D55">
        <w:rPr>
          <w:rFonts w:ascii="Times New Roman" w:hAnsi="Times New Roman"/>
          <w:sz w:val="24"/>
          <w:szCs w:val="24"/>
        </w:rPr>
        <w:t>;</w:t>
      </w:r>
      <w:r w:rsidR="00CF61C0" w:rsidRPr="00E36BF2">
        <w:rPr>
          <w:rFonts w:ascii="Times New Roman" w:hAnsi="Times New Roman"/>
          <w:sz w:val="24"/>
          <w:szCs w:val="24"/>
        </w:rPr>
        <w:t xml:space="preserve">   </w:t>
      </w:r>
    </w:p>
    <w:p w:rsidR="00E36BF2" w:rsidRDefault="00E36BF2" w:rsidP="00E36BF2">
      <w:pPr>
        <w:pStyle w:val="ListParagraph"/>
        <w:numPr>
          <w:ilvl w:val="0"/>
          <w:numId w:val="8"/>
        </w:numPr>
        <w:rPr>
          <w:rFonts w:ascii="Times New Roman" w:hAnsi="Times New Roman"/>
          <w:sz w:val="24"/>
          <w:szCs w:val="24"/>
        </w:rPr>
      </w:pPr>
      <w:r>
        <w:rPr>
          <w:rFonts w:ascii="Times New Roman" w:hAnsi="Times New Roman"/>
          <w:sz w:val="24"/>
          <w:szCs w:val="24"/>
        </w:rPr>
        <w:t xml:space="preserve">Strong wage growth in most regions out to 2050 and reductions in rates of return on capital reflecting continuing high rates of global saving supporting fast growth in capital relative to labour </w:t>
      </w:r>
      <w:r w:rsidR="005B00B9">
        <w:rPr>
          <w:rFonts w:ascii="Times New Roman" w:hAnsi="Times New Roman"/>
          <w:sz w:val="24"/>
          <w:szCs w:val="24"/>
        </w:rPr>
        <w:t>(</w:t>
      </w:r>
      <w:r>
        <w:rPr>
          <w:rFonts w:ascii="Times New Roman" w:hAnsi="Times New Roman"/>
          <w:sz w:val="24"/>
          <w:szCs w:val="24"/>
        </w:rPr>
        <w:t>Table 6.1)</w:t>
      </w:r>
      <w:r w:rsidR="00C57238">
        <w:rPr>
          <w:rFonts w:ascii="Times New Roman" w:hAnsi="Times New Roman"/>
          <w:sz w:val="24"/>
          <w:szCs w:val="24"/>
        </w:rPr>
        <w:t>;</w:t>
      </w:r>
    </w:p>
    <w:p w:rsidR="00E36BF2" w:rsidRDefault="00E36BF2" w:rsidP="00E36BF2">
      <w:pPr>
        <w:pStyle w:val="ListParagraph"/>
        <w:numPr>
          <w:ilvl w:val="0"/>
          <w:numId w:val="8"/>
        </w:numPr>
        <w:rPr>
          <w:rFonts w:ascii="Times New Roman" w:hAnsi="Times New Roman"/>
          <w:sz w:val="24"/>
          <w:szCs w:val="24"/>
        </w:rPr>
      </w:pPr>
      <w:r>
        <w:rPr>
          <w:rFonts w:ascii="Times New Roman" w:hAnsi="Times New Roman"/>
          <w:sz w:val="24"/>
          <w:szCs w:val="24"/>
        </w:rPr>
        <w:t>Sluggish growth and a poor wage outcome for Saudi Arabia reflecting declining markets for oil and gas (Table 6.1);</w:t>
      </w:r>
    </w:p>
    <w:p w:rsidR="00E36BF2" w:rsidRDefault="00E36BF2" w:rsidP="00E36BF2">
      <w:pPr>
        <w:pStyle w:val="ListParagraph"/>
        <w:numPr>
          <w:ilvl w:val="0"/>
          <w:numId w:val="8"/>
        </w:numPr>
        <w:rPr>
          <w:rFonts w:ascii="Times New Roman" w:hAnsi="Times New Roman"/>
          <w:sz w:val="24"/>
          <w:szCs w:val="24"/>
        </w:rPr>
      </w:pPr>
      <w:r>
        <w:rPr>
          <w:rFonts w:ascii="Times New Roman" w:hAnsi="Times New Roman"/>
          <w:sz w:val="24"/>
          <w:szCs w:val="24"/>
        </w:rPr>
        <w:t>Weak GDP growth for Japan reflecting declining employment but</w:t>
      </w:r>
      <w:r w:rsidR="005B00B9">
        <w:rPr>
          <w:rFonts w:ascii="Times New Roman" w:hAnsi="Times New Roman"/>
          <w:sz w:val="24"/>
          <w:szCs w:val="24"/>
        </w:rPr>
        <w:t>,</w:t>
      </w:r>
      <w:r>
        <w:rPr>
          <w:rFonts w:ascii="Times New Roman" w:hAnsi="Times New Roman"/>
          <w:sz w:val="24"/>
          <w:szCs w:val="24"/>
        </w:rPr>
        <w:t xml:space="preserve"> </w:t>
      </w:r>
      <w:r w:rsidR="005B00B9">
        <w:rPr>
          <w:rFonts w:ascii="Times New Roman" w:hAnsi="Times New Roman"/>
          <w:sz w:val="24"/>
          <w:szCs w:val="24"/>
        </w:rPr>
        <w:t xml:space="preserve">nevertheless, </w:t>
      </w:r>
      <w:r w:rsidR="00C57238">
        <w:rPr>
          <w:rFonts w:ascii="Times New Roman" w:hAnsi="Times New Roman"/>
          <w:sz w:val="24"/>
          <w:szCs w:val="24"/>
        </w:rPr>
        <w:t xml:space="preserve">a </w:t>
      </w:r>
      <w:r>
        <w:rPr>
          <w:rFonts w:ascii="Times New Roman" w:hAnsi="Times New Roman"/>
          <w:sz w:val="24"/>
          <w:szCs w:val="24"/>
        </w:rPr>
        <w:t>moderate improvement in wages (Table 6.1);</w:t>
      </w:r>
    </w:p>
    <w:p w:rsidR="00E36BF2" w:rsidRDefault="00E36BF2" w:rsidP="00E36BF2">
      <w:pPr>
        <w:pStyle w:val="ListParagraph"/>
        <w:numPr>
          <w:ilvl w:val="0"/>
          <w:numId w:val="8"/>
        </w:numPr>
        <w:rPr>
          <w:rFonts w:ascii="Times New Roman" w:hAnsi="Times New Roman"/>
          <w:sz w:val="24"/>
          <w:szCs w:val="24"/>
        </w:rPr>
      </w:pPr>
      <w:r>
        <w:rPr>
          <w:rFonts w:ascii="Times New Roman" w:hAnsi="Times New Roman"/>
          <w:sz w:val="24"/>
          <w:szCs w:val="24"/>
        </w:rPr>
        <w:t xml:space="preserve">Rapid reductions in coal per unit of output in using industries in most regions but </w:t>
      </w:r>
      <w:r w:rsidR="005B00B9">
        <w:rPr>
          <w:rFonts w:ascii="Times New Roman" w:hAnsi="Times New Roman"/>
          <w:sz w:val="24"/>
          <w:szCs w:val="24"/>
        </w:rPr>
        <w:t xml:space="preserve">relatively slow decline in global use of </w:t>
      </w:r>
      <w:r>
        <w:rPr>
          <w:rFonts w:ascii="Times New Roman" w:hAnsi="Times New Roman"/>
          <w:sz w:val="24"/>
          <w:szCs w:val="24"/>
        </w:rPr>
        <w:t>coal because of strong growth in GDP and electricity production in major using economies such as India (Tables 6.4 and 6.5)</w:t>
      </w:r>
      <w:r w:rsidR="00C57238">
        <w:rPr>
          <w:rFonts w:ascii="Times New Roman" w:hAnsi="Times New Roman"/>
          <w:sz w:val="24"/>
          <w:szCs w:val="24"/>
        </w:rPr>
        <w:t>;</w:t>
      </w:r>
      <w:r>
        <w:rPr>
          <w:rFonts w:ascii="Times New Roman" w:hAnsi="Times New Roman"/>
          <w:sz w:val="24"/>
          <w:szCs w:val="24"/>
        </w:rPr>
        <w:t xml:space="preserve"> </w:t>
      </w:r>
    </w:p>
    <w:p w:rsidR="00E36BF2" w:rsidRDefault="00E36BF2" w:rsidP="00E36BF2">
      <w:pPr>
        <w:pStyle w:val="ListParagraph"/>
        <w:numPr>
          <w:ilvl w:val="0"/>
          <w:numId w:val="8"/>
        </w:numPr>
        <w:rPr>
          <w:rFonts w:ascii="Times New Roman" w:hAnsi="Times New Roman"/>
          <w:sz w:val="24"/>
          <w:szCs w:val="24"/>
        </w:rPr>
      </w:pPr>
      <w:r>
        <w:rPr>
          <w:rFonts w:ascii="Times New Roman" w:hAnsi="Times New Roman"/>
          <w:sz w:val="24"/>
          <w:szCs w:val="24"/>
        </w:rPr>
        <w:t xml:space="preserve">Reductions in use of oil and gas per unit of output in using industries in most regions but almost no decline in global use (Tables 6.4 and 6.5).  </w:t>
      </w:r>
    </w:p>
    <w:p w:rsidR="007F7ED4" w:rsidRDefault="007F7ED4" w:rsidP="007F7ED4">
      <w:pPr>
        <w:ind w:left="0"/>
        <w:rPr>
          <w:rFonts w:ascii="Times New Roman" w:hAnsi="Times New Roman"/>
          <w:sz w:val="24"/>
          <w:szCs w:val="24"/>
        </w:rPr>
      </w:pPr>
      <w:r>
        <w:rPr>
          <w:rFonts w:ascii="Times New Roman" w:hAnsi="Times New Roman"/>
          <w:sz w:val="24"/>
          <w:szCs w:val="24"/>
        </w:rPr>
        <w:t>Fifth</w:t>
      </w:r>
      <w:r w:rsidRPr="007F7ED4">
        <w:rPr>
          <w:rFonts w:ascii="Times New Roman" w:hAnsi="Times New Roman"/>
          <w:sz w:val="24"/>
          <w:szCs w:val="24"/>
        </w:rPr>
        <w:t xml:space="preserve">, we found back-of-the-envelope (BoTE) explanations for the major </w:t>
      </w:r>
      <w:r w:rsidR="00300A60">
        <w:rPr>
          <w:rFonts w:ascii="Times New Roman" w:hAnsi="Times New Roman"/>
          <w:sz w:val="24"/>
          <w:szCs w:val="24"/>
        </w:rPr>
        <w:t xml:space="preserve">macro and industry </w:t>
      </w:r>
      <w:r w:rsidRPr="007F7ED4">
        <w:rPr>
          <w:rFonts w:ascii="Times New Roman" w:hAnsi="Times New Roman"/>
          <w:sz w:val="24"/>
          <w:szCs w:val="24"/>
        </w:rPr>
        <w:t xml:space="preserve">features of our simulation results.  BoTE explanations are important in understanding and communicating results, and in locating modelling and data weaknesses.  </w:t>
      </w:r>
    </w:p>
    <w:p w:rsidR="007F7ED4" w:rsidRDefault="007F7ED4" w:rsidP="007F7ED4">
      <w:pPr>
        <w:pStyle w:val="ListParagraph"/>
        <w:ind w:left="0"/>
        <w:rPr>
          <w:rFonts w:ascii="Times New Roman" w:hAnsi="Times New Roman"/>
          <w:sz w:val="24"/>
          <w:szCs w:val="24"/>
        </w:rPr>
      </w:pPr>
      <w:r>
        <w:rPr>
          <w:rFonts w:ascii="Times New Roman" w:hAnsi="Times New Roman"/>
          <w:sz w:val="24"/>
          <w:szCs w:val="24"/>
        </w:rPr>
        <w:t xml:space="preserve">Finally, the paper points to promising directions for future research.  </w:t>
      </w:r>
    </w:p>
    <w:p w:rsidR="00977A7F" w:rsidRDefault="007F7ED4" w:rsidP="007F7ED4">
      <w:pPr>
        <w:pStyle w:val="ListParagraph"/>
        <w:ind w:left="0"/>
        <w:contextualSpacing w:val="0"/>
        <w:rPr>
          <w:rFonts w:ascii="Times New Roman" w:hAnsi="Times New Roman"/>
          <w:sz w:val="24"/>
          <w:szCs w:val="24"/>
        </w:rPr>
      </w:pPr>
      <w:r>
        <w:rPr>
          <w:rFonts w:ascii="Times New Roman" w:hAnsi="Times New Roman"/>
          <w:sz w:val="24"/>
          <w:szCs w:val="24"/>
        </w:rPr>
        <w:t xml:space="preserve">Most obviously, we would like to complete the original research plan.  This involves taking on board detailed scenarios for </w:t>
      </w:r>
      <w:r w:rsidR="008B69E5">
        <w:rPr>
          <w:rFonts w:ascii="Times New Roman" w:hAnsi="Times New Roman"/>
          <w:sz w:val="24"/>
          <w:szCs w:val="24"/>
        </w:rPr>
        <w:t xml:space="preserve">variables describing </w:t>
      </w:r>
      <w:r>
        <w:rPr>
          <w:rFonts w:ascii="Times New Roman" w:hAnsi="Times New Roman"/>
          <w:sz w:val="24"/>
          <w:szCs w:val="24"/>
        </w:rPr>
        <w:t>industry technologies, consumer preferences and import</w:t>
      </w:r>
      <w:r w:rsidR="008B69E5">
        <w:rPr>
          <w:rFonts w:ascii="Times New Roman" w:hAnsi="Times New Roman"/>
          <w:sz w:val="24"/>
          <w:szCs w:val="24"/>
        </w:rPr>
        <w:t>er choices</w:t>
      </w:r>
      <w:r>
        <w:rPr>
          <w:rFonts w:ascii="Times New Roman" w:hAnsi="Times New Roman"/>
          <w:sz w:val="24"/>
          <w:szCs w:val="24"/>
        </w:rPr>
        <w:t xml:space="preserve"> between alternative supplying regions.  </w:t>
      </w:r>
      <w:r w:rsidR="008B69E5">
        <w:rPr>
          <w:rFonts w:ascii="Times New Roman" w:hAnsi="Times New Roman"/>
          <w:sz w:val="24"/>
          <w:szCs w:val="24"/>
        </w:rPr>
        <w:t xml:space="preserve">As already mentioned, we estimated trends in these variables at a highly detailed level in our 2004 to 2014 historical simulation.  We worked out a methodology for incorporating these trends into a baseline simulation and applied it in </w:t>
      </w:r>
      <w:r w:rsidR="005B00B9">
        <w:rPr>
          <w:rFonts w:ascii="Times New Roman" w:hAnsi="Times New Roman"/>
          <w:sz w:val="24"/>
          <w:szCs w:val="24"/>
        </w:rPr>
        <w:t>our</w:t>
      </w:r>
      <w:r w:rsidR="008B69E5">
        <w:rPr>
          <w:rFonts w:ascii="Times New Roman" w:hAnsi="Times New Roman"/>
          <w:sz w:val="24"/>
          <w:szCs w:val="24"/>
        </w:rPr>
        <w:t xml:space="preserve"> 2014-17 validation simulation.  The results from the validation simulation were disappointing but we think more</w:t>
      </w:r>
      <w:r w:rsidR="005B00B9">
        <w:rPr>
          <w:rFonts w:ascii="Times New Roman" w:hAnsi="Times New Roman"/>
          <w:sz w:val="24"/>
          <w:szCs w:val="24"/>
        </w:rPr>
        <w:t>-</w:t>
      </w:r>
      <w:r w:rsidR="008B69E5">
        <w:rPr>
          <w:rFonts w:ascii="Times New Roman" w:hAnsi="Times New Roman"/>
          <w:sz w:val="24"/>
          <w:szCs w:val="24"/>
        </w:rPr>
        <w:t xml:space="preserve">satisfactory results could be obtained after a thorough </w:t>
      </w:r>
      <w:r w:rsidR="00977A7F">
        <w:rPr>
          <w:rFonts w:ascii="Times New Roman" w:hAnsi="Times New Roman"/>
          <w:sz w:val="24"/>
          <w:szCs w:val="24"/>
        </w:rPr>
        <w:t>audit</w:t>
      </w:r>
      <w:r w:rsidR="008B69E5">
        <w:rPr>
          <w:rFonts w:ascii="Times New Roman" w:hAnsi="Times New Roman"/>
          <w:sz w:val="24"/>
          <w:szCs w:val="24"/>
        </w:rPr>
        <w:t xml:space="preserve"> of the GTAP databases.  </w:t>
      </w:r>
    </w:p>
    <w:p w:rsidR="00890D5C" w:rsidRDefault="00977A7F" w:rsidP="007F7ED4">
      <w:pPr>
        <w:pStyle w:val="ListParagraph"/>
        <w:ind w:left="0"/>
        <w:contextualSpacing w:val="0"/>
        <w:rPr>
          <w:rFonts w:ascii="Times New Roman" w:hAnsi="Times New Roman"/>
          <w:sz w:val="24"/>
          <w:szCs w:val="24"/>
        </w:rPr>
      </w:pPr>
      <w:r>
        <w:rPr>
          <w:rFonts w:ascii="Times New Roman" w:hAnsi="Times New Roman"/>
          <w:sz w:val="24"/>
          <w:szCs w:val="24"/>
        </w:rPr>
        <w:t>In our 2014-17 validation paper, we documented a large number of data problems at the</w:t>
      </w:r>
      <w:r w:rsidR="008B69E5">
        <w:rPr>
          <w:rFonts w:ascii="Times New Roman" w:hAnsi="Times New Roman"/>
          <w:sz w:val="24"/>
          <w:szCs w:val="24"/>
        </w:rPr>
        <w:t xml:space="preserve"> </w:t>
      </w:r>
      <w:r>
        <w:rPr>
          <w:rFonts w:ascii="Times New Roman" w:hAnsi="Times New Roman"/>
          <w:sz w:val="24"/>
          <w:szCs w:val="24"/>
        </w:rPr>
        <w:t xml:space="preserve">industry/commodity level.  Spotting </w:t>
      </w:r>
      <w:r w:rsidR="00302FAD">
        <w:rPr>
          <w:rFonts w:ascii="Times New Roman" w:hAnsi="Times New Roman"/>
          <w:sz w:val="24"/>
          <w:szCs w:val="24"/>
        </w:rPr>
        <w:t>such</w:t>
      </w:r>
      <w:r>
        <w:rPr>
          <w:rFonts w:ascii="Times New Roman" w:hAnsi="Times New Roman"/>
          <w:sz w:val="24"/>
          <w:szCs w:val="24"/>
        </w:rPr>
        <w:t xml:space="preserve"> problems </w:t>
      </w:r>
      <w:r w:rsidR="00302FAD">
        <w:rPr>
          <w:rFonts w:ascii="Times New Roman" w:hAnsi="Times New Roman"/>
          <w:sz w:val="24"/>
          <w:szCs w:val="24"/>
        </w:rPr>
        <w:t>is</w:t>
      </w:r>
      <w:r>
        <w:rPr>
          <w:rFonts w:ascii="Times New Roman" w:hAnsi="Times New Roman"/>
          <w:sz w:val="24"/>
          <w:szCs w:val="24"/>
        </w:rPr>
        <w:t xml:space="preserve"> facilitated by </w:t>
      </w:r>
      <w:r w:rsidR="00302FAD">
        <w:rPr>
          <w:rFonts w:ascii="Times New Roman" w:hAnsi="Times New Roman"/>
          <w:sz w:val="24"/>
          <w:szCs w:val="24"/>
        </w:rPr>
        <w:t xml:space="preserve">simulations in which the model </w:t>
      </w:r>
      <w:r w:rsidR="005B00B9">
        <w:rPr>
          <w:rFonts w:ascii="Times New Roman" w:hAnsi="Times New Roman"/>
          <w:sz w:val="24"/>
          <w:szCs w:val="24"/>
        </w:rPr>
        <w:t xml:space="preserve">is forced </w:t>
      </w:r>
      <w:r w:rsidR="00302FAD">
        <w:rPr>
          <w:rFonts w:ascii="Times New Roman" w:hAnsi="Times New Roman"/>
          <w:sz w:val="24"/>
          <w:szCs w:val="24"/>
        </w:rPr>
        <w:t>to track history.  In preparing the current paper, we stumbled into dat</w:t>
      </w:r>
      <w:r w:rsidR="005B00B9">
        <w:rPr>
          <w:rFonts w:ascii="Times New Roman" w:hAnsi="Times New Roman"/>
          <w:sz w:val="24"/>
          <w:szCs w:val="24"/>
        </w:rPr>
        <w:t>a problems at the macro level.</w:t>
      </w:r>
      <w:r w:rsidR="00302FAD">
        <w:rPr>
          <w:rFonts w:ascii="Times New Roman" w:hAnsi="Times New Roman"/>
          <w:sz w:val="24"/>
          <w:szCs w:val="24"/>
        </w:rPr>
        <w:t xml:space="preserve">  Our linked simulations from 2014 out to 2050 account for accumulation by each region of foreign assets and liabilities.  We did not report results for these variables because they did not look reasonable.  We have traced the problems back to two factors: modelling and data.  </w:t>
      </w:r>
    </w:p>
    <w:p w:rsidR="00302FAD" w:rsidRDefault="00302FAD" w:rsidP="007F7ED4">
      <w:pPr>
        <w:pStyle w:val="ListParagraph"/>
        <w:ind w:left="0"/>
        <w:contextualSpacing w:val="0"/>
        <w:rPr>
          <w:rFonts w:ascii="Times New Roman" w:hAnsi="Times New Roman"/>
          <w:sz w:val="24"/>
          <w:szCs w:val="24"/>
        </w:rPr>
      </w:pPr>
      <w:r>
        <w:rPr>
          <w:rFonts w:ascii="Times New Roman" w:hAnsi="Times New Roman"/>
          <w:sz w:val="24"/>
          <w:szCs w:val="24"/>
        </w:rPr>
        <w:t>With regard to modelling, we need to be i</w:t>
      </w:r>
      <w:r w:rsidR="004055C4">
        <w:rPr>
          <w:rFonts w:ascii="Times New Roman" w:hAnsi="Times New Roman"/>
          <w:sz w:val="24"/>
          <w:szCs w:val="24"/>
        </w:rPr>
        <w:t xml:space="preserve">mprove our projection method for public and private consumption.  In the current paper, we </w:t>
      </w:r>
      <w:r w:rsidR="005B00B9">
        <w:rPr>
          <w:rFonts w:ascii="Times New Roman" w:hAnsi="Times New Roman"/>
          <w:sz w:val="24"/>
          <w:szCs w:val="24"/>
        </w:rPr>
        <w:t>assumed</w:t>
      </w:r>
      <w:r w:rsidR="004055C4">
        <w:rPr>
          <w:rFonts w:ascii="Times New Roman" w:hAnsi="Times New Roman"/>
          <w:sz w:val="24"/>
          <w:szCs w:val="24"/>
        </w:rPr>
        <w:t xml:space="preserve"> that regional average propensities to consume out of net national product converge towards the world average.  Thus, high-saving regions such as China move to higher consumption propensities, while low-saving regions move to lower propensities.  This seems a reasonable assumption but it still left simulated net foreign assets </w:t>
      </w:r>
      <w:r w:rsidR="001170F0">
        <w:rPr>
          <w:rFonts w:ascii="Times New Roman" w:hAnsi="Times New Roman"/>
          <w:sz w:val="24"/>
          <w:szCs w:val="24"/>
        </w:rPr>
        <w:t xml:space="preserve">for some regions </w:t>
      </w:r>
      <w:r w:rsidR="004055C4">
        <w:rPr>
          <w:rFonts w:ascii="Times New Roman" w:hAnsi="Times New Roman"/>
          <w:sz w:val="24"/>
          <w:szCs w:val="24"/>
        </w:rPr>
        <w:t xml:space="preserve">stabilizing at unrealistic levels with </w:t>
      </w:r>
      <w:r w:rsidR="00CC73A3">
        <w:rPr>
          <w:rFonts w:ascii="Times New Roman" w:hAnsi="Times New Roman"/>
          <w:sz w:val="24"/>
          <w:szCs w:val="24"/>
        </w:rPr>
        <w:t xml:space="preserve">related </w:t>
      </w:r>
      <w:r w:rsidR="004055C4">
        <w:rPr>
          <w:rFonts w:ascii="Times New Roman" w:hAnsi="Times New Roman"/>
          <w:sz w:val="24"/>
          <w:szCs w:val="24"/>
        </w:rPr>
        <w:t xml:space="preserve">unrealistic </w:t>
      </w:r>
      <w:r w:rsidR="005B00B9">
        <w:rPr>
          <w:rFonts w:ascii="Times New Roman" w:hAnsi="Times New Roman"/>
          <w:sz w:val="24"/>
          <w:szCs w:val="24"/>
        </w:rPr>
        <w:t xml:space="preserve">ratios of </w:t>
      </w:r>
      <w:r w:rsidR="00CC73A3">
        <w:rPr>
          <w:rFonts w:ascii="Times New Roman" w:hAnsi="Times New Roman"/>
          <w:sz w:val="24"/>
          <w:szCs w:val="24"/>
        </w:rPr>
        <w:t>trade balance</w:t>
      </w:r>
      <w:r w:rsidR="007B4D55">
        <w:rPr>
          <w:rFonts w:ascii="Times New Roman" w:hAnsi="Times New Roman"/>
          <w:sz w:val="24"/>
          <w:szCs w:val="24"/>
        </w:rPr>
        <w:t>s</w:t>
      </w:r>
      <w:r w:rsidR="00CC73A3">
        <w:rPr>
          <w:rFonts w:ascii="Times New Roman" w:hAnsi="Times New Roman"/>
          <w:sz w:val="24"/>
          <w:szCs w:val="24"/>
        </w:rPr>
        <w:t xml:space="preserve"> to GDP.  We probably need to use simulated movements in net foreign assets to inform movements in consumption propensities.  We also need to improve our modelling of rates of return on foreign </w:t>
      </w:r>
      <w:r w:rsidR="001170F0">
        <w:rPr>
          <w:rFonts w:ascii="Times New Roman" w:hAnsi="Times New Roman"/>
          <w:sz w:val="24"/>
          <w:szCs w:val="24"/>
        </w:rPr>
        <w:t xml:space="preserve">assets </w:t>
      </w:r>
      <w:r w:rsidR="00CC73A3">
        <w:rPr>
          <w:rFonts w:ascii="Times New Roman" w:hAnsi="Times New Roman"/>
          <w:sz w:val="24"/>
          <w:szCs w:val="24"/>
        </w:rPr>
        <w:t xml:space="preserve">relative to rates of return on foreign liabilities. </w:t>
      </w:r>
      <w:r w:rsidR="001170F0">
        <w:rPr>
          <w:rFonts w:ascii="Times New Roman" w:hAnsi="Times New Roman"/>
          <w:sz w:val="24"/>
          <w:szCs w:val="24"/>
        </w:rPr>
        <w:t xml:space="preserve"> </w:t>
      </w:r>
      <w:r w:rsidR="00CC73A3">
        <w:rPr>
          <w:rFonts w:ascii="Times New Roman" w:hAnsi="Times New Roman"/>
          <w:sz w:val="24"/>
          <w:szCs w:val="24"/>
        </w:rPr>
        <w:t xml:space="preserve">In the current model, based on GTAP’s global bank, the foreign assets of </w:t>
      </w:r>
      <w:r w:rsidR="0080388F">
        <w:rPr>
          <w:rFonts w:ascii="Times New Roman" w:hAnsi="Times New Roman"/>
          <w:sz w:val="24"/>
          <w:szCs w:val="24"/>
        </w:rPr>
        <w:t>a</w:t>
      </w:r>
      <w:r w:rsidR="00CC73A3">
        <w:rPr>
          <w:rFonts w:ascii="Times New Roman" w:hAnsi="Times New Roman"/>
          <w:sz w:val="24"/>
          <w:szCs w:val="24"/>
        </w:rPr>
        <w:t xml:space="preserve"> region </w:t>
      </w:r>
      <w:r w:rsidR="0080388F">
        <w:rPr>
          <w:rFonts w:ascii="Times New Roman" w:hAnsi="Times New Roman"/>
          <w:sz w:val="24"/>
          <w:szCs w:val="24"/>
        </w:rPr>
        <w:t xml:space="preserve">earn a </w:t>
      </w:r>
      <w:r w:rsidR="0080388F">
        <w:rPr>
          <w:rFonts w:ascii="Times New Roman" w:hAnsi="Times New Roman"/>
          <w:sz w:val="24"/>
          <w:szCs w:val="24"/>
        </w:rPr>
        <w:lastRenderedPageBreak/>
        <w:t xml:space="preserve">worldwide </w:t>
      </w:r>
      <w:r w:rsidR="00CC73A3">
        <w:rPr>
          <w:rFonts w:ascii="Times New Roman" w:hAnsi="Times New Roman"/>
          <w:sz w:val="24"/>
          <w:szCs w:val="24"/>
        </w:rPr>
        <w:t xml:space="preserve">interest rate while the </w:t>
      </w:r>
      <w:r w:rsidR="0080388F">
        <w:rPr>
          <w:rFonts w:ascii="Times New Roman" w:hAnsi="Times New Roman"/>
          <w:sz w:val="24"/>
          <w:szCs w:val="24"/>
        </w:rPr>
        <w:t xml:space="preserve">interest rate paid on foreign liabilities reflects the average rate of return on the region’s capital.  These assumptions are important in projecting net foreign assets, but they could and should be better informed.  </w:t>
      </w:r>
    </w:p>
    <w:p w:rsidR="0080388F" w:rsidRDefault="0080388F" w:rsidP="007F7ED4">
      <w:pPr>
        <w:pStyle w:val="ListParagraph"/>
        <w:ind w:left="0"/>
        <w:contextualSpacing w:val="0"/>
        <w:rPr>
          <w:rFonts w:ascii="Times New Roman" w:hAnsi="Times New Roman"/>
          <w:sz w:val="24"/>
          <w:szCs w:val="24"/>
        </w:rPr>
      </w:pPr>
      <w:r w:rsidRPr="00B278B9">
        <w:rPr>
          <w:rFonts w:ascii="Times New Roman" w:hAnsi="Times New Roman"/>
          <w:sz w:val="24"/>
          <w:szCs w:val="24"/>
        </w:rPr>
        <w:t xml:space="preserve">With regard to data, we found some disconnects between GTAP and OECD data on trade balances.  For example, </w:t>
      </w:r>
      <w:r w:rsidR="00086C08" w:rsidRPr="00B278B9">
        <w:rPr>
          <w:rFonts w:ascii="Times New Roman" w:hAnsi="Times New Roman"/>
          <w:sz w:val="24"/>
          <w:szCs w:val="24"/>
        </w:rPr>
        <w:t xml:space="preserve">OECD data in Table A1.2a (in Appendix 1) implies that Canada had a trade deficit in 2014 worth 0.9 per cent of GDP [= 100*(589-573)/1806].  The GTAP </w:t>
      </w:r>
      <w:r w:rsidR="00A63915" w:rsidRPr="00B278B9">
        <w:rPr>
          <w:rFonts w:ascii="Times New Roman" w:hAnsi="Times New Roman"/>
          <w:sz w:val="24"/>
          <w:szCs w:val="24"/>
        </w:rPr>
        <w:t xml:space="preserve">data that we are using for 2014 implies that Canada’s trade deficit was 4.8 per cent of GDP.  Discrepancies such as this don’t matter in most GTAP simulations which are comparative static and concerned with the effects of a specific policy.  However, for building a baseline projection taking account of asset and liability accumulation, we need to get the starting point right.  An unrealistic starting point for the trade deficit accumulates over time into </w:t>
      </w:r>
      <w:r w:rsidR="00160757" w:rsidRPr="00B278B9">
        <w:rPr>
          <w:rFonts w:ascii="Times New Roman" w:hAnsi="Times New Roman"/>
          <w:sz w:val="24"/>
          <w:szCs w:val="24"/>
        </w:rPr>
        <w:t>unrealistic levels for net foreign assets with unrealistic implications for projections of other macro variables including private and public consumption.</w:t>
      </w:r>
      <w:r w:rsidR="00160757">
        <w:rPr>
          <w:rFonts w:ascii="Times New Roman" w:hAnsi="Times New Roman"/>
          <w:sz w:val="24"/>
          <w:szCs w:val="24"/>
        </w:rPr>
        <w:t xml:space="preserve">  </w:t>
      </w:r>
    </w:p>
    <w:p w:rsidR="00F34FA6" w:rsidRDefault="002A33BE" w:rsidP="002A33BE">
      <w:pPr>
        <w:ind w:left="0"/>
        <w:rPr>
          <w:rFonts w:ascii="Times New Roman" w:hAnsi="Times New Roman"/>
          <w:sz w:val="24"/>
          <w:szCs w:val="24"/>
        </w:rPr>
      </w:pPr>
      <w:r>
        <w:rPr>
          <w:rFonts w:ascii="Times New Roman" w:hAnsi="Times New Roman"/>
          <w:sz w:val="24"/>
          <w:szCs w:val="24"/>
        </w:rPr>
        <w:t>As recognized by other researchers (e.g. Be</w:t>
      </w:r>
      <w:r w:rsidR="007B4D55">
        <w:rPr>
          <w:rFonts w:ascii="Times New Roman" w:hAnsi="Times New Roman"/>
          <w:sz w:val="24"/>
          <w:szCs w:val="24"/>
        </w:rPr>
        <w:t>k</w:t>
      </w:r>
      <w:r>
        <w:rPr>
          <w:rFonts w:ascii="Times New Roman" w:hAnsi="Times New Roman"/>
          <w:sz w:val="24"/>
          <w:szCs w:val="24"/>
        </w:rPr>
        <w:t xml:space="preserve">kers </w:t>
      </w:r>
      <w:r>
        <w:rPr>
          <w:rFonts w:ascii="Times New Roman" w:hAnsi="Times New Roman"/>
          <w:i/>
          <w:sz w:val="24"/>
          <w:szCs w:val="24"/>
        </w:rPr>
        <w:t xml:space="preserve">et al. </w:t>
      </w:r>
      <w:r>
        <w:rPr>
          <w:rFonts w:ascii="Times New Roman" w:hAnsi="Times New Roman"/>
          <w:sz w:val="24"/>
          <w:szCs w:val="24"/>
        </w:rPr>
        <w:t xml:space="preserve">, </w:t>
      </w:r>
      <w:r w:rsidR="00C51377">
        <w:rPr>
          <w:rFonts w:ascii="Times New Roman" w:hAnsi="Times New Roman"/>
          <w:sz w:val="24"/>
          <w:szCs w:val="24"/>
        </w:rPr>
        <w:t xml:space="preserve">2020 </w:t>
      </w:r>
      <w:r>
        <w:rPr>
          <w:rFonts w:ascii="Times New Roman" w:hAnsi="Times New Roman"/>
          <w:sz w:val="24"/>
          <w:szCs w:val="24"/>
        </w:rPr>
        <w:t>and Britz and Roson, 2019)</w:t>
      </w:r>
      <w:r w:rsidR="00C51377">
        <w:rPr>
          <w:rFonts w:ascii="Times New Roman" w:hAnsi="Times New Roman"/>
          <w:sz w:val="24"/>
          <w:szCs w:val="24"/>
        </w:rPr>
        <w:t xml:space="preserve">, baselines are important.  This is for several reasons.  First, users of economic modelling results in the policy arena want baselines.  They don’t just want to know </w:t>
      </w:r>
      <w:r w:rsidR="002C7F67">
        <w:rPr>
          <w:rFonts w:ascii="Times New Roman" w:hAnsi="Times New Roman"/>
          <w:sz w:val="24"/>
          <w:szCs w:val="24"/>
        </w:rPr>
        <w:t xml:space="preserve">how different an economy </w:t>
      </w:r>
      <w:r w:rsidR="00C51377">
        <w:rPr>
          <w:rFonts w:ascii="Times New Roman" w:hAnsi="Times New Roman"/>
          <w:sz w:val="24"/>
          <w:szCs w:val="24"/>
        </w:rPr>
        <w:t>w</w:t>
      </w:r>
      <w:r w:rsidR="002C7F67">
        <w:rPr>
          <w:rFonts w:ascii="Times New Roman" w:hAnsi="Times New Roman"/>
          <w:sz w:val="24"/>
          <w:szCs w:val="24"/>
        </w:rPr>
        <w:t xml:space="preserve">ould </w:t>
      </w:r>
      <w:r w:rsidR="00C51377">
        <w:rPr>
          <w:rFonts w:ascii="Times New Roman" w:hAnsi="Times New Roman"/>
          <w:sz w:val="24"/>
          <w:szCs w:val="24"/>
        </w:rPr>
        <w:t xml:space="preserve">be </w:t>
      </w:r>
      <w:r w:rsidR="002C7F67">
        <w:rPr>
          <w:rFonts w:ascii="Times New Roman" w:hAnsi="Times New Roman"/>
          <w:sz w:val="24"/>
          <w:szCs w:val="24"/>
        </w:rPr>
        <w:t xml:space="preserve">with a particular </w:t>
      </w:r>
      <w:r w:rsidR="00C51377">
        <w:rPr>
          <w:rFonts w:ascii="Times New Roman" w:hAnsi="Times New Roman"/>
          <w:sz w:val="24"/>
          <w:szCs w:val="24"/>
        </w:rPr>
        <w:t xml:space="preserve">policy </w:t>
      </w:r>
      <w:r w:rsidR="002C7F67">
        <w:rPr>
          <w:rFonts w:ascii="Times New Roman" w:hAnsi="Times New Roman"/>
          <w:sz w:val="24"/>
          <w:szCs w:val="24"/>
        </w:rPr>
        <w:t>in place from the way it would be without the policy</w:t>
      </w:r>
      <w:r w:rsidR="00E808B4">
        <w:rPr>
          <w:rFonts w:ascii="Times New Roman" w:hAnsi="Times New Roman"/>
          <w:sz w:val="24"/>
          <w:szCs w:val="24"/>
        </w:rPr>
        <w:t xml:space="preserve"> (the effect of the policy)</w:t>
      </w:r>
      <w:r w:rsidR="002C7F67">
        <w:rPr>
          <w:rFonts w:ascii="Times New Roman" w:hAnsi="Times New Roman"/>
          <w:sz w:val="24"/>
          <w:szCs w:val="24"/>
        </w:rPr>
        <w:t xml:space="preserve">, they want to know where the economy is going with and without the policy.  </w:t>
      </w:r>
      <w:r w:rsidR="003E6593">
        <w:rPr>
          <w:rFonts w:ascii="Times New Roman" w:hAnsi="Times New Roman"/>
          <w:sz w:val="24"/>
          <w:szCs w:val="24"/>
        </w:rPr>
        <w:t xml:space="preserve">Second, </w:t>
      </w:r>
      <w:r w:rsidR="00E808B4">
        <w:rPr>
          <w:rFonts w:ascii="Times New Roman" w:hAnsi="Times New Roman"/>
          <w:sz w:val="24"/>
          <w:szCs w:val="24"/>
        </w:rPr>
        <w:t xml:space="preserve">baselines matter even if the main interest </w:t>
      </w:r>
      <w:r w:rsidR="00E808B4" w:rsidRPr="00E808B4">
        <w:rPr>
          <w:rFonts w:ascii="Times New Roman" w:hAnsi="Times New Roman"/>
          <w:i/>
          <w:sz w:val="24"/>
          <w:szCs w:val="24"/>
        </w:rPr>
        <w:t>is</w:t>
      </w:r>
      <w:r w:rsidR="00E808B4">
        <w:rPr>
          <w:rFonts w:ascii="Times New Roman" w:hAnsi="Times New Roman"/>
          <w:sz w:val="24"/>
          <w:szCs w:val="24"/>
        </w:rPr>
        <w:t xml:space="preserve"> the effects of policies.  For example, in assessing the future employment effect</w:t>
      </w:r>
      <w:r w:rsidR="001170F0">
        <w:rPr>
          <w:rFonts w:ascii="Times New Roman" w:hAnsi="Times New Roman"/>
          <w:sz w:val="24"/>
          <w:szCs w:val="24"/>
        </w:rPr>
        <w:t>s</w:t>
      </w:r>
      <w:r w:rsidR="00E808B4">
        <w:rPr>
          <w:rFonts w:ascii="Times New Roman" w:hAnsi="Times New Roman"/>
          <w:sz w:val="24"/>
          <w:szCs w:val="24"/>
        </w:rPr>
        <w:t xml:space="preserve"> of policy-dictated closures of coal mines, we need to have a baseline view about where employment in the coal industry was going without the policy.  </w:t>
      </w:r>
      <w:r w:rsidR="00F34FA6">
        <w:rPr>
          <w:rFonts w:ascii="Times New Roman" w:hAnsi="Times New Roman"/>
          <w:sz w:val="24"/>
          <w:szCs w:val="24"/>
        </w:rPr>
        <w:t xml:space="preserve">Third, by producing baselines we can validate our models (or otherwise).  In this paper, and in our two earlier papers for this project, we have been trying to contribute to the development of GTAP baselines by exploiting the time series </w:t>
      </w:r>
      <w:r w:rsidR="001170F0">
        <w:rPr>
          <w:rFonts w:ascii="Times New Roman" w:hAnsi="Times New Roman"/>
          <w:sz w:val="24"/>
          <w:szCs w:val="24"/>
        </w:rPr>
        <w:t xml:space="preserve">dimension </w:t>
      </w:r>
      <w:r w:rsidR="00F34FA6">
        <w:rPr>
          <w:rFonts w:ascii="Times New Roman" w:hAnsi="Times New Roman"/>
          <w:sz w:val="24"/>
          <w:szCs w:val="24"/>
        </w:rPr>
        <w:t xml:space="preserve">of GTAP databases.  </w:t>
      </w:r>
    </w:p>
    <w:p w:rsidR="00353B9F" w:rsidRDefault="00EF4328" w:rsidP="002A33BE">
      <w:pPr>
        <w:ind w:left="0"/>
        <w:rPr>
          <w:rFonts w:ascii="Times New Roman" w:hAnsi="Times New Roman"/>
          <w:sz w:val="24"/>
          <w:szCs w:val="24"/>
        </w:rPr>
      </w:pPr>
      <w:r>
        <w:rPr>
          <w:rFonts w:ascii="Times New Roman" w:hAnsi="Times New Roman"/>
          <w:sz w:val="24"/>
          <w:szCs w:val="24"/>
        </w:rPr>
        <w:t xml:space="preserve">Building a baseline out to 2050 proved to be </w:t>
      </w:r>
      <w:r w:rsidR="00CD148D">
        <w:rPr>
          <w:rFonts w:ascii="Times New Roman" w:hAnsi="Times New Roman"/>
          <w:sz w:val="24"/>
          <w:szCs w:val="24"/>
        </w:rPr>
        <w:t>difficult</w:t>
      </w:r>
      <w:r>
        <w:rPr>
          <w:rFonts w:ascii="Times New Roman" w:hAnsi="Times New Roman"/>
          <w:sz w:val="24"/>
          <w:szCs w:val="24"/>
        </w:rPr>
        <w:t xml:space="preserve"> and it is clear that the research reported in this paper </w:t>
      </w:r>
      <w:r w:rsidR="00CD148D">
        <w:rPr>
          <w:rFonts w:ascii="Times New Roman" w:hAnsi="Times New Roman"/>
          <w:sz w:val="24"/>
          <w:szCs w:val="24"/>
        </w:rPr>
        <w:t xml:space="preserve">did not meet </w:t>
      </w:r>
      <w:r w:rsidR="007F6575">
        <w:rPr>
          <w:rFonts w:ascii="Times New Roman" w:hAnsi="Times New Roman"/>
          <w:sz w:val="24"/>
          <w:szCs w:val="24"/>
        </w:rPr>
        <w:t>our</w:t>
      </w:r>
      <w:r w:rsidR="00CD148D">
        <w:rPr>
          <w:rFonts w:ascii="Times New Roman" w:hAnsi="Times New Roman"/>
          <w:sz w:val="24"/>
          <w:szCs w:val="24"/>
        </w:rPr>
        <w:t xml:space="preserve"> ambitious targets.  </w:t>
      </w:r>
      <w:r w:rsidR="007F6575">
        <w:rPr>
          <w:rFonts w:ascii="Times New Roman" w:hAnsi="Times New Roman"/>
          <w:sz w:val="24"/>
          <w:szCs w:val="24"/>
        </w:rPr>
        <w:t>However, all is not gloom.  As well as</w:t>
      </w:r>
      <w:r w:rsidR="00CD148D">
        <w:rPr>
          <w:rFonts w:ascii="Times New Roman" w:hAnsi="Times New Roman"/>
          <w:sz w:val="24"/>
          <w:szCs w:val="24"/>
        </w:rPr>
        <w:t xml:space="preserve"> revealing many things that </w:t>
      </w:r>
      <w:r w:rsidR="00CD148D" w:rsidRPr="00353B9F">
        <w:rPr>
          <w:rFonts w:ascii="Times New Roman" w:hAnsi="Times New Roman"/>
          <w:i/>
          <w:sz w:val="24"/>
          <w:szCs w:val="24"/>
        </w:rPr>
        <w:t>need</w:t>
      </w:r>
      <w:r w:rsidR="00CD148D">
        <w:rPr>
          <w:rFonts w:ascii="Times New Roman" w:hAnsi="Times New Roman"/>
          <w:sz w:val="24"/>
          <w:szCs w:val="24"/>
        </w:rPr>
        <w:t xml:space="preserve"> to be done, an immediate spin-off from what we </w:t>
      </w:r>
      <w:r w:rsidR="00CD148D" w:rsidRPr="00353B9F">
        <w:rPr>
          <w:rFonts w:ascii="Times New Roman" w:hAnsi="Times New Roman"/>
          <w:i/>
          <w:sz w:val="24"/>
          <w:szCs w:val="24"/>
        </w:rPr>
        <w:t xml:space="preserve">have </w:t>
      </w:r>
      <w:r w:rsidR="00CD148D">
        <w:rPr>
          <w:rFonts w:ascii="Times New Roman" w:hAnsi="Times New Roman"/>
          <w:sz w:val="24"/>
          <w:szCs w:val="24"/>
        </w:rPr>
        <w:t>done might be the development of comprehensive checking and updating method</w:t>
      </w:r>
      <w:r w:rsidR="00353B9F">
        <w:rPr>
          <w:rFonts w:ascii="Times New Roman" w:hAnsi="Times New Roman"/>
          <w:sz w:val="24"/>
          <w:szCs w:val="24"/>
        </w:rPr>
        <w:t>s</w:t>
      </w:r>
      <w:r w:rsidR="00CD148D">
        <w:rPr>
          <w:rFonts w:ascii="Times New Roman" w:hAnsi="Times New Roman"/>
          <w:sz w:val="24"/>
          <w:szCs w:val="24"/>
        </w:rPr>
        <w:t xml:space="preserve"> for GTAP databases.  </w:t>
      </w:r>
    </w:p>
    <w:p w:rsidR="00353B9F" w:rsidRDefault="00CD148D" w:rsidP="002A33BE">
      <w:pPr>
        <w:ind w:left="0"/>
        <w:rPr>
          <w:rFonts w:ascii="Times New Roman" w:hAnsi="Times New Roman"/>
          <w:sz w:val="24"/>
          <w:szCs w:val="24"/>
        </w:rPr>
      </w:pPr>
      <w:r>
        <w:rPr>
          <w:rFonts w:ascii="Times New Roman" w:hAnsi="Times New Roman"/>
          <w:sz w:val="24"/>
          <w:szCs w:val="24"/>
        </w:rPr>
        <w:t xml:space="preserve">For checking a newly developed database for year t + </w:t>
      </w:r>
      <w:r>
        <w:rPr>
          <w:rFonts w:ascii="Times New Roman" w:hAnsi="Times New Roman"/>
          <w:sz w:val="24"/>
          <w:szCs w:val="24"/>
        </w:rPr>
        <w:sym w:font="Symbol" w:char="F074"/>
      </w:r>
      <w:r>
        <w:rPr>
          <w:rFonts w:ascii="Times New Roman" w:hAnsi="Times New Roman"/>
          <w:sz w:val="24"/>
          <w:szCs w:val="24"/>
        </w:rPr>
        <w:t xml:space="preserve">, e.g. 2017, we can imagine conducting a simulation starting from year t, e.g. 2014, </w:t>
      </w:r>
      <w:r w:rsidR="007F6575">
        <w:rPr>
          <w:rFonts w:ascii="Times New Roman" w:hAnsi="Times New Roman"/>
          <w:sz w:val="24"/>
          <w:szCs w:val="24"/>
        </w:rPr>
        <w:t xml:space="preserve">and </w:t>
      </w:r>
      <w:r>
        <w:rPr>
          <w:rFonts w:ascii="Times New Roman" w:hAnsi="Times New Roman"/>
          <w:sz w:val="24"/>
          <w:szCs w:val="24"/>
        </w:rPr>
        <w:t xml:space="preserve">building in known movements in macro and trade variables together with technology and preference trends.  </w:t>
      </w:r>
      <w:r w:rsidR="00353B9F">
        <w:rPr>
          <w:rFonts w:ascii="Times New Roman" w:hAnsi="Times New Roman"/>
          <w:sz w:val="24"/>
          <w:szCs w:val="24"/>
        </w:rPr>
        <w:t>E</w:t>
      </w:r>
      <w:r>
        <w:rPr>
          <w:rFonts w:ascii="Times New Roman" w:hAnsi="Times New Roman"/>
          <w:sz w:val="24"/>
          <w:szCs w:val="24"/>
        </w:rPr>
        <w:t>xamin</w:t>
      </w:r>
      <w:r w:rsidR="00353B9F">
        <w:rPr>
          <w:rFonts w:ascii="Times New Roman" w:hAnsi="Times New Roman"/>
          <w:sz w:val="24"/>
          <w:szCs w:val="24"/>
        </w:rPr>
        <w:t>ation of</w:t>
      </w:r>
      <w:r>
        <w:rPr>
          <w:rFonts w:ascii="Times New Roman" w:hAnsi="Times New Roman"/>
          <w:sz w:val="24"/>
          <w:szCs w:val="24"/>
        </w:rPr>
        <w:t xml:space="preserve"> differences between the synthetic t + </w:t>
      </w:r>
      <w:r>
        <w:rPr>
          <w:rFonts w:ascii="Times New Roman" w:hAnsi="Times New Roman"/>
          <w:sz w:val="24"/>
          <w:szCs w:val="24"/>
        </w:rPr>
        <w:sym w:font="Symbol" w:char="F074"/>
      </w:r>
      <w:r>
        <w:rPr>
          <w:rFonts w:ascii="Times New Roman" w:hAnsi="Times New Roman"/>
          <w:sz w:val="24"/>
          <w:szCs w:val="24"/>
        </w:rPr>
        <w:t xml:space="preserve"> database created in this checking simulation </w:t>
      </w:r>
      <w:r w:rsidR="00353B9F">
        <w:rPr>
          <w:rFonts w:ascii="Times New Roman" w:hAnsi="Times New Roman"/>
          <w:sz w:val="24"/>
          <w:szCs w:val="24"/>
        </w:rPr>
        <w:t>and</w:t>
      </w:r>
      <w:r>
        <w:rPr>
          <w:rFonts w:ascii="Times New Roman" w:hAnsi="Times New Roman"/>
          <w:sz w:val="24"/>
          <w:szCs w:val="24"/>
        </w:rPr>
        <w:t xml:space="preserve"> the newly developed database for year t + </w:t>
      </w:r>
      <w:r>
        <w:rPr>
          <w:rFonts w:ascii="Times New Roman" w:hAnsi="Times New Roman"/>
          <w:sz w:val="24"/>
          <w:szCs w:val="24"/>
        </w:rPr>
        <w:sym w:font="Symbol" w:char="F074"/>
      </w:r>
      <w:r w:rsidR="00353B9F">
        <w:rPr>
          <w:rFonts w:ascii="Times New Roman" w:hAnsi="Times New Roman"/>
          <w:sz w:val="24"/>
          <w:szCs w:val="24"/>
        </w:rPr>
        <w:t xml:space="preserve"> could provide a framework for detecting database problems.  </w:t>
      </w:r>
    </w:p>
    <w:p w:rsidR="007F6575" w:rsidRDefault="00353B9F" w:rsidP="002A33BE">
      <w:pPr>
        <w:ind w:left="0"/>
        <w:rPr>
          <w:rFonts w:ascii="Times New Roman" w:hAnsi="Times New Roman"/>
          <w:sz w:val="24"/>
          <w:szCs w:val="24"/>
        </w:rPr>
      </w:pPr>
      <w:r>
        <w:rPr>
          <w:rFonts w:ascii="Times New Roman" w:hAnsi="Times New Roman"/>
          <w:sz w:val="24"/>
          <w:szCs w:val="24"/>
        </w:rPr>
        <w:t xml:space="preserve">For updating from the most recent database, e.g. for 2017, to a recent year, e.g. 2022, we can imagine conducting a simulation starting from 2017 and building in known movements between 2017 and 2022 in macro and trade variables together with technology and preference trends.  This would be similar to our 2014-19 simulation reported in this paper.  But of course we would want to </w:t>
      </w:r>
      <w:r w:rsidR="007F6575">
        <w:rPr>
          <w:rFonts w:ascii="Times New Roman" w:hAnsi="Times New Roman"/>
          <w:sz w:val="24"/>
          <w:szCs w:val="24"/>
        </w:rPr>
        <w:t>make sure that the starting database for our update simulation was compatible with the data source</w:t>
      </w:r>
      <w:r w:rsidR="001170F0">
        <w:rPr>
          <w:rFonts w:ascii="Times New Roman" w:hAnsi="Times New Roman"/>
          <w:sz w:val="24"/>
          <w:szCs w:val="24"/>
        </w:rPr>
        <w:t>s</w:t>
      </w:r>
      <w:r w:rsidR="007F6575">
        <w:rPr>
          <w:rFonts w:ascii="Times New Roman" w:hAnsi="Times New Roman"/>
          <w:sz w:val="24"/>
          <w:szCs w:val="24"/>
        </w:rPr>
        <w:t xml:space="preserve"> for </w:t>
      </w:r>
      <w:r w:rsidR="007C444D">
        <w:rPr>
          <w:rFonts w:ascii="Times New Roman" w:hAnsi="Times New Roman"/>
          <w:sz w:val="24"/>
          <w:szCs w:val="24"/>
        </w:rPr>
        <w:t xml:space="preserve">the </w:t>
      </w:r>
      <w:r w:rsidR="007F6575">
        <w:rPr>
          <w:rFonts w:ascii="Times New Roman" w:hAnsi="Times New Roman"/>
          <w:sz w:val="24"/>
          <w:szCs w:val="24"/>
        </w:rPr>
        <w:t xml:space="preserve">update shocks.  </w:t>
      </w:r>
    </w:p>
    <w:p w:rsidR="00BA6549" w:rsidRDefault="00BA6549" w:rsidP="002A33BE">
      <w:pPr>
        <w:ind w:left="0"/>
        <w:rPr>
          <w:rFonts w:ascii="Times New Roman" w:hAnsi="Times New Roman"/>
          <w:sz w:val="24"/>
          <w:szCs w:val="24"/>
        </w:rPr>
      </w:pPr>
      <w:r>
        <w:rPr>
          <w:rFonts w:ascii="Times New Roman" w:hAnsi="Times New Roman"/>
          <w:sz w:val="24"/>
          <w:szCs w:val="24"/>
        </w:rPr>
        <w:t xml:space="preserve">GTAP databases have not been developed with time-series analysis as their primary focus.  Nevertheless, our 2004-14 historical simulation (Dixon and Rimmer, 2023a) showed </w:t>
      </w:r>
      <w:r w:rsidR="001170F0">
        <w:rPr>
          <w:rFonts w:ascii="Times New Roman" w:hAnsi="Times New Roman"/>
          <w:sz w:val="24"/>
          <w:szCs w:val="24"/>
        </w:rPr>
        <w:t xml:space="preserve">that </w:t>
      </w:r>
      <w:r>
        <w:rPr>
          <w:rFonts w:ascii="Times New Roman" w:hAnsi="Times New Roman"/>
          <w:sz w:val="24"/>
          <w:szCs w:val="24"/>
        </w:rPr>
        <w:t xml:space="preserve">the </w:t>
      </w:r>
      <w:r>
        <w:rPr>
          <w:rFonts w:ascii="Times New Roman" w:hAnsi="Times New Roman"/>
          <w:sz w:val="24"/>
          <w:szCs w:val="24"/>
        </w:rPr>
        <w:lastRenderedPageBreak/>
        <w:t xml:space="preserve">databases </w:t>
      </w:r>
      <w:r w:rsidR="001170F0">
        <w:rPr>
          <w:rFonts w:ascii="Times New Roman" w:hAnsi="Times New Roman"/>
          <w:sz w:val="24"/>
          <w:szCs w:val="24"/>
        </w:rPr>
        <w:t xml:space="preserve">for these two years </w:t>
      </w:r>
      <w:r>
        <w:rPr>
          <w:rFonts w:ascii="Times New Roman" w:hAnsi="Times New Roman"/>
          <w:sz w:val="24"/>
          <w:szCs w:val="24"/>
        </w:rPr>
        <w:t xml:space="preserve">are highly comparable and imply interesting and plausible trends in technologies and preferences.  After about </w:t>
      </w:r>
      <w:r w:rsidR="00CE4E80">
        <w:rPr>
          <w:rFonts w:ascii="Times New Roman" w:hAnsi="Times New Roman"/>
          <w:sz w:val="24"/>
          <w:szCs w:val="24"/>
        </w:rPr>
        <w:t>three</w:t>
      </w:r>
      <w:r>
        <w:rPr>
          <w:rFonts w:ascii="Times New Roman" w:hAnsi="Times New Roman"/>
          <w:sz w:val="24"/>
          <w:szCs w:val="24"/>
        </w:rPr>
        <w:t xml:space="preserve"> years work on the three parts of this project (historical, validation and baseline) we think that further development of the time-series dimension of the </w:t>
      </w:r>
      <w:r w:rsidR="006466FB">
        <w:rPr>
          <w:rFonts w:ascii="Times New Roman" w:hAnsi="Times New Roman"/>
          <w:sz w:val="24"/>
          <w:szCs w:val="24"/>
        </w:rPr>
        <w:t xml:space="preserve">GTAP </w:t>
      </w:r>
      <w:r>
        <w:rPr>
          <w:rFonts w:ascii="Times New Roman" w:hAnsi="Times New Roman"/>
          <w:sz w:val="24"/>
          <w:szCs w:val="24"/>
        </w:rPr>
        <w:t xml:space="preserve">databases </w:t>
      </w:r>
      <w:r w:rsidR="006466FB">
        <w:rPr>
          <w:rFonts w:ascii="Times New Roman" w:hAnsi="Times New Roman"/>
          <w:sz w:val="24"/>
          <w:szCs w:val="24"/>
        </w:rPr>
        <w:t xml:space="preserve">has enormous potential for improving the ability of the GTAP community to contribute to the analysis of global issues.  </w:t>
      </w:r>
      <w:r w:rsidR="00EF4328">
        <w:rPr>
          <w:rFonts w:ascii="Times New Roman" w:hAnsi="Times New Roman"/>
          <w:sz w:val="24"/>
          <w:szCs w:val="24"/>
        </w:rPr>
        <w:t>Steps in r</w:t>
      </w:r>
      <w:r w:rsidR="006466FB">
        <w:rPr>
          <w:rFonts w:ascii="Times New Roman" w:hAnsi="Times New Roman"/>
          <w:sz w:val="24"/>
          <w:szCs w:val="24"/>
        </w:rPr>
        <w:t xml:space="preserve">ealizing </w:t>
      </w:r>
      <w:r w:rsidR="00EF4328">
        <w:rPr>
          <w:rFonts w:ascii="Times New Roman" w:hAnsi="Times New Roman"/>
          <w:sz w:val="24"/>
          <w:szCs w:val="24"/>
        </w:rPr>
        <w:t>this potential include:</w:t>
      </w:r>
    </w:p>
    <w:p w:rsidR="002A33BE" w:rsidRDefault="00EF4328" w:rsidP="00F971E7">
      <w:pPr>
        <w:pStyle w:val="ListParagraph"/>
        <w:numPr>
          <w:ilvl w:val="0"/>
          <w:numId w:val="9"/>
        </w:numPr>
        <w:spacing w:before="0"/>
        <w:ind w:hanging="357"/>
        <w:rPr>
          <w:rFonts w:ascii="Times New Roman" w:hAnsi="Times New Roman"/>
          <w:sz w:val="24"/>
          <w:szCs w:val="24"/>
        </w:rPr>
      </w:pPr>
      <w:r>
        <w:rPr>
          <w:rFonts w:ascii="Times New Roman" w:hAnsi="Times New Roman"/>
          <w:sz w:val="24"/>
          <w:szCs w:val="24"/>
        </w:rPr>
        <w:t xml:space="preserve">work </w:t>
      </w:r>
      <w:r w:rsidR="00282500">
        <w:rPr>
          <w:rFonts w:ascii="Times New Roman" w:hAnsi="Times New Roman"/>
          <w:sz w:val="24"/>
          <w:szCs w:val="24"/>
        </w:rPr>
        <w:t xml:space="preserve">on the GTAP databases </w:t>
      </w:r>
      <w:r>
        <w:rPr>
          <w:rFonts w:ascii="Times New Roman" w:hAnsi="Times New Roman"/>
          <w:sz w:val="24"/>
          <w:szCs w:val="24"/>
        </w:rPr>
        <w:t xml:space="preserve">at both </w:t>
      </w:r>
      <w:r w:rsidR="00282500">
        <w:rPr>
          <w:rFonts w:ascii="Times New Roman" w:hAnsi="Times New Roman"/>
          <w:sz w:val="24"/>
          <w:szCs w:val="24"/>
        </w:rPr>
        <w:t xml:space="preserve">the </w:t>
      </w:r>
      <w:r>
        <w:rPr>
          <w:rFonts w:ascii="Times New Roman" w:hAnsi="Times New Roman"/>
          <w:sz w:val="24"/>
          <w:szCs w:val="24"/>
        </w:rPr>
        <w:t>macro and micro levels</w:t>
      </w:r>
      <w:r w:rsidR="00282500">
        <w:rPr>
          <w:rFonts w:ascii="Times New Roman" w:hAnsi="Times New Roman"/>
          <w:sz w:val="24"/>
          <w:szCs w:val="24"/>
        </w:rPr>
        <w:t xml:space="preserve"> guided by historical, validation and baseline simulations; and </w:t>
      </w:r>
      <w:r>
        <w:rPr>
          <w:rFonts w:ascii="Times New Roman" w:hAnsi="Times New Roman"/>
          <w:sz w:val="24"/>
          <w:szCs w:val="24"/>
        </w:rPr>
        <w:t xml:space="preserve">  </w:t>
      </w:r>
    </w:p>
    <w:p w:rsidR="006466FB" w:rsidRDefault="00EF4328" w:rsidP="00F971E7">
      <w:pPr>
        <w:pStyle w:val="ListParagraph"/>
        <w:numPr>
          <w:ilvl w:val="0"/>
          <w:numId w:val="9"/>
        </w:numPr>
        <w:spacing w:before="0"/>
        <w:ind w:hanging="357"/>
        <w:rPr>
          <w:rFonts w:ascii="Times New Roman" w:hAnsi="Times New Roman"/>
          <w:sz w:val="24"/>
          <w:szCs w:val="24"/>
        </w:rPr>
      </w:pPr>
      <w:r>
        <w:rPr>
          <w:rFonts w:ascii="Times New Roman" w:hAnsi="Times New Roman"/>
          <w:sz w:val="24"/>
          <w:szCs w:val="24"/>
        </w:rPr>
        <w:t>t</w:t>
      </w:r>
      <w:r w:rsidR="006466FB">
        <w:rPr>
          <w:rFonts w:ascii="Times New Roman" w:hAnsi="Times New Roman"/>
          <w:sz w:val="24"/>
          <w:szCs w:val="24"/>
        </w:rPr>
        <w:t>heoretical work on accumulation relationships and macro relationships more generally</w:t>
      </w:r>
      <w:r w:rsidR="00282500">
        <w:rPr>
          <w:rFonts w:ascii="Times New Roman" w:hAnsi="Times New Roman"/>
          <w:sz w:val="24"/>
          <w:szCs w:val="24"/>
        </w:rPr>
        <w:t>.</w:t>
      </w:r>
    </w:p>
    <w:p w:rsidR="00DE7AB2" w:rsidRPr="00DE7AB2" w:rsidRDefault="00F971E7" w:rsidP="00CB5068">
      <w:pPr>
        <w:ind w:left="0"/>
        <w:rPr>
          <w:rFonts w:ascii="Times New Roman" w:hAnsi="Times New Roman"/>
          <w:b/>
          <w:sz w:val="24"/>
          <w:szCs w:val="24"/>
        </w:rPr>
      </w:pPr>
      <w:r>
        <w:rPr>
          <w:rFonts w:ascii="Times New Roman" w:hAnsi="Times New Roman"/>
          <w:b/>
          <w:sz w:val="24"/>
          <w:szCs w:val="24"/>
        </w:rPr>
        <w:t>R</w:t>
      </w:r>
      <w:r w:rsidR="00DE7AB2">
        <w:rPr>
          <w:rFonts w:ascii="Times New Roman" w:hAnsi="Times New Roman"/>
          <w:b/>
          <w:sz w:val="24"/>
          <w:szCs w:val="24"/>
        </w:rPr>
        <w:t>eferences</w:t>
      </w:r>
    </w:p>
    <w:p w:rsidR="002A33BE" w:rsidRPr="001268BC" w:rsidRDefault="002A33BE" w:rsidP="002A33BE">
      <w:pPr>
        <w:ind w:left="567" w:hanging="567"/>
        <w:rPr>
          <w:rFonts w:ascii="Times New Roman" w:hAnsi="Times New Roman"/>
          <w:sz w:val="24"/>
          <w:szCs w:val="24"/>
          <w:shd w:val="clear" w:color="auto" w:fill="FFFFFF"/>
        </w:rPr>
      </w:pPr>
      <w:r w:rsidRPr="001268BC">
        <w:rPr>
          <w:rFonts w:ascii="Times New Roman" w:hAnsi="Times New Roman"/>
          <w:sz w:val="24"/>
          <w:szCs w:val="24"/>
          <w:shd w:val="clear" w:color="auto" w:fill="FFFFFF"/>
        </w:rPr>
        <w:t xml:space="preserve">Bekkers, Eddy, Alessandro Antimiani, Caitlyn Carrico, Dorothee Flaig, Lionel Fontagne, Jean Foure, Joseph Francois, Ken Itakura, Zornitsa Kutlina-Dimitrova, William Powers, Bert Saveyn, Robert Teh, Frank van Tongeren and Marinos Tsigas (2020), “Modelling Trade and Other Economic Interactions between Countries in Baseline Projections”, </w:t>
      </w:r>
      <w:r w:rsidRPr="001268BC">
        <w:rPr>
          <w:rFonts w:ascii="Times New Roman" w:hAnsi="Times New Roman"/>
          <w:i/>
          <w:sz w:val="24"/>
          <w:szCs w:val="24"/>
          <w:shd w:val="clear" w:color="auto" w:fill="FFFFFF"/>
        </w:rPr>
        <w:t>Journal of Global Economic Analysis</w:t>
      </w:r>
      <w:r w:rsidRPr="001268BC">
        <w:rPr>
          <w:rFonts w:ascii="Times New Roman" w:hAnsi="Times New Roman"/>
          <w:sz w:val="24"/>
          <w:szCs w:val="24"/>
          <w:shd w:val="clear" w:color="auto" w:fill="FFFFFF"/>
        </w:rPr>
        <w:t>, Vol. 5, No. 1, pp. 273-345.</w:t>
      </w:r>
    </w:p>
    <w:p w:rsidR="002A33BE" w:rsidRDefault="002A33BE" w:rsidP="002A33BE">
      <w:pPr>
        <w:ind w:left="567" w:hanging="567"/>
        <w:rPr>
          <w:rFonts w:ascii="Times New Roman" w:hAnsi="Times New Roman"/>
          <w:sz w:val="24"/>
          <w:szCs w:val="24"/>
          <w:shd w:val="clear" w:color="auto" w:fill="FFFFFF"/>
        </w:rPr>
      </w:pPr>
      <w:r w:rsidRPr="001268BC">
        <w:rPr>
          <w:rFonts w:ascii="Times New Roman" w:hAnsi="Times New Roman"/>
          <w:sz w:val="24"/>
          <w:szCs w:val="24"/>
          <w:shd w:val="clear" w:color="auto" w:fill="FFFFFF"/>
        </w:rPr>
        <w:t xml:space="preserve">Britz, Wolfgang and Roberto Roson (2019), “G-RDEM: A GTAP-Based Recursive Dynamic CGE Model for Long-Term Baseline Generation and Analysis”, </w:t>
      </w:r>
      <w:r w:rsidRPr="001268BC">
        <w:rPr>
          <w:rFonts w:ascii="Times New Roman" w:hAnsi="Times New Roman"/>
          <w:i/>
          <w:sz w:val="24"/>
          <w:szCs w:val="24"/>
          <w:shd w:val="clear" w:color="auto" w:fill="FFFFFF"/>
        </w:rPr>
        <w:t>Journal of Global Economic Analysis</w:t>
      </w:r>
      <w:r w:rsidRPr="001268BC">
        <w:rPr>
          <w:rFonts w:ascii="Times New Roman" w:hAnsi="Times New Roman"/>
          <w:sz w:val="24"/>
          <w:szCs w:val="24"/>
          <w:shd w:val="clear" w:color="auto" w:fill="FFFFFF"/>
        </w:rPr>
        <w:t>, Vol. 4, No. 1, pp. 50-96.</w:t>
      </w:r>
    </w:p>
    <w:p w:rsidR="00703F2C" w:rsidRPr="001268BC" w:rsidRDefault="00703F2C" w:rsidP="002A33BE">
      <w:pPr>
        <w:ind w:left="567" w:hanging="567"/>
        <w:rPr>
          <w:rFonts w:ascii="Times New Roman" w:hAnsi="Times New Roman"/>
          <w:sz w:val="24"/>
          <w:szCs w:val="24"/>
          <w:shd w:val="clear" w:color="auto" w:fill="FFFFFF"/>
        </w:rPr>
      </w:pPr>
      <w:r>
        <w:rPr>
          <w:rFonts w:ascii="Times New Roman" w:hAnsi="Times New Roman"/>
          <w:sz w:val="24"/>
          <w:szCs w:val="24"/>
          <w:shd w:val="clear" w:color="auto" w:fill="FFFFFF"/>
        </w:rPr>
        <w:t>Bruneau, G., M. Leboeuf and G. Nolin</w:t>
      </w:r>
      <w:r w:rsidR="003137E8">
        <w:rPr>
          <w:rFonts w:ascii="Times New Roman" w:hAnsi="Times New Roman"/>
          <w:sz w:val="24"/>
          <w:szCs w:val="24"/>
          <w:shd w:val="clear" w:color="auto" w:fill="FFFFFF"/>
        </w:rPr>
        <w:t xml:space="preserve"> (2017), “Canada’s International Investment Po</w:t>
      </w:r>
      <w:r w:rsidR="004C036C">
        <w:rPr>
          <w:rFonts w:ascii="Times New Roman" w:hAnsi="Times New Roman"/>
          <w:sz w:val="24"/>
          <w:szCs w:val="24"/>
          <w:shd w:val="clear" w:color="auto" w:fill="FFFFFF"/>
        </w:rPr>
        <w:t>s</w:t>
      </w:r>
      <w:r w:rsidR="003137E8">
        <w:rPr>
          <w:rFonts w:ascii="Times New Roman" w:hAnsi="Times New Roman"/>
          <w:sz w:val="24"/>
          <w:szCs w:val="24"/>
          <w:shd w:val="clear" w:color="auto" w:fill="FFFFFF"/>
        </w:rPr>
        <w:t xml:space="preserve">ition: benefits and potential vulnerabilities”, </w:t>
      </w:r>
      <w:r w:rsidR="004C036C">
        <w:rPr>
          <w:rFonts w:ascii="Times New Roman" w:hAnsi="Times New Roman"/>
          <w:sz w:val="24"/>
          <w:szCs w:val="24"/>
          <w:shd w:val="clear" w:color="auto" w:fill="FFFFFF"/>
        </w:rPr>
        <w:t>B</w:t>
      </w:r>
      <w:r w:rsidR="003137E8">
        <w:rPr>
          <w:rFonts w:ascii="Times New Roman" w:hAnsi="Times New Roman"/>
          <w:sz w:val="24"/>
          <w:szCs w:val="24"/>
          <w:shd w:val="clear" w:color="auto" w:fill="FFFFFF"/>
        </w:rPr>
        <w:t xml:space="preserve">ank of Canada, Financial System Review, June 2017, available at </w:t>
      </w:r>
      <w:hyperlink r:id="rId98" w:history="1">
        <w:r w:rsidR="003137E8" w:rsidRPr="00172415">
          <w:rPr>
            <w:rStyle w:val="Hyperlink"/>
            <w:rFonts w:ascii="Times New Roman" w:hAnsi="Times New Roman"/>
            <w:sz w:val="24"/>
            <w:szCs w:val="24"/>
            <w:shd w:val="clear" w:color="auto" w:fill="FFFFFF"/>
          </w:rPr>
          <w:t>https://www.bankofcanada.ca/wp-content/uploads/2017/06/fsr-june17-bruneau.pdf</w:t>
        </w:r>
      </w:hyperlink>
      <w:r w:rsidR="003137E8">
        <w:rPr>
          <w:rFonts w:ascii="Times New Roman" w:hAnsi="Times New Roman"/>
          <w:sz w:val="24"/>
          <w:szCs w:val="24"/>
          <w:shd w:val="clear" w:color="auto" w:fill="FFFFFF"/>
        </w:rPr>
        <w:t xml:space="preserve">  . </w:t>
      </w:r>
    </w:p>
    <w:p w:rsidR="002A33BE" w:rsidRPr="001268BC" w:rsidRDefault="002A33BE" w:rsidP="002A33BE">
      <w:pPr>
        <w:tabs>
          <w:tab w:val="left" w:pos="567"/>
          <w:tab w:val="right" w:pos="8789"/>
        </w:tabs>
        <w:ind w:left="567" w:hanging="567"/>
        <w:rPr>
          <w:rFonts w:ascii="Times New Roman" w:hAnsi="Times New Roman"/>
          <w:sz w:val="24"/>
          <w:szCs w:val="24"/>
        </w:rPr>
      </w:pPr>
      <w:r w:rsidRPr="001268BC">
        <w:rPr>
          <w:rFonts w:ascii="Times New Roman" w:hAnsi="Times New Roman"/>
          <w:sz w:val="24"/>
          <w:szCs w:val="24"/>
        </w:rPr>
        <w:t xml:space="preserve">Dixon, P.B. and M.T. Rimmer (2002), </w:t>
      </w:r>
      <w:r w:rsidRPr="001268BC">
        <w:rPr>
          <w:rFonts w:ascii="Times New Roman" w:hAnsi="Times New Roman"/>
          <w:i/>
          <w:sz w:val="24"/>
          <w:szCs w:val="24"/>
        </w:rPr>
        <w:t xml:space="preserve">Dynamic General Equilibrium Modelling for Forecasting and Policy: a Practical Guide and Documentation of MONASH, </w:t>
      </w:r>
      <w:r w:rsidRPr="001268BC">
        <w:rPr>
          <w:rFonts w:ascii="Times New Roman" w:hAnsi="Times New Roman"/>
          <w:sz w:val="24"/>
          <w:szCs w:val="24"/>
        </w:rPr>
        <w:t xml:space="preserve">Contributions to Economic Analysis 256, North-Holland Publishing Company, pp. xiv+338. </w:t>
      </w:r>
    </w:p>
    <w:p w:rsidR="002A33BE" w:rsidRDefault="002A33BE" w:rsidP="002A33BE">
      <w:pPr>
        <w:ind w:left="567" w:hanging="567"/>
        <w:rPr>
          <w:rFonts w:ascii="Times New Roman" w:hAnsi="Times New Roman"/>
          <w:sz w:val="24"/>
          <w:szCs w:val="24"/>
        </w:rPr>
      </w:pPr>
      <w:r>
        <w:rPr>
          <w:rFonts w:ascii="Times New Roman" w:hAnsi="Times New Roman"/>
          <w:sz w:val="24"/>
          <w:szCs w:val="24"/>
        </w:rPr>
        <w:t>Dixon, P.B. and M. T. Rimmer (2023a), “</w:t>
      </w:r>
      <w:r w:rsidRPr="004B6CF8">
        <w:rPr>
          <w:rFonts w:ascii="Times New Roman" w:hAnsi="Times New Roman"/>
          <w:sz w:val="24"/>
          <w:szCs w:val="24"/>
        </w:rPr>
        <w:t xml:space="preserve">What do GTAP </w:t>
      </w:r>
      <w:r>
        <w:rPr>
          <w:rFonts w:ascii="Times New Roman" w:hAnsi="Times New Roman"/>
          <w:sz w:val="24"/>
          <w:szCs w:val="24"/>
        </w:rPr>
        <w:t>d</w:t>
      </w:r>
      <w:r w:rsidRPr="004B6CF8">
        <w:rPr>
          <w:rFonts w:ascii="Times New Roman" w:hAnsi="Times New Roman"/>
          <w:sz w:val="24"/>
          <w:szCs w:val="24"/>
        </w:rPr>
        <w:t xml:space="preserve">atabases </w:t>
      </w:r>
      <w:r>
        <w:rPr>
          <w:rFonts w:ascii="Times New Roman" w:hAnsi="Times New Roman"/>
          <w:sz w:val="24"/>
          <w:szCs w:val="24"/>
        </w:rPr>
        <w:t>t</w:t>
      </w:r>
      <w:r w:rsidRPr="004B6CF8">
        <w:rPr>
          <w:rFonts w:ascii="Times New Roman" w:hAnsi="Times New Roman"/>
          <w:sz w:val="24"/>
          <w:szCs w:val="24"/>
        </w:rPr>
        <w:t xml:space="preserve">ell </w:t>
      </w:r>
      <w:r>
        <w:rPr>
          <w:rFonts w:ascii="Times New Roman" w:hAnsi="Times New Roman"/>
          <w:sz w:val="24"/>
          <w:szCs w:val="24"/>
        </w:rPr>
        <w:t>u</w:t>
      </w:r>
      <w:r w:rsidRPr="004B6CF8">
        <w:rPr>
          <w:rFonts w:ascii="Times New Roman" w:hAnsi="Times New Roman"/>
          <w:sz w:val="24"/>
          <w:szCs w:val="24"/>
        </w:rPr>
        <w:t xml:space="preserve">s </w:t>
      </w:r>
      <w:r>
        <w:rPr>
          <w:rFonts w:ascii="Times New Roman" w:hAnsi="Times New Roman"/>
          <w:sz w:val="24"/>
          <w:szCs w:val="24"/>
        </w:rPr>
        <w:t>a</w:t>
      </w:r>
      <w:r w:rsidRPr="004B6CF8">
        <w:rPr>
          <w:rFonts w:ascii="Times New Roman" w:hAnsi="Times New Roman"/>
          <w:sz w:val="24"/>
          <w:szCs w:val="24"/>
        </w:rPr>
        <w:t xml:space="preserve">bout </w:t>
      </w:r>
      <w:r>
        <w:rPr>
          <w:rFonts w:ascii="Times New Roman" w:hAnsi="Times New Roman"/>
          <w:sz w:val="24"/>
          <w:szCs w:val="24"/>
        </w:rPr>
        <w:t>t</w:t>
      </w:r>
      <w:r w:rsidRPr="004B6CF8">
        <w:rPr>
          <w:rFonts w:ascii="Times New Roman" w:hAnsi="Times New Roman"/>
          <w:sz w:val="24"/>
          <w:szCs w:val="24"/>
        </w:rPr>
        <w:t xml:space="preserve">echnologies </w:t>
      </w:r>
      <w:r>
        <w:rPr>
          <w:rFonts w:ascii="Times New Roman" w:hAnsi="Times New Roman"/>
          <w:sz w:val="24"/>
          <w:szCs w:val="24"/>
        </w:rPr>
        <w:t>f</w:t>
      </w:r>
      <w:r w:rsidRPr="004B6CF8">
        <w:rPr>
          <w:rFonts w:ascii="Times New Roman" w:hAnsi="Times New Roman"/>
          <w:sz w:val="24"/>
          <w:szCs w:val="24"/>
        </w:rPr>
        <w:t xml:space="preserve">or </w:t>
      </w:r>
      <w:r>
        <w:rPr>
          <w:rFonts w:ascii="Times New Roman" w:hAnsi="Times New Roman"/>
          <w:sz w:val="24"/>
          <w:szCs w:val="24"/>
        </w:rPr>
        <w:t>i</w:t>
      </w:r>
      <w:r w:rsidRPr="004B6CF8">
        <w:rPr>
          <w:rFonts w:ascii="Times New Roman" w:hAnsi="Times New Roman"/>
          <w:sz w:val="24"/>
          <w:szCs w:val="24"/>
        </w:rPr>
        <w:t xml:space="preserve">ndustries and </w:t>
      </w:r>
      <w:r>
        <w:rPr>
          <w:rFonts w:ascii="Times New Roman" w:hAnsi="Times New Roman"/>
          <w:sz w:val="24"/>
          <w:szCs w:val="24"/>
        </w:rPr>
        <w:t>r</w:t>
      </w:r>
      <w:r w:rsidRPr="004B6CF8">
        <w:rPr>
          <w:rFonts w:ascii="Times New Roman" w:hAnsi="Times New Roman"/>
          <w:sz w:val="24"/>
          <w:szCs w:val="24"/>
        </w:rPr>
        <w:t>egions?</w:t>
      </w:r>
      <w:r>
        <w:rPr>
          <w:rFonts w:ascii="Times New Roman" w:hAnsi="Times New Roman"/>
          <w:sz w:val="24"/>
          <w:szCs w:val="24"/>
        </w:rPr>
        <w:t xml:space="preserve">”, </w:t>
      </w:r>
      <w:r w:rsidRPr="00672B50">
        <w:rPr>
          <w:rFonts w:ascii="Times New Roman" w:hAnsi="Times New Roman"/>
          <w:sz w:val="24"/>
          <w:szCs w:val="24"/>
        </w:rPr>
        <w:t>CoPS Working Paper No. G-340, June</w:t>
      </w:r>
      <w:r>
        <w:rPr>
          <w:rFonts w:ascii="Times New Roman" w:hAnsi="Times New Roman"/>
          <w:sz w:val="24"/>
          <w:szCs w:val="24"/>
        </w:rPr>
        <w:t xml:space="preserve">, available at </w:t>
      </w:r>
      <w:hyperlink r:id="rId99" w:history="1">
        <w:r w:rsidRPr="006A5D60">
          <w:rPr>
            <w:rStyle w:val="Hyperlink"/>
            <w:rFonts w:ascii="Times New Roman" w:hAnsi="Times New Roman"/>
            <w:sz w:val="24"/>
            <w:szCs w:val="24"/>
          </w:rPr>
          <w:t>https://www.copsmodels.com/ftp/workpapr/g-340.pdf</w:t>
        </w:r>
      </w:hyperlink>
      <w:r>
        <w:rPr>
          <w:rFonts w:ascii="Times New Roman" w:hAnsi="Times New Roman"/>
          <w:sz w:val="24"/>
          <w:szCs w:val="24"/>
        </w:rPr>
        <w:t xml:space="preserve"> .</w:t>
      </w:r>
      <w:r w:rsidRPr="00672B50">
        <w:rPr>
          <w:rFonts w:ascii="Times New Roman" w:hAnsi="Times New Roman"/>
          <w:sz w:val="24"/>
          <w:szCs w:val="24"/>
        </w:rPr>
        <w:t xml:space="preserve"> </w:t>
      </w:r>
    </w:p>
    <w:p w:rsidR="002A33BE" w:rsidRDefault="002A33BE" w:rsidP="002A33BE">
      <w:pPr>
        <w:ind w:left="567" w:hanging="567"/>
        <w:rPr>
          <w:rFonts w:ascii="Times New Roman" w:hAnsi="Times New Roman"/>
          <w:sz w:val="24"/>
          <w:szCs w:val="24"/>
        </w:rPr>
      </w:pPr>
      <w:r>
        <w:rPr>
          <w:rFonts w:ascii="Times New Roman" w:hAnsi="Times New Roman"/>
          <w:sz w:val="24"/>
          <w:szCs w:val="24"/>
        </w:rPr>
        <w:t>Dixon, P.B. and M. T. Rimmer (2023b), “</w:t>
      </w:r>
      <w:r w:rsidRPr="00BA789C">
        <w:rPr>
          <w:rFonts w:ascii="Times New Roman" w:hAnsi="Times New Roman"/>
          <w:sz w:val="24"/>
          <w:szCs w:val="24"/>
        </w:rPr>
        <w:t>Baseline validation with the GTAP model: an initial effort?</w:t>
      </w:r>
      <w:r>
        <w:rPr>
          <w:rFonts w:ascii="Times New Roman" w:hAnsi="Times New Roman"/>
          <w:sz w:val="24"/>
          <w:szCs w:val="24"/>
        </w:rPr>
        <w:t xml:space="preserve">”, Report to USITC and WTO, May 1, pp.36, available from the authors.  </w:t>
      </w:r>
    </w:p>
    <w:p w:rsidR="008F23C4" w:rsidRDefault="008F23C4" w:rsidP="008F23C4">
      <w:pPr>
        <w:ind w:left="567" w:hanging="567"/>
        <w:rPr>
          <w:rStyle w:val="reflink-block"/>
          <w:rFonts w:ascii="Times New Roman" w:hAnsi="Times New Roman"/>
          <w:sz w:val="24"/>
          <w:szCs w:val="24"/>
        </w:rPr>
      </w:pPr>
      <w:r w:rsidRPr="001268BC">
        <w:rPr>
          <w:rFonts w:ascii="Times New Roman" w:hAnsi="Times New Roman"/>
          <w:sz w:val="24"/>
          <w:szCs w:val="24"/>
        </w:rPr>
        <w:t xml:space="preserve">Evans, </w:t>
      </w:r>
      <w:r w:rsidRPr="001268BC">
        <w:rPr>
          <w:rStyle w:val="nlmgiven-names"/>
          <w:rFonts w:ascii="Times New Roman" w:hAnsi="Times New Roman"/>
          <w:sz w:val="24"/>
          <w:szCs w:val="24"/>
        </w:rPr>
        <w:t>H.D.</w:t>
      </w:r>
      <w:r w:rsidRPr="001268BC">
        <w:rPr>
          <w:rFonts w:ascii="Times New Roman" w:hAnsi="Times New Roman"/>
          <w:sz w:val="24"/>
          <w:szCs w:val="24"/>
        </w:rPr>
        <w:t xml:space="preserve"> (</w:t>
      </w:r>
      <w:r w:rsidRPr="001268BC">
        <w:rPr>
          <w:rStyle w:val="nlmyear"/>
          <w:rFonts w:ascii="Times New Roman" w:hAnsi="Times New Roman"/>
          <w:sz w:val="24"/>
          <w:szCs w:val="24"/>
        </w:rPr>
        <w:t>1972</w:t>
      </w:r>
      <w:r w:rsidRPr="001268BC">
        <w:rPr>
          <w:rFonts w:ascii="Times New Roman" w:hAnsi="Times New Roman"/>
          <w:sz w:val="24"/>
          <w:szCs w:val="24"/>
        </w:rPr>
        <w:t xml:space="preserve">),  </w:t>
      </w:r>
      <w:r w:rsidRPr="001268BC">
        <w:rPr>
          <w:rFonts w:ascii="Times New Roman" w:hAnsi="Times New Roman"/>
          <w:i/>
          <w:iCs/>
          <w:sz w:val="24"/>
          <w:szCs w:val="24"/>
        </w:rPr>
        <w:t>A General Equilibrium Analysis of Protection: The Effects of Protection in Australia</w:t>
      </w:r>
      <w:r w:rsidRPr="001268BC">
        <w:rPr>
          <w:rFonts w:ascii="Times New Roman" w:hAnsi="Times New Roman"/>
          <w:sz w:val="24"/>
          <w:szCs w:val="24"/>
        </w:rPr>
        <w:t xml:space="preserve">, Contributions to Economic Analysis 76. </w:t>
      </w:r>
      <w:r w:rsidRPr="001268BC">
        <w:rPr>
          <w:rStyle w:val="nlmpublisher-loc"/>
          <w:rFonts w:ascii="Times New Roman" w:hAnsi="Times New Roman"/>
          <w:sz w:val="24"/>
          <w:szCs w:val="24"/>
        </w:rPr>
        <w:t>Amsterdam</w:t>
      </w:r>
      <w:r w:rsidRPr="001268BC">
        <w:rPr>
          <w:rFonts w:ascii="Times New Roman" w:hAnsi="Times New Roman"/>
          <w:sz w:val="24"/>
          <w:szCs w:val="24"/>
        </w:rPr>
        <w:t xml:space="preserve">: </w:t>
      </w:r>
      <w:r w:rsidRPr="001268BC">
        <w:rPr>
          <w:rStyle w:val="nlmpublisher-name"/>
          <w:rFonts w:ascii="Times New Roman" w:hAnsi="Times New Roman"/>
          <w:sz w:val="24"/>
          <w:szCs w:val="24"/>
        </w:rPr>
        <w:t>North-Holland Publishing Company</w:t>
      </w:r>
      <w:r w:rsidRPr="001268BC">
        <w:rPr>
          <w:rFonts w:ascii="Times New Roman" w:hAnsi="Times New Roman"/>
          <w:sz w:val="24"/>
          <w:szCs w:val="24"/>
        </w:rPr>
        <w:t xml:space="preserve">. pp. </w:t>
      </w:r>
      <w:r w:rsidRPr="001268BC">
        <w:rPr>
          <w:rStyle w:val="nlmfpage"/>
          <w:rFonts w:ascii="Times New Roman" w:hAnsi="Times New Roman"/>
          <w:sz w:val="24"/>
          <w:szCs w:val="24"/>
        </w:rPr>
        <w:t>xv + 216</w:t>
      </w:r>
      <w:r w:rsidRPr="001268BC">
        <w:rPr>
          <w:rFonts w:ascii="Times New Roman" w:hAnsi="Times New Roman"/>
          <w:sz w:val="24"/>
          <w:szCs w:val="24"/>
        </w:rPr>
        <w:t>.</w:t>
      </w:r>
      <w:r w:rsidRPr="001268BC">
        <w:rPr>
          <w:rStyle w:val="reflink-block"/>
          <w:rFonts w:ascii="Times New Roman" w:hAnsi="Times New Roman"/>
          <w:sz w:val="24"/>
          <w:szCs w:val="24"/>
        </w:rPr>
        <w:t xml:space="preserve"> </w:t>
      </w:r>
    </w:p>
    <w:p w:rsidR="00B4063D" w:rsidRPr="00B4063D" w:rsidRDefault="00B4063D" w:rsidP="008F23C4">
      <w:pPr>
        <w:ind w:left="567" w:hanging="567"/>
        <w:rPr>
          <w:rStyle w:val="reflink-block"/>
          <w:rFonts w:ascii="Times New Roman" w:hAnsi="Times New Roman"/>
          <w:sz w:val="24"/>
          <w:szCs w:val="24"/>
        </w:rPr>
      </w:pPr>
      <w:r w:rsidRPr="00B4063D">
        <w:rPr>
          <w:rFonts w:ascii="Times New Roman" w:hAnsi="Times New Roman"/>
          <w:color w:val="333333"/>
          <w:sz w:val="24"/>
          <w:szCs w:val="24"/>
          <w:shd w:val="clear" w:color="auto" w:fill="FFFFFF"/>
        </w:rPr>
        <w:t>Horridge J.M., Jerie M., Mustakinov D. &amp; Schiffmann F. (2018), GEMPACK manual, GEMPACK Software, ISBN 978-1-921654-34-3</w:t>
      </w:r>
      <w:r>
        <w:rPr>
          <w:rFonts w:ascii="Times New Roman" w:hAnsi="Times New Roman"/>
          <w:color w:val="333333"/>
          <w:sz w:val="24"/>
          <w:szCs w:val="24"/>
          <w:shd w:val="clear" w:color="auto" w:fill="FFFFFF"/>
        </w:rPr>
        <w:t xml:space="preserve">.  </w:t>
      </w:r>
    </w:p>
    <w:p w:rsidR="008F23C4" w:rsidRPr="00E71393" w:rsidRDefault="00CF0D6B" w:rsidP="00F971E7">
      <w:pPr>
        <w:ind w:left="567" w:hanging="567"/>
        <w:rPr>
          <w:rFonts w:ascii="Times New Roman" w:hAnsi="Times New Roman"/>
          <w:sz w:val="24"/>
          <w:szCs w:val="24"/>
          <w:shd w:val="clear" w:color="auto" w:fill="FFFFFF"/>
        </w:rPr>
      </w:pPr>
      <w:r>
        <w:rPr>
          <w:rStyle w:val="reflink-block"/>
          <w:rFonts w:ascii="Times New Roman" w:hAnsi="Times New Roman"/>
          <w:sz w:val="24"/>
          <w:szCs w:val="24"/>
        </w:rPr>
        <w:t xml:space="preserve">Zangwill, W.I. and C.B. Garcia (1981), </w:t>
      </w:r>
      <w:r>
        <w:rPr>
          <w:rStyle w:val="reflink-block"/>
          <w:rFonts w:ascii="Times New Roman" w:hAnsi="Times New Roman"/>
          <w:i/>
          <w:sz w:val="24"/>
          <w:szCs w:val="24"/>
        </w:rPr>
        <w:t>Pathways to solutions, fixed points, and equilibria</w:t>
      </w:r>
      <w:r>
        <w:rPr>
          <w:rStyle w:val="reflink-block"/>
          <w:rFonts w:ascii="Times New Roman" w:hAnsi="Times New Roman"/>
          <w:sz w:val="24"/>
          <w:szCs w:val="24"/>
        </w:rPr>
        <w:t xml:space="preserve">, Englewood Cliffs: Prentice Hall.  </w:t>
      </w:r>
    </w:p>
    <w:p w:rsidR="00E36C91" w:rsidRDefault="00E36C91" w:rsidP="0059134D">
      <w:pPr>
        <w:rPr>
          <w:rFonts w:ascii="Times New Roman" w:hAnsi="Times New Roman"/>
          <w:sz w:val="24"/>
          <w:szCs w:val="24"/>
        </w:rPr>
        <w:sectPr w:rsidR="00E36C91" w:rsidSect="00E36C91">
          <w:pgSz w:w="11906" w:h="16838"/>
          <w:pgMar w:top="1440" w:right="1440" w:bottom="1440" w:left="1440" w:header="708" w:footer="708" w:gutter="0"/>
          <w:cols w:space="708"/>
          <w:docGrid w:linePitch="360"/>
        </w:sectPr>
      </w:pPr>
    </w:p>
    <w:p w:rsidR="007D266E" w:rsidRPr="002C5CEB" w:rsidRDefault="002C5CEB">
      <w:pPr>
        <w:rPr>
          <w:rFonts w:ascii="Times New Roman" w:hAnsi="Times New Roman"/>
          <w:b/>
          <w:sz w:val="24"/>
          <w:szCs w:val="24"/>
        </w:rPr>
      </w:pPr>
      <w:r>
        <w:rPr>
          <w:rFonts w:ascii="Times New Roman" w:hAnsi="Times New Roman"/>
          <w:b/>
          <w:sz w:val="24"/>
          <w:szCs w:val="24"/>
        </w:rPr>
        <w:lastRenderedPageBreak/>
        <w:t>Appendix 1.  Notes on data</w:t>
      </w:r>
    </w:p>
    <w:p w:rsidR="002C5CEB" w:rsidRDefault="002C5CEB" w:rsidP="002C5CEB">
      <w:pPr>
        <w:ind w:left="0"/>
        <w:rPr>
          <w:rFonts w:ascii="Times New Roman" w:hAnsi="Times New Roman"/>
          <w:b/>
          <w:i/>
          <w:sz w:val="24"/>
          <w:szCs w:val="24"/>
        </w:rPr>
      </w:pPr>
      <w:r w:rsidRPr="002C5CEB">
        <w:rPr>
          <w:rFonts w:ascii="Times New Roman" w:hAnsi="Times New Roman"/>
          <w:b/>
          <w:i/>
          <w:sz w:val="24"/>
          <w:szCs w:val="24"/>
        </w:rPr>
        <w:t>Capital stocks</w:t>
      </w:r>
    </w:p>
    <w:p w:rsidR="002C5CEB" w:rsidRDefault="002C5CEB" w:rsidP="002C5CEB">
      <w:pPr>
        <w:ind w:left="0"/>
        <w:rPr>
          <w:rFonts w:ascii="Times New Roman" w:hAnsi="Times New Roman"/>
          <w:sz w:val="24"/>
          <w:szCs w:val="24"/>
        </w:rPr>
      </w:pPr>
      <w:r>
        <w:rPr>
          <w:rFonts w:ascii="Times New Roman" w:hAnsi="Times New Roman"/>
          <w:sz w:val="24"/>
          <w:szCs w:val="24"/>
        </w:rPr>
        <w:t>Column (1)</w:t>
      </w:r>
      <w:r w:rsidR="00DB0467">
        <w:rPr>
          <w:rFonts w:ascii="Times New Roman" w:hAnsi="Times New Roman"/>
          <w:sz w:val="24"/>
          <w:szCs w:val="24"/>
        </w:rPr>
        <w:t xml:space="preserve"> in</w:t>
      </w:r>
      <w:r>
        <w:rPr>
          <w:rFonts w:ascii="Times New Roman" w:hAnsi="Times New Roman"/>
          <w:sz w:val="24"/>
          <w:szCs w:val="24"/>
        </w:rPr>
        <w:t xml:space="preserve"> Table A1.1 shows the average annual growth rates in capital stocks that we used in our historical simulation for 2004 to 2014 (Dixon and Rimmer, 2023a).  This was based on Penn data for capital services in constant national prices.  Similarly, columns (2) and (3) are based on Penn data for capital services in constant national prices.</w:t>
      </w:r>
    </w:p>
    <w:p w:rsidR="002C5CEB" w:rsidRDefault="002C5CEB" w:rsidP="002C5CEB">
      <w:pPr>
        <w:ind w:left="0"/>
        <w:rPr>
          <w:rFonts w:ascii="Times New Roman" w:hAnsi="Times New Roman"/>
          <w:sz w:val="24"/>
          <w:szCs w:val="24"/>
        </w:rPr>
      </w:pPr>
      <w:r>
        <w:rPr>
          <w:rFonts w:ascii="Times New Roman" w:hAnsi="Times New Roman"/>
          <w:sz w:val="24"/>
          <w:szCs w:val="24"/>
        </w:rPr>
        <w:t>Column (2)</w:t>
      </w:r>
      <w:r w:rsidR="00DB0467">
        <w:rPr>
          <w:rFonts w:ascii="Times New Roman" w:hAnsi="Times New Roman"/>
          <w:sz w:val="24"/>
          <w:szCs w:val="24"/>
        </w:rPr>
        <w:t xml:space="preserve"> in</w:t>
      </w:r>
      <w:r>
        <w:rPr>
          <w:rFonts w:ascii="Times New Roman" w:hAnsi="Times New Roman"/>
          <w:sz w:val="24"/>
          <w:szCs w:val="24"/>
        </w:rPr>
        <w:t xml:space="preserve"> Table A1.1 shows the average annual growth in capital stocks from 2004 to 2014 calculated from the latest Penn data (PWT1001.xlsx downloaded from </w:t>
      </w:r>
      <w:hyperlink r:id="rId100" w:history="1">
        <w:r w:rsidRPr="00EE688A">
          <w:rPr>
            <w:rStyle w:val="Hyperlink"/>
            <w:rFonts w:ascii="Times New Roman" w:hAnsi="Times New Roman"/>
            <w:sz w:val="18"/>
            <w:szCs w:val="18"/>
          </w:rPr>
          <w:t>https://www.rug.nl/ggdc/productivity/pwt/?lang=en</w:t>
        </w:r>
      </w:hyperlink>
      <w:r>
        <w:rPr>
          <w:rFonts w:ascii="Times New Roman" w:hAnsi="Times New Roman"/>
          <w:sz w:val="24"/>
          <w:szCs w:val="24"/>
        </w:rPr>
        <w:t xml:space="preserve">  on July 3, 2023.  We processed the data for the rkna variable in PWT.tab in c:\dixon\consult\ITC\2023\WTO ).  Comparison of columns (1) and (2) shows that the Penn data have been significantly revised.  Revisions are described in the Penn documentation but it is impractical for us to revise our 2004-14 historical simulation.  In any case, the revisions depend on adoption by Penn of new theory of doubtful relevance for our historical simulation.  </w:t>
      </w:r>
    </w:p>
    <w:p w:rsidR="002C5CEB" w:rsidRDefault="002C5CEB" w:rsidP="002C5CEB">
      <w:pPr>
        <w:ind w:left="0"/>
        <w:rPr>
          <w:rFonts w:ascii="Times New Roman" w:hAnsi="Times New Roman"/>
          <w:sz w:val="24"/>
          <w:szCs w:val="24"/>
        </w:rPr>
      </w:pPr>
      <w:r>
        <w:rPr>
          <w:rFonts w:ascii="Times New Roman" w:hAnsi="Times New Roman"/>
          <w:sz w:val="24"/>
          <w:szCs w:val="24"/>
        </w:rPr>
        <w:t>Column (3)</w:t>
      </w:r>
      <w:r w:rsidR="00DB0467">
        <w:rPr>
          <w:rFonts w:ascii="Times New Roman" w:hAnsi="Times New Roman"/>
          <w:sz w:val="24"/>
          <w:szCs w:val="24"/>
        </w:rPr>
        <w:t xml:space="preserve"> in</w:t>
      </w:r>
      <w:r>
        <w:rPr>
          <w:rFonts w:ascii="Times New Roman" w:hAnsi="Times New Roman"/>
          <w:sz w:val="24"/>
          <w:szCs w:val="24"/>
        </w:rPr>
        <w:t xml:space="preserve"> Table A1.1 shows the average annual growth in capital stocks from 2014 to 2019 calculated for all regions except RoW from the latest Penn data.  We use these data to represent average annual changes in capital stocks from start of 2014 to start of 2019.  We calculated the RoEU numbers by aggregating </w:t>
      </w:r>
      <w:r w:rsidR="00DB0467">
        <w:rPr>
          <w:rFonts w:ascii="Times New Roman" w:hAnsi="Times New Roman"/>
          <w:sz w:val="24"/>
          <w:szCs w:val="24"/>
        </w:rPr>
        <w:t>over</w:t>
      </w:r>
      <w:r>
        <w:rPr>
          <w:rFonts w:ascii="Times New Roman" w:hAnsi="Times New Roman"/>
          <w:sz w:val="24"/>
          <w:szCs w:val="24"/>
        </w:rPr>
        <w:t xml:space="preserve"> 25</w:t>
      </w:r>
      <w:r w:rsidR="00BE4775">
        <w:rPr>
          <w:rFonts w:ascii="Times New Roman" w:hAnsi="Times New Roman"/>
          <w:sz w:val="24"/>
          <w:szCs w:val="24"/>
        </w:rPr>
        <w:t xml:space="preserve"> </w:t>
      </w:r>
      <w:r>
        <w:rPr>
          <w:rFonts w:ascii="Times New Roman" w:hAnsi="Times New Roman"/>
          <w:sz w:val="24"/>
          <w:szCs w:val="24"/>
        </w:rPr>
        <w:t>EU countries (EU27 less France and Germany).  We used percentage changes in rkna with rnna weights.  The entry for RoW in column at (3) was derived by extrapolating capital growth in our 2014-17 validation simulation (see Dixon and Rimmer, 2023</w:t>
      </w:r>
      <w:r w:rsidR="00BE4775">
        <w:rPr>
          <w:rFonts w:ascii="Times New Roman" w:hAnsi="Times New Roman"/>
          <w:sz w:val="24"/>
          <w:szCs w:val="24"/>
        </w:rPr>
        <w:t>b</w:t>
      </w:r>
      <w:r>
        <w:rPr>
          <w:rFonts w:ascii="Times New Roman" w:hAnsi="Times New Roman"/>
          <w:sz w:val="24"/>
          <w:szCs w:val="24"/>
        </w:rPr>
        <w:t>).</w:t>
      </w:r>
    </w:p>
    <w:p w:rsidR="002C5CEB" w:rsidRPr="002C6525" w:rsidRDefault="002C5CEB" w:rsidP="002C5CEB">
      <w:pPr>
        <w:jc w:val="center"/>
        <w:rPr>
          <w:rFonts w:ascii="Times New Roman" w:hAnsi="Times New Roman"/>
          <w:b/>
          <w:i/>
          <w:sz w:val="24"/>
          <w:szCs w:val="24"/>
        </w:rPr>
      </w:pPr>
      <w:r w:rsidRPr="002C6525">
        <w:rPr>
          <w:rFonts w:ascii="Times New Roman" w:hAnsi="Times New Roman"/>
          <w:b/>
          <w:i/>
          <w:sz w:val="24"/>
          <w:szCs w:val="24"/>
        </w:rPr>
        <w:t xml:space="preserve">Table </w:t>
      </w:r>
      <w:r>
        <w:rPr>
          <w:rFonts w:ascii="Times New Roman" w:hAnsi="Times New Roman"/>
          <w:b/>
          <w:i/>
          <w:sz w:val="24"/>
          <w:szCs w:val="24"/>
        </w:rPr>
        <w:t>A</w:t>
      </w:r>
      <w:r w:rsidRPr="002C6525">
        <w:rPr>
          <w:rFonts w:ascii="Times New Roman" w:hAnsi="Times New Roman"/>
          <w:b/>
          <w:i/>
          <w:sz w:val="24"/>
          <w:szCs w:val="24"/>
        </w:rPr>
        <w:t>1.</w:t>
      </w:r>
      <w:r>
        <w:rPr>
          <w:rFonts w:ascii="Times New Roman" w:hAnsi="Times New Roman"/>
          <w:b/>
          <w:i/>
          <w:sz w:val="24"/>
          <w:szCs w:val="24"/>
        </w:rPr>
        <w:t>1.</w:t>
      </w:r>
      <w:r w:rsidRPr="002C6525">
        <w:rPr>
          <w:rFonts w:ascii="Times New Roman" w:hAnsi="Times New Roman"/>
          <w:b/>
          <w:i/>
          <w:sz w:val="24"/>
          <w:szCs w:val="24"/>
        </w:rPr>
        <w:t xml:space="preserve">  </w:t>
      </w:r>
      <w:r>
        <w:rPr>
          <w:rFonts w:ascii="Times New Roman" w:hAnsi="Times New Roman"/>
          <w:b/>
          <w:i/>
          <w:sz w:val="24"/>
          <w:szCs w:val="24"/>
        </w:rPr>
        <w:t>Average annual percentage growth in capital</w:t>
      </w:r>
    </w:p>
    <w:tbl>
      <w:tblPr>
        <w:tblW w:w="0" w:type="auto"/>
        <w:tblInd w:w="993" w:type="dxa"/>
        <w:tblLook w:val="04A0" w:firstRow="1" w:lastRow="0" w:firstColumn="1" w:lastColumn="0" w:noHBand="0" w:noVBand="1"/>
      </w:tblPr>
      <w:tblGrid>
        <w:gridCol w:w="1135"/>
        <w:gridCol w:w="1559"/>
        <w:gridCol w:w="1701"/>
        <w:gridCol w:w="1559"/>
      </w:tblGrid>
      <w:tr w:rsidR="0083655D" w:rsidRPr="00C600BB" w:rsidTr="00C600BB">
        <w:tc>
          <w:tcPr>
            <w:tcW w:w="1135" w:type="dxa"/>
            <w:tcBorders>
              <w:top w:val="single" w:sz="18" w:space="0" w:color="7F7F7F"/>
            </w:tcBorders>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p>
        </w:tc>
        <w:tc>
          <w:tcPr>
            <w:tcW w:w="1559" w:type="dxa"/>
            <w:tcBorders>
              <w:top w:val="single" w:sz="18" w:space="0" w:color="7F7F7F"/>
            </w:tcBorders>
            <w:shd w:val="clear" w:color="auto" w:fill="auto"/>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 xml:space="preserve">2004-2014 old </w:t>
            </w:r>
          </w:p>
        </w:tc>
        <w:tc>
          <w:tcPr>
            <w:tcW w:w="1701" w:type="dxa"/>
            <w:tcBorders>
              <w:top w:val="single" w:sz="18" w:space="0" w:color="7F7F7F"/>
            </w:tcBorders>
            <w:shd w:val="clear" w:color="auto" w:fill="auto"/>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2004-2014 new</w:t>
            </w:r>
          </w:p>
        </w:tc>
        <w:tc>
          <w:tcPr>
            <w:tcW w:w="1559" w:type="dxa"/>
            <w:tcBorders>
              <w:top w:val="single" w:sz="18" w:space="0" w:color="7F7F7F"/>
            </w:tcBorders>
            <w:shd w:val="clear" w:color="auto" w:fill="auto"/>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2014-19</w:t>
            </w:r>
          </w:p>
        </w:tc>
      </w:tr>
      <w:tr w:rsidR="0083655D" w:rsidRPr="00C600BB" w:rsidTr="00C600BB">
        <w:tc>
          <w:tcPr>
            <w:tcW w:w="1135" w:type="dxa"/>
            <w:tcBorders>
              <w:bottom w:val="single" w:sz="18" w:space="0" w:color="7F7F7F"/>
            </w:tcBorders>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p>
        </w:tc>
        <w:tc>
          <w:tcPr>
            <w:tcW w:w="1559" w:type="dxa"/>
            <w:tcBorders>
              <w:bottom w:val="single" w:sz="18" w:space="0" w:color="7F7F7F"/>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w:t>
            </w:r>
          </w:p>
        </w:tc>
        <w:tc>
          <w:tcPr>
            <w:tcW w:w="1701" w:type="dxa"/>
            <w:tcBorders>
              <w:bottom w:val="single" w:sz="18" w:space="0" w:color="7F7F7F"/>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w:t>
            </w:r>
          </w:p>
        </w:tc>
        <w:tc>
          <w:tcPr>
            <w:tcW w:w="1559" w:type="dxa"/>
            <w:tcBorders>
              <w:bottom w:val="single" w:sz="18" w:space="0" w:color="7F7F7F"/>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(3)</w:t>
            </w:r>
          </w:p>
        </w:tc>
      </w:tr>
      <w:tr w:rsidR="0083655D" w:rsidRPr="00C600BB" w:rsidTr="00C600BB">
        <w:tc>
          <w:tcPr>
            <w:tcW w:w="1135" w:type="dxa"/>
            <w:tcBorders>
              <w:top w:val="single" w:sz="18" w:space="0" w:color="7F7F7F"/>
            </w:tcBorders>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1 USA</w:t>
            </w:r>
          </w:p>
        </w:tc>
        <w:tc>
          <w:tcPr>
            <w:tcW w:w="1559" w:type="dxa"/>
            <w:tcBorders>
              <w:top w:val="single" w:sz="18" w:space="0" w:color="7F7F7F"/>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2.51</w:t>
            </w:r>
          </w:p>
        </w:tc>
        <w:tc>
          <w:tcPr>
            <w:tcW w:w="1701" w:type="dxa"/>
            <w:tcBorders>
              <w:top w:val="single" w:sz="18" w:space="0" w:color="7F7F7F"/>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2.38</w:t>
            </w:r>
          </w:p>
        </w:tc>
        <w:tc>
          <w:tcPr>
            <w:tcW w:w="1559" w:type="dxa"/>
            <w:tcBorders>
              <w:top w:val="single" w:sz="18" w:space="0" w:color="7F7F7F"/>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2.13</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2 CAN</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2.82</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3.43</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2.20</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3 MEX</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3.57</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2.93</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2.44</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4 CHN</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12.07</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11.46</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9.10</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5 JPN</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1.05</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0.89</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0.94</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6 KOR</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4.75</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4.91</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4.01</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7 IND</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9.93</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9.16</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6.91</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8 FRA</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2.20</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2.07</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1.98</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9 DEU</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1.55</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1.51</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1.73</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10 UK</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1.87</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1.96</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2.22</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11 RoEU</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2.35</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2.27</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1.96</w:t>
            </w:r>
          </w:p>
        </w:tc>
      </w:tr>
      <w:tr w:rsidR="0083655D" w:rsidRPr="00C600BB" w:rsidTr="00C600BB">
        <w:tc>
          <w:tcPr>
            <w:tcW w:w="1135" w:type="dxa"/>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12 SA</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7.83</w:t>
            </w:r>
          </w:p>
        </w:tc>
        <w:tc>
          <w:tcPr>
            <w:tcW w:w="1701"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9.53</w:t>
            </w:r>
          </w:p>
        </w:tc>
        <w:tc>
          <w:tcPr>
            <w:tcW w:w="1559" w:type="dxa"/>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5.35</w:t>
            </w:r>
          </w:p>
        </w:tc>
      </w:tr>
      <w:tr w:rsidR="0083655D" w:rsidRPr="00C600BB" w:rsidTr="00C600BB">
        <w:tc>
          <w:tcPr>
            <w:tcW w:w="1135" w:type="dxa"/>
            <w:tcBorders>
              <w:bottom w:val="single" w:sz="18" w:space="0" w:color="auto"/>
            </w:tcBorders>
            <w:shd w:val="clear" w:color="auto" w:fill="auto"/>
            <w:vAlign w:val="bottom"/>
          </w:tcPr>
          <w:p w:rsidR="002C5CEB" w:rsidRPr="00C600BB" w:rsidRDefault="002C5CEB" w:rsidP="00C600BB">
            <w:pPr>
              <w:spacing w:before="0" w:line="240" w:lineRule="auto"/>
              <w:ind w:left="0"/>
              <w:rPr>
                <w:rFonts w:ascii="Times New Roman" w:hAnsi="Times New Roman"/>
                <w:sz w:val="18"/>
                <w:szCs w:val="18"/>
              </w:rPr>
            </w:pPr>
            <w:r w:rsidRPr="00C600BB">
              <w:rPr>
                <w:rFonts w:ascii="Times New Roman" w:hAnsi="Times New Roman"/>
                <w:sz w:val="18"/>
                <w:szCs w:val="18"/>
              </w:rPr>
              <w:t>13 RoW</w:t>
            </w:r>
          </w:p>
        </w:tc>
        <w:tc>
          <w:tcPr>
            <w:tcW w:w="1559" w:type="dxa"/>
            <w:tcBorders>
              <w:bottom w:val="single" w:sz="18" w:space="0" w:color="auto"/>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4.00</w:t>
            </w:r>
          </w:p>
        </w:tc>
        <w:tc>
          <w:tcPr>
            <w:tcW w:w="1701" w:type="dxa"/>
            <w:tcBorders>
              <w:bottom w:val="single" w:sz="18" w:space="0" w:color="auto"/>
            </w:tcBorders>
            <w:shd w:val="clear" w:color="auto" w:fill="auto"/>
            <w:vAlign w:val="bottom"/>
          </w:tcPr>
          <w:p w:rsidR="002C5CEB" w:rsidRPr="00C600BB" w:rsidRDefault="002C5CEB" w:rsidP="00C600BB">
            <w:pPr>
              <w:spacing w:before="0"/>
              <w:ind w:left="0"/>
              <w:jc w:val="right"/>
              <w:rPr>
                <w:rFonts w:ascii="Times New Roman" w:hAnsi="Times New Roman"/>
                <w:i/>
                <w:sz w:val="18"/>
                <w:szCs w:val="18"/>
              </w:rPr>
            </w:pPr>
            <w:r w:rsidRPr="00C600BB">
              <w:rPr>
                <w:rFonts w:ascii="Times New Roman" w:hAnsi="Times New Roman"/>
                <w:i/>
                <w:sz w:val="18"/>
                <w:szCs w:val="18"/>
              </w:rPr>
              <w:t>NA</w:t>
            </w:r>
          </w:p>
        </w:tc>
        <w:tc>
          <w:tcPr>
            <w:tcW w:w="1559" w:type="dxa"/>
            <w:tcBorders>
              <w:bottom w:val="single" w:sz="18" w:space="0" w:color="auto"/>
            </w:tcBorders>
            <w:shd w:val="clear" w:color="auto" w:fill="auto"/>
            <w:vAlign w:val="bottom"/>
          </w:tcPr>
          <w:p w:rsidR="002C5CEB" w:rsidRPr="00C600BB" w:rsidRDefault="002C5CEB" w:rsidP="00C600BB">
            <w:pPr>
              <w:spacing w:before="0" w:line="240" w:lineRule="auto"/>
              <w:ind w:left="0"/>
              <w:jc w:val="right"/>
              <w:rPr>
                <w:rFonts w:ascii="Times New Roman" w:hAnsi="Times New Roman"/>
                <w:sz w:val="18"/>
                <w:szCs w:val="18"/>
              </w:rPr>
            </w:pPr>
            <w:r w:rsidRPr="00C600BB">
              <w:rPr>
                <w:rFonts w:ascii="Times New Roman" w:hAnsi="Times New Roman"/>
                <w:sz w:val="18"/>
                <w:szCs w:val="18"/>
              </w:rPr>
              <w:t>3.54</w:t>
            </w:r>
          </w:p>
        </w:tc>
      </w:tr>
    </w:tbl>
    <w:p w:rsidR="00BE4775" w:rsidRDefault="00BE4775" w:rsidP="002C5CEB">
      <w:pPr>
        <w:ind w:left="0"/>
        <w:rPr>
          <w:rFonts w:ascii="Times New Roman" w:hAnsi="Times New Roman"/>
          <w:b/>
          <w:i/>
          <w:sz w:val="24"/>
          <w:szCs w:val="24"/>
        </w:rPr>
      </w:pPr>
    </w:p>
    <w:p w:rsidR="002C5CEB" w:rsidRPr="00BE4775" w:rsidRDefault="002C5CEB" w:rsidP="002C5CEB">
      <w:pPr>
        <w:ind w:left="0"/>
        <w:rPr>
          <w:rFonts w:ascii="Times New Roman" w:hAnsi="Times New Roman"/>
          <w:b/>
          <w:i/>
          <w:sz w:val="24"/>
          <w:szCs w:val="24"/>
        </w:rPr>
      </w:pPr>
      <w:r w:rsidRPr="00BE4775">
        <w:rPr>
          <w:rFonts w:ascii="Times New Roman" w:hAnsi="Times New Roman"/>
          <w:b/>
          <w:i/>
          <w:sz w:val="24"/>
          <w:szCs w:val="24"/>
        </w:rPr>
        <w:t>GDP and expenditure components</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Table </w:t>
      </w:r>
      <w:r w:rsidR="00BE4775">
        <w:rPr>
          <w:rFonts w:ascii="Times New Roman" w:hAnsi="Times New Roman"/>
          <w:sz w:val="24"/>
          <w:szCs w:val="24"/>
        </w:rPr>
        <w:t>A1.2a</w:t>
      </w:r>
      <w:r>
        <w:rPr>
          <w:rFonts w:ascii="Times New Roman" w:hAnsi="Times New Roman"/>
          <w:sz w:val="24"/>
          <w:szCs w:val="24"/>
        </w:rPr>
        <w:t xml:space="preserve"> shows GDP and its expenditure components in $US billion </w:t>
      </w:r>
      <w:r w:rsidR="00BE4775">
        <w:rPr>
          <w:rFonts w:ascii="Times New Roman" w:hAnsi="Times New Roman"/>
          <w:sz w:val="24"/>
          <w:szCs w:val="24"/>
        </w:rPr>
        <w:t xml:space="preserve">at </w:t>
      </w:r>
      <w:r>
        <w:rPr>
          <w:rFonts w:ascii="Times New Roman" w:hAnsi="Times New Roman"/>
          <w:sz w:val="24"/>
          <w:szCs w:val="24"/>
        </w:rPr>
        <w:t>current prices.  These data were extracted from OECD stats (</w:t>
      </w:r>
      <w:hyperlink r:id="rId101" w:history="1">
        <w:r w:rsidRPr="002A53E8">
          <w:rPr>
            <w:rStyle w:val="Hyperlink"/>
            <w:rFonts w:ascii="Times New Roman" w:hAnsi="Times New Roman"/>
            <w:sz w:val="24"/>
            <w:szCs w:val="24"/>
          </w:rPr>
          <w:t>https://stats.oecd.org/</w:t>
        </w:r>
      </w:hyperlink>
      <w:r>
        <w:rPr>
          <w:rFonts w:ascii="Times New Roman" w:hAnsi="Times New Roman"/>
          <w:sz w:val="24"/>
          <w:szCs w:val="24"/>
        </w:rPr>
        <w:t xml:space="preserve"> ).  We understand that OECD derives these data from national sources and converts to $US using average exchange rates through a year.  Data marked 2021 for India are actually for 2020.  The add</w:t>
      </w:r>
      <w:r w:rsidR="00BE4775">
        <w:rPr>
          <w:rFonts w:ascii="Times New Roman" w:hAnsi="Times New Roman"/>
          <w:sz w:val="24"/>
          <w:szCs w:val="24"/>
        </w:rPr>
        <w:t>-</w:t>
      </w:r>
      <w:r>
        <w:rPr>
          <w:rFonts w:ascii="Times New Roman" w:hAnsi="Times New Roman"/>
          <w:sz w:val="24"/>
          <w:szCs w:val="24"/>
        </w:rPr>
        <w:t xml:space="preserve">up rows differ from the GDP rows because of statistical discrepancies.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Our interest is mainly in 2014-19.  The statistical discrepancies for these two years are generally small except for Mexico.  For Mexico the discrepancy in 2014 is 1.23 per cent of </w:t>
      </w:r>
      <w:r>
        <w:rPr>
          <w:rFonts w:ascii="Times New Roman" w:hAnsi="Times New Roman"/>
          <w:sz w:val="24"/>
          <w:szCs w:val="24"/>
        </w:rPr>
        <w:lastRenderedPageBreak/>
        <w:t xml:space="preserve">GDP.  In 2019, it is 2.84 per cent of GDP.  In our simulation for 2014-19, we effectively eliminate statistical discrepancies by allowing the model to calculate GDP by adding up observed expenditure movements.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Table </w:t>
      </w:r>
      <w:r w:rsidR="00BE4775">
        <w:rPr>
          <w:rFonts w:ascii="Times New Roman" w:hAnsi="Times New Roman"/>
          <w:sz w:val="24"/>
          <w:szCs w:val="24"/>
        </w:rPr>
        <w:t>A1.2b</w:t>
      </w:r>
      <w:r>
        <w:rPr>
          <w:rFonts w:ascii="Times New Roman" w:hAnsi="Times New Roman"/>
          <w:sz w:val="24"/>
          <w:szCs w:val="24"/>
        </w:rPr>
        <w:t xml:space="preserve"> shows GDP and its expenditure components in $US billion </w:t>
      </w:r>
      <w:r w:rsidR="00BE4775">
        <w:rPr>
          <w:rFonts w:ascii="Times New Roman" w:hAnsi="Times New Roman"/>
          <w:sz w:val="24"/>
          <w:szCs w:val="24"/>
        </w:rPr>
        <w:t xml:space="preserve">at </w:t>
      </w:r>
      <w:r>
        <w:rPr>
          <w:rFonts w:ascii="Times New Roman" w:hAnsi="Times New Roman"/>
          <w:sz w:val="24"/>
          <w:szCs w:val="24"/>
        </w:rPr>
        <w:t>constant 2015 prices, also extracted from OECD stats (</w:t>
      </w:r>
      <w:hyperlink r:id="rId102" w:history="1">
        <w:r w:rsidRPr="002A53E8">
          <w:rPr>
            <w:rStyle w:val="Hyperlink"/>
            <w:rFonts w:ascii="Times New Roman" w:hAnsi="Times New Roman"/>
            <w:sz w:val="24"/>
            <w:szCs w:val="24"/>
          </w:rPr>
          <w:t>https://stats.oecd.org/</w:t>
        </w:r>
      </w:hyperlink>
      <w:r>
        <w:rPr>
          <w:rFonts w:ascii="Times New Roman" w:hAnsi="Times New Roman"/>
          <w:sz w:val="24"/>
          <w:szCs w:val="24"/>
        </w:rPr>
        <w:t xml:space="preserve"> ).  Again, the data marked 2021 for India are actually for 2020.  The statistical discrepancies for 2014 are generally small.  However for India in 2019 the statistical discrepancy is 2.81 per cent of GDP.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Tables </w:t>
      </w:r>
      <w:r w:rsidR="00011150">
        <w:rPr>
          <w:rFonts w:ascii="Times New Roman" w:hAnsi="Times New Roman"/>
          <w:sz w:val="24"/>
          <w:szCs w:val="24"/>
        </w:rPr>
        <w:t>A1.3</w:t>
      </w:r>
      <w:r>
        <w:rPr>
          <w:rFonts w:ascii="Times New Roman" w:hAnsi="Times New Roman"/>
          <w:sz w:val="24"/>
          <w:szCs w:val="24"/>
        </w:rPr>
        <w:t xml:space="preserve">a and </w:t>
      </w:r>
      <w:r w:rsidR="00011150">
        <w:rPr>
          <w:rFonts w:ascii="Times New Roman" w:hAnsi="Times New Roman"/>
          <w:sz w:val="24"/>
          <w:szCs w:val="24"/>
        </w:rPr>
        <w:t>A1.3b</w:t>
      </w:r>
      <w:r>
        <w:rPr>
          <w:rFonts w:ascii="Times New Roman" w:hAnsi="Times New Roman"/>
          <w:sz w:val="24"/>
          <w:szCs w:val="24"/>
        </w:rPr>
        <w:t xml:space="preserve"> show percentage changes calculated from Tables </w:t>
      </w:r>
      <w:r w:rsidR="00011150">
        <w:rPr>
          <w:rFonts w:ascii="Times New Roman" w:hAnsi="Times New Roman"/>
          <w:sz w:val="24"/>
          <w:szCs w:val="24"/>
        </w:rPr>
        <w:t>A1.2</w:t>
      </w:r>
      <w:r>
        <w:rPr>
          <w:rFonts w:ascii="Times New Roman" w:hAnsi="Times New Roman"/>
          <w:sz w:val="24"/>
          <w:szCs w:val="24"/>
        </w:rPr>
        <w:t xml:space="preserve">a and </w:t>
      </w:r>
      <w:r w:rsidR="00011150">
        <w:rPr>
          <w:rFonts w:ascii="Times New Roman" w:hAnsi="Times New Roman"/>
          <w:sz w:val="24"/>
          <w:szCs w:val="24"/>
        </w:rPr>
        <w:t>A1.2b</w:t>
      </w:r>
      <w:r>
        <w:rPr>
          <w:rFonts w:ascii="Times New Roman" w:hAnsi="Times New Roman"/>
          <w:sz w:val="24"/>
          <w:szCs w:val="24"/>
        </w:rPr>
        <w:t>.  Table</w:t>
      </w:r>
      <w:r w:rsidR="00011150">
        <w:rPr>
          <w:rFonts w:ascii="Times New Roman" w:hAnsi="Times New Roman"/>
          <w:sz w:val="24"/>
          <w:szCs w:val="24"/>
        </w:rPr>
        <w:t xml:space="preserve"> A1.4</w:t>
      </w:r>
      <w:r w:rsidR="00385F88">
        <w:rPr>
          <w:rFonts w:ascii="Times New Roman" w:hAnsi="Times New Roman"/>
          <w:sz w:val="24"/>
          <w:szCs w:val="24"/>
        </w:rPr>
        <w:t>old</w:t>
      </w:r>
      <w:r>
        <w:rPr>
          <w:rFonts w:ascii="Times New Roman" w:hAnsi="Times New Roman"/>
          <w:sz w:val="24"/>
          <w:szCs w:val="24"/>
        </w:rPr>
        <w:t xml:space="preserve"> is re-produced from our earlier work.  As a check, we compared Table </w:t>
      </w:r>
      <w:r w:rsidR="00385F88">
        <w:rPr>
          <w:rFonts w:ascii="Times New Roman" w:hAnsi="Times New Roman"/>
          <w:sz w:val="24"/>
          <w:szCs w:val="24"/>
        </w:rPr>
        <w:t>1.4</w:t>
      </w:r>
      <w:r>
        <w:rPr>
          <w:rFonts w:ascii="Times New Roman" w:hAnsi="Times New Roman"/>
          <w:sz w:val="24"/>
          <w:szCs w:val="24"/>
        </w:rPr>
        <w:t xml:space="preserve">old with the 2004-14 panels </w:t>
      </w:r>
      <w:r w:rsidR="00385F88">
        <w:rPr>
          <w:rFonts w:ascii="Times New Roman" w:hAnsi="Times New Roman"/>
          <w:sz w:val="24"/>
          <w:szCs w:val="24"/>
        </w:rPr>
        <w:t>in A1.3</w:t>
      </w:r>
      <w:r>
        <w:rPr>
          <w:rFonts w:ascii="Times New Roman" w:hAnsi="Times New Roman"/>
          <w:sz w:val="24"/>
          <w:szCs w:val="24"/>
        </w:rPr>
        <w:t xml:space="preserve">a and </w:t>
      </w:r>
      <w:r w:rsidR="00385F88">
        <w:rPr>
          <w:rFonts w:ascii="Times New Roman" w:hAnsi="Times New Roman"/>
          <w:sz w:val="24"/>
          <w:szCs w:val="24"/>
        </w:rPr>
        <w:t>A1.3</w:t>
      </w:r>
      <w:r>
        <w:rPr>
          <w:rFonts w:ascii="Times New Roman" w:hAnsi="Times New Roman"/>
          <w:sz w:val="24"/>
          <w:szCs w:val="24"/>
        </w:rPr>
        <w:t xml:space="preserve">b.  The check revealed that we incorrectly recorded data for real movements for Germany in Table </w:t>
      </w:r>
      <w:r w:rsidR="00385F88">
        <w:rPr>
          <w:rFonts w:ascii="Times New Roman" w:hAnsi="Times New Roman"/>
          <w:sz w:val="24"/>
          <w:szCs w:val="24"/>
        </w:rPr>
        <w:t>1.4</w:t>
      </w:r>
      <w:r>
        <w:rPr>
          <w:rFonts w:ascii="Times New Roman" w:hAnsi="Times New Roman"/>
          <w:sz w:val="24"/>
          <w:szCs w:val="24"/>
        </w:rPr>
        <w:t xml:space="preserve">old, but this didn’t affect our historical simulation.  The nominal </w:t>
      </w:r>
      <w:r w:rsidR="00484014">
        <w:rPr>
          <w:rFonts w:ascii="Times New Roman" w:hAnsi="Times New Roman"/>
          <w:sz w:val="24"/>
          <w:szCs w:val="24"/>
        </w:rPr>
        <w:t xml:space="preserve">value </w:t>
      </w:r>
      <w:r>
        <w:rPr>
          <w:rFonts w:ascii="Times New Roman" w:hAnsi="Times New Roman"/>
          <w:sz w:val="24"/>
          <w:szCs w:val="24"/>
        </w:rPr>
        <w:t xml:space="preserve">for government expenditure in China now increases by 479 per cent revised up from 413 per cent in Table </w:t>
      </w:r>
      <w:r w:rsidR="00385F88">
        <w:rPr>
          <w:rFonts w:ascii="Times New Roman" w:hAnsi="Times New Roman"/>
          <w:sz w:val="24"/>
          <w:szCs w:val="24"/>
        </w:rPr>
        <w:t>1.4</w:t>
      </w:r>
      <w:r>
        <w:rPr>
          <w:rFonts w:ascii="Times New Roman" w:hAnsi="Times New Roman"/>
          <w:sz w:val="24"/>
          <w:szCs w:val="24"/>
        </w:rPr>
        <w:t xml:space="preserve">old.  This seems to be a genuine revision.  Apart from that, the new numbers for 2004-14 are closely compatible with the old numbers.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We deduced the RoEU numbers as differences between OECD data for EU27 and the data for France and Germany.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The RoW numbers in the 2014-19 panel of Table </w:t>
      </w:r>
      <w:r w:rsidR="00385F88">
        <w:rPr>
          <w:rFonts w:ascii="Times New Roman" w:hAnsi="Times New Roman"/>
          <w:sz w:val="24"/>
          <w:szCs w:val="24"/>
        </w:rPr>
        <w:t>A1.3</w:t>
      </w:r>
      <w:r>
        <w:rPr>
          <w:rFonts w:ascii="Times New Roman" w:hAnsi="Times New Roman"/>
          <w:sz w:val="24"/>
          <w:szCs w:val="24"/>
        </w:rPr>
        <w:t xml:space="preserve">b were derived by extrapolation from our 2014-17 validation simulation.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We impose the numbers in bottom panel of Table </w:t>
      </w:r>
      <w:r w:rsidR="00385F88">
        <w:rPr>
          <w:rFonts w:ascii="Times New Roman" w:hAnsi="Times New Roman"/>
          <w:sz w:val="24"/>
          <w:szCs w:val="24"/>
        </w:rPr>
        <w:t>1.3b</w:t>
      </w:r>
      <w:r>
        <w:rPr>
          <w:rFonts w:ascii="Times New Roman" w:hAnsi="Times New Roman"/>
          <w:sz w:val="24"/>
          <w:szCs w:val="24"/>
        </w:rPr>
        <w:t xml:space="preserve"> in our 2014-19 simulation.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 </w:t>
      </w:r>
    </w:p>
    <w:p w:rsidR="002C5CEB" w:rsidRDefault="002C5CEB" w:rsidP="002C5CEB">
      <w:pPr>
        <w:ind w:left="0"/>
        <w:rPr>
          <w:rFonts w:ascii="Times New Roman" w:hAnsi="Times New Roman"/>
          <w:sz w:val="24"/>
          <w:szCs w:val="24"/>
        </w:rPr>
        <w:sectPr w:rsidR="002C5CEB">
          <w:headerReference w:type="even" r:id="rId103"/>
          <w:headerReference w:type="default" r:id="rId104"/>
          <w:footerReference w:type="even" r:id="rId105"/>
          <w:footerReference w:type="default" r:id="rId106"/>
          <w:headerReference w:type="first" r:id="rId107"/>
          <w:footerReference w:type="first" r:id="rId108"/>
          <w:pgSz w:w="11906" w:h="16838"/>
          <w:pgMar w:top="1440" w:right="1440" w:bottom="1440" w:left="1440" w:header="708" w:footer="708" w:gutter="0"/>
          <w:cols w:space="708"/>
          <w:docGrid w:linePitch="360"/>
        </w:sectPr>
      </w:pPr>
    </w:p>
    <w:p w:rsidR="002C5CEB" w:rsidRPr="00E538E0" w:rsidRDefault="002C5CEB" w:rsidP="002C5CEB">
      <w:pPr>
        <w:ind w:left="0"/>
        <w:jc w:val="center"/>
        <w:rPr>
          <w:rFonts w:ascii="Times New Roman" w:hAnsi="Times New Roman"/>
          <w:b/>
          <w:i/>
          <w:sz w:val="24"/>
          <w:szCs w:val="24"/>
        </w:rPr>
      </w:pPr>
      <w:r w:rsidRPr="00E538E0">
        <w:rPr>
          <w:rFonts w:ascii="Times New Roman" w:hAnsi="Times New Roman"/>
          <w:b/>
          <w:i/>
          <w:sz w:val="24"/>
          <w:szCs w:val="24"/>
        </w:rPr>
        <w:lastRenderedPageBreak/>
        <w:t xml:space="preserve">Table </w:t>
      </w:r>
      <w:r w:rsidR="00BE4775">
        <w:rPr>
          <w:rFonts w:ascii="Times New Roman" w:hAnsi="Times New Roman"/>
          <w:b/>
          <w:i/>
          <w:sz w:val="24"/>
          <w:szCs w:val="24"/>
        </w:rPr>
        <w:t>A1</w:t>
      </w:r>
      <w:r>
        <w:rPr>
          <w:rFonts w:ascii="Times New Roman" w:hAnsi="Times New Roman"/>
          <w:b/>
          <w:i/>
          <w:sz w:val="24"/>
          <w:szCs w:val="24"/>
        </w:rPr>
        <w:t>.</w:t>
      </w:r>
      <w:r w:rsidR="00BE4775">
        <w:rPr>
          <w:rFonts w:ascii="Times New Roman" w:hAnsi="Times New Roman"/>
          <w:b/>
          <w:i/>
          <w:sz w:val="24"/>
          <w:szCs w:val="24"/>
        </w:rPr>
        <w:t>2</w:t>
      </w:r>
      <w:r w:rsidRPr="00E538E0">
        <w:rPr>
          <w:rFonts w:ascii="Times New Roman" w:hAnsi="Times New Roman"/>
          <w:b/>
          <w:i/>
          <w:sz w:val="24"/>
          <w:szCs w:val="24"/>
        </w:rPr>
        <w:t xml:space="preserve">a.  GDP and </w:t>
      </w:r>
      <w:r>
        <w:rPr>
          <w:rFonts w:ascii="Times New Roman" w:hAnsi="Times New Roman"/>
          <w:b/>
          <w:i/>
          <w:sz w:val="24"/>
          <w:szCs w:val="24"/>
        </w:rPr>
        <w:t>expenditure components in $US billion, current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862"/>
        <w:gridCol w:w="876"/>
        <w:gridCol w:w="866"/>
        <w:gridCol w:w="866"/>
        <w:gridCol w:w="869"/>
        <w:gridCol w:w="869"/>
        <w:gridCol w:w="869"/>
        <w:gridCol w:w="869"/>
        <w:gridCol w:w="866"/>
        <w:gridCol w:w="867"/>
        <w:gridCol w:w="866"/>
        <w:gridCol w:w="869"/>
        <w:gridCol w:w="949"/>
        <w:gridCol w:w="859"/>
        <w:gridCol w:w="869"/>
      </w:tblGrid>
      <w:tr w:rsidR="0083655D" w:rsidRPr="00C600BB" w:rsidTr="00C600BB">
        <w:tc>
          <w:tcPr>
            <w:tcW w:w="857" w:type="dxa"/>
            <w:shd w:val="clear" w:color="auto" w:fill="auto"/>
            <w:vAlign w:val="bottom"/>
          </w:tcPr>
          <w:p w:rsidR="002C5CEB" w:rsidRPr="00C600BB" w:rsidRDefault="002C5CEB" w:rsidP="00C600BB">
            <w:pPr>
              <w:spacing w:before="0" w:line="240" w:lineRule="auto"/>
            </w:pPr>
          </w:p>
        </w:tc>
        <w:tc>
          <w:tcPr>
            <w:tcW w:w="862" w:type="dxa"/>
            <w:shd w:val="clear" w:color="auto" w:fill="auto"/>
          </w:tcPr>
          <w:p w:rsidR="002C5CEB" w:rsidRPr="00C600BB" w:rsidRDefault="002C5CEB" w:rsidP="00C600BB">
            <w:pPr>
              <w:spacing w:before="0" w:line="240" w:lineRule="auto"/>
              <w:jc w:val="right"/>
              <w:rPr>
                <w:sz w:val="20"/>
                <w:szCs w:val="20"/>
              </w:rPr>
            </w:pPr>
          </w:p>
        </w:tc>
        <w:tc>
          <w:tcPr>
            <w:tcW w:w="87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USA</w:t>
            </w:r>
          </w:p>
        </w:tc>
        <w:tc>
          <w:tcPr>
            <w:tcW w:w="86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Canada</w:t>
            </w:r>
          </w:p>
        </w:tc>
        <w:tc>
          <w:tcPr>
            <w:tcW w:w="86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Mexico</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China</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Japan</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SKorea</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India</w:t>
            </w:r>
          </w:p>
        </w:tc>
        <w:tc>
          <w:tcPr>
            <w:tcW w:w="866"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lang w:val="en-US"/>
              </w:rPr>
              <w:t>France</w:t>
            </w:r>
          </w:p>
        </w:tc>
        <w:tc>
          <w:tcPr>
            <w:tcW w:w="867"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Germany</w:t>
            </w:r>
          </w:p>
        </w:tc>
        <w:tc>
          <w:tcPr>
            <w:tcW w:w="86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UK</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RoEU</w:t>
            </w:r>
          </w:p>
        </w:tc>
        <w:tc>
          <w:tcPr>
            <w:tcW w:w="94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Saudi Arabia</w:t>
            </w:r>
          </w:p>
        </w:tc>
        <w:tc>
          <w:tcPr>
            <w:tcW w:w="85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RoW</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rPr>
              <w:t>EU27</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2004</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12217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1026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782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1955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4893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694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2120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2814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2423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6470</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11404</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8232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534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2678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409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404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1146</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1580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1580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3595</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6320</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1852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867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530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471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1287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2305</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2767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818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1255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464</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429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1515</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51</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2538</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1176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607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626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291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561</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1005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581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2534</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132</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4100</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1811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532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859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639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2461</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62</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3859</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12217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1026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775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1949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4893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710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2120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2814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2423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6470</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11404</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2014</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17551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1806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1315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10476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4897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1484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2043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2856</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3889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3065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8907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756</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15653</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11848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1008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866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3845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2822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741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1188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1551</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2078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1980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4938</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243</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8567</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2566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366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1657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976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689</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762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609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1866</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3316</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3647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449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4800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1226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442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700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649</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1740</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3181</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2377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573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419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2524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853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710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469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847</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1774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870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4527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355</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7148</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2887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589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435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2261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980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635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530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880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1517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4163</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255</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6560</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17551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1806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1299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10566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4897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1484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2040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2856</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3889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3065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8907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756</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15653</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2019</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21381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1744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1269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14280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5118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1651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2851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2729</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3888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2857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9077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804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15694</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14393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1007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824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5605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2792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803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1738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1463</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2021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1838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4839</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310</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8323</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3009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360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2395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1021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627</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787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1815</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192</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3229</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4558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402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6176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1320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520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862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665</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860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522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2082</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3607</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2538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493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2641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894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649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533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862</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1815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893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5057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286</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7734</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3117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590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496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2476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909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602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606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888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1595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4716</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7199</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21381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1744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1234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14341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5118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1651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2838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2729</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3888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2857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9077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804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15694</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2021</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23315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2001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1273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17820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5006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1811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2672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2958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4260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3122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9977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834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17194</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15903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1089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831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6805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2679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836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1624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1558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2098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1892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5104</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346</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8759</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3354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438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2817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1072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717</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943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699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2123</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3783</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4920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476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7688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1281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581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745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740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992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571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2279</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4012</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2540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619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523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3554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911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761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871</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2003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900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5790</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290</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8665</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3401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620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3091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696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510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929</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1777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5320</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203</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8025</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23315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2002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1223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17772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5006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1810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2682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2958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4260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3123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9977</w:t>
            </w: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834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17194</w:t>
            </w:r>
          </w:p>
        </w:tc>
      </w:tr>
    </w:tbl>
    <w:p w:rsidR="002C5CEB" w:rsidRDefault="002C5CEB" w:rsidP="002C5CEB">
      <w:pPr>
        <w:ind w:left="0"/>
        <w:rPr>
          <w:rFonts w:ascii="Times New Roman" w:hAnsi="Times New Roman"/>
          <w:sz w:val="24"/>
          <w:szCs w:val="24"/>
        </w:rPr>
      </w:pPr>
    </w:p>
    <w:p w:rsidR="002C5CEB" w:rsidRDefault="002C5CEB" w:rsidP="002C5CEB">
      <w:pPr>
        <w:ind w:left="0"/>
        <w:rPr>
          <w:rFonts w:ascii="Times New Roman" w:hAnsi="Times New Roman"/>
          <w:sz w:val="24"/>
          <w:szCs w:val="24"/>
        </w:rPr>
      </w:pPr>
    </w:p>
    <w:p w:rsidR="002C5CEB" w:rsidRDefault="002C5CEB" w:rsidP="002C5CEB">
      <w:pPr>
        <w:ind w:left="0"/>
        <w:jc w:val="center"/>
        <w:rPr>
          <w:rFonts w:ascii="Times New Roman" w:hAnsi="Times New Roman"/>
          <w:sz w:val="24"/>
          <w:szCs w:val="24"/>
        </w:rPr>
      </w:pPr>
      <w:r w:rsidRPr="00E538E0">
        <w:rPr>
          <w:rFonts w:ascii="Times New Roman" w:hAnsi="Times New Roman"/>
          <w:b/>
          <w:i/>
          <w:sz w:val="24"/>
          <w:szCs w:val="24"/>
        </w:rPr>
        <w:lastRenderedPageBreak/>
        <w:t xml:space="preserve">Table </w:t>
      </w:r>
      <w:r w:rsidR="00BE4775">
        <w:rPr>
          <w:rFonts w:ascii="Times New Roman" w:hAnsi="Times New Roman"/>
          <w:b/>
          <w:i/>
          <w:sz w:val="24"/>
          <w:szCs w:val="24"/>
        </w:rPr>
        <w:t>A1.2</w:t>
      </w:r>
      <w:r>
        <w:rPr>
          <w:rFonts w:ascii="Times New Roman" w:hAnsi="Times New Roman"/>
          <w:b/>
          <w:i/>
          <w:sz w:val="24"/>
          <w:szCs w:val="24"/>
        </w:rPr>
        <w:t>b</w:t>
      </w:r>
      <w:r w:rsidRPr="00E538E0">
        <w:rPr>
          <w:rFonts w:ascii="Times New Roman" w:hAnsi="Times New Roman"/>
          <w:b/>
          <w:i/>
          <w:sz w:val="24"/>
          <w:szCs w:val="24"/>
        </w:rPr>
        <w:t xml:space="preserve">.  GDP and </w:t>
      </w:r>
      <w:r>
        <w:rPr>
          <w:rFonts w:ascii="Times New Roman" w:hAnsi="Times New Roman"/>
          <w:b/>
          <w:i/>
          <w:sz w:val="24"/>
          <w:szCs w:val="24"/>
        </w:rPr>
        <w:t>expenditure components in national currencies, 2015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862"/>
        <w:gridCol w:w="876"/>
        <w:gridCol w:w="866"/>
        <w:gridCol w:w="866"/>
        <w:gridCol w:w="869"/>
        <w:gridCol w:w="869"/>
        <w:gridCol w:w="869"/>
        <w:gridCol w:w="869"/>
        <w:gridCol w:w="866"/>
        <w:gridCol w:w="867"/>
        <w:gridCol w:w="866"/>
        <w:gridCol w:w="869"/>
        <w:gridCol w:w="949"/>
        <w:gridCol w:w="859"/>
        <w:gridCol w:w="869"/>
      </w:tblGrid>
      <w:tr w:rsidR="0083655D" w:rsidRPr="00C600BB" w:rsidTr="00C600BB">
        <w:tc>
          <w:tcPr>
            <w:tcW w:w="857" w:type="dxa"/>
            <w:shd w:val="clear" w:color="auto" w:fill="auto"/>
            <w:vAlign w:val="bottom"/>
          </w:tcPr>
          <w:p w:rsidR="002C5CEB" w:rsidRPr="00C600BB" w:rsidRDefault="002C5CEB" w:rsidP="00C600BB">
            <w:pPr>
              <w:spacing w:before="0" w:line="240" w:lineRule="auto"/>
            </w:pPr>
          </w:p>
        </w:tc>
        <w:tc>
          <w:tcPr>
            <w:tcW w:w="862" w:type="dxa"/>
            <w:shd w:val="clear" w:color="auto" w:fill="auto"/>
          </w:tcPr>
          <w:p w:rsidR="002C5CEB" w:rsidRPr="00C600BB" w:rsidRDefault="002C5CEB" w:rsidP="00C600BB">
            <w:pPr>
              <w:spacing w:before="0" w:line="240" w:lineRule="auto"/>
              <w:jc w:val="right"/>
              <w:rPr>
                <w:sz w:val="20"/>
                <w:szCs w:val="20"/>
              </w:rPr>
            </w:pPr>
          </w:p>
        </w:tc>
        <w:tc>
          <w:tcPr>
            <w:tcW w:w="87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USA</w:t>
            </w:r>
          </w:p>
        </w:tc>
        <w:tc>
          <w:tcPr>
            <w:tcW w:w="86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Canada</w:t>
            </w:r>
          </w:p>
        </w:tc>
        <w:tc>
          <w:tcPr>
            <w:tcW w:w="86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Mexico</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China</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Japan</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SKorea</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India</w:t>
            </w:r>
          </w:p>
        </w:tc>
        <w:tc>
          <w:tcPr>
            <w:tcW w:w="866"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lang w:val="en-US"/>
              </w:rPr>
              <w:t>France</w:t>
            </w:r>
          </w:p>
        </w:tc>
        <w:tc>
          <w:tcPr>
            <w:tcW w:w="867"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Germany</w:t>
            </w:r>
          </w:p>
        </w:tc>
        <w:tc>
          <w:tcPr>
            <w:tcW w:w="866"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UK</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RoEU</w:t>
            </w:r>
          </w:p>
        </w:tc>
        <w:tc>
          <w:tcPr>
            <w:tcW w:w="949" w:type="dxa"/>
            <w:shd w:val="clear" w:color="auto" w:fill="auto"/>
          </w:tcPr>
          <w:p w:rsidR="002C5CEB" w:rsidRPr="00C600BB" w:rsidRDefault="002C5CEB" w:rsidP="00C600BB">
            <w:pPr>
              <w:spacing w:before="0" w:line="240" w:lineRule="auto"/>
              <w:jc w:val="right"/>
              <w:rPr>
                <w:rFonts w:ascii="Times New Roman" w:hAnsi="Times New Roman"/>
                <w:sz w:val="20"/>
                <w:szCs w:val="20"/>
                <w:lang w:val="en-US"/>
              </w:rPr>
            </w:pPr>
            <w:r w:rsidRPr="00C600BB">
              <w:rPr>
                <w:rFonts w:ascii="Times New Roman" w:hAnsi="Times New Roman"/>
                <w:sz w:val="20"/>
                <w:szCs w:val="20"/>
                <w:lang w:val="en-US"/>
              </w:rPr>
              <w:t>Saudi</w:t>
            </w:r>
          </w:p>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Arabia</w:t>
            </w:r>
          </w:p>
        </w:tc>
        <w:tc>
          <w:tcPr>
            <w:tcW w:w="85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lang w:val="en-US"/>
              </w:rPr>
              <w:t>RoW</w:t>
            </w:r>
          </w:p>
        </w:tc>
        <w:tc>
          <w:tcPr>
            <w:tcW w:w="869" w:type="dxa"/>
            <w:shd w:val="clear" w:color="auto" w:fill="auto"/>
          </w:tcPr>
          <w:p w:rsidR="002C5CEB" w:rsidRPr="00C600BB" w:rsidRDefault="002C5CEB" w:rsidP="00C600BB">
            <w:pPr>
              <w:spacing w:before="0" w:line="240" w:lineRule="auto"/>
              <w:jc w:val="right"/>
              <w:rPr>
                <w:rFonts w:ascii="Times New Roman" w:hAnsi="Times New Roman"/>
                <w:sz w:val="20"/>
                <w:szCs w:val="20"/>
              </w:rPr>
            </w:pPr>
            <w:r w:rsidRPr="00C600BB">
              <w:rPr>
                <w:rFonts w:ascii="Times New Roman" w:hAnsi="Times New Roman"/>
                <w:sz w:val="20"/>
                <w:szCs w:val="20"/>
              </w:rPr>
              <w:t>EU27</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2004</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14400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1593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13574</w:t>
            </w:r>
          </w:p>
        </w:tc>
        <w:tc>
          <w:tcPr>
            <w:tcW w:w="86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24713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502882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1107416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50284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1950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2606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1786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1581</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9385</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9749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814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9376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281553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589947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27870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1043</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1458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1137</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425</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5208</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2377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1599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91386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144259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5505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448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349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379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1909</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3124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341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2826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138213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368707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16268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447</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534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313</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277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2102</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1427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3472</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66045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333378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8833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502</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875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452</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721</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3380</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2293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447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3809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72155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318370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9103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490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752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474</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3214</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14384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1589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13464</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505041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1117921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49373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1950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2604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1778</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1484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9386</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2014</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16932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1923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16741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64354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529813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1612718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105277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2150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2982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2021</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2357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10304</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11515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1078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11052</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300717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787410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59127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1168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1573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1277</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926</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5583</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2449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2036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103556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240901</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10542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519</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579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398</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749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2161</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3543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475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3718</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131098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459679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37408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608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381</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795</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2105</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2372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604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5451</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90897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711110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25121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638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1347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581</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812</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4832</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2948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617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5596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96372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586859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26676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662</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1125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615</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938</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4368</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16932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1924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16661</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529895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1612240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105522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2150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2981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2022</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2344</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10313</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2019</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19036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2110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18483</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89165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552535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1852666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145160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2332</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3242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2238</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2547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11485</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13092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1216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12495</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300738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894075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82597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1258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1718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1440</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1102</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6160</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2649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421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2165</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110489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304190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14843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548</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652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426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652</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2330</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4166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462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3671</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141057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558469</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48838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567</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690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409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769</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2624</w:t>
            </w:r>
          </w:p>
        </w:tc>
      </w:tr>
      <w:tr w:rsidR="0083655D" w:rsidRPr="00C600BB" w:rsidTr="00C600BB">
        <w:tc>
          <w:tcPr>
            <w:tcW w:w="857" w:type="dxa"/>
            <w:shd w:val="clear" w:color="auto" w:fill="auto"/>
            <w:vAlign w:val="center"/>
          </w:tcPr>
          <w:p w:rsidR="002C5CEB" w:rsidRPr="00C600BB" w:rsidRDefault="002C5CEB" w:rsidP="00C600BB">
            <w:pPr>
              <w:spacing w:before="0" w:line="240" w:lineRule="auto"/>
              <w:rPr>
                <w:color w:val="000000"/>
                <w:sz w:val="20"/>
                <w:szCs w:val="20"/>
              </w:rPr>
            </w:pPr>
            <w:r w:rsidRPr="00C600BB">
              <w:rPr>
                <w:color w:val="000000"/>
                <w:sz w:val="20"/>
                <w:szCs w:val="20"/>
              </w:rPr>
              <w:t> </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2572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6859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103927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779368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28136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753</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1580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700</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871</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6028</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3465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674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6851</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103604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684517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33216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796</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1400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736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856</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5651</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19014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2111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18339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552608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1851585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141198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2330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3240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2238</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2538</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11490</w:t>
            </w:r>
          </w:p>
        </w:tc>
      </w:tr>
      <w:tr w:rsidR="0083655D" w:rsidRPr="00C600BB" w:rsidTr="00C600BB">
        <w:tc>
          <w:tcPr>
            <w:tcW w:w="857" w:type="dxa"/>
            <w:shd w:val="clear" w:color="auto" w:fill="auto"/>
            <w:vAlign w:val="center"/>
          </w:tcPr>
          <w:p w:rsidR="002C5CEB" w:rsidRPr="00C600BB" w:rsidRDefault="002C5CEB" w:rsidP="00C600BB">
            <w:pPr>
              <w:spacing w:before="0" w:line="240" w:lineRule="auto"/>
              <w:jc w:val="right"/>
              <w:rPr>
                <w:color w:val="000000"/>
                <w:sz w:val="20"/>
                <w:szCs w:val="20"/>
              </w:rPr>
            </w:pPr>
            <w:r w:rsidRPr="00C600BB">
              <w:rPr>
                <w:color w:val="000000"/>
                <w:sz w:val="20"/>
                <w:szCs w:val="20"/>
                <w:lang w:val="en-US"/>
              </w:rPr>
              <w:t>2021</w:t>
            </w: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GDP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19610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2103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17810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98867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540226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1915778</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135585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2297</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3204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2143</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2520</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11427</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C</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13754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1199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12056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287894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882460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77637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1235</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1627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1328</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1133</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5954</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G</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2743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454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2146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117047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337685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15376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704</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444</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677</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2452</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I</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4285</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472</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3333</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134412</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576617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43277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570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691</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398</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658</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2598</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X</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2367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633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6809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102620</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849147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25537</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681</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1573</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629</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798</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6104</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M</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3600</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659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6835</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101497</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729825</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28629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750</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1396</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656</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710</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5677</w:t>
            </w:r>
          </w:p>
        </w:tc>
      </w:tr>
      <w:tr w:rsidR="0083655D" w:rsidRPr="00C600BB" w:rsidTr="00C600BB">
        <w:tc>
          <w:tcPr>
            <w:tcW w:w="857" w:type="dxa"/>
            <w:shd w:val="clear" w:color="auto" w:fill="auto"/>
            <w:vAlign w:val="bottom"/>
          </w:tcPr>
          <w:p w:rsidR="002C5CEB" w:rsidRPr="00C600BB" w:rsidRDefault="002C5CEB" w:rsidP="00C600BB">
            <w:pPr>
              <w:spacing w:before="0" w:line="240" w:lineRule="auto"/>
              <w:jc w:val="right"/>
              <w:rPr>
                <w:sz w:val="18"/>
                <w:szCs w:val="18"/>
              </w:rPr>
            </w:pPr>
          </w:p>
        </w:tc>
        <w:tc>
          <w:tcPr>
            <w:tcW w:w="862" w:type="dxa"/>
            <w:shd w:val="clear" w:color="auto" w:fill="auto"/>
          </w:tcPr>
          <w:p w:rsidR="002C5CEB" w:rsidRPr="00C600BB" w:rsidRDefault="002C5CEB" w:rsidP="00C600BB">
            <w:pPr>
              <w:spacing w:before="0" w:line="240" w:lineRule="auto"/>
              <w:jc w:val="right"/>
              <w:rPr>
                <w:color w:val="000000"/>
                <w:sz w:val="20"/>
                <w:szCs w:val="20"/>
              </w:rPr>
            </w:pPr>
            <w:r w:rsidRPr="00C600BB">
              <w:rPr>
                <w:color w:val="000000"/>
                <w:sz w:val="20"/>
                <w:szCs w:val="20"/>
              </w:rPr>
              <w:t>Addup</w:t>
            </w:r>
          </w:p>
        </w:tc>
        <w:tc>
          <w:tcPr>
            <w:tcW w:w="87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19549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2099</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17510</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540476</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1916084</w:t>
            </w: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133198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2296</w:t>
            </w:r>
          </w:p>
        </w:tc>
        <w:tc>
          <w:tcPr>
            <w:tcW w:w="867"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3198</w:t>
            </w:r>
          </w:p>
        </w:tc>
        <w:tc>
          <w:tcPr>
            <w:tcW w:w="866"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2143</w:t>
            </w:r>
          </w:p>
        </w:tc>
        <w:tc>
          <w:tcPr>
            <w:tcW w:w="869" w:type="dxa"/>
            <w:shd w:val="clear" w:color="auto" w:fill="auto"/>
            <w:vAlign w:val="bottom"/>
          </w:tcPr>
          <w:p w:rsidR="002C5CEB" w:rsidRPr="00C600BB" w:rsidRDefault="002C5CEB" w:rsidP="00C600BB">
            <w:pPr>
              <w:spacing w:before="0" w:line="240" w:lineRule="auto"/>
              <w:jc w:val="right"/>
              <w:rPr>
                <w:sz w:val="18"/>
                <w:szCs w:val="18"/>
              </w:rPr>
            </w:pPr>
          </w:p>
        </w:tc>
        <w:tc>
          <w:tcPr>
            <w:tcW w:w="94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2556</w:t>
            </w:r>
          </w:p>
        </w:tc>
        <w:tc>
          <w:tcPr>
            <w:tcW w:w="859" w:type="dxa"/>
            <w:shd w:val="clear" w:color="auto" w:fill="auto"/>
            <w:vAlign w:val="bottom"/>
          </w:tcPr>
          <w:p w:rsidR="002C5CEB" w:rsidRPr="00C600BB" w:rsidRDefault="002C5CEB" w:rsidP="00C600BB">
            <w:pPr>
              <w:spacing w:before="0" w:line="240" w:lineRule="auto"/>
              <w:jc w:val="right"/>
              <w:rPr>
                <w:sz w:val="18"/>
                <w:szCs w:val="18"/>
              </w:rPr>
            </w:pPr>
          </w:p>
        </w:tc>
        <w:tc>
          <w:tcPr>
            <w:tcW w:w="869" w:type="dxa"/>
            <w:shd w:val="clear" w:color="auto" w:fill="auto"/>
            <w:vAlign w:val="bottom"/>
          </w:tcPr>
          <w:p w:rsidR="002C5CEB" w:rsidRPr="00C600BB" w:rsidRDefault="002C5CEB" w:rsidP="00C600BB">
            <w:pPr>
              <w:spacing w:before="0" w:line="240" w:lineRule="auto"/>
              <w:jc w:val="right"/>
              <w:rPr>
                <w:sz w:val="18"/>
                <w:szCs w:val="18"/>
              </w:rPr>
            </w:pPr>
            <w:r w:rsidRPr="00C600BB">
              <w:rPr>
                <w:sz w:val="18"/>
                <w:szCs w:val="18"/>
              </w:rPr>
              <w:t>11431</w:t>
            </w:r>
          </w:p>
        </w:tc>
      </w:tr>
    </w:tbl>
    <w:p w:rsidR="002C5CEB" w:rsidRDefault="002C5CEB" w:rsidP="002C5CEB">
      <w:pPr>
        <w:ind w:left="0"/>
        <w:rPr>
          <w:rFonts w:ascii="Times New Roman" w:hAnsi="Times New Roman"/>
          <w:sz w:val="24"/>
          <w:szCs w:val="24"/>
        </w:rPr>
      </w:pPr>
    </w:p>
    <w:p w:rsidR="002C5CEB" w:rsidRDefault="002C5CEB" w:rsidP="002C5CEB">
      <w:pPr>
        <w:ind w:left="0"/>
        <w:rPr>
          <w:rFonts w:ascii="Times New Roman" w:hAnsi="Times New Roman"/>
          <w:sz w:val="24"/>
          <w:szCs w:val="24"/>
        </w:rPr>
      </w:pPr>
    </w:p>
    <w:p w:rsidR="002C5CEB" w:rsidRDefault="002C5CEB" w:rsidP="002C5CEB">
      <w:pPr>
        <w:ind w:left="0"/>
        <w:rPr>
          <w:rFonts w:ascii="Times New Roman" w:hAnsi="Times New Roman"/>
          <w:sz w:val="24"/>
          <w:szCs w:val="24"/>
        </w:rPr>
      </w:pPr>
      <w:r>
        <w:rPr>
          <w:rFonts w:ascii="Times New Roman" w:hAnsi="Times New Roman"/>
          <w:sz w:val="24"/>
          <w:szCs w:val="24"/>
        </w:rPr>
        <w:br w:type="page"/>
      </w:r>
    </w:p>
    <w:p w:rsidR="002C5CEB" w:rsidRDefault="002C5CEB" w:rsidP="002C5CEB">
      <w:pPr>
        <w:rPr>
          <w:rFonts w:ascii="Times New Roman" w:hAnsi="Times New Roman"/>
          <w:b/>
          <w:i/>
          <w:sz w:val="24"/>
          <w:szCs w:val="24"/>
        </w:rPr>
      </w:pPr>
    </w:p>
    <w:p w:rsidR="002C5CEB" w:rsidRPr="007C778A" w:rsidRDefault="002C5CEB" w:rsidP="002C5CEB">
      <w:pPr>
        <w:ind w:left="0"/>
        <w:jc w:val="center"/>
        <w:rPr>
          <w:rFonts w:ascii="Times New Roman" w:hAnsi="Times New Roman"/>
          <w:b/>
          <w:i/>
          <w:sz w:val="24"/>
          <w:szCs w:val="24"/>
        </w:rPr>
      </w:pPr>
      <w:r>
        <w:rPr>
          <w:rFonts w:ascii="Times New Roman" w:hAnsi="Times New Roman"/>
          <w:b/>
          <w:i/>
          <w:sz w:val="24"/>
          <w:szCs w:val="24"/>
        </w:rPr>
        <w:t xml:space="preserve">Table </w:t>
      </w:r>
      <w:r w:rsidR="00011150">
        <w:rPr>
          <w:rFonts w:ascii="Times New Roman" w:hAnsi="Times New Roman"/>
          <w:b/>
          <w:i/>
          <w:sz w:val="24"/>
          <w:szCs w:val="24"/>
        </w:rPr>
        <w:t>A1.3a</w:t>
      </w:r>
      <w:r>
        <w:rPr>
          <w:rFonts w:ascii="Times New Roman" w:hAnsi="Times New Roman"/>
          <w:b/>
          <w:i/>
          <w:sz w:val="24"/>
          <w:szCs w:val="24"/>
        </w:rPr>
        <w:t xml:space="preserve">.  Percentage changes in $US values of nominal GDP and its expenditure components: OECD data (downloaded July 2023) </w:t>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00"/>
        <w:gridCol w:w="696"/>
        <w:gridCol w:w="913"/>
        <w:gridCol w:w="914"/>
        <w:gridCol w:w="906"/>
        <w:gridCol w:w="749"/>
        <w:gridCol w:w="913"/>
        <w:gridCol w:w="905"/>
        <w:gridCol w:w="670"/>
        <w:gridCol w:w="919"/>
        <w:gridCol w:w="901"/>
        <w:gridCol w:w="908"/>
        <w:gridCol w:w="955"/>
        <w:gridCol w:w="906"/>
        <w:gridCol w:w="893"/>
      </w:tblGrid>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USA</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Canada</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Mexico</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China</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Japan</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SKorea</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India</w:t>
            </w:r>
          </w:p>
        </w:tc>
        <w:tc>
          <w:tcPr>
            <w:tcW w:w="670" w:type="dxa"/>
            <w:shd w:val="clear" w:color="auto" w:fill="auto"/>
          </w:tcPr>
          <w:p w:rsidR="002C5CEB" w:rsidRPr="00C600BB" w:rsidRDefault="002C5CEB"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lang w:val="en-US"/>
              </w:rPr>
              <w:t>France</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Germany</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UK</w:t>
            </w:r>
          </w:p>
        </w:tc>
        <w:tc>
          <w:tcPr>
            <w:tcW w:w="908"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RoEU</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lang w:val="en-US"/>
              </w:rPr>
            </w:pPr>
            <w:r w:rsidRPr="00C600BB">
              <w:rPr>
                <w:rFonts w:ascii="Times New Roman" w:hAnsi="Times New Roman"/>
                <w:sz w:val="18"/>
                <w:szCs w:val="18"/>
                <w:lang w:val="en-US"/>
              </w:rPr>
              <w:t>Saudi</w:t>
            </w:r>
          </w:p>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Arabia</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RoW</w:t>
            </w:r>
          </w:p>
        </w:tc>
        <w:tc>
          <w:tcPr>
            <w:tcW w:w="89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EU27</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lang w:val="en-US"/>
              </w:rPr>
              <w:t>2004-2014</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GDP</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43.7</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75.9</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68.2</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435.7</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0.1</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87.3</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194.5</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34.7</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38.2</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26.5</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37.7</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192.3</w:t>
            </w:r>
          </w:p>
        </w:tc>
        <w:tc>
          <w:tcPr>
            <w:tcW w:w="906" w:type="dxa"/>
            <w:shd w:val="clear" w:color="auto" w:fill="auto"/>
          </w:tcPr>
          <w:p w:rsidR="002C5CEB" w:rsidRPr="00C600BB" w:rsidRDefault="002C5CEB" w:rsidP="00C600BB">
            <w:pPr>
              <w:spacing w:before="0" w:line="240" w:lineRule="auto"/>
              <w:jc w:val="right"/>
              <w:rPr>
                <w:rFonts w:ascii="Times New Roman" w:hAnsi="Times New Roman"/>
                <w:i/>
                <w:sz w:val="18"/>
                <w:szCs w:val="18"/>
              </w:rPr>
            </w:pPr>
            <w:r w:rsidRPr="00C600BB">
              <w:rPr>
                <w:rFonts w:ascii="Times New Roman" w:hAnsi="Times New Roman"/>
                <w:i/>
                <w:sz w:val="18"/>
                <w:szCs w:val="18"/>
              </w:rPr>
              <w:t>170.46</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37.3</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C</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43.9</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79.4</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62.1</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384.3</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5.4</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81.3</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193.9</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35.4</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31.5</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25.3</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37.4</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208.6</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35.5</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38.6</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83.6</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95.5</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479.4</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12.5</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130.2</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188.8</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41.1</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43.9</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29.3</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45.0</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233.3</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43.9</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I</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31.8</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104.6</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66.3</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486.7</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-2.3</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71.4</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185.8</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39.8</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41.9</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25.8</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14.8</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323.1</w:t>
            </w:r>
          </w:p>
        </w:tc>
        <w:tc>
          <w:tcPr>
            <w:tcW w:w="906" w:type="dxa"/>
            <w:shd w:val="clear" w:color="auto" w:fill="auto"/>
          </w:tcPr>
          <w:p w:rsidR="002C5CEB" w:rsidRPr="00C600BB" w:rsidRDefault="002C5CEB" w:rsidP="00C600BB">
            <w:pPr>
              <w:spacing w:before="0" w:line="240" w:lineRule="auto"/>
              <w:jc w:val="right"/>
              <w:rPr>
                <w:rFonts w:ascii="Times New Roman" w:hAnsi="Times New Roman"/>
                <w:i/>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25.4</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X</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102.1</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49.6</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107.4</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315.6</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36.3</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143.8</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274.8</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51.0</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76.5</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49.8</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78.6</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168.8</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74.3</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M</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59.5</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74.7</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101.0</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306.6</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84.1</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140.9</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284.8</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63.1</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76.6</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46.2</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69.2</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309.6</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70.0</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lang w:val="en-US"/>
              </w:rPr>
              <w:t>2014-2019</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GDP</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21.8</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-3.4</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-3.5</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36.3</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4.5</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11.2</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39.5</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-4.5</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0.0</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-6.8</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6.2</w:t>
            </w:r>
          </w:p>
        </w:tc>
        <w:tc>
          <w:tcPr>
            <w:tcW w:w="906" w:type="dxa"/>
            <w:shd w:val="clear" w:color="auto" w:fill="auto"/>
          </w:tcPr>
          <w:p w:rsidR="002C5CEB" w:rsidRPr="00C600BB" w:rsidRDefault="00E12E10" w:rsidP="00C600BB">
            <w:pPr>
              <w:spacing w:before="0" w:line="240" w:lineRule="auto"/>
              <w:jc w:val="right"/>
              <w:rPr>
                <w:rFonts w:ascii="Times New Roman" w:hAnsi="Times New Roman"/>
                <w:i/>
                <w:sz w:val="18"/>
                <w:szCs w:val="18"/>
              </w:rPr>
            </w:pPr>
            <w:r w:rsidRPr="00C600BB">
              <w:rPr>
                <w:rFonts w:ascii="Times New Roman" w:hAnsi="Times New Roman"/>
                <w:i/>
                <w:sz w:val="18"/>
                <w:szCs w:val="18"/>
              </w:rPr>
              <w:t>-3.10</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0.3</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sz w:val="18"/>
                <w:szCs w:val="18"/>
              </w:rPr>
            </w:pP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C</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21.5</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0.0</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-4.9</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45.7</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8.3</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46.3</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-5.7</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-2.7</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-7.2</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-2.0</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27.9</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-2.9</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17.2</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-1.5</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-9.9</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44.5</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4.6</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24.8</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46.5</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-9.0</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3.3</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-10.9</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-2.7</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-2.6</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I</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25.0</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-10.5</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-6.7</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28.7</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7.7</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17.6</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23.1</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2.5</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8.6</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-3.3</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19.6</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7.7</w:t>
            </w:r>
          </w:p>
        </w:tc>
        <w:tc>
          <w:tcPr>
            <w:tcW w:w="906" w:type="dxa"/>
            <w:shd w:val="clear" w:color="auto" w:fill="auto"/>
          </w:tcPr>
          <w:p w:rsidR="002C5CEB" w:rsidRPr="00C600BB" w:rsidRDefault="002C5CEB" w:rsidP="00C600BB">
            <w:pPr>
              <w:spacing w:before="0" w:line="240" w:lineRule="auto"/>
              <w:jc w:val="right"/>
              <w:rPr>
                <w:rFonts w:ascii="Times New Roman" w:hAnsi="Times New Roman"/>
                <w:i/>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13.4</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X</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6.8</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-1.6</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17.5</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4.6</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4.8</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-8.7</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13.6</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2.3</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2.6</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11.7</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-19.4</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8.2</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sz w:val="18"/>
                <w:szCs w:val="18"/>
              </w:rPr>
            </w:pP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M</w:t>
            </w: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8.0</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0.0</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14.1</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9.5</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-7.3</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-5.1</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14.4</w:t>
            </w:r>
          </w:p>
        </w:tc>
        <w:tc>
          <w:tcPr>
            <w:tcW w:w="670"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0.9</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5.1</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0.6</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13.3</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-14.3</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9.7</w:t>
            </w:r>
          </w:p>
        </w:tc>
      </w:tr>
    </w:tbl>
    <w:p w:rsidR="002C5CEB" w:rsidRDefault="002C5CEB" w:rsidP="002C5CEB">
      <w:pPr>
        <w:ind w:left="0"/>
        <w:jc w:val="center"/>
        <w:rPr>
          <w:rFonts w:ascii="Times New Roman" w:hAnsi="Times New Roman"/>
          <w:b/>
          <w:i/>
          <w:sz w:val="24"/>
          <w:szCs w:val="24"/>
        </w:rPr>
      </w:pPr>
    </w:p>
    <w:p w:rsidR="002C5CEB" w:rsidRPr="007C778A" w:rsidRDefault="002C5CEB" w:rsidP="002C5CEB">
      <w:pPr>
        <w:ind w:left="0"/>
        <w:jc w:val="center"/>
        <w:rPr>
          <w:rFonts w:ascii="Times New Roman" w:hAnsi="Times New Roman"/>
          <w:b/>
          <w:i/>
          <w:sz w:val="24"/>
          <w:szCs w:val="24"/>
        </w:rPr>
      </w:pPr>
      <w:r>
        <w:rPr>
          <w:rFonts w:ascii="Times New Roman" w:hAnsi="Times New Roman"/>
          <w:b/>
          <w:i/>
          <w:sz w:val="24"/>
          <w:szCs w:val="24"/>
        </w:rPr>
        <w:t xml:space="preserve">Table </w:t>
      </w:r>
      <w:r w:rsidR="00011150">
        <w:rPr>
          <w:rFonts w:ascii="Times New Roman" w:hAnsi="Times New Roman"/>
          <w:b/>
          <w:i/>
          <w:sz w:val="24"/>
          <w:szCs w:val="24"/>
        </w:rPr>
        <w:t>A1.3</w:t>
      </w:r>
      <w:r>
        <w:rPr>
          <w:rFonts w:ascii="Times New Roman" w:hAnsi="Times New Roman"/>
          <w:b/>
          <w:i/>
          <w:sz w:val="24"/>
          <w:szCs w:val="24"/>
        </w:rPr>
        <w:t xml:space="preserve">b.  Percentage changes in $US values of real GDP and its expenditure components: OECD data ( downloaded July 2023) </w:t>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00"/>
        <w:gridCol w:w="696"/>
        <w:gridCol w:w="913"/>
        <w:gridCol w:w="914"/>
        <w:gridCol w:w="906"/>
        <w:gridCol w:w="749"/>
        <w:gridCol w:w="913"/>
        <w:gridCol w:w="905"/>
        <w:gridCol w:w="670"/>
        <w:gridCol w:w="919"/>
        <w:gridCol w:w="901"/>
        <w:gridCol w:w="908"/>
        <w:gridCol w:w="955"/>
        <w:gridCol w:w="906"/>
        <w:gridCol w:w="893"/>
      </w:tblGrid>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p>
        </w:tc>
        <w:tc>
          <w:tcPr>
            <w:tcW w:w="69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USA</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Canada</w:t>
            </w:r>
          </w:p>
        </w:tc>
        <w:tc>
          <w:tcPr>
            <w:tcW w:w="914"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Mexico</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China</w:t>
            </w:r>
          </w:p>
        </w:tc>
        <w:tc>
          <w:tcPr>
            <w:tcW w:w="74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Japan</w:t>
            </w:r>
          </w:p>
        </w:tc>
        <w:tc>
          <w:tcPr>
            <w:tcW w:w="91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SKorea</w:t>
            </w:r>
          </w:p>
        </w:tc>
        <w:tc>
          <w:tcPr>
            <w:tcW w:w="905"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India</w:t>
            </w:r>
          </w:p>
        </w:tc>
        <w:tc>
          <w:tcPr>
            <w:tcW w:w="670" w:type="dxa"/>
            <w:shd w:val="clear" w:color="auto" w:fill="auto"/>
          </w:tcPr>
          <w:p w:rsidR="002C5CEB" w:rsidRPr="00C600BB" w:rsidRDefault="002C5CEB"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lang w:val="en-US"/>
              </w:rPr>
              <w:t>France</w:t>
            </w:r>
          </w:p>
        </w:tc>
        <w:tc>
          <w:tcPr>
            <w:tcW w:w="919"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Germany</w:t>
            </w:r>
          </w:p>
        </w:tc>
        <w:tc>
          <w:tcPr>
            <w:tcW w:w="901"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UK</w:t>
            </w:r>
          </w:p>
        </w:tc>
        <w:tc>
          <w:tcPr>
            <w:tcW w:w="908"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RoEU</w:t>
            </w:r>
          </w:p>
        </w:tc>
        <w:tc>
          <w:tcPr>
            <w:tcW w:w="955" w:type="dxa"/>
            <w:shd w:val="clear" w:color="auto" w:fill="auto"/>
          </w:tcPr>
          <w:p w:rsidR="002C5CEB" w:rsidRPr="00C600BB" w:rsidRDefault="002C5CEB" w:rsidP="00C600BB">
            <w:pPr>
              <w:spacing w:before="0" w:line="240" w:lineRule="auto"/>
              <w:jc w:val="right"/>
              <w:rPr>
                <w:rFonts w:ascii="Times New Roman" w:hAnsi="Times New Roman"/>
                <w:sz w:val="18"/>
                <w:szCs w:val="18"/>
                <w:lang w:val="en-US"/>
              </w:rPr>
            </w:pPr>
            <w:r w:rsidRPr="00C600BB">
              <w:rPr>
                <w:rFonts w:ascii="Times New Roman" w:hAnsi="Times New Roman"/>
                <w:sz w:val="18"/>
                <w:szCs w:val="18"/>
                <w:lang w:val="en-US"/>
              </w:rPr>
              <w:t>Saudi</w:t>
            </w:r>
          </w:p>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lang w:val="en-US"/>
              </w:rPr>
              <w:t>Arabia</w:t>
            </w:r>
          </w:p>
        </w:tc>
        <w:tc>
          <w:tcPr>
            <w:tcW w:w="906"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RoW</w:t>
            </w:r>
          </w:p>
        </w:tc>
        <w:tc>
          <w:tcPr>
            <w:tcW w:w="893" w:type="dxa"/>
            <w:shd w:val="clear" w:color="auto" w:fill="auto"/>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EU27</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lang w:val="en-US"/>
              </w:rPr>
              <w:t>2004-2014</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GDP</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17.6</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20.7</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23.3</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160.4</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5.4</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45.6</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109.4</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10.2</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14.4</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13.2</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7.6</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49.1</w:t>
            </w:r>
          </w:p>
        </w:tc>
        <w:tc>
          <w:tcPr>
            <w:tcW w:w="906" w:type="dxa"/>
            <w:shd w:val="clear" w:color="auto" w:fill="auto"/>
          </w:tcPr>
          <w:p w:rsidR="002C5CEB" w:rsidRPr="00C600BB" w:rsidRDefault="002C5CEB" w:rsidP="00C600BB">
            <w:pPr>
              <w:spacing w:before="0" w:line="240" w:lineRule="auto"/>
              <w:jc w:val="right"/>
              <w:rPr>
                <w:rFonts w:ascii="Times New Roman" w:hAnsi="Times New Roman"/>
                <w:i/>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9.8</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C</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18.1</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32.5</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17.9</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169.4</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6.8</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33.5</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112.2</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12.0</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7.8</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12.3</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5.4</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118.1</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7.2</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3.0</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17.9</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27.3</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45.1</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13.3</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67.0</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91.5</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15.7</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18.4</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13.9</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10.1</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97.9</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13.2</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I</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13.4</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39.2</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31.5</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239.6</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-5.1</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24.7</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130.0</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9.2</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13.9</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21.7</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-7.7</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187.0</w:t>
            </w:r>
          </w:p>
        </w:tc>
        <w:tc>
          <w:tcPr>
            <w:tcW w:w="906" w:type="dxa"/>
            <w:shd w:val="clear" w:color="auto" w:fill="auto"/>
          </w:tcPr>
          <w:p w:rsidR="002C5CEB" w:rsidRPr="00C600BB" w:rsidRDefault="002C5CEB" w:rsidP="00C600BB">
            <w:pPr>
              <w:spacing w:before="0" w:line="240" w:lineRule="auto"/>
              <w:jc w:val="right"/>
              <w:rPr>
                <w:rFonts w:ascii="Times New Roman" w:hAnsi="Times New Roman"/>
                <w:i/>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0.1</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X</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66.2</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8.6</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57.0</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222.1</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37.6</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113.3</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184.4</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27.2</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53.9</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28.8</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42.1</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12.6</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42.9</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M</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28.6</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37.9</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46.9</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201.8</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33.6</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84.3</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193.0</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35.3</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49.5</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29.9</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31.3</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195.8</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i/>
                <w:sz w:val="18"/>
                <w:szCs w:val="18"/>
              </w:rPr>
              <w:t>NA</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35.9</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 </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lang w:val="en-US"/>
              </w:rPr>
              <w:t>2014-2019</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GDP</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12.4</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9.7</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10.4</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38.6</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4.3</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14.9</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37.9</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8.5</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8.7</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10.7</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13.6</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8.1</w:t>
            </w:r>
          </w:p>
        </w:tc>
        <w:tc>
          <w:tcPr>
            <w:tcW w:w="906" w:type="dxa"/>
            <w:shd w:val="clear" w:color="auto" w:fill="auto"/>
          </w:tcPr>
          <w:p w:rsidR="002C5CEB" w:rsidRPr="00C600BB" w:rsidRDefault="00E12E10" w:rsidP="00C600BB">
            <w:pPr>
              <w:spacing w:before="0" w:line="240" w:lineRule="auto"/>
              <w:jc w:val="right"/>
              <w:rPr>
                <w:rFonts w:ascii="Times New Roman" w:hAnsi="Times New Roman"/>
                <w:sz w:val="18"/>
                <w:szCs w:val="18"/>
              </w:rPr>
            </w:pPr>
            <w:r w:rsidRPr="00C600BB">
              <w:rPr>
                <w:rFonts w:ascii="Times New Roman" w:hAnsi="Times New Roman"/>
                <w:sz w:val="18"/>
                <w:szCs w:val="18"/>
              </w:rPr>
              <w:t>14.16</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11.5</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sz w:val="18"/>
                <w:szCs w:val="18"/>
              </w:rPr>
            </w:pP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C</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13.7</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12.9</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13.1</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48.5</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0.0</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13.5</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39.7</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7.7</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9.2</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12.8</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11.6</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19.0</w:t>
            </w:r>
          </w:p>
        </w:tc>
        <w:tc>
          <w:tcPr>
            <w:tcW w:w="906" w:type="dxa"/>
            <w:shd w:val="clear" w:color="auto" w:fill="auto"/>
            <w:vAlign w:val="bottom"/>
          </w:tcPr>
          <w:p w:rsidR="002C5CEB" w:rsidRPr="00C600BB" w:rsidRDefault="00E12E10" w:rsidP="00C600BB">
            <w:pPr>
              <w:spacing w:before="0" w:line="240" w:lineRule="auto"/>
              <w:jc w:val="right"/>
              <w:rPr>
                <w:rFonts w:ascii="Times New Roman" w:hAnsi="Times New Roman"/>
                <w:sz w:val="18"/>
                <w:szCs w:val="18"/>
              </w:rPr>
            </w:pPr>
            <w:r w:rsidRPr="00C600BB">
              <w:rPr>
                <w:rFonts w:ascii="Times New Roman" w:hAnsi="Times New Roman"/>
                <w:sz w:val="18"/>
                <w:szCs w:val="18"/>
              </w:rPr>
              <w:t>8.15</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10.3</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G</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8.2</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9.8</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6.3</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45.3</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6.7</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26.3</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40.8</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5.7</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12.6</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7.0</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6.6</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-13.0</w:t>
            </w:r>
          </w:p>
        </w:tc>
        <w:tc>
          <w:tcPr>
            <w:tcW w:w="906" w:type="dxa"/>
            <w:shd w:val="clear" w:color="auto" w:fill="auto"/>
            <w:vAlign w:val="bottom"/>
          </w:tcPr>
          <w:p w:rsidR="002C5CEB" w:rsidRPr="00C600BB" w:rsidRDefault="00E12E10" w:rsidP="00C600BB">
            <w:pPr>
              <w:spacing w:before="0" w:line="240" w:lineRule="auto"/>
              <w:jc w:val="right"/>
              <w:rPr>
                <w:rFonts w:ascii="Times New Roman" w:hAnsi="Times New Roman"/>
                <w:sz w:val="18"/>
                <w:szCs w:val="18"/>
              </w:rPr>
            </w:pPr>
            <w:r w:rsidRPr="00C600BB">
              <w:rPr>
                <w:rFonts w:ascii="Times New Roman" w:hAnsi="Times New Roman"/>
                <w:sz w:val="18"/>
                <w:szCs w:val="18"/>
              </w:rPr>
              <w:t>20.97</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7.8</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I</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17.6</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-2.7</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30.2</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7.6</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21.5</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30.6</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16.2</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13.5</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7.3</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32.8</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-3.3</w:t>
            </w:r>
          </w:p>
        </w:tc>
        <w:tc>
          <w:tcPr>
            <w:tcW w:w="906" w:type="dxa"/>
            <w:shd w:val="clear" w:color="auto" w:fill="auto"/>
          </w:tcPr>
          <w:p w:rsidR="002C5CEB" w:rsidRPr="00C600BB" w:rsidRDefault="00E12E10" w:rsidP="00C600BB">
            <w:pPr>
              <w:spacing w:before="0" w:line="240" w:lineRule="auto"/>
              <w:jc w:val="right"/>
              <w:rPr>
                <w:rFonts w:ascii="Times New Roman" w:hAnsi="Times New Roman"/>
                <w:sz w:val="18"/>
                <w:szCs w:val="18"/>
              </w:rPr>
            </w:pPr>
            <w:r w:rsidRPr="00C600BB">
              <w:rPr>
                <w:rFonts w:ascii="Times New Roman" w:hAnsi="Times New Roman"/>
                <w:sz w:val="18"/>
                <w:szCs w:val="18"/>
              </w:rPr>
              <w:t>14.91</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24.6</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 </w:t>
            </w: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X</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8.4</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13.5</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25.8</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11.1</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14.3</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9.6</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12.0</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18.1</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17.3</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20.3</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28.9</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7.3</w:t>
            </w:r>
          </w:p>
        </w:tc>
        <w:tc>
          <w:tcPr>
            <w:tcW w:w="906" w:type="dxa"/>
            <w:shd w:val="clear" w:color="auto" w:fill="auto"/>
            <w:vAlign w:val="bottom"/>
          </w:tcPr>
          <w:p w:rsidR="002C5CEB" w:rsidRPr="00C600BB" w:rsidRDefault="00E12E10" w:rsidP="00C600BB">
            <w:pPr>
              <w:spacing w:before="0" w:line="240" w:lineRule="auto"/>
              <w:jc w:val="right"/>
              <w:rPr>
                <w:rFonts w:ascii="Times New Roman" w:hAnsi="Times New Roman"/>
                <w:sz w:val="18"/>
                <w:szCs w:val="18"/>
              </w:rPr>
            </w:pPr>
            <w:r w:rsidRPr="00C600BB">
              <w:rPr>
                <w:rFonts w:ascii="Times New Roman" w:hAnsi="Times New Roman"/>
                <w:sz w:val="18"/>
                <w:szCs w:val="18"/>
              </w:rPr>
              <w:t>19.08</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24.8</w:t>
            </w:r>
          </w:p>
        </w:tc>
      </w:tr>
      <w:tr w:rsidR="0083655D" w:rsidRPr="00C600BB" w:rsidTr="00C600BB">
        <w:tc>
          <w:tcPr>
            <w:tcW w:w="1100" w:type="dxa"/>
            <w:shd w:val="clear" w:color="auto" w:fill="auto"/>
          </w:tcPr>
          <w:p w:rsidR="002C5CEB" w:rsidRPr="00C600BB" w:rsidRDefault="002C5CEB" w:rsidP="00C600BB">
            <w:pPr>
              <w:spacing w:before="0" w:line="240" w:lineRule="auto"/>
              <w:jc w:val="right"/>
              <w:rPr>
                <w:rFonts w:ascii="Times New Roman" w:hAnsi="Times New Roman"/>
                <w:sz w:val="18"/>
                <w:szCs w:val="18"/>
              </w:rPr>
            </w:pPr>
          </w:p>
        </w:tc>
        <w:tc>
          <w:tcPr>
            <w:tcW w:w="700" w:type="dxa"/>
            <w:shd w:val="clear" w:color="auto" w:fill="auto"/>
          </w:tcPr>
          <w:p w:rsidR="002C5CEB" w:rsidRPr="00C600BB" w:rsidRDefault="002C5CEB"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M</w:t>
            </w:r>
          </w:p>
        </w:tc>
        <w:tc>
          <w:tcPr>
            <w:tcW w:w="69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17.5</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9.4</w:t>
            </w:r>
          </w:p>
        </w:tc>
        <w:tc>
          <w:tcPr>
            <w:tcW w:w="914"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22.4</w:t>
            </w:r>
          </w:p>
        </w:tc>
        <w:tc>
          <w:tcPr>
            <w:tcW w:w="906"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15.2</w:t>
            </w:r>
          </w:p>
        </w:tc>
        <w:tc>
          <w:tcPr>
            <w:tcW w:w="74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7.5</w:t>
            </w:r>
          </w:p>
        </w:tc>
        <w:tc>
          <w:tcPr>
            <w:tcW w:w="91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16.6</w:t>
            </w:r>
          </w:p>
        </w:tc>
        <w:tc>
          <w:tcPr>
            <w:tcW w:w="90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24.5</w:t>
            </w:r>
          </w:p>
        </w:tc>
        <w:tc>
          <w:tcPr>
            <w:tcW w:w="670"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20.1</w:t>
            </w:r>
          </w:p>
        </w:tc>
        <w:tc>
          <w:tcPr>
            <w:tcW w:w="919"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24.4</w:t>
            </w:r>
          </w:p>
        </w:tc>
        <w:tc>
          <w:tcPr>
            <w:tcW w:w="901"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19.6</w:t>
            </w:r>
          </w:p>
        </w:tc>
        <w:tc>
          <w:tcPr>
            <w:tcW w:w="908"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33.1</w:t>
            </w:r>
          </w:p>
        </w:tc>
        <w:tc>
          <w:tcPr>
            <w:tcW w:w="955"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-8.8</w:t>
            </w:r>
          </w:p>
        </w:tc>
        <w:tc>
          <w:tcPr>
            <w:tcW w:w="906" w:type="dxa"/>
            <w:shd w:val="clear" w:color="auto" w:fill="auto"/>
            <w:vAlign w:val="bottom"/>
          </w:tcPr>
          <w:p w:rsidR="002C5CEB" w:rsidRPr="00C600BB" w:rsidRDefault="00E12E10" w:rsidP="00C600BB">
            <w:pPr>
              <w:spacing w:before="0" w:line="240" w:lineRule="auto"/>
              <w:jc w:val="right"/>
              <w:rPr>
                <w:rFonts w:ascii="Times New Roman" w:hAnsi="Times New Roman"/>
                <w:sz w:val="18"/>
                <w:szCs w:val="18"/>
              </w:rPr>
            </w:pPr>
            <w:r w:rsidRPr="00C600BB">
              <w:rPr>
                <w:rFonts w:ascii="Times New Roman" w:hAnsi="Times New Roman"/>
                <w:sz w:val="18"/>
                <w:szCs w:val="18"/>
              </w:rPr>
              <w:t>11.49</w:t>
            </w:r>
          </w:p>
        </w:tc>
        <w:tc>
          <w:tcPr>
            <w:tcW w:w="893" w:type="dxa"/>
            <w:shd w:val="clear" w:color="auto" w:fill="auto"/>
            <w:vAlign w:val="bottom"/>
          </w:tcPr>
          <w:p w:rsidR="002C5CEB" w:rsidRPr="00C600BB" w:rsidRDefault="002C5CEB" w:rsidP="00C600BB">
            <w:pPr>
              <w:spacing w:before="0" w:line="240" w:lineRule="auto"/>
              <w:jc w:val="right"/>
              <w:rPr>
                <w:rFonts w:ascii="Times New Roman" w:hAnsi="Times New Roman"/>
                <w:sz w:val="18"/>
                <w:szCs w:val="18"/>
              </w:rPr>
            </w:pPr>
            <w:r w:rsidRPr="00C600BB">
              <w:rPr>
                <w:rFonts w:ascii="Times New Roman" w:hAnsi="Times New Roman"/>
                <w:sz w:val="18"/>
                <w:szCs w:val="18"/>
              </w:rPr>
              <w:t>29.4</w:t>
            </w:r>
          </w:p>
        </w:tc>
      </w:tr>
    </w:tbl>
    <w:p w:rsidR="002C5CEB" w:rsidRDefault="002C5CEB" w:rsidP="002C5CEB">
      <w:pPr>
        <w:ind w:left="0"/>
        <w:rPr>
          <w:rFonts w:ascii="Times New Roman" w:hAnsi="Times New Roman"/>
          <w:sz w:val="24"/>
          <w:szCs w:val="24"/>
        </w:rPr>
      </w:pPr>
    </w:p>
    <w:p w:rsidR="00011150" w:rsidRPr="007C778A" w:rsidRDefault="00011150" w:rsidP="00011150">
      <w:pPr>
        <w:spacing w:line="240" w:lineRule="auto"/>
        <w:ind w:left="0"/>
        <w:jc w:val="center"/>
        <w:rPr>
          <w:rFonts w:ascii="Times New Roman" w:hAnsi="Times New Roman"/>
          <w:b/>
          <w:i/>
          <w:sz w:val="24"/>
          <w:szCs w:val="24"/>
          <w:lang w:val="en-US"/>
        </w:rPr>
      </w:pPr>
      <w:r w:rsidRPr="007C778A">
        <w:rPr>
          <w:rFonts w:ascii="Times New Roman" w:hAnsi="Times New Roman"/>
          <w:b/>
          <w:i/>
          <w:sz w:val="24"/>
          <w:szCs w:val="24"/>
          <w:lang w:val="en-US"/>
        </w:rPr>
        <w:t xml:space="preserve">Table </w:t>
      </w:r>
      <w:r>
        <w:rPr>
          <w:rFonts w:ascii="Times New Roman" w:hAnsi="Times New Roman"/>
          <w:b/>
          <w:i/>
          <w:sz w:val="24"/>
          <w:szCs w:val="24"/>
          <w:lang w:val="en-US"/>
        </w:rPr>
        <w:t>A1.4old</w:t>
      </w:r>
      <w:r w:rsidR="00484014">
        <w:rPr>
          <w:rFonts w:ascii="Times New Roman" w:hAnsi="Times New Roman"/>
          <w:b/>
          <w:i/>
          <w:sz w:val="24"/>
          <w:szCs w:val="24"/>
          <w:lang w:val="en-US"/>
        </w:rPr>
        <w:t>.</w:t>
      </w:r>
      <w:r w:rsidRPr="007C778A">
        <w:rPr>
          <w:rFonts w:ascii="Times New Roman" w:hAnsi="Times New Roman"/>
          <w:b/>
          <w:i/>
          <w:sz w:val="24"/>
          <w:szCs w:val="24"/>
          <w:lang w:val="en-US"/>
        </w:rPr>
        <w:t xml:space="preserve">  Percentage growth from 2004 to 201</w:t>
      </w:r>
      <w:r>
        <w:rPr>
          <w:rFonts w:ascii="Times New Roman" w:hAnsi="Times New Roman"/>
          <w:b/>
          <w:i/>
          <w:sz w:val="24"/>
          <w:szCs w:val="24"/>
          <w:lang w:val="en-US"/>
        </w:rPr>
        <w:t>4</w:t>
      </w:r>
      <w:r w:rsidRPr="007C778A">
        <w:rPr>
          <w:rFonts w:ascii="Times New Roman" w:hAnsi="Times New Roman"/>
          <w:b/>
          <w:i/>
          <w:sz w:val="24"/>
          <w:szCs w:val="24"/>
          <w:lang w:val="en-US"/>
        </w:rPr>
        <w:t xml:space="preserve">, mainly OECD </w:t>
      </w:r>
      <w:r>
        <w:rPr>
          <w:rFonts w:ascii="Times New Roman" w:hAnsi="Times New Roman"/>
          <w:b/>
          <w:i/>
          <w:sz w:val="24"/>
          <w:szCs w:val="24"/>
          <w:lang w:val="en-US"/>
        </w:rPr>
        <w:t xml:space="preserve"> (extracted from baseline paper of August 13, 2020)</w:t>
      </w:r>
    </w:p>
    <w:tbl>
      <w:tblPr>
        <w:tblW w:w="0" w:type="auto"/>
        <w:tblLook w:val="04A0" w:firstRow="1" w:lastRow="0" w:firstColumn="1" w:lastColumn="0" w:noHBand="0" w:noVBand="1"/>
      </w:tblPr>
      <w:tblGrid>
        <w:gridCol w:w="1779"/>
        <w:gridCol w:w="850"/>
        <w:gridCol w:w="850"/>
        <w:gridCol w:w="850"/>
        <w:gridCol w:w="850"/>
        <w:gridCol w:w="850"/>
        <w:gridCol w:w="850"/>
        <w:gridCol w:w="850"/>
        <w:gridCol w:w="850"/>
        <w:gridCol w:w="850"/>
        <w:gridCol w:w="850"/>
        <w:gridCol w:w="850"/>
        <w:gridCol w:w="850"/>
        <w:gridCol w:w="850"/>
        <w:gridCol w:w="850"/>
      </w:tblGrid>
      <w:tr w:rsidR="0083655D" w:rsidRPr="00C600BB" w:rsidTr="00C600BB">
        <w:tc>
          <w:tcPr>
            <w:tcW w:w="2629" w:type="dxa"/>
            <w:gridSpan w:val="2"/>
            <w:tcBorders>
              <w:top w:val="single" w:sz="18" w:space="0" w:color="7F7F7F"/>
              <w:bottom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0"/>
                <w:szCs w:val="20"/>
              </w:rPr>
            </w:pPr>
            <w:r w:rsidRPr="00C600BB">
              <w:rPr>
                <w:rFonts w:ascii="Times New Roman" w:hAnsi="Times New Roman"/>
                <w:sz w:val="24"/>
                <w:szCs w:val="24"/>
              </w:rPr>
              <w:t>%ch Nominals $US</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US</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Canada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Mexico</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China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Japan</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Korea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India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France</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Germany</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UK</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RoEU</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Saudi Arabia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RoW</w:t>
            </w:r>
          </w:p>
        </w:tc>
      </w:tr>
      <w:tr w:rsidR="0083655D" w:rsidRPr="00C600BB" w:rsidTr="00C600BB">
        <w:tc>
          <w:tcPr>
            <w:tcW w:w="1779" w:type="dxa"/>
            <w:tcBorders>
              <w:top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tcBorders>
              <w:top w:val="single" w:sz="18" w:space="0" w:color="7F7F7F"/>
            </w:tcBorders>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GDP</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43.50</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75.92</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68.05</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433.84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0.73</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87.14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194.48</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34.74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38.19</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26.76</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37.68</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192.32</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171.82</w:t>
            </w: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C</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43.96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79.38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62.01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390.73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5.94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81.12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193.87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35.38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31.49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24.89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37.45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208.58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G</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38.47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83.61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95.53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413.61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12.14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130.01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188.85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41.06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43.85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28.95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44.79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233.26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I</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31.77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104.61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66.42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487.49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71.27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185.77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39.79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41.89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22.97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14.59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323.08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X</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101.40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49.57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107.41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315.59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36.21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143.54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274.78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51.02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76.52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52.36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79.39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168.75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M</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60.26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74.73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101.03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306.56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84.03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140.71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284.77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63.09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76.63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44.31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69.77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309.59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tcBorders>
              <w:bottom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tcBorders>
              <w:bottom w:val="single" w:sz="18" w:space="0" w:color="7F7F7F"/>
            </w:tcBorders>
            <w:shd w:val="clear" w:color="auto" w:fill="auto"/>
          </w:tcPr>
          <w:p w:rsidR="00011150" w:rsidRPr="00C600BB" w:rsidRDefault="00011150" w:rsidP="00C600BB">
            <w:pPr>
              <w:spacing w:before="0" w:line="240" w:lineRule="auto"/>
              <w:jc w:val="center"/>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r>
      <w:tr w:rsidR="0083655D" w:rsidRPr="00C600BB" w:rsidTr="00C600BB">
        <w:tc>
          <w:tcPr>
            <w:tcW w:w="2629" w:type="dxa"/>
            <w:gridSpan w:val="2"/>
            <w:tcBorders>
              <w:top w:val="single" w:sz="18" w:space="0" w:color="7F7F7F"/>
              <w:bottom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0"/>
                <w:szCs w:val="20"/>
              </w:rPr>
            </w:pPr>
            <w:r w:rsidRPr="00C600BB">
              <w:rPr>
                <w:rFonts w:ascii="Times New Roman" w:hAnsi="Times New Roman"/>
                <w:sz w:val="24"/>
                <w:szCs w:val="24"/>
              </w:rPr>
              <w:t>%ch Reals $US</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US</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Canada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Mexico</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China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Japan</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Korea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India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France</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Germany</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UK</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RoEU</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Saudi Arabia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RoW</w:t>
            </w:r>
          </w:p>
        </w:tc>
      </w:tr>
      <w:tr w:rsidR="0083655D" w:rsidRPr="00C600BB" w:rsidTr="00C600BB">
        <w:tc>
          <w:tcPr>
            <w:tcW w:w="1779" w:type="dxa"/>
            <w:tcBorders>
              <w:top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tcBorders>
              <w:top w:val="single" w:sz="18" w:space="0" w:color="7F7F7F"/>
            </w:tcBorders>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GDP</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17.39</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20.75</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23.28</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160.11</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6.04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45.63</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109.37</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10.23</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14.44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14.20</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7.27</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49.11</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52.61</w:t>
            </w: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C</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18.17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32.46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17.82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173.46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7.18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33.47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112.15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11.99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14.44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11.66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5.23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118.10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G</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2.96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17.89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27.34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12.16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66.99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91.47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15.68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7.82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15.80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9.66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97.88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I</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13.42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39.17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31.80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-3.02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24.67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129.95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9.22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18.40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16.67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-10.28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187.00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X</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65.27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8.58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57.03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221.97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36.97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113.30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184.39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27.16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80.97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29.48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42.65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12.63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M</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29.48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37.86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46.92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201.73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33.67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84.33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193.04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35.26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53.92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23.69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31.18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195.83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p>
        </w:tc>
      </w:tr>
      <w:tr w:rsidR="0083655D" w:rsidRPr="00C600BB" w:rsidTr="00C600BB">
        <w:tc>
          <w:tcPr>
            <w:tcW w:w="1779" w:type="dxa"/>
            <w:tcBorders>
              <w:bottom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tcBorders>
              <w:bottom w:val="single" w:sz="18" w:space="0" w:color="7F7F7F"/>
            </w:tcBorders>
            <w:shd w:val="clear" w:color="auto" w:fill="auto"/>
          </w:tcPr>
          <w:p w:rsidR="00011150" w:rsidRPr="00C600BB" w:rsidRDefault="00011150" w:rsidP="00C600BB">
            <w:pPr>
              <w:spacing w:before="0" w:line="240" w:lineRule="auto"/>
              <w:jc w:val="center"/>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r>
      <w:tr w:rsidR="0083655D" w:rsidRPr="00C600BB" w:rsidTr="00C600BB">
        <w:tc>
          <w:tcPr>
            <w:tcW w:w="2629" w:type="dxa"/>
            <w:gridSpan w:val="2"/>
            <w:tcBorders>
              <w:top w:val="single" w:sz="18" w:space="0" w:color="7F7F7F"/>
              <w:bottom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0"/>
                <w:szCs w:val="20"/>
              </w:rPr>
            </w:pPr>
            <w:r w:rsidRPr="00C600BB">
              <w:rPr>
                <w:rFonts w:ascii="Times New Roman" w:hAnsi="Times New Roman"/>
                <w:sz w:val="24"/>
                <w:szCs w:val="24"/>
              </w:rPr>
              <w:t>%ch $US prices</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US</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Canada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Mexico</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China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Japan</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Korea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India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France</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Germany</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UK</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RoEU</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Saudi Arabia</w:t>
            </w:r>
          </w:p>
        </w:tc>
        <w:tc>
          <w:tcPr>
            <w:tcW w:w="850" w:type="dxa"/>
            <w:tcBorders>
              <w:top w:val="single" w:sz="18" w:space="0" w:color="7F7F7F"/>
              <w:bottom w:val="single" w:sz="18" w:space="0" w:color="7F7F7F"/>
            </w:tcBorders>
            <w:shd w:val="clear" w:color="auto" w:fill="auto"/>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RoW</w:t>
            </w:r>
          </w:p>
        </w:tc>
      </w:tr>
      <w:tr w:rsidR="0083655D" w:rsidRPr="00C600BB" w:rsidTr="00C600BB">
        <w:tc>
          <w:tcPr>
            <w:tcW w:w="1779" w:type="dxa"/>
            <w:tcBorders>
              <w:top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tcBorders>
              <w:top w:val="single" w:sz="18" w:space="0" w:color="7F7F7F"/>
            </w:tcBorders>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GDP</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22.24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45.69</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36.32</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105.24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-5.00</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28.50</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40.65</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22.23</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20.75</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11.00</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28.35</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96.04</w:t>
            </w:r>
          </w:p>
        </w:tc>
        <w:tc>
          <w:tcPr>
            <w:tcW w:w="850" w:type="dxa"/>
            <w:tcBorders>
              <w:top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78.11</w:t>
            </w: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C</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21.82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35.43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37.51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79.46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35.70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38.52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20.89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21.95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11.85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30.62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41.49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80.15</w:t>
            </w: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G</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34.49</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55.75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53.56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324.93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-0.02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37.74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50.86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21.94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21.50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11.36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32.04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68.41</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69.35</w:t>
            </w: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I</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16.18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47.02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26.26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72.76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2.03</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37.38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24.27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27.98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24.60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5.40</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27.72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47.42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76.05</w:t>
            </w: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c>
          <w:tcPr>
            <w:tcW w:w="850" w:type="dxa"/>
            <w:shd w:val="clear" w:color="auto" w:fill="auto"/>
            <w:vAlign w:val="bottom"/>
          </w:tcPr>
          <w:p w:rsidR="00011150" w:rsidRPr="00C600BB" w:rsidRDefault="00011150" w:rsidP="00C600BB">
            <w:pPr>
              <w:spacing w:before="0" w:line="240" w:lineRule="auto"/>
              <w:rPr>
                <w:rFonts w:ascii="Times New Roman" w:hAnsi="Times New Roman"/>
                <w:sz w:val="20"/>
                <w:szCs w:val="20"/>
              </w:rPr>
            </w:pPr>
          </w:p>
        </w:tc>
      </w:tr>
      <w:tr w:rsidR="0083655D" w:rsidRPr="00C600BB" w:rsidTr="00C600BB">
        <w:tc>
          <w:tcPr>
            <w:tcW w:w="1779" w:type="dxa"/>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X</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21.86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37.74</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32.08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29.08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-0.56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14.17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31.78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18.76</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14.68</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17.67</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25.75</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138.62</w:t>
            </w:r>
          </w:p>
        </w:tc>
        <w:tc>
          <w:tcPr>
            <w:tcW w:w="850" w:type="dxa"/>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68.54</w:t>
            </w:r>
          </w:p>
        </w:tc>
      </w:tr>
      <w:tr w:rsidR="0083655D" w:rsidRPr="00C600BB" w:rsidTr="00C600BB">
        <w:tc>
          <w:tcPr>
            <w:tcW w:w="1779" w:type="dxa"/>
            <w:tcBorders>
              <w:bottom w:val="single" w:sz="18" w:space="0" w:color="7F7F7F"/>
            </w:tcBorders>
            <w:shd w:val="clear" w:color="auto" w:fill="auto"/>
          </w:tcPr>
          <w:p w:rsidR="00011150" w:rsidRPr="00C600BB" w:rsidRDefault="00011150" w:rsidP="00C600BB">
            <w:pPr>
              <w:spacing w:before="0" w:line="240" w:lineRule="auto"/>
              <w:ind w:left="0"/>
              <w:rPr>
                <w:rFonts w:ascii="Times New Roman" w:hAnsi="Times New Roman"/>
                <w:sz w:val="24"/>
                <w:szCs w:val="24"/>
              </w:rPr>
            </w:pPr>
          </w:p>
        </w:tc>
        <w:tc>
          <w:tcPr>
            <w:tcW w:w="850" w:type="dxa"/>
            <w:tcBorders>
              <w:bottom w:val="single" w:sz="18" w:space="0" w:color="7F7F7F"/>
            </w:tcBorders>
            <w:shd w:val="clear" w:color="auto" w:fill="auto"/>
          </w:tcPr>
          <w:p w:rsidR="00011150" w:rsidRPr="00C600BB" w:rsidRDefault="00011150" w:rsidP="00C600BB">
            <w:pPr>
              <w:spacing w:before="0" w:line="240" w:lineRule="auto"/>
              <w:jc w:val="center"/>
              <w:rPr>
                <w:rFonts w:ascii="Times New Roman" w:hAnsi="Times New Roman"/>
                <w:sz w:val="20"/>
                <w:szCs w:val="20"/>
              </w:rPr>
            </w:pPr>
            <w:r w:rsidRPr="00C600BB">
              <w:rPr>
                <w:rFonts w:ascii="Times New Roman" w:hAnsi="Times New Roman"/>
                <w:sz w:val="20"/>
                <w:szCs w:val="20"/>
              </w:rPr>
              <w:t>M</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23.77</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26.74</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36.83</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34.74</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37.67</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30.58</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31.30</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20.57</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18.13</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16.67</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29.42</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38.46</w:t>
            </w:r>
          </w:p>
        </w:tc>
        <w:tc>
          <w:tcPr>
            <w:tcW w:w="850" w:type="dxa"/>
            <w:tcBorders>
              <w:bottom w:val="single" w:sz="18" w:space="0" w:color="7F7F7F"/>
            </w:tcBorders>
            <w:shd w:val="clear" w:color="auto" w:fill="auto"/>
            <w:vAlign w:val="bottom"/>
          </w:tcPr>
          <w:p w:rsidR="00011150" w:rsidRPr="00C600BB" w:rsidRDefault="00011150" w:rsidP="00C600BB">
            <w:pPr>
              <w:spacing w:before="0" w:line="240" w:lineRule="auto"/>
              <w:jc w:val="right"/>
              <w:rPr>
                <w:rFonts w:ascii="Times New Roman" w:hAnsi="Times New Roman"/>
                <w:sz w:val="20"/>
                <w:szCs w:val="20"/>
              </w:rPr>
            </w:pPr>
            <w:r w:rsidRPr="00C600BB">
              <w:rPr>
                <w:rFonts w:ascii="Times New Roman" w:hAnsi="Times New Roman"/>
                <w:sz w:val="20"/>
                <w:szCs w:val="20"/>
              </w:rPr>
              <w:t>64.94</w:t>
            </w:r>
          </w:p>
        </w:tc>
      </w:tr>
    </w:tbl>
    <w:p w:rsidR="00011150" w:rsidRDefault="00011150" w:rsidP="002C5CEB">
      <w:pPr>
        <w:ind w:left="0"/>
        <w:rPr>
          <w:rFonts w:ascii="Times New Roman" w:hAnsi="Times New Roman"/>
          <w:sz w:val="24"/>
          <w:szCs w:val="24"/>
        </w:rPr>
        <w:sectPr w:rsidR="00011150" w:rsidSect="0094019F">
          <w:pgSz w:w="16838" w:h="11906" w:orient="landscape"/>
          <w:pgMar w:top="1440" w:right="1440" w:bottom="1440" w:left="1440" w:header="708" w:footer="708" w:gutter="0"/>
          <w:cols w:space="708"/>
          <w:docGrid w:linePitch="360"/>
        </w:sectPr>
      </w:pPr>
    </w:p>
    <w:p w:rsidR="002C5CEB" w:rsidRPr="00E12E10" w:rsidRDefault="00574767" w:rsidP="002C5CEB">
      <w:pPr>
        <w:ind w:left="0"/>
        <w:rPr>
          <w:rFonts w:ascii="Times New Roman" w:hAnsi="Times New Roman"/>
          <w:b/>
          <w:i/>
          <w:sz w:val="24"/>
          <w:szCs w:val="24"/>
        </w:rPr>
      </w:pPr>
      <w:r>
        <w:rPr>
          <w:rFonts w:ascii="Times New Roman" w:hAnsi="Times New Roman"/>
          <w:b/>
          <w:i/>
          <w:sz w:val="24"/>
          <w:szCs w:val="24"/>
        </w:rPr>
        <w:lastRenderedPageBreak/>
        <w:t>B</w:t>
      </w:r>
      <w:r w:rsidR="002C5CEB" w:rsidRPr="00E12E10">
        <w:rPr>
          <w:rFonts w:ascii="Times New Roman" w:hAnsi="Times New Roman"/>
          <w:b/>
          <w:i/>
          <w:sz w:val="24"/>
          <w:szCs w:val="24"/>
        </w:rPr>
        <w:t xml:space="preserve">aseline forecasts </w:t>
      </w:r>
      <w:r>
        <w:rPr>
          <w:rFonts w:ascii="Times New Roman" w:hAnsi="Times New Roman"/>
          <w:b/>
          <w:i/>
          <w:sz w:val="24"/>
          <w:szCs w:val="24"/>
        </w:rPr>
        <w:t>for</w:t>
      </w:r>
      <w:r w:rsidR="002C5CEB" w:rsidRPr="00E12E10">
        <w:rPr>
          <w:rFonts w:ascii="Times New Roman" w:hAnsi="Times New Roman"/>
          <w:b/>
          <w:i/>
          <w:sz w:val="24"/>
          <w:szCs w:val="24"/>
        </w:rPr>
        <w:t xml:space="preserve"> </w:t>
      </w:r>
      <w:r>
        <w:rPr>
          <w:rFonts w:ascii="Times New Roman" w:hAnsi="Times New Roman"/>
          <w:b/>
          <w:i/>
          <w:sz w:val="24"/>
          <w:szCs w:val="24"/>
        </w:rPr>
        <w:t xml:space="preserve">real and nominal </w:t>
      </w:r>
      <w:r w:rsidR="002C5CEB" w:rsidRPr="00E12E10">
        <w:rPr>
          <w:rFonts w:ascii="Times New Roman" w:hAnsi="Times New Roman"/>
          <w:b/>
          <w:i/>
          <w:sz w:val="24"/>
          <w:szCs w:val="24"/>
        </w:rPr>
        <w:t>GD</w:t>
      </w:r>
      <w:r>
        <w:rPr>
          <w:rFonts w:ascii="Times New Roman" w:hAnsi="Times New Roman"/>
          <w:b/>
          <w:i/>
          <w:sz w:val="24"/>
          <w:szCs w:val="24"/>
        </w:rPr>
        <w:t xml:space="preserve">P, population and </w:t>
      </w:r>
      <w:r w:rsidR="002C5CEB" w:rsidRPr="00E12E10">
        <w:rPr>
          <w:rFonts w:ascii="Times New Roman" w:hAnsi="Times New Roman"/>
          <w:b/>
          <w:i/>
          <w:sz w:val="24"/>
          <w:szCs w:val="24"/>
        </w:rPr>
        <w:t>working age population</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Tables </w:t>
      </w:r>
      <w:r w:rsidR="00E12E10">
        <w:rPr>
          <w:rFonts w:ascii="Times New Roman" w:hAnsi="Times New Roman"/>
          <w:sz w:val="24"/>
          <w:szCs w:val="24"/>
        </w:rPr>
        <w:t>A1.5</w:t>
      </w:r>
      <w:r>
        <w:rPr>
          <w:rFonts w:ascii="Times New Roman" w:hAnsi="Times New Roman"/>
          <w:sz w:val="24"/>
          <w:szCs w:val="24"/>
        </w:rPr>
        <w:t xml:space="preserve"> to </w:t>
      </w:r>
      <w:r w:rsidR="00E12E10">
        <w:rPr>
          <w:rFonts w:ascii="Times New Roman" w:hAnsi="Times New Roman"/>
          <w:sz w:val="24"/>
          <w:szCs w:val="24"/>
        </w:rPr>
        <w:t>A1.</w:t>
      </w:r>
      <w:r w:rsidR="00574767">
        <w:rPr>
          <w:rFonts w:ascii="Times New Roman" w:hAnsi="Times New Roman"/>
          <w:sz w:val="24"/>
          <w:szCs w:val="24"/>
        </w:rPr>
        <w:t>8</w:t>
      </w:r>
      <w:r>
        <w:rPr>
          <w:rFonts w:ascii="Times New Roman" w:hAnsi="Times New Roman"/>
          <w:sz w:val="24"/>
          <w:szCs w:val="24"/>
        </w:rPr>
        <w:t xml:space="preserve"> give data and projections for real and nominal GDP, population and working-age population</w:t>
      </w:r>
      <w:r w:rsidR="00484014">
        <w:rPr>
          <w:rFonts w:ascii="Times New Roman" w:hAnsi="Times New Roman"/>
          <w:sz w:val="24"/>
          <w:szCs w:val="24"/>
        </w:rPr>
        <w:t xml:space="preserve"> (WAP)</w:t>
      </w:r>
      <w:r>
        <w:rPr>
          <w:rFonts w:ascii="Times New Roman" w:hAnsi="Times New Roman"/>
          <w:sz w:val="24"/>
          <w:szCs w:val="24"/>
        </w:rPr>
        <w:t xml:space="preserve">.  With one exception, the </w:t>
      </w:r>
      <w:r w:rsidRPr="00574767">
        <w:rPr>
          <w:rFonts w:ascii="Times New Roman" w:hAnsi="Times New Roman"/>
          <w:i/>
          <w:sz w:val="24"/>
          <w:szCs w:val="24"/>
        </w:rPr>
        <w:t>data</w:t>
      </w:r>
      <w:r>
        <w:rPr>
          <w:rFonts w:ascii="Times New Roman" w:hAnsi="Times New Roman"/>
          <w:sz w:val="24"/>
          <w:szCs w:val="24"/>
        </w:rPr>
        <w:t xml:space="preserve"> were extracted from IMF and ILO sources</w:t>
      </w:r>
      <w:r w:rsidR="00574767">
        <w:rPr>
          <w:rFonts w:ascii="Times New Roman" w:hAnsi="Times New Roman"/>
          <w:sz w:val="24"/>
          <w:szCs w:val="24"/>
        </w:rPr>
        <w:t>.</w:t>
      </w:r>
      <w:r>
        <w:rPr>
          <w:rFonts w:ascii="Times New Roman" w:hAnsi="Times New Roman"/>
          <w:sz w:val="24"/>
          <w:szCs w:val="24"/>
        </w:rPr>
        <w:t xml:space="preserve">  The exception was real GDP growth for RoW for 2014-19.  As explained earlier, this is an estimate based on our 2014-17 validation simulation.  </w:t>
      </w:r>
    </w:p>
    <w:p w:rsidR="00574767" w:rsidRDefault="002C5CEB" w:rsidP="002C5CEB">
      <w:pPr>
        <w:ind w:left="0"/>
        <w:rPr>
          <w:rFonts w:ascii="Times New Roman" w:hAnsi="Times New Roman"/>
          <w:sz w:val="24"/>
          <w:szCs w:val="24"/>
        </w:rPr>
      </w:pPr>
      <w:r>
        <w:rPr>
          <w:rFonts w:ascii="Times New Roman" w:hAnsi="Times New Roman"/>
          <w:sz w:val="24"/>
          <w:szCs w:val="24"/>
        </w:rPr>
        <w:t xml:space="preserve">The </w:t>
      </w:r>
      <w:r w:rsidRPr="00574767">
        <w:rPr>
          <w:rFonts w:ascii="Times New Roman" w:hAnsi="Times New Roman"/>
          <w:i/>
          <w:sz w:val="24"/>
          <w:szCs w:val="24"/>
        </w:rPr>
        <w:t>forecast</w:t>
      </w:r>
      <w:r>
        <w:rPr>
          <w:rFonts w:ascii="Times New Roman" w:hAnsi="Times New Roman"/>
          <w:sz w:val="24"/>
          <w:szCs w:val="24"/>
        </w:rPr>
        <w:t xml:space="preserve"> numbers (beyond 2020) for both population and WAP were taken from SSP2 </w:t>
      </w:r>
      <w:r w:rsidR="00574767">
        <w:rPr>
          <w:rFonts w:ascii="Times New Roman" w:hAnsi="Times New Roman"/>
          <w:sz w:val="24"/>
          <w:szCs w:val="24"/>
        </w:rPr>
        <w:t>[</w:t>
      </w:r>
      <w:r w:rsidR="00574767" w:rsidRPr="00574767">
        <w:rPr>
          <w:rFonts w:ascii="Times New Roman" w:hAnsi="Times New Roman"/>
          <w:sz w:val="24"/>
          <w:szCs w:val="24"/>
        </w:rPr>
        <w:t xml:space="preserve">Shared Socioeconomic Pathway 2 (middle of the road projections) published by the </w:t>
      </w:r>
      <w:r w:rsidR="00574767" w:rsidRPr="00DB0467">
        <w:rPr>
          <w:rFonts w:ascii="Times New Roman" w:hAnsi="Times New Roman"/>
          <w:sz w:val="24"/>
          <w:szCs w:val="24"/>
        </w:rPr>
        <w:t>International Institute for Applied System Analysis</w:t>
      </w:r>
      <w:r w:rsidR="00574767">
        <w:rPr>
          <w:rFonts w:ascii="Times New Roman" w:hAnsi="Times New Roman"/>
          <w:i/>
          <w:sz w:val="24"/>
          <w:szCs w:val="24"/>
        </w:rPr>
        <w:t>,</w:t>
      </w:r>
      <w:r w:rsidR="00574767" w:rsidRPr="00574767">
        <w:rPr>
          <w:rFonts w:ascii="Times New Roman" w:hAnsi="Times New Roman"/>
          <w:i/>
          <w:sz w:val="24"/>
          <w:szCs w:val="24"/>
        </w:rPr>
        <w:t xml:space="preserve"> </w:t>
      </w:r>
      <w:r w:rsidR="00574767" w:rsidRPr="00574767">
        <w:rPr>
          <w:rFonts w:ascii="Times New Roman" w:hAnsi="Times New Roman"/>
          <w:sz w:val="24"/>
          <w:szCs w:val="24"/>
        </w:rPr>
        <w:t>IIASA</w:t>
      </w:r>
      <w:r w:rsidR="00574767">
        <w:rPr>
          <w:rFonts w:ascii="Times New Roman" w:hAnsi="Times New Roman"/>
          <w:sz w:val="24"/>
          <w:szCs w:val="24"/>
        </w:rPr>
        <w:t>]</w:t>
      </w:r>
      <w:r w:rsidRPr="00574767">
        <w:rPr>
          <w:rFonts w:ascii="Times New Roman" w:hAnsi="Times New Roman"/>
          <w:sz w:val="24"/>
          <w:szCs w:val="24"/>
        </w:rPr>
        <w:t>.</w:t>
      </w:r>
      <w:r>
        <w:rPr>
          <w:rFonts w:ascii="Times New Roman" w:hAnsi="Times New Roman"/>
          <w:sz w:val="24"/>
          <w:szCs w:val="24"/>
        </w:rPr>
        <w:t xml:space="preserve">  </w:t>
      </w:r>
    </w:p>
    <w:p w:rsidR="002C5CEB" w:rsidRDefault="002C5CEB" w:rsidP="002C5CEB">
      <w:pPr>
        <w:ind w:left="0"/>
        <w:rPr>
          <w:rFonts w:ascii="Times New Roman" w:hAnsi="Times New Roman"/>
          <w:i/>
          <w:sz w:val="24"/>
          <w:szCs w:val="24"/>
        </w:rPr>
      </w:pPr>
      <w:r>
        <w:rPr>
          <w:rFonts w:ascii="Times New Roman" w:hAnsi="Times New Roman"/>
          <w:i/>
          <w:sz w:val="24"/>
          <w:szCs w:val="24"/>
        </w:rPr>
        <w:t>Real GDP and productivity assumptions for 2029-2050</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The data up to 2021 for real and nominal GDP are from the IMF.  Then up to 2028 we use IMF forecasts.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We calculated actual and implied productivity growth for each region up to 2028 using data and forecasts for real GDP and working-age population (WAP).  For all regions except China, India, Saudi Arabia and RoW, we assumed that the average annual productivity growth for the 19 years from 2010 to 2028 will continue to apply from 2029 to 2050.  Combining this productivity assumption with the WAP projections gave us real GDP growth from 2029 to 2050.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For China, the IMF real GDP forecasts and the SSP2 WAP forecasts imply considerably slower productivity growth for 2022 to 2028 than in the earlier decade, down to 4.28 per cent from over 6 per cent in the earlier period.  We assume that this slowdown reflects the maturing nature of the Chinese economy and that the 4.28 per cent productivity growth will apply to 2050.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For India, we used the average productivity growth for the 16 years from 2013 to 2028.  2012 was the first year for which we had WAP data.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For Saudi Arabia, we used the average productivity growth for the 15 years from 2014 to 2028.  This seems rather arbitrary since we simply assumed that WAP moved with population in the years 2014 to 2021.  </w:t>
      </w:r>
    </w:p>
    <w:p w:rsidR="002C5CEB" w:rsidRDefault="002C5CEB" w:rsidP="002C5CEB">
      <w:pPr>
        <w:ind w:left="0"/>
        <w:rPr>
          <w:rFonts w:ascii="Times New Roman" w:hAnsi="Times New Roman"/>
          <w:sz w:val="24"/>
          <w:szCs w:val="24"/>
        </w:rPr>
      </w:pPr>
      <w:r>
        <w:rPr>
          <w:rFonts w:ascii="Times New Roman" w:hAnsi="Times New Roman"/>
          <w:sz w:val="24"/>
          <w:szCs w:val="24"/>
        </w:rPr>
        <w:t>For RoW, we used the average productivity growth for the 14 years from 2015 to 2028.  2015 was the first year for which we had seemingly reliable growth rate</w:t>
      </w:r>
      <w:r w:rsidR="00DB0467">
        <w:rPr>
          <w:rFonts w:ascii="Times New Roman" w:hAnsi="Times New Roman"/>
          <w:sz w:val="24"/>
          <w:szCs w:val="24"/>
        </w:rPr>
        <w:t>s</w:t>
      </w:r>
      <w:r>
        <w:rPr>
          <w:rFonts w:ascii="Times New Roman" w:hAnsi="Times New Roman"/>
          <w:sz w:val="24"/>
          <w:szCs w:val="24"/>
        </w:rPr>
        <w:t xml:space="preserve"> for WAP.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Table </w:t>
      </w:r>
      <w:r w:rsidR="00574767">
        <w:rPr>
          <w:rFonts w:ascii="Times New Roman" w:hAnsi="Times New Roman"/>
          <w:sz w:val="24"/>
          <w:szCs w:val="24"/>
        </w:rPr>
        <w:t>A1.9</w:t>
      </w:r>
      <w:r>
        <w:rPr>
          <w:rFonts w:ascii="Times New Roman" w:hAnsi="Times New Roman"/>
          <w:sz w:val="24"/>
          <w:szCs w:val="24"/>
        </w:rPr>
        <w:t xml:space="preserve"> shows our productivity growth assumptions for 2029-2050.  </w:t>
      </w:r>
    </w:p>
    <w:p w:rsidR="002C5CEB" w:rsidRPr="007A7E0D" w:rsidRDefault="00DB0467" w:rsidP="002C5CEB">
      <w:pPr>
        <w:ind w:left="0"/>
        <w:rPr>
          <w:rFonts w:ascii="Times New Roman" w:hAnsi="Times New Roman"/>
          <w:i/>
          <w:sz w:val="24"/>
          <w:szCs w:val="24"/>
        </w:rPr>
      </w:pPr>
      <w:r>
        <w:rPr>
          <w:rFonts w:ascii="Times New Roman" w:hAnsi="Times New Roman"/>
          <w:i/>
          <w:sz w:val="24"/>
          <w:szCs w:val="24"/>
        </w:rPr>
        <w:t>Miscellaneous comments</w:t>
      </w:r>
    </w:p>
    <w:p w:rsidR="002C5CEB" w:rsidRDefault="002C5CEB" w:rsidP="002C5CEB">
      <w:pPr>
        <w:ind w:left="0"/>
        <w:rPr>
          <w:rFonts w:ascii="Times New Roman" w:hAnsi="Times New Roman"/>
          <w:sz w:val="24"/>
          <w:szCs w:val="24"/>
        </w:rPr>
      </w:pPr>
      <w:r>
        <w:rPr>
          <w:rFonts w:ascii="Times New Roman" w:hAnsi="Times New Roman"/>
          <w:sz w:val="24"/>
          <w:szCs w:val="24"/>
        </w:rPr>
        <w:t>The data (up to 2020) for working-age population from the ILO were incomplete for China, India and Saudi Arabia.</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For China there is no working-age population data from ILO before 2020.  We </w:t>
      </w:r>
      <w:r w:rsidR="00574767">
        <w:rPr>
          <w:rFonts w:ascii="Times New Roman" w:hAnsi="Times New Roman"/>
          <w:sz w:val="24"/>
          <w:szCs w:val="24"/>
        </w:rPr>
        <w:t>deduced</w:t>
      </w:r>
      <w:r>
        <w:rPr>
          <w:rFonts w:ascii="Times New Roman" w:hAnsi="Times New Roman"/>
          <w:sz w:val="24"/>
          <w:szCs w:val="24"/>
        </w:rPr>
        <w:t xml:space="preserve"> growth rates for WAP </w:t>
      </w:r>
      <w:r w:rsidR="00574767">
        <w:rPr>
          <w:rFonts w:ascii="Times New Roman" w:hAnsi="Times New Roman"/>
          <w:sz w:val="24"/>
          <w:szCs w:val="24"/>
        </w:rPr>
        <w:t xml:space="preserve">for </w:t>
      </w:r>
      <w:r>
        <w:rPr>
          <w:rFonts w:ascii="Times New Roman" w:hAnsi="Times New Roman"/>
          <w:sz w:val="24"/>
          <w:szCs w:val="24"/>
        </w:rPr>
        <w:t xml:space="preserve">2018, 2019 and 2020 from SSP2 data.  For earlier years we assumed that annual growth in WAP for China is 0.5 percentage points lower than that in population.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For India we had levels data from ILO for WAP for 2012 and 2018.  We filled in the intervening years by extrapolation.  </w:t>
      </w:r>
    </w:p>
    <w:p w:rsidR="00C925F9" w:rsidRDefault="00C925F9" w:rsidP="00C925F9">
      <w:pPr>
        <w:jc w:val="center"/>
        <w:rPr>
          <w:rFonts w:ascii="Times New Roman" w:hAnsi="Times New Roman"/>
          <w:b/>
          <w:i/>
          <w:sz w:val="24"/>
          <w:szCs w:val="24"/>
        </w:rPr>
      </w:pPr>
      <w:r>
        <w:rPr>
          <w:rFonts w:ascii="Times New Roman" w:hAnsi="Times New Roman"/>
          <w:b/>
          <w:i/>
          <w:sz w:val="24"/>
          <w:szCs w:val="24"/>
        </w:rPr>
        <w:lastRenderedPageBreak/>
        <w:t>Table A1.5.  Real GDP: IMF data and projections up to 2028, then our projections based on productivity and ILO projections of working-age population</w:t>
      </w:r>
    </w:p>
    <w:tbl>
      <w:tblPr>
        <w:tblW w:w="0" w:type="auto"/>
        <w:tblLook w:val="04A0" w:firstRow="1" w:lastRow="0" w:firstColumn="1" w:lastColumn="0" w:noHBand="0" w:noVBand="1"/>
      </w:tblPr>
      <w:tblGrid>
        <w:gridCol w:w="1532"/>
        <w:gridCol w:w="934"/>
        <w:gridCol w:w="935"/>
        <w:gridCol w:w="935"/>
        <w:gridCol w:w="936"/>
        <w:gridCol w:w="936"/>
        <w:gridCol w:w="936"/>
        <w:gridCol w:w="936"/>
        <w:gridCol w:w="936"/>
      </w:tblGrid>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center"/>
              <w:rPr>
                <w:rFonts w:ascii="Times New Roman" w:hAnsi="Times New Roman"/>
                <w:color w:val="000000"/>
                <w:sz w:val="18"/>
                <w:szCs w:val="18"/>
              </w:rPr>
            </w:pPr>
          </w:p>
        </w:tc>
        <w:tc>
          <w:tcPr>
            <w:tcW w:w="3740" w:type="dxa"/>
            <w:gridSpan w:val="4"/>
            <w:tcBorders>
              <w:top w:val="single" w:sz="18" w:space="0" w:color="7F7F7F"/>
              <w:left w:val="single" w:sz="18" w:space="0" w:color="7F7F7F"/>
              <w:righ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 Growth</w:t>
            </w:r>
          </w:p>
        </w:tc>
        <w:tc>
          <w:tcPr>
            <w:tcW w:w="3744" w:type="dxa"/>
            <w:gridSpan w:val="4"/>
            <w:tcBorders>
              <w:top w:val="single" w:sz="18" w:space="0" w:color="7F7F7F"/>
              <w:lef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Average annual % growth</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rPr>
                <w:rFonts w:ascii="Times New Roman" w:hAnsi="Times New Roman"/>
                <w:color w:val="000000"/>
                <w:sz w:val="18"/>
                <w:szCs w:val="18"/>
              </w:rPr>
            </w:pPr>
          </w:p>
        </w:tc>
        <w:tc>
          <w:tcPr>
            <w:tcW w:w="934"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r>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US</w:t>
            </w:r>
          </w:p>
        </w:tc>
        <w:tc>
          <w:tcPr>
            <w:tcW w:w="934"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12.43</w:t>
            </w:r>
          </w:p>
        </w:tc>
        <w:tc>
          <w:tcPr>
            <w:tcW w:w="935"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21.36</w:t>
            </w:r>
          </w:p>
        </w:tc>
        <w:tc>
          <w:tcPr>
            <w:tcW w:w="935"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23.99</w:t>
            </w:r>
          </w:p>
        </w:tc>
        <w:tc>
          <w:tcPr>
            <w:tcW w:w="936"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22.44</w:t>
            </w:r>
          </w:p>
        </w:tc>
        <w:tc>
          <w:tcPr>
            <w:tcW w:w="936"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2.37</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1.78</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2.17</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Canada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9.70</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18.23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22.92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19.62</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1.87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1.81</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Mexico</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10.41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13.93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12.91</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11.15</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1.06</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China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38.32</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56.61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35.03</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37.63</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6.70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4.16</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3.05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3.25</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Japan</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4.29</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4.56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1.59</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2.37</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0.84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0.16</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0.23</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Korea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14.88</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24.96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18.22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19.26</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2.81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1.78</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India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38.06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75.44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71.89</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64.37</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6.66</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5.24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5.57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5.10</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France</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8.46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12.72</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13.83</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14.64</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1.38</w:t>
            </w:r>
          </w:p>
        </w:tc>
      </w:tr>
      <w:tr w:rsidR="0083655D" w:rsidRPr="00C600BB" w:rsidTr="00C600BB">
        <w:trPr>
          <w:trHeight w:val="193"/>
        </w:trPr>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Germany</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8.71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9.33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10.46</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13.10</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0.81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1.24</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UK</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10.74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11.14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16.42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16.61</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2.06</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0.96</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1.55</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RoEU</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20.73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31.64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29.93</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26.41</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3.84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2.53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2.65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2.37</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Saudi Arabia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10.96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35.16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16.47</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11.17</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2.10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2.78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1.06</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RoW</w:t>
            </w:r>
          </w:p>
        </w:tc>
        <w:tc>
          <w:tcPr>
            <w:tcW w:w="934"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18.73</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34.23</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35.00</w:t>
            </w:r>
          </w:p>
        </w:tc>
        <w:tc>
          <w:tcPr>
            <w:tcW w:w="936"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29.83</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3.49</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2.71</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3.05</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2.64</w:t>
            </w:r>
          </w:p>
        </w:tc>
      </w:tr>
    </w:tbl>
    <w:p w:rsidR="00C925F9" w:rsidRDefault="00C925F9" w:rsidP="00C925F9">
      <w:pPr>
        <w:jc w:val="center"/>
        <w:rPr>
          <w:rFonts w:ascii="Times New Roman" w:hAnsi="Times New Roman"/>
          <w:b/>
          <w:i/>
          <w:sz w:val="24"/>
          <w:szCs w:val="24"/>
        </w:rPr>
      </w:pPr>
    </w:p>
    <w:p w:rsidR="00C925F9" w:rsidRDefault="00C925F9" w:rsidP="00C925F9">
      <w:pPr>
        <w:jc w:val="center"/>
        <w:rPr>
          <w:rFonts w:ascii="Times New Roman" w:hAnsi="Times New Roman"/>
          <w:b/>
          <w:i/>
          <w:sz w:val="24"/>
          <w:szCs w:val="24"/>
        </w:rPr>
      </w:pPr>
      <w:r>
        <w:rPr>
          <w:rFonts w:ascii="Times New Roman" w:hAnsi="Times New Roman"/>
          <w:b/>
          <w:i/>
          <w:sz w:val="24"/>
          <w:szCs w:val="24"/>
        </w:rPr>
        <w:t>Table A1.6.  Nominal GDP: IMF data up to 2019, then our real GDP projections combined with IMF price projections up to 2030</w:t>
      </w:r>
    </w:p>
    <w:tbl>
      <w:tblPr>
        <w:tblW w:w="0" w:type="auto"/>
        <w:tblLook w:val="04A0" w:firstRow="1" w:lastRow="0" w:firstColumn="1" w:lastColumn="0" w:noHBand="0" w:noVBand="1"/>
      </w:tblPr>
      <w:tblGrid>
        <w:gridCol w:w="1532"/>
        <w:gridCol w:w="934"/>
        <w:gridCol w:w="935"/>
        <w:gridCol w:w="935"/>
        <w:gridCol w:w="936"/>
        <w:gridCol w:w="936"/>
        <w:gridCol w:w="936"/>
        <w:gridCol w:w="936"/>
        <w:gridCol w:w="936"/>
      </w:tblGrid>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center"/>
              <w:rPr>
                <w:rFonts w:ascii="Times New Roman" w:hAnsi="Times New Roman"/>
                <w:color w:val="000000"/>
                <w:sz w:val="18"/>
                <w:szCs w:val="18"/>
              </w:rPr>
            </w:pPr>
          </w:p>
        </w:tc>
        <w:tc>
          <w:tcPr>
            <w:tcW w:w="3740" w:type="dxa"/>
            <w:gridSpan w:val="4"/>
            <w:tcBorders>
              <w:top w:val="single" w:sz="18" w:space="0" w:color="7F7F7F"/>
              <w:left w:val="single" w:sz="18" w:space="0" w:color="7F7F7F"/>
              <w:righ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 Growth</w:t>
            </w:r>
          </w:p>
        </w:tc>
        <w:tc>
          <w:tcPr>
            <w:tcW w:w="3744" w:type="dxa"/>
            <w:gridSpan w:val="4"/>
            <w:tcBorders>
              <w:top w:val="single" w:sz="18" w:space="0" w:color="7F7F7F"/>
              <w:lef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Average annual % growth</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rPr>
                <w:rFonts w:ascii="Times New Roman" w:hAnsi="Times New Roman"/>
                <w:color w:val="000000"/>
                <w:sz w:val="18"/>
                <w:szCs w:val="18"/>
              </w:rPr>
            </w:pPr>
          </w:p>
        </w:tc>
        <w:tc>
          <w:tcPr>
            <w:tcW w:w="934"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r>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US</w:t>
            </w:r>
          </w:p>
        </w:tc>
        <w:tc>
          <w:tcPr>
            <w:tcW w:w="934"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21.82</w:t>
            </w:r>
          </w:p>
        </w:tc>
        <w:tc>
          <w:tcPr>
            <w:tcW w:w="935"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63.79</w:t>
            </w:r>
          </w:p>
        </w:tc>
        <w:tc>
          <w:tcPr>
            <w:tcW w:w="935" w:type="dxa"/>
            <w:tcBorders>
              <w:top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top w:val="single" w:sz="18" w:space="0" w:color="7F7F7F"/>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4.03</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4.59</w:t>
            </w:r>
          </w:p>
        </w:tc>
        <w:tc>
          <w:tcPr>
            <w:tcW w:w="936" w:type="dxa"/>
            <w:tcBorders>
              <w:top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top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Canada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-3.43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63.24</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4.56</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Mexico</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-3.52</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70.25</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4.96</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China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36.26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119.01</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6.38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7.39</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Japan</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4.51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15.68</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0.89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1.33</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Korea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11.25</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40.15</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2.15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3.12</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India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39.06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130.18</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6.82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7.87</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France</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-4.46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29.48</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-0.91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2.38</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Germany</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34.87</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2.76</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UK</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-6.79</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66.00</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-1.40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4.72</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RoEU</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6.25</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59.50</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4.34</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Saudi Arabia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9.39</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62.35</w:t>
            </w:r>
          </w:p>
        </w:tc>
        <w:tc>
          <w:tcPr>
            <w:tcW w:w="935"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1.81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4.50</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RoW</w:t>
            </w:r>
          </w:p>
        </w:tc>
        <w:tc>
          <w:tcPr>
            <w:tcW w:w="934" w:type="dxa"/>
            <w:tcBorders>
              <w:left w:val="single" w:sz="18" w:space="0" w:color="7F7F7F"/>
              <w:bottom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5" w:type="dxa"/>
            <w:tcBorders>
              <w:bottom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5" w:type="dxa"/>
            <w:tcBorders>
              <w:bottom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bottom w:val="single" w:sz="18" w:space="0" w:color="7F7F7F"/>
              <w:right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5.22</w:t>
            </w:r>
          </w:p>
        </w:tc>
        <w:tc>
          <w:tcPr>
            <w:tcW w:w="936" w:type="dxa"/>
            <w:tcBorders>
              <w:bottom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c>
          <w:tcPr>
            <w:tcW w:w="936" w:type="dxa"/>
            <w:tcBorders>
              <w:bottom w:val="single" w:sz="18" w:space="0" w:color="7F7F7F"/>
            </w:tcBorders>
            <w:shd w:val="clear" w:color="auto" w:fill="auto"/>
          </w:tcPr>
          <w:p w:rsidR="00C925F9" w:rsidRPr="00C600BB" w:rsidRDefault="00C925F9" w:rsidP="00C600BB">
            <w:pPr>
              <w:spacing w:before="0" w:line="240" w:lineRule="auto"/>
              <w:jc w:val="right"/>
              <w:rPr>
                <w:rFonts w:ascii="Times New Roman" w:hAnsi="Times New Roman"/>
                <w:i/>
                <w:color w:val="000000"/>
                <w:sz w:val="18"/>
                <w:szCs w:val="18"/>
              </w:rPr>
            </w:pPr>
            <w:r w:rsidRPr="00C600BB">
              <w:rPr>
                <w:rFonts w:ascii="Times New Roman" w:hAnsi="Times New Roman"/>
                <w:i/>
                <w:color w:val="000000"/>
                <w:sz w:val="18"/>
                <w:szCs w:val="18"/>
              </w:rPr>
              <w:t>NA</w:t>
            </w:r>
          </w:p>
        </w:tc>
      </w:tr>
    </w:tbl>
    <w:p w:rsidR="00C925F9" w:rsidRDefault="00C925F9" w:rsidP="00C925F9">
      <w:pPr>
        <w:jc w:val="center"/>
        <w:rPr>
          <w:rFonts w:ascii="Times New Roman" w:hAnsi="Times New Roman"/>
          <w:b/>
          <w:i/>
          <w:sz w:val="24"/>
          <w:szCs w:val="24"/>
        </w:rPr>
      </w:pPr>
    </w:p>
    <w:p w:rsidR="00C925F9" w:rsidRDefault="00C925F9" w:rsidP="00C925F9">
      <w:pPr>
        <w:jc w:val="center"/>
        <w:rPr>
          <w:rFonts w:ascii="Times New Roman" w:hAnsi="Times New Roman"/>
          <w:b/>
          <w:i/>
          <w:sz w:val="24"/>
          <w:szCs w:val="24"/>
        </w:rPr>
      </w:pPr>
      <w:r>
        <w:rPr>
          <w:rFonts w:ascii="Times New Roman" w:hAnsi="Times New Roman"/>
          <w:b/>
          <w:i/>
          <w:sz w:val="24"/>
          <w:szCs w:val="24"/>
        </w:rPr>
        <w:t>Table A1.7.  Population: ILO data and SSP2 projections</w:t>
      </w:r>
    </w:p>
    <w:tbl>
      <w:tblPr>
        <w:tblW w:w="0" w:type="auto"/>
        <w:tblLook w:val="04A0" w:firstRow="1" w:lastRow="0" w:firstColumn="1" w:lastColumn="0" w:noHBand="0" w:noVBand="1"/>
      </w:tblPr>
      <w:tblGrid>
        <w:gridCol w:w="1532"/>
        <w:gridCol w:w="934"/>
        <w:gridCol w:w="935"/>
        <w:gridCol w:w="935"/>
        <w:gridCol w:w="936"/>
        <w:gridCol w:w="936"/>
        <w:gridCol w:w="936"/>
        <w:gridCol w:w="936"/>
        <w:gridCol w:w="936"/>
      </w:tblGrid>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center"/>
              <w:rPr>
                <w:rFonts w:ascii="Times New Roman" w:hAnsi="Times New Roman"/>
                <w:color w:val="000000"/>
                <w:sz w:val="18"/>
                <w:szCs w:val="18"/>
              </w:rPr>
            </w:pPr>
          </w:p>
        </w:tc>
        <w:tc>
          <w:tcPr>
            <w:tcW w:w="3740" w:type="dxa"/>
            <w:gridSpan w:val="4"/>
            <w:tcBorders>
              <w:top w:val="single" w:sz="18" w:space="0" w:color="7F7F7F"/>
              <w:left w:val="single" w:sz="18" w:space="0" w:color="7F7F7F"/>
              <w:righ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 Growth</w:t>
            </w:r>
          </w:p>
        </w:tc>
        <w:tc>
          <w:tcPr>
            <w:tcW w:w="3744" w:type="dxa"/>
            <w:gridSpan w:val="4"/>
            <w:tcBorders>
              <w:top w:val="single" w:sz="18" w:space="0" w:color="7F7F7F"/>
              <w:lef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Average annual % growth</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rPr>
                <w:rFonts w:ascii="Times New Roman" w:hAnsi="Times New Roman"/>
                <w:color w:val="000000"/>
                <w:sz w:val="18"/>
                <w:szCs w:val="18"/>
              </w:rPr>
            </w:pPr>
          </w:p>
        </w:tc>
        <w:tc>
          <w:tcPr>
            <w:tcW w:w="934"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r>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US</w:t>
            </w:r>
          </w:p>
        </w:tc>
        <w:tc>
          <w:tcPr>
            <w:tcW w:w="934"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3.12</w:t>
            </w:r>
          </w:p>
        </w:tc>
        <w:tc>
          <w:tcPr>
            <w:tcW w:w="935"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8.42</w:t>
            </w:r>
          </w:p>
        </w:tc>
        <w:tc>
          <w:tcPr>
            <w:tcW w:w="935"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6.15</w:t>
            </w:r>
          </w:p>
        </w:tc>
        <w:tc>
          <w:tcPr>
            <w:tcW w:w="936"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4.98</w:t>
            </w:r>
          </w:p>
        </w:tc>
        <w:tc>
          <w:tcPr>
            <w:tcW w:w="936"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0.62</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0.74</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0.60</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0.49</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Canada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6.07</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10.86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7.63</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6.84</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0.94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0.66</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Mexico</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5.54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9.41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5.52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3.06</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0.82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0.30</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China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2.44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0.25</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-2.97</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-5.71</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-0.59</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Japan</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-3.81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-4.70</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-5.36</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-0.55</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Korea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-2.07</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-5.03</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0.06</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-0.51</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India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5.80</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11.18</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7.67</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5.34</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0.97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0.52</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France</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1.67</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5.86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4.81</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3.79</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0.37</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Germany</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2.61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-0.59</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-1.79</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-0.18</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UK</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3.41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6.23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4.80</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4.35</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0.43</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RoEU</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0.47</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-0.04</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-0.40</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-0.04</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Saudi Arabia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14.07</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23.28</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16.12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11.94</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2.67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1.92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1.13</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RoW</w:t>
            </w:r>
          </w:p>
        </w:tc>
        <w:tc>
          <w:tcPr>
            <w:tcW w:w="934"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9.60</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16.07</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11.42</w:t>
            </w:r>
          </w:p>
        </w:tc>
        <w:tc>
          <w:tcPr>
            <w:tcW w:w="936"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8.85</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1.85</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1.36</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1.09</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0.85</w:t>
            </w:r>
          </w:p>
        </w:tc>
      </w:tr>
    </w:tbl>
    <w:p w:rsidR="00C925F9" w:rsidRDefault="00C925F9" w:rsidP="00C925F9">
      <w:pPr>
        <w:jc w:val="center"/>
        <w:rPr>
          <w:rFonts w:ascii="Times New Roman" w:hAnsi="Times New Roman"/>
          <w:b/>
          <w:i/>
          <w:sz w:val="24"/>
          <w:szCs w:val="24"/>
        </w:rPr>
      </w:pPr>
    </w:p>
    <w:p w:rsidR="00C925F9" w:rsidRDefault="00C925F9" w:rsidP="00C925F9">
      <w:pPr>
        <w:jc w:val="center"/>
        <w:rPr>
          <w:rFonts w:ascii="Times New Roman" w:hAnsi="Times New Roman"/>
          <w:b/>
          <w:i/>
          <w:sz w:val="24"/>
          <w:szCs w:val="24"/>
        </w:rPr>
      </w:pPr>
    </w:p>
    <w:p w:rsidR="00C925F9" w:rsidRDefault="00C925F9" w:rsidP="00C925F9">
      <w:pPr>
        <w:rPr>
          <w:rFonts w:ascii="Times New Roman" w:hAnsi="Times New Roman"/>
          <w:b/>
          <w:i/>
          <w:sz w:val="24"/>
          <w:szCs w:val="24"/>
        </w:rPr>
      </w:pPr>
      <w:r>
        <w:rPr>
          <w:rFonts w:ascii="Times New Roman" w:hAnsi="Times New Roman"/>
          <w:b/>
          <w:i/>
          <w:sz w:val="24"/>
          <w:szCs w:val="24"/>
        </w:rPr>
        <w:br w:type="page"/>
      </w:r>
    </w:p>
    <w:p w:rsidR="00C925F9" w:rsidRPr="0015184D" w:rsidRDefault="00C925F9" w:rsidP="00C925F9">
      <w:pPr>
        <w:jc w:val="center"/>
        <w:rPr>
          <w:rFonts w:ascii="Times New Roman" w:hAnsi="Times New Roman"/>
          <w:b/>
          <w:i/>
          <w:sz w:val="24"/>
          <w:szCs w:val="24"/>
        </w:rPr>
      </w:pPr>
      <w:r>
        <w:rPr>
          <w:rFonts w:ascii="Times New Roman" w:hAnsi="Times New Roman"/>
          <w:b/>
          <w:i/>
          <w:sz w:val="24"/>
          <w:szCs w:val="24"/>
        </w:rPr>
        <w:lastRenderedPageBreak/>
        <w:t>Table A1.8.  Working age population: ILO data and SSP2 projections</w:t>
      </w:r>
    </w:p>
    <w:tbl>
      <w:tblPr>
        <w:tblW w:w="0" w:type="auto"/>
        <w:tblLook w:val="04A0" w:firstRow="1" w:lastRow="0" w:firstColumn="1" w:lastColumn="0" w:noHBand="0" w:noVBand="1"/>
      </w:tblPr>
      <w:tblGrid>
        <w:gridCol w:w="1532"/>
        <w:gridCol w:w="934"/>
        <w:gridCol w:w="935"/>
        <w:gridCol w:w="935"/>
        <w:gridCol w:w="936"/>
        <w:gridCol w:w="936"/>
        <w:gridCol w:w="936"/>
        <w:gridCol w:w="936"/>
        <w:gridCol w:w="936"/>
      </w:tblGrid>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center"/>
              <w:rPr>
                <w:rFonts w:ascii="Times New Roman" w:hAnsi="Times New Roman"/>
                <w:color w:val="000000"/>
                <w:sz w:val="18"/>
                <w:szCs w:val="18"/>
              </w:rPr>
            </w:pPr>
          </w:p>
        </w:tc>
        <w:tc>
          <w:tcPr>
            <w:tcW w:w="3740" w:type="dxa"/>
            <w:gridSpan w:val="4"/>
            <w:tcBorders>
              <w:top w:val="single" w:sz="18" w:space="0" w:color="7F7F7F"/>
              <w:left w:val="single" w:sz="18" w:space="0" w:color="7F7F7F"/>
              <w:righ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 Growth</w:t>
            </w:r>
          </w:p>
        </w:tc>
        <w:tc>
          <w:tcPr>
            <w:tcW w:w="3744" w:type="dxa"/>
            <w:gridSpan w:val="4"/>
            <w:tcBorders>
              <w:top w:val="single" w:sz="18" w:space="0" w:color="7F7F7F"/>
              <w:left w:val="single" w:sz="18" w:space="0" w:color="7F7F7F"/>
            </w:tcBorders>
            <w:shd w:val="clear" w:color="auto" w:fill="auto"/>
          </w:tcPr>
          <w:p w:rsidR="00C925F9" w:rsidRPr="00C600BB" w:rsidRDefault="00C925F9" w:rsidP="00C600BB">
            <w:pPr>
              <w:spacing w:before="0" w:line="240" w:lineRule="auto"/>
              <w:ind w:left="0"/>
              <w:jc w:val="center"/>
              <w:rPr>
                <w:rFonts w:ascii="Times New Roman" w:hAnsi="Times New Roman"/>
                <w:sz w:val="18"/>
                <w:szCs w:val="18"/>
              </w:rPr>
            </w:pPr>
            <w:r w:rsidRPr="00C600BB">
              <w:rPr>
                <w:rFonts w:ascii="Times New Roman" w:hAnsi="Times New Roman"/>
                <w:sz w:val="18"/>
                <w:szCs w:val="18"/>
              </w:rPr>
              <w:t>Average annual % growth</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rPr>
                <w:rFonts w:ascii="Times New Roman" w:hAnsi="Times New Roman"/>
                <w:color w:val="000000"/>
                <w:sz w:val="18"/>
                <w:szCs w:val="18"/>
              </w:rPr>
            </w:pPr>
          </w:p>
        </w:tc>
        <w:tc>
          <w:tcPr>
            <w:tcW w:w="934"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2014-19</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2019-30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2030-40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2040-50</w:t>
            </w:r>
          </w:p>
        </w:tc>
      </w:tr>
      <w:tr w:rsidR="0083655D" w:rsidRPr="00C600BB" w:rsidTr="00C600BB">
        <w:tc>
          <w:tcPr>
            <w:tcW w:w="1532"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US</w:t>
            </w:r>
          </w:p>
        </w:tc>
        <w:tc>
          <w:tcPr>
            <w:tcW w:w="934"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1.62</w:t>
            </w:r>
          </w:p>
        </w:tc>
        <w:tc>
          <w:tcPr>
            <w:tcW w:w="935"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2.52</w:t>
            </w:r>
          </w:p>
        </w:tc>
        <w:tc>
          <w:tcPr>
            <w:tcW w:w="935"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4.91</w:t>
            </w:r>
          </w:p>
        </w:tc>
        <w:tc>
          <w:tcPr>
            <w:tcW w:w="936" w:type="dxa"/>
            <w:tcBorders>
              <w:top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3.60</w:t>
            </w:r>
          </w:p>
        </w:tc>
        <w:tc>
          <w:tcPr>
            <w:tcW w:w="936" w:type="dxa"/>
            <w:tcBorders>
              <w:top w:val="single" w:sz="18" w:space="0" w:color="7F7F7F"/>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0.32</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0.23</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0.48</w:t>
            </w:r>
          </w:p>
        </w:tc>
        <w:tc>
          <w:tcPr>
            <w:tcW w:w="936" w:type="dxa"/>
            <w:tcBorders>
              <w:top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0.35</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Canada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2.97</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3.34</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6.48</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3.62</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0.36</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Mexico</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6.53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8.57</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2.85</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1.25</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0.12</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China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-3.45</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-11.22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-9.51</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-0.04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-0.32</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-1.18</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-0.99</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Japan</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-3.60</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-6.31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-11.69</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-11.00</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-1.16</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Korea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0.55</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-10.41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-12.29</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-11.51</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-0.99</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-1.22</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India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4.33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13.69</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7.92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3.20</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0.85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0.32</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France</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1.41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1.62</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2.35</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0.16</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0.23</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Germany</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1.55</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-9.51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-6.75</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-4.51</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-0.90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-0.70</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-0.46</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UK</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1.56</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1.91</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2.10</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2.27</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0.17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0.22</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RoEU</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-3.15</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-3.32</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-4.01</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-6.61</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-0.64</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-0.31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-0.41</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-0.68</w:t>
            </w:r>
          </w:p>
        </w:tc>
      </w:tr>
      <w:tr w:rsidR="0083655D" w:rsidRPr="00C600BB" w:rsidTr="00C600BB">
        <w:tc>
          <w:tcPr>
            <w:tcW w:w="1532" w:type="dxa"/>
            <w:tcBorders>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Saudi Arabia</w:t>
            </w:r>
          </w:p>
        </w:tc>
        <w:tc>
          <w:tcPr>
            <w:tcW w:w="934"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14.07</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26.13</w:t>
            </w:r>
          </w:p>
        </w:tc>
        <w:tc>
          <w:tcPr>
            <w:tcW w:w="935"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12.08</w:t>
            </w:r>
          </w:p>
        </w:tc>
        <w:tc>
          <w:tcPr>
            <w:tcW w:w="936" w:type="dxa"/>
            <w:tcBorders>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6.98</w:t>
            </w:r>
          </w:p>
        </w:tc>
        <w:tc>
          <w:tcPr>
            <w:tcW w:w="936" w:type="dxa"/>
            <w:tcBorders>
              <w:lef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2.67</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2.13</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1.15</w:t>
            </w:r>
          </w:p>
        </w:tc>
        <w:tc>
          <w:tcPr>
            <w:tcW w:w="936" w:type="dxa"/>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0.68</w:t>
            </w:r>
          </w:p>
        </w:tc>
      </w:tr>
      <w:tr w:rsidR="0083655D" w:rsidRPr="00C600BB" w:rsidTr="00C600BB">
        <w:tc>
          <w:tcPr>
            <w:tcW w:w="1532"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sz w:val="18"/>
                <w:szCs w:val="18"/>
              </w:rPr>
            </w:pPr>
            <w:r w:rsidRPr="00C600BB">
              <w:rPr>
                <w:rFonts w:ascii="Times New Roman" w:hAnsi="Times New Roman"/>
                <w:color w:val="000000"/>
                <w:sz w:val="18"/>
                <w:szCs w:val="18"/>
              </w:rPr>
              <w:t>RoW</w:t>
            </w:r>
          </w:p>
        </w:tc>
        <w:tc>
          <w:tcPr>
            <w:tcW w:w="934"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3.13</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17.66</w:t>
            </w:r>
          </w:p>
        </w:tc>
        <w:tc>
          <w:tcPr>
            <w:tcW w:w="935"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12.71</w:t>
            </w:r>
          </w:p>
        </w:tc>
        <w:tc>
          <w:tcPr>
            <w:tcW w:w="936" w:type="dxa"/>
            <w:tcBorders>
              <w:bottom w:val="single" w:sz="18" w:space="0" w:color="7F7F7F"/>
              <w:right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8.39</w:t>
            </w:r>
          </w:p>
        </w:tc>
        <w:tc>
          <w:tcPr>
            <w:tcW w:w="936" w:type="dxa"/>
            <w:tcBorders>
              <w:left w:val="single" w:sz="18"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0.62</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1.49</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1.20</w:t>
            </w:r>
          </w:p>
        </w:tc>
        <w:tc>
          <w:tcPr>
            <w:tcW w:w="936" w:type="dxa"/>
            <w:tcBorders>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0.81</w:t>
            </w:r>
          </w:p>
        </w:tc>
      </w:tr>
    </w:tbl>
    <w:p w:rsidR="00C925F9" w:rsidRDefault="00C925F9" w:rsidP="00C925F9">
      <w:pPr>
        <w:ind w:left="0"/>
        <w:jc w:val="center"/>
        <w:rPr>
          <w:rFonts w:ascii="Times New Roman" w:hAnsi="Times New Roman"/>
          <w:b/>
          <w:i/>
          <w:sz w:val="24"/>
          <w:szCs w:val="24"/>
        </w:rPr>
      </w:pPr>
    </w:p>
    <w:p w:rsidR="00C925F9" w:rsidRDefault="00C925F9" w:rsidP="00C925F9">
      <w:pPr>
        <w:ind w:left="0"/>
        <w:jc w:val="center"/>
        <w:rPr>
          <w:rFonts w:ascii="Times New Roman" w:hAnsi="Times New Roman"/>
          <w:b/>
          <w:i/>
          <w:sz w:val="24"/>
          <w:szCs w:val="24"/>
        </w:rPr>
      </w:pPr>
      <w:r>
        <w:rPr>
          <w:rFonts w:ascii="Times New Roman" w:hAnsi="Times New Roman"/>
          <w:b/>
          <w:i/>
          <w:sz w:val="24"/>
          <w:szCs w:val="24"/>
        </w:rPr>
        <w:t>Table A1.9.  Average annual productivity growth (% change in real GDP/WAP)</w:t>
      </w:r>
    </w:p>
    <w:p w:rsidR="00C925F9" w:rsidRPr="0068261D" w:rsidRDefault="00C925F9" w:rsidP="00C925F9">
      <w:pPr>
        <w:spacing w:before="0" w:after="60"/>
        <w:ind w:left="0"/>
        <w:jc w:val="center"/>
        <w:rPr>
          <w:rFonts w:ascii="Times New Roman" w:hAnsi="Times New Roman"/>
          <w:b/>
          <w:i/>
          <w:sz w:val="24"/>
          <w:szCs w:val="24"/>
        </w:rPr>
      </w:pPr>
      <w:r>
        <w:rPr>
          <w:rFonts w:ascii="Times New Roman" w:hAnsi="Times New Roman"/>
          <w:b/>
          <w:i/>
          <w:sz w:val="24"/>
          <w:szCs w:val="24"/>
        </w:rPr>
        <w:t>assumed for 2029-2050</w:t>
      </w:r>
    </w:p>
    <w:tbl>
      <w:tblPr>
        <w:tblW w:w="0" w:type="auto"/>
        <w:tblInd w:w="2830" w:type="dxa"/>
        <w:tblBorders>
          <w:top w:val="single" w:sz="18" w:space="0" w:color="7F7F7F"/>
          <w:bottom w:val="single" w:sz="18" w:space="0" w:color="7F7F7F"/>
        </w:tblBorders>
        <w:tblLook w:val="04A0" w:firstRow="1" w:lastRow="0" w:firstColumn="1" w:lastColumn="0" w:noHBand="0" w:noVBand="1"/>
      </w:tblPr>
      <w:tblGrid>
        <w:gridCol w:w="1413"/>
        <w:gridCol w:w="1701"/>
      </w:tblGrid>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US</w:t>
            </w:r>
          </w:p>
        </w:tc>
        <w:tc>
          <w:tcPr>
            <w:tcW w:w="1701" w:type="dxa"/>
            <w:tcBorders>
              <w:top w:val="single" w:sz="18" w:space="0" w:color="7F7F7F"/>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1.6849</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Canada</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1.4459</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Mexico</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0.9377</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China</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4.2821</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Japan</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1.4101</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Korea</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3.0295</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India</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4.7648</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France</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1.1410</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Germany</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1.7075</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UK</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1.3209</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RoEU</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3.0743</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Saudi Arabia</w:t>
            </w:r>
          </w:p>
        </w:tc>
        <w:tc>
          <w:tcPr>
            <w:tcW w:w="1701" w:type="dxa"/>
            <w:tcBorders>
              <w:top w:val="nil"/>
              <w:left w:val="single" w:sz="4" w:space="0" w:color="7F7F7F"/>
              <w:bottom w:val="nil"/>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0.3853</w:t>
            </w:r>
          </w:p>
        </w:tc>
      </w:tr>
      <w:tr w:rsidR="0083655D" w:rsidRPr="00C600BB" w:rsidTr="00C600BB">
        <w:tc>
          <w:tcPr>
            <w:tcW w:w="1413" w:type="dxa"/>
            <w:tcBorders>
              <w:right w:val="single" w:sz="4" w:space="0" w:color="7F7F7F"/>
            </w:tcBorders>
            <w:shd w:val="clear" w:color="auto" w:fill="auto"/>
            <w:vAlign w:val="bottom"/>
          </w:tcPr>
          <w:p w:rsidR="00C925F9" w:rsidRPr="00C600BB" w:rsidRDefault="00C925F9" w:rsidP="00C600BB">
            <w:pPr>
              <w:spacing w:before="0" w:line="240" w:lineRule="auto"/>
              <w:ind w:left="37"/>
              <w:rPr>
                <w:rFonts w:ascii="Times New Roman" w:hAnsi="Times New Roman"/>
                <w:color w:val="000000"/>
              </w:rPr>
            </w:pPr>
            <w:r w:rsidRPr="00C600BB">
              <w:rPr>
                <w:rFonts w:ascii="Times New Roman" w:hAnsi="Times New Roman"/>
                <w:color w:val="000000"/>
              </w:rPr>
              <w:t>RoW</w:t>
            </w:r>
          </w:p>
        </w:tc>
        <w:tc>
          <w:tcPr>
            <w:tcW w:w="1701" w:type="dxa"/>
            <w:tcBorders>
              <w:top w:val="nil"/>
              <w:left w:val="single" w:sz="4" w:space="0" w:color="7F7F7F"/>
              <w:bottom w:val="single" w:sz="18" w:space="0" w:color="7F7F7F"/>
            </w:tcBorders>
            <w:shd w:val="clear" w:color="auto" w:fill="auto"/>
            <w:vAlign w:val="bottom"/>
          </w:tcPr>
          <w:p w:rsidR="00C925F9" w:rsidRPr="00C600BB" w:rsidRDefault="00C925F9" w:rsidP="00C600BB">
            <w:pPr>
              <w:tabs>
                <w:tab w:val="decimal" w:pos="586"/>
              </w:tabs>
              <w:spacing w:before="0" w:line="240" w:lineRule="auto"/>
              <w:rPr>
                <w:rFonts w:ascii="Times New Roman" w:hAnsi="Times New Roman"/>
                <w:color w:val="000000"/>
              </w:rPr>
            </w:pPr>
            <w:r w:rsidRPr="00C600BB">
              <w:rPr>
                <w:rFonts w:ascii="Times New Roman" w:hAnsi="Times New Roman"/>
                <w:color w:val="000000"/>
              </w:rPr>
              <w:t>1.8214</w:t>
            </w:r>
          </w:p>
        </w:tc>
      </w:tr>
    </w:tbl>
    <w:p w:rsidR="00C925F9" w:rsidRDefault="00C925F9" w:rsidP="002C5CEB">
      <w:pPr>
        <w:ind w:left="0"/>
        <w:rPr>
          <w:rFonts w:ascii="Times New Roman" w:hAnsi="Times New Roman"/>
          <w:b/>
          <w:i/>
          <w:sz w:val="24"/>
          <w:szCs w:val="24"/>
        </w:rPr>
      </w:pPr>
    </w:p>
    <w:p w:rsidR="002C5CEB" w:rsidRDefault="00C925F9" w:rsidP="002C5CEB">
      <w:pPr>
        <w:ind w:left="0"/>
        <w:rPr>
          <w:rFonts w:ascii="Times New Roman" w:hAnsi="Times New Roman"/>
          <w:sz w:val="24"/>
          <w:szCs w:val="24"/>
        </w:rPr>
      </w:pPr>
      <w:r w:rsidRPr="00C925F9">
        <w:rPr>
          <w:rFonts w:ascii="Times New Roman" w:hAnsi="Times New Roman"/>
          <w:sz w:val="24"/>
          <w:szCs w:val="24"/>
        </w:rPr>
        <w:t>F</w:t>
      </w:r>
      <w:r w:rsidR="002C5CEB">
        <w:rPr>
          <w:rFonts w:ascii="Times New Roman" w:hAnsi="Times New Roman"/>
          <w:sz w:val="24"/>
          <w:szCs w:val="24"/>
        </w:rPr>
        <w:t xml:space="preserve">or Saudi Arabia there is no ILO data on WAP.  Up to 2021 we assumed that WAP growth was the same as population growth.  </w:t>
      </w:r>
    </w:p>
    <w:p w:rsidR="002C5CEB" w:rsidRDefault="002C5CEB" w:rsidP="002C5CEB">
      <w:pPr>
        <w:ind w:left="0"/>
        <w:rPr>
          <w:rFonts w:ascii="Times New Roman" w:hAnsi="Times New Roman"/>
          <w:sz w:val="24"/>
          <w:szCs w:val="24"/>
        </w:rPr>
      </w:pPr>
      <w:r>
        <w:rPr>
          <w:rFonts w:ascii="Times New Roman" w:hAnsi="Times New Roman"/>
          <w:sz w:val="24"/>
          <w:szCs w:val="24"/>
        </w:rPr>
        <w:t>The Saudi population growth rate in 2021 in the original data was -2.57.  This is out of line with pop</w:t>
      </w:r>
      <w:r w:rsidR="00574767">
        <w:rPr>
          <w:rFonts w:ascii="Times New Roman" w:hAnsi="Times New Roman"/>
          <w:sz w:val="24"/>
          <w:szCs w:val="24"/>
        </w:rPr>
        <w:t>ulation</w:t>
      </w:r>
      <w:r>
        <w:rPr>
          <w:rFonts w:ascii="Times New Roman" w:hAnsi="Times New Roman"/>
          <w:sz w:val="24"/>
          <w:szCs w:val="24"/>
        </w:rPr>
        <w:t xml:space="preserve"> growth in other years and with growth in WAP.  We corrected the 2021 pop</w:t>
      </w:r>
      <w:r w:rsidR="00574767">
        <w:rPr>
          <w:rFonts w:ascii="Times New Roman" w:hAnsi="Times New Roman"/>
          <w:sz w:val="24"/>
          <w:szCs w:val="24"/>
        </w:rPr>
        <w:t>ulation</w:t>
      </w:r>
      <w:r>
        <w:rPr>
          <w:rFonts w:ascii="Times New Roman" w:hAnsi="Times New Roman"/>
          <w:sz w:val="24"/>
          <w:szCs w:val="24"/>
        </w:rPr>
        <w:t xml:space="preserve"> number to 2.0 per cent growth. </w:t>
      </w:r>
    </w:p>
    <w:p w:rsidR="002C5CEB" w:rsidRPr="00992EE1" w:rsidRDefault="002C5CEB" w:rsidP="002C5CEB">
      <w:pPr>
        <w:ind w:left="0"/>
        <w:rPr>
          <w:rFonts w:ascii="Times New Roman" w:hAnsi="Times New Roman"/>
          <w:sz w:val="24"/>
          <w:szCs w:val="24"/>
        </w:rPr>
      </w:pPr>
      <w:r>
        <w:rPr>
          <w:rFonts w:ascii="Times New Roman" w:hAnsi="Times New Roman"/>
          <w:sz w:val="24"/>
          <w:szCs w:val="24"/>
        </w:rPr>
        <w:t xml:space="preserve">The nominal GDP numbers from the IMF in Table </w:t>
      </w:r>
      <w:r w:rsidR="00574767">
        <w:rPr>
          <w:rFonts w:ascii="Times New Roman" w:hAnsi="Times New Roman"/>
          <w:sz w:val="24"/>
          <w:szCs w:val="24"/>
        </w:rPr>
        <w:t>A1.6</w:t>
      </w:r>
      <w:r>
        <w:rPr>
          <w:rFonts w:ascii="Times New Roman" w:hAnsi="Times New Roman"/>
          <w:sz w:val="24"/>
          <w:szCs w:val="24"/>
        </w:rPr>
        <w:t xml:space="preserve"> for 2014-19 are in line with those from the OECD in Table </w:t>
      </w:r>
      <w:r w:rsidR="00574767">
        <w:rPr>
          <w:rFonts w:ascii="Times New Roman" w:hAnsi="Times New Roman"/>
          <w:sz w:val="24"/>
          <w:szCs w:val="24"/>
        </w:rPr>
        <w:t>A1.3</w:t>
      </w:r>
      <w:r>
        <w:rPr>
          <w:rFonts w:ascii="Times New Roman" w:hAnsi="Times New Roman"/>
          <w:sz w:val="24"/>
          <w:szCs w:val="24"/>
        </w:rPr>
        <w:t xml:space="preserve">a for all regions except RoEU and Saudi Arabia.  We have to make a choice.  We chose to use the OECD numbers because they have expenditure-side detail. </w:t>
      </w:r>
    </w:p>
    <w:p w:rsidR="002C5CEB" w:rsidRPr="00574767" w:rsidRDefault="002C5CEB" w:rsidP="002C5CEB">
      <w:pPr>
        <w:ind w:left="0"/>
        <w:rPr>
          <w:rFonts w:ascii="Times New Roman" w:hAnsi="Times New Roman"/>
          <w:b/>
          <w:i/>
          <w:sz w:val="24"/>
          <w:szCs w:val="24"/>
        </w:rPr>
      </w:pPr>
      <w:r w:rsidRPr="00574767">
        <w:rPr>
          <w:rFonts w:ascii="Times New Roman" w:hAnsi="Times New Roman"/>
          <w:b/>
          <w:i/>
          <w:sz w:val="24"/>
          <w:szCs w:val="24"/>
        </w:rPr>
        <w:t>Energy data and projections from IEA</w:t>
      </w:r>
    </w:p>
    <w:p w:rsidR="00DB0467" w:rsidRDefault="002C5CEB" w:rsidP="00DB0467">
      <w:pPr>
        <w:ind w:left="0"/>
        <w:rPr>
          <w:rFonts w:ascii="Times New Roman" w:hAnsi="Times New Roman"/>
          <w:sz w:val="24"/>
          <w:szCs w:val="24"/>
        </w:rPr>
      </w:pPr>
      <w:r>
        <w:rPr>
          <w:rFonts w:ascii="Times New Roman" w:hAnsi="Times New Roman"/>
          <w:sz w:val="24"/>
          <w:szCs w:val="24"/>
        </w:rPr>
        <w:t xml:space="preserve">We extracted the data and projections in Tables </w:t>
      </w:r>
      <w:r w:rsidR="00574767">
        <w:rPr>
          <w:rFonts w:ascii="Times New Roman" w:hAnsi="Times New Roman"/>
          <w:sz w:val="24"/>
          <w:szCs w:val="24"/>
        </w:rPr>
        <w:t>A1.10</w:t>
      </w:r>
      <w:r>
        <w:rPr>
          <w:rFonts w:ascii="Times New Roman" w:hAnsi="Times New Roman"/>
          <w:sz w:val="24"/>
          <w:szCs w:val="24"/>
        </w:rPr>
        <w:t xml:space="preserve"> – </w:t>
      </w:r>
      <w:r w:rsidR="00574767">
        <w:rPr>
          <w:rFonts w:ascii="Times New Roman" w:hAnsi="Times New Roman"/>
          <w:sz w:val="24"/>
          <w:szCs w:val="24"/>
        </w:rPr>
        <w:t>A1.17</w:t>
      </w:r>
      <w:r>
        <w:rPr>
          <w:rFonts w:ascii="Times New Roman" w:hAnsi="Times New Roman"/>
          <w:sz w:val="24"/>
          <w:szCs w:val="24"/>
        </w:rPr>
        <w:t xml:space="preserve"> from </w:t>
      </w:r>
      <w:hyperlink r:id="rId109" w:history="1">
        <w:r w:rsidRPr="002A53E8">
          <w:rPr>
            <w:rStyle w:val="Hyperlink"/>
            <w:rFonts w:ascii="Times New Roman" w:hAnsi="Times New Roman"/>
            <w:sz w:val="24"/>
            <w:szCs w:val="24"/>
          </w:rPr>
          <w:t>https://www.iea.org/data-and-statistics/data-product/world-energy-outlook-2022-free-dataset</w:t>
        </w:r>
      </w:hyperlink>
      <w:r>
        <w:rPr>
          <w:rFonts w:ascii="Times New Roman" w:hAnsi="Times New Roman"/>
          <w:sz w:val="24"/>
          <w:szCs w:val="24"/>
        </w:rPr>
        <w:t xml:space="preserve">.  The data refer to energy supply.  We interpret supply as being what we would call absorption.  </w:t>
      </w:r>
      <w:r w:rsidR="00DB0467">
        <w:rPr>
          <w:rFonts w:ascii="Times New Roman" w:hAnsi="Times New Roman"/>
          <w:sz w:val="24"/>
          <w:szCs w:val="24"/>
        </w:rPr>
        <w:t xml:space="preserve">Thus, for example, the data show considerable supply of oil in Japan but production is not given – we suspect it is negligible.  </w:t>
      </w:r>
    </w:p>
    <w:p w:rsidR="00DB0467" w:rsidRDefault="00DB0467">
      <w:pPr>
        <w:rPr>
          <w:rFonts w:ascii="Times New Roman" w:hAnsi="Times New Roman"/>
          <w:b/>
          <w:i/>
          <w:sz w:val="24"/>
          <w:szCs w:val="24"/>
        </w:rPr>
      </w:pPr>
      <w:r>
        <w:rPr>
          <w:rFonts w:ascii="Times New Roman" w:hAnsi="Times New Roman"/>
          <w:b/>
          <w:i/>
          <w:sz w:val="24"/>
          <w:szCs w:val="24"/>
        </w:rPr>
        <w:br w:type="page"/>
      </w:r>
    </w:p>
    <w:p w:rsidR="00C925F9" w:rsidRPr="0018053B" w:rsidRDefault="00C925F9" w:rsidP="00DB0467">
      <w:pPr>
        <w:ind w:left="0"/>
        <w:jc w:val="center"/>
        <w:rPr>
          <w:rFonts w:ascii="Times New Roman" w:hAnsi="Times New Roman"/>
          <w:b/>
          <w:i/>
          <w:sz w:val="24"/>
          <w:szCs w:val="24"/>
        </w:rPr>
      </w:pPr>
      <w:r>
        <w:rPr>
          <w:rFonts w:ascii="Times New Roman" w:hAnsi="Times New Roman"/>
          <w:b/>
          <w:i/>
          <w:sz w:val="24"/>
          <w:szCs w:val="24"/>
        </w:rPr>
        <w:lastRenderedPageBreak/>
        <w:t xml:space="preserve">Table A1.10.  USA: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2010</w:t>
            </w: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678</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716</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4354</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867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4239</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871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4371</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864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4625</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575</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28</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6270</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-7.30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27.88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-55.73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37.91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-2.65</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-0.35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-71.29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69.47</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9.11</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-24.55</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-33.45</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-71.43</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76.97</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35.58</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-0.76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2.49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-7.82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3.27</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-0.27</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0.12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-11.73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5.42</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0.88</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-1.40</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-6.07</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2.90</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1.53</w:t>
            </w:r>
          </w:p>
        </w:tc>
      </w:tr>
    </w:tbl>
    <w:p w:rsidR="00C925F9" w:rsidRDefault="00C925F9" w:rsidP="00C925F9">
      <w:pPr>
        <w:ind w:left="0"/>
        <w:rPr>
          <w:rFonts w:ascii="Times New Roman" w:hAnsi="Times New Roman"/>
          <w:sz w:val="24"/>
          <w:szCs w:val="24"/>
        </w:rPr>
      </w:pPr>
    </w:p>
    <w:p w:rsidR="00C925F9" w:rsidRPr="0018053B" w:rsidRDefault="00C925F9" w:rsidP="00C925F9">
      <w:pPr>
        <w:ind w:left="0"/>
        <w:jc w:val="center"/>
        <w:rPr>
          <w:rFonts w:ascii="Times New Roman" w:hAnsi="Times New Roman"/>
          <w:b/>
          <w:i/>
          <w:sz w:val="24"/>
          <w:szCs w:val="24"/>
        </w:rPr>
      </w:pPr>
      <w:r>
        <w:rPr>
          <w:rFonts w:ascii="Times New Roman" w:hAnsi="Times New Roman"/>
          <w:b/>
          <w:i/>
          <w:sz w:val="24"/>
          <w:szCs w:val="24"/>
        </w:rPr>
        <w:t xml:space="preserve">Table A1.11.  China: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2010</w:t>
            </w: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110</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2565</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4236</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324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3037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7767</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3157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8539</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443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2974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26</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11136</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442</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1866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50</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14342</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57.95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194.55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18.40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161.50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83.38</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16.55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36.73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108.81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43.38</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-22.84</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-0.23</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-37.26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92.24</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28.79</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4.68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11.41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10.09</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6.25</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-0.21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7.64</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3.67</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-1.29</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-0.01</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-2.30</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3.32</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1.27</w:t>
            </w:r>
          </w:p>
        </w:tc>
      </w:tr>
    </w:tbl>
    <w:p w:rsidR="00C925F9" w:rsidRDefault="00C925F9" w:rsidP="00C925F9">
      <w:pPr>
        <w:ind w:left="0"/>
        <w:jc w:val="center"/>
        <w:rPr>
          <w:rFonts w:ascii="Times New Roman" w:hAnsi="Times New Roman"/>
          <w:b/>
          <w:i/>
          <w:sz w:val="24"/>
          <w:szCs w:val="24"/>
        </w:rPr>
      </w:pPr>
    </w:p>
    <w:p w:rsidR="00C925F9" w:rsidRPr="0018053B" w:rsidRDefault="00C925F9" w:rsidP="00C925F9">
      <w:pPr>
        <w:ind w:left="0"/>
        <w:jc w:val="center"/>
        <w:rPr>
          <w:rFonts w:ascii="Times New Roman" w:hAnsi="Times New Roman"/>
          <w:b/>
          <w:i/>
          <w:sz w:val="24"/>
          <w:szCs w:val="24"/>
        </w:rPr>
      </w:pPr>
      <w:r>
        <w:rPr>
          <w:rFonts w:ascii="Times New Roman" w:hAnsi="Times New Roman"/>
          <w:b/>
          <w:i/>
          <w:sz w:val="24"/>
          <w:szCs w:val="24"/>
        </w:rPr>
        <w:t xml:space="preserve">Table A1.12.  Japan: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95</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165</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1164</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1009</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1024</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969</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43</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62</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992</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-23.81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9.47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-11.52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49.65</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-13.31</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-15.63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-38.46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-29.45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65.66</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-3.93</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-37.04</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-32.81</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-39.81</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52.72</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2.28</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-2.68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0.91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4.11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-1.42</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-4.74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-3.43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5.18</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-0.40</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-2.29</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-1.97</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-2.51</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2.14</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0.11</w:t>
            </w:r>
          </w:p>
        </w:tc>
      </w:tr>
    </w:tbl>
    <w:p w:rsidR="00C925F9" w:rsidRPr="0018053B" w:rsidRDefault="00C925F9" w:rsidP="00C925F9">
      <w:pPr>
        <w:ind w:left="0"/>
        <w:jc w:val="center"/>
        <w:rPr>
          <w:rFonts w:ascii="Times New Roman" w:hAnsi="Times New Roman"/>
          <w:b/>
          <w:i/>
          <w:sz w:val="24"/>
          <w:szCs w:val="24"/>
        </w:rPr>
      </w:pPr>
      <w:r>
        <w:rPr>
          <w:rFonts w:ascii="Times New Roman" w:hAnsi="Times New Roman"/>
          <w:b/>
          <w:i/>
          <w:sz w:val="24"/>
          <w:szCs w:val="24"/>
        </w:rPr>
        <w:lastRenderedPageBreak/>
        <w:t xml:space="preserve">Table A1.13.  India: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2010</w:t>
            </w: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64</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399</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974</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542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1533</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614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1686</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773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2708</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170</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671</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24</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5298</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36.36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-4.69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35.84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90.50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57.35</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48.89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88.52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42.62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82.17</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76.60</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23.88</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47.83</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-13.20</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145.72</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95.67</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-0.48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6.66</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4.64</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4.06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6.55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6.18</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5.85</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1.08</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1.97</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-0.71</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4.60</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3.41</w:t>
            </w:r>
          </w:p>
        </w:tc>
      </w:tr>
    </w:tbl>
    <w:p w:rsidR="00C925F9" w:rsidRDefault="00C925F9" w:rsidP="00C925F9">
      <w:pPr>
        <w:ind w:left="0"/>
        <w:rPr>
          <w:rFonts w:ascii="Times New Roman" w:hAnsi="Times New Roman"/>
          <w:sz w:val="24"/>
          <w:szCs w:val="24"/>
        </w:rPr>
      </w:pPr>
    </w:p>
    <w:p w:rsidR="00C925F9" w:rsidRPr="0018053B" w:rsidRDefault="00C925F9" w:rsidP="00C925F9">
      <w:pPr>
        <w:ind w:left="0"/>
        <w:jc w:val="center"/>
        <w:rPr>
          <w:rFonts w:ascii="Times New Roman" w:hAnsi="Times New Roman"/>
          <w:b/>
          <w:i/>
          <w:sz w:val="24"/>
          <w:szCs w:val="24"/>
        </w:rPr>
      </w:pPr>
      <w:r>
        <w:rPr>
          <w:rFonts w:ascii="Times New Roman" w:hAnsi="Times New Roman"/>
          <w:b/>
          <w:i/>
          <w:sz w:val="24"/>
          <w:szCs w:val="24"/>
        </w:rPr>
        <w:t xml:space="preserve">Table A1.14.  Rest of North America (Can &amp; Mex):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2010</w:t>
            </w: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157</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52</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878</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229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966</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235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985</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254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1146</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245</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1545</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-18.18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45.86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-51.92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14.83</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10.00</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5.56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10.92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-36.00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37.64</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18.64</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-5.26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-3.54</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0.00</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44.00</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34.81</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-1.99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3.85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-7.06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1.39</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0.96</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0.54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-4.36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3.25</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1.72</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-0.27</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-0.18</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0.00</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1.84</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1.50</w:t>
            </w:r>
          </w:p>
        </w:tc>
      </w:tr>
    </w:tbl>
    <w:p w:rsidR="00C925F9" w:rsidRDefault="00C925F9" w:rsidP="00C925F9">
      <w:pPr>
        <w:ind w:left="0"/>
        <w:jc w:val="center"/>
        <w:rPr>
          <w:rFonts w:ascii="Times New Roman" w:hAnsi="Times New Roman"/>
          <w:b/>
          <w:i/>
          <w:sz w:val="24"/>
          <w:szCs w:val="24"/>
        </w:rPr>
      </w:pPr>
    </w:p>
    <w:p w:rsidR="00C925F9" w:rsidRPr="0018053B" w:rsidRDefault="00C925F9" w:rsidP="00C925F9">
      <w:pPr>
        <w:ind w:left="0"/>
        <w:jc w:val="center"/>
        <w:rPr>
          <w:rFonts w:ascii="Times New Roman" w:hAnsi="Times New Roman"/>
          <w:b/>
          <w:i/>
          <w:sz w:val="24"/>
          <w:szCs w:val="24"/>
        </w:rPr>
      </w:pPr>
      <w:r>
        <w:rPr>
          <w:rFonts w:ascii="Times New Roman" w:hAnsi="Times New Roman"/>
          <w:b/>
          <w:i/>
          <w:sz w:val="24"/>
          <w:szCs w:val="24"/>
        </w:rPr>
        <w:t xml:space="preserve">Table A1.15.  European Union: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2010</w:t>
            </w: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446</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360</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2956</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2758</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421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238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2963</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340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3238</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235</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3689</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-16.04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-10.99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-42.78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32.60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-6.71</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-13.48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-14.36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-39.32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44.15</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17.43</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-41.56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-30.88</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-55.20</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31.76</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13.92</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-5.43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2.86</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-0.69</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-4.87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3.72</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1.62</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-2.65</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-1.83</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-3.94</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1.39</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0.65</w:t>
            </w:r>
          </w:p>
        </w:tc>
      </w:tr>
    </w:tbl>
    <w:p w:rsidR="00C925F9" w:rsidRPr="0018053B" w:rsidRDefault="00C925F9" w:rsidP="00C925F9">
      <w:pPr>
        <w:ind w:left="0"/>
        <w:jc w:val="center"/>
        <w:rPr>
          <w:rFonts w:ascii="Times New Roman" w:hAnsi="Times New Roman"/>
          <w:b/>
          <w:i/>
          <w:sz w:val="24"/>
          <w:szCs w:val="24"/>
        </w:rPr>
      </w:pPr>
      <w:r>
        <w:rPr>
          <w:rFonts w:ascii="Times New Roman" w:hAnsi="Times New Roman"/>
          <w:b/>
          <w:i/>
          <w:sz w:val="24"/>
          <w:szCs w:val="24"/>
        </w:rPr>
        <w:lastRenderedPageBreak/>
        <w:t xml:space="preserve">Table A1.16.  Middle East: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2010</w:t>
            </w: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391</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829</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554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1203</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567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1233</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689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1651</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833</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12</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2886</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4.23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41.69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87.83</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45.01</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24.37</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60.00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382.87</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37.30</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22.47</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20.90</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50.00</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398.27</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74.78</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0.41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3.55</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6.51</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3.79</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1.86</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2.20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4.81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17.05</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3.22</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1.02</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0.95</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8.36</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2.83</w:t>
            </w:r>
          </w:p>
        </w:tc>
      </w:tr>
    </w:tbl>
    <w:p w:rsidR="00C925F9" w:rsidRDefault="00C925F9" w:rsidP="00C925F9">
      <w:pPr>
        <w:ind w:left="0"/>
        <w:rPr>
          <w:rFonts w:ascii="Times New Roman" w:hAnsi="Times New Roman"/>
          <w:sz w:val="24"/>
          <w:szCs w:val="24"/>
        </w:rPr>
      </w:pPr>
    </w:p>
    <w:p w:rsidR="00C925F9" w:rsidRPr="0018053B" w:rsidRDefault="00C925F9" w:rsidP="00C925F9">
      <w:pPr>
        <w:ind w:left="0"/>
        <w:jc w:val="center"/>
        <w:rPr>
          <w:rFonts w:ascii="Times New Roman" w:hAnsi="Times New Roman"/>
          <w:b/>
          <w:i/>
          <w:sz w:val="24"/>
          <w:szCs w:val="24"/>
        </w:rPr>
      </w:pPr>
      <w:r>
        <w:rPr>
          <w:rFonts w:ascii="Times New Roman" w:hAnsi="Times New Roman"/>
          <w:b/>
          <w:i/>
          <w:sz w:val="24"/>
          <w:szCs w:val="24"/>
        </w:rPr>
        <w:t xml:space="preserve">Table A1.17.  Rest of World: </w:t>
      </w:r>
      <w:r w:rsidRPr="0018053B">
        <w:rPr>
          <w:rFonts w:ascii="Times New Roman" w:hAnsi="Times New Roman"/>
          <w:b/>
          <w:i/>
          <w:sz w:val="24"/>
          <w:szCs w:val="24"/>
        </w:rPr>
        <w:t>Energy data and projections from IEA</w:t>
      </w:r>
    </w:p>
    <w:tbl>
      <w:tblPr>
        <w:tblW w:w="9494" w:type="dxa"/>
        <w:tblLook w:val="04A0" w:firstRow="1" w:lastRow="0" w:firstColumn="1" w:lastColumn="0" w:noHBand="0" w:noVBand="1"/>
      </w:tblPr>
      <w:tblGrid>
        <w:gridCol w:w="1980"/>
        <w:gridCol w:w="1502"/>
        <w:gridCol w:w="1503"/>
        <w:gridCol w:w="1503"/>
        <w:gridCol w:w="1503"/>
        <w:gridCol w:w="1503"/>
      </w:tblGrid>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sz w:val="18"/>
                <w:szCs w:val="18"/>
              </w:rPr>
            </w:pP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Oil</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Natural gas</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 xml:space="preserve">Coal </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Renewables</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Electricity generation</w:t>
            </w:r>
          </w:p>
        </w:tc>
      </w:tr>
      <w:tr w:rsidR="0083655D" w:rsidRPr="00C600BB" w:rsidTr="00C600BB">
        <w:tc>
          <w:tcPr>
            <w:tcW w:w="1980" w:type="dxa"/>
            <w:tcBorders>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barrels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Billion cub metres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Million tonnes</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EJ  (=10^18 J)</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18"/>
                <w:szCs w:val="18"/>
              </w:rPr>
            </w:pPr>
            <w:r w:rsidRPr="00C600BB">
              <w:rPr>
                <w:rFonts w:ascii="Times New Roman" w:hAnsi="Times New Roman"/>
                <w:color w:val="000000"/>
                <w:sz w:val="18"/>
                <w:szCs w:val="18"/>
              </w:rPr>
              <w:t>Twh  (=10^12 watt-hrs)</w:t>
            </w:r>
          </w:p>
        </w:tc>
      </w:tr>
      <w:tr w:rsidR="0083655D" w:rsidRPr="00C600BB" w:rsidTr="00C600BB">
        <w:tc>
          <w:tcPr>
            <w:tcW w:w="1980" w:type="dxa"/>
            <w:tcBorders>
              <w:top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2010</w:t>
            </w:r>
          </w:p>
        </w:tc>
        <w:tc>
          <w:tcPr>
            <w:tcW w:w="1502"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1388</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958</w:t>
            </w:r>
          </w:p>
        </w:tc>
        <w:tc>
          <w:tcPr>
            <w:tcW w:w="1503" w:type="dxa"/>
            <w:tcBorders>
              <w:top w:val="single" w:sz="18" w:space="0" w:color="7F7F7F"/>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19</w:t>
            </w:r>
          </w:p>
        </w:tc>
        <w:tc>
          <w:tcPr>
            <w:tcW w:w="1503" w:type="dxa"/>
            <w:tcBorders>
              <w:top w:val="single" w:sz="18" w:space="0" w:color="7F7F7F"/>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6147</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1491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1069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27</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7232</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2021</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1582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1098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28</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7533</w:t>
            </w:r>
          </w:p>
        </w:tc>
      </w:tr>
      <w:tr w:rsidR="0083655D" w:rsidRPr="00C600BB" w:rsidTr="00C600BB">
        <w:tc>
          <w:tcPr>
            <w:tcW w:w="1980" w:type="dxa"/>
            <w:tcBorders>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1603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1059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43</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9359</w:t>
            </w:r>
          </w:p>
        </w:tc>
      </w:tr>
      <w:tr w:rsidR="0083655D" w:rsidRPr="00C600BB" w:rsidTr="00C600BB">
        <w:tc>
          <w:tcPr>
            <w:tcW w:w="1980" w:type="dxa"/>
            <w:tcBorders>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48</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1814</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1119</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80</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14822</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 changes</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-0.32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7.42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11.59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42.17</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17.67</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28.48</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7.51</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-0.94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59.33</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29.40</w:t>
            </w:r>
          </w:p>
        </w:tc>
      </w:tr>
      <w:tr w:rsidR="0083655D" w:rsidRPr="00C600BB" w:rsidTr="00C600BB">
        <w:tc>
          <w:tcPr>
            <w:tcW w:w="1980" w:type="dxa"/>
            <w:tcBorders>
              <w:bottom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20.91</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13.16</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5.67</w:t>
            </w:r>
          </w:p>
        </w:tc>
        <w:tc>
          <w:tcPr>
            <w:tcW w:w="1503" w:type="dxa"/>
            <w:tcBorders>
              <w:left w:val="single" w:sz="4" w:space="0" w:color="7F7F7F"/>
              <w:bottom w:val="single" w:sz="4" w:space="0" w:color="auto"/>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86.21</w:t>
            </w:r>
          </w:p>
        </w:tc>
        <w:tc>
          <w:tcPr>
            <w:tcW w:w="1503" w:type="dxa"/>
            <w:tcBorders>
              <w:left w:val="single" w:sz="4" w:space="0" w:color="7F7F7F"/>
              <w:bottom w:val="single" w:sz="4" w:space="0" w:color="auto"/>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58.37</w:t>
            </w:r>
          </w:p>
        </w:tc>
      </w:tr>
      <w:tr w:rsidR="0083655D" w:rsidRPr="00C600BB" w:rsidTr="00C600BB">
        <w:tc>
          <w:tcPr>
            <w:tcW w:w="1980" w:type="dxa"/>
            <w:tcBorders>
              <w:top w:val="single" w:sz="4" w:space="0" w:color="auto"/>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sz w:val="20"/>
                <w:szCs w:val="20"/>
              </w:rPr>
            </w:pPr>
            <w:r w:rsidRPr="00C600BB">
              <w:rPr>
                <w:rFonts w:ascii="Times New Roman" w:hAnsi="Times New Roman"/>
                <w:color w:val="000000"/>
                <w:sz w:val="20"/>
                <w:szCs w:val="20"/>
              </w:rPr>
              <w:t>Ave annual % ch</w:t>
            </w:r>
          </w:p>
        </w:tc>
        <w:tc>
          <w:tcPr>
            <w:tcW w:w="1502"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righ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c>
          <w:tcPr>
            <w:tcW w:w="1503" w:type="dxa"/>
            <w:tcBorders>
              <w:top w:val="single" w:sz="4" w:space="0" w:color="auto"/>
              <w:left w:val="single" w:sz="4" w:space="0" w:color="7F7F7F"/>
            </w:tcBorders>
            <w:shd w:val="clear" w:color="auto" w:fill="auto"/>
            <w:vAlign w:val="bottom"/>
          </w:tcPr>
          <w:p w:rsidR="00C925F9" w:rsidRPr="00C600BB" w:rsidRDefault="00C925F9" w:rsidP="00C600BB">
            <w:pPr>
              <w:spacing w:before="0" w:line="240" w:lineRule="auto"/>
              <w:rPr>
                <w:rFonts w:ascii="Times New Roman" w:hAnsi="Times New Roman"/>
                <w:sz w:val="20"/>
                <w:szCs w:val="20"/>
              </w:rPr>
            </w:pP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2010-20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0.72</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1.10</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3.58</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1.64</w:t>
            </w:r>
          </w:p>
        </w:tc>
      </w:tr>
      <w:tr w:rsidR="0083655D" w:rsidRPr="00C600BB" w:rsidTr="00C600BB">
        <w:tc>
          <w:tcPr>
            <w:tcW w:w="1980" w:type="dxa"/>
            <w:tcBorders>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2020-30</w:t>
            </w:r>
          </w:p>
        </w:tc>
        <w:tc>
          <w:tcPr>
            <w:tcW w:w="1502"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2.54</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0.73</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-0.09</w:t>
            </w:r>
          </w:p>
        </w:tc>
        <w:tc>
          <w:tcPr>
            <w:tcW w:w="1503" w:type="dxa"/>
            <w:tcBorders>
              <w:left w:val="single" w:sz="4"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4.77</w:t>
            </w:r>
          </w:p>
        </w:tc>
        <w:tc>
          <w:tcPr>
            <w:tcW w:w="1503" w:type="dxa"/>
            <w:tcBorders>
              <w:lef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2.61</w:t>
            </w:r>
          </w:p>
        </w:tc>
      </w:tr>
      <w:tr w:rsidR="0083655D" w:rsidRPr="00C600BB" w:rsidTr="00C600BB">
        <w:tc>
          <w:tcPr>
            <w:tcW w:w="1980" w:type="dxa"/>
            <w:tcBorders>
              <w:bottom w:val="single" w:sz="18" w:space="0" w:color="7F7F7F"/>
              <w:right w:val="single" w:sz="4" w:space="0" w:color="7F7F7F"/>
            </w:tcBorders>
            <w:shd w:val="clear" w:color="auto" w:fill="auto"/>
          </w:tcPr>
          <w:p w:rsidR="00C925F9" w:rsidRPr="00C600BB" w:rsidRDefault="00C925F9" w:rsidP="00C600BB">
            <w:pPr>
              <w:spacing w:before="0" w:line="240" w:lineRule="auto"/>
              <w:ind w:left="29"/>
              <w:rPr>
                <w:rFonts w:ascii="Times New Roman" w:hAnsi="Times New Roman"/>
                <w:color w:val="000000"/>
                <w:sz w:val="20"/>
                <w:szCs w:val="20"/>
              </w:rPr>
            </w:pPr>
            <w:r w:rsidRPr="00C600BB">
              <w:rPr>
                <w:rFonts w:ascii="Times New Roman" w:hAnsi="Times New Roman"/>
                <w:color w:val="000000"/>
                <w:sz w:val="20"/>
                <w:szCs w:val="20"/>
              </w:rPr>
              <w:t>2030-50</w:t>
            </w:r>
          </w:p>
        </w:tc>
        <w:tc>
          <w:tcPr>
            <w:tcW w:w="1502"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0.95</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0.62</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0.28</w:t>
            </w:r>
          </w:p>
        </w:tc>
        <w:tc>
          <w:tcPr>
            <w:tcW w:w="1503" w:type="dxa"/>
            <w:tcBorders>
              <w:left w:val="single" w:sz="4" w:space="0" w:color="7F7F7F"/>
              <w:bottom w:val="single" w:sz="18" w:space="0" w:color="7F7F7F"/>
              <w:right w:val="single" w:sz="4"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3.16</w:t>
            </w:r>
          </w:p>
        </w:tc>
        <w:tc>
          <w:tcPr>
            <w:tcW w:w="1503" w:type="dxa"/>
            <w:tcBorders>
              <w:left w:val="single" w:sz="4" w:space="0" w:color="7F7F7F"/>
              <w:bottom w:val="single" w:sz="18" w:space="0" w:color="7F7F7F"/>
            </w:tcBorders>
            <w:shd w:val="clear" w:color="auto" w:fill="auto"/>
            <w:vAlign w:val="bottom"/>
          </w:tcPr>
          <w:p w:rsidR="00C925F9" w:rsidRPr="00C600BB" w:rsidRDefault="00C925F9" w:rsidP="00C600BB">
            <w:pPr>
              <w:spacing w:before="0" w:line="240" w:lineRule="auto"/>
              <w:jc w:val="right"/>
              <w:rPr>
                <w:rFonts w:ascii="Times New Roman" w:hAnsi="Times New Roman"/>
                <w:color w:val="000000"/>
                <w:sz w:val="20"/>
                <w:szCs w:val="20"/>
              </w:rPr>
            </w:pPr>
            <w:r w:rsidRPr="00C600BB">
              <w:rPr>
                <w:rFonts w:ascii="Times New Roman" w:hAnsi="Times New Roman"/>
                <w:color w:val="000000"/>
                <w:sz w:val="20"/>
                <w:szCs w:val="20"/>
              </w:rPr>
              <w:t>2.33</w:t>
            </w:r>
          </w:p>
        </w:tc>
      </w:tr>
    </w:tbl>
    <w:p w:rsidR="00DB0467" w:rsidRDefault="00DB0467" w:rsidP="002C5CEB">
      <w:pPr>
        <w:ind w:left="0"/>
        <w:rPr>
          <w:rFonts w:ascii="Times New Roman" w:hAnsi="Times New Roman"/>
          <w:sz w:val="24"/>
          <w:szCs w:val="24"/>
        </w:rPr>
      </w:pPr>
    </w:p>
    <w:p w:rsidR="002C5CEB" w:rsidRPr="009A68CE" w:rsidRDefault="002C5CEB" w:rsidP="002C5CEB">
      <w:pPr>
        <w:ind w:left="0"/>
        <w:rPr>
          <w:rFonts w:ascii="Times New Roman" w:hAnsi="Times New Roman"/>
          <w:sz w:val="24"/>
          <w:szCs w:val="24"/>
          <w:lang w:val="en-US"/>
        </w:rPr>
      </w:pPr>
      <w:r>
        <w:rPr>
          <w:rFonts w:ascii="Times New Roman" w:hAnsi="Times New Roman"/>
          <w:sz w:val="24"/>
          <w:szCs w:val="24"/>
        </w:rPr>
        <w:t>The data</w:t>
      </w:r>
      <w:r w:rsidR="00C925F9">
        <w:rPr>
          <w:rFonts w:ascii="Times New Roman" w:hAnsi="Times New Roman"/>
          <w:sz w:val="24"/>
          <w:szCs w:val="24"/>
        </w:rPr>
        <w:t xml:space="preserve"> and projections</w:t>
      </w:r>
      <w:r>
        <w:rPr>
          <w:rFonts w:ascii="Times New Roman" w:hAnsi="Times New Roman"/>
          <w:sz w:val="24"/>
          <w:szCs w:val="24"/>
        </w:rPr>
        <w:t xml:space="preserve"> are for the Stated policy scenario (STEPS).   </w:t>
      </w:r>
      <w:r w:rsidRPr="009A68CE">
        <w:rPr>
          <w:rFonts w:ascii="Times New Roman" w:hAnsi="Times New Roman"/>
          <w:sz w:val="24"/>
          <w:szCs w:val="24"/>
          <w:lang w:val="en-US"/>
        </w:rPr>
        <w:t>STEPS shows</w:t>
      </w:r>
      <w:r>
        <w:rPr>
          <w:rFonts w:ascii="Times New Roman" w:hAnsi="Times New Roman"/>
          <w:sz w:val="24"/>
          <w:szCs w:val="24"/>
          <w:lang w:val="en-US"/>
        </w:rPr>
        <w:t xml:space="preserve"> </w:t>
      </w:r>
      <w:r w:rsidRPr="009A68CE">
        <w:rPr>
          <w:rFonts w:ascii="Times New Roman" w:hAnsi="Times New Roman"/>
          <w:sz w:val="24"/>
          <w:szCs w:val="24"/>
          <w:lang w:val="en-US"/>
        </w:rPr>
        <w:t xml:space="preserve">the trajectory implied by today’s policy settings. </w:t>
      </w:r>
      <w:r>
        <w:rPr>
          <w:rFonts w:ascii="Times New Roman" w:hAnsi="Times New Roman"/>
          <w:sz w:val="24"/>
          <w:szCs w:val="24"/>
          <w:lang w:val="en-US"/>
        </w:rPr>
        <w:t xml:space="preserve"> </w:t>
      </w:r>
    </w:p>
    <w:p w:rsidR="002C5CEB" w:rsidRDefault="002C5CEB" w:rsidP="002C5CEB">
      <w:pPr>
        <w:ind w:left="0"/>
        <w:rPr>
          <w:rFonts w:ascii="Times New Roman" w:hAnsi="Times New Roman"/>
          <w:sz w:val="24"/>
          <w:szCs w:val="24"/>
        </w:rPr>
      </w:pPr>
      <w:r>
        <w:rPr>
          <w:rFonts w:ascii="Times New Roman" w:hAnsi="Times New Roman"/>
          <w:sz w:val="24"/>
          <w:szCs w:val="24"/>
        </w:rPr>
        <w:t>We require energy use projections for each of the 13 regions</w:t>
      </w:r>
      <w:r w:rsidR="00DB0467">
        <w:rPr>
          <w:rFonts w:ascii="Times New Roman" w:hAnsi="Times New Roman"/>
          <w:sz w:val="24"/>
          <w:szCs w:val="24"/>
        </w:rPr>
        <w:t xml:space="preserve"> in our model</w:t>
      </w:r>
      <w:r>
        <w:rPr>
          <w:rFonts w:ascii="Times New Roman" w:hAnsi="Times New Roman"/>
          <w:sz w:val="24"/>
          <w:szCs w:val="24"/>
        </w:rPr>
        <w:t>.  The free download data from IEA identifies USA, China, Japan and India as separate regions.  Data</w:t>
      </w:r>
      <w:r w:rsidR="00C925F9">
        <w:rPr>
          <w:rFonts w:ascii="Times New Roman" w:hAnsi="Times New Roman"/>
          <w:sz w:val="24"/>
          <w:szCs w:val="24"/>
        </w:rPr>
        <w:t xml:space="preserve"> and projections </w:t>
      </w:r>
      <w:r>
        <w:rPr>
          <w:rFonts w:ascii="Times New Roman" w:hAnsi="Times New Roman"/>
          <w:sz w:val="24"/>
          <w:szCs w:val="24"/>
        </w:rPr>
        <w:t xml:space="preserve">for these regions are shown in Tables </w:t>
      </w:r>
      <w:r w:rsidR="00574767">
        <w:rPr>
          <w:rFonts w:ascii="Times New Roman" w:hAnsi="Times New Roman"/>
          <w:sz w:val="24"/>
          <w:szCs w:val="24"/>
        </w:rPr>
        <w:t>A1.10</w:t>
      </w:r>
      <w:r>
        <w:rPr>
          <w:rFonts w:ascii="Times New Roman" w:hAnsi="Times New Roman"/>
          <w:sz w:val="24"/>
          <w:szCs w:val="24"/>
        </w:rPr>
        <w:t xml:space="preserve"> – </w:t>
      </w:r>
      <w:r w:rsidR="00574767">
        <w:rPr>
          <w:rFonts w:ascii="Times New Roman" w:hAnsi="Times New Roman"/>
          <w:sz w:val="24"/>
          <w:szCs w:val="24"/>
        </w:rPr>
        <w:t>A1.13</w:t>
      </w:r>
      <w:r>
        <w:rPr>
          <w:rFonts w:ascii="Times New Roman" w:hAnsi="Times New Roman"/>
          <w:sz w:val="24"/>
          <w:szCs w:val="24"/>
        </w:rPr>
        <w:t xml:space="preserve">.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We deduced Table </w:t>
      </w:r>
      <w:r w:rsidR="00574767">
        <w:rPr>
          <w:rFonts w:ascii="Times New Roman" w:hAnsi="Times New Roman"/>
          <w:sz w:val="24"/>
          <w:szCs w:val="24"/>
        </w:rPr>
        <w:t>A1.14</w:t>
      </w:r>
      <w:r>
        <w:rPr>
          <w:rFonts w:ascii="Times New Roman" w:hAnsi="Times New Roman"/>
          <w:sz w:val="24"/>
          <w:szCs w:val="24"/>
        </w:rPr>
        <w:t xml:space="preserve"> (Rest of North America) from data</w:t>
      </w:r>
      <w:r w:rsidR="00C925F9">
        <w:rPr>
          <w:rFonts w:ascii="Times New Roman" w:hAnsi="Times New Roman"/>
          <w:sz w:val="24"/>
          <w:szCs w:val="24"/>
        </w:rPr>
        <w:t xml:space="preserve"> and projections </w:t>
      </w:r>
      <w:r>
        <w:rPr>
          <w:rFonts w:ascii="Times New Roman" w:hAnsi="Times New Roman"/>
          <w:sz w:val="24"/>
          <w:szCs w:val="24"/>
        </w:rPr>
        <w:t xml:space="preserve">for North America less USA.  We use the percentage changes in Table </w:t>
      </w:r>
      <w:r w:rsidR="00C925F9">
        <w:rPr>
          <w:rFonts w:ascii="Times New Roman" w:hAnsi="Times New Roman"/>
          <w:sz w:val="24"/>
          <w:szCs w:val="24"/>
        </w:rPr>
        <w:t>A1.14</w:t>
      </w:r>
      <w:r>
        <w:rPr>
          <w:rFonts w:ascii="Times New Roman" w:hAnsi="Times New Roman"/>
          <w:sz w:val="24"/>
          <w:szCs w:val="24"/>
        </w:rPr>
        <w:t xml:space="preserve"> for both Canada and Mexico.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Table </w:t>
      </w:r>
      <w:r w:rsidR="00C925F9">
        <w:rPr>
          <w:rFonts w:ascii="Times New Roman" w:hAnsi="Times New Roman"/>
          <w:sz w:val="24"/>
          <w:szCs w:val="24"/>
        </w:rPr>
        <w:t>A1.15</w:t>
      </w:r>
      <w:r>
        <w:rPr>
          <w:rFonts w:ascii="Times New Roman" w:hAnsi="Times New Roman"/>
          <w:sz w:val="24"/>
          <w:szCs w:val="24"/>
        </w:rPr>
        <w:t xml:space="preserve"> contains data</w:t>
      </w:r>
      <w:r w:rsidR="00C925F9">
        <w:rPr>
          <w:rFonts w:ascii="Times New Roman" w:hAnsi="Times New Roman"/>
          <w:sz w:val="24"/>
          <w:szCs w:val="24"/>
        </w:rPr>
        <w:t xml:space="preserve"> and projections</w:t>
      </w:r>
      <w:r>
        <w:rPr>
          <w:rFonts w:ascii="Times New Roman" w:hAnsi="Times New Roman"/>
          <w:sz w:val="24"/>
          <w:szCs w:val="24"/>
        </w:rPr>
        <w:t xml:space="preserve"> </w:t>
      </w:r>
      <w:r w:rsidR="00C925F9">
        <w:rPr>
          <w:rFonts w:ascii="Times New Roman" w:hAnsi="Times New Roman"/>
          <w:sz w:val="24"/>
          <w:szCs w:val="24"/>
        </w:rPr>
        <w:t>for</w:t>
      </w:r>
      <w:r>
        <w:rPr>
          <w:rFonts w:ascii="Times New Roman" w:hAnsi="Times New Roman"/>
          <w:sz w:val="24"/>
          <w:szCs w:val="24"/>
        </w:rPr>
        <w:t xml:space="preserve"> the European Union.  We use the percentage changes in Table </w:t>
      </w:r>
      <w:r w:rsidR="00C925F9">
        <w:rPr>
          <w:rFonts w:ascii="Times New Roman" w:hAnsi="Times New Roman"/>
          <w:sz w:val="24"/>
          <w:szCs w:val="24"/>
        </w:rPr>
        <w:t xml:space="preserve">A1.15 </w:t>
      </w:r>
      <w:r>
        <w:rPr>
          <w:rFonts w:ascii="Times New Roman" w:hAnsi="Times New Roman"/>
          <w:sz w:val="24"/>
          <w:szCs w:val="24"/>
        </w:rPr>
        <w:t xml:space="preserve">for France, Germany, U.K., and the Rest of EU.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Table </w:t>
      </w:r>
      <w:r w:rsidR="00C925F9">
        <w:rPr>
          <w:rFonts w:ascii="Times New Roman" w:hAnsi="Times New Roman"/>
          <w:sz w:val="24"/>
          <w:szCs w:val="24"/>
        </w:rPr>
        <w:t>A1.16</w:t>
      </w:r>
      <w:r>
        <w:rPr>
          <w:rFonts w:ascii="Times New Roman" w:hAnsi="Times New Roman"/>
          <w:sz w:val="24"/>
          <w:szCs w:val="24"/>
        </w:rPr>
        <w:t xml:space="preserve"> contains data</w:t>
      </w:r>
      <w:r w:rsidR="00C925F9">
        <w:rPr>
          <w:rFonts w:ascii="Times New Roman" w:hAnsi="Times New Roman"/>
          <w:sz w:val="24"/>
          <w:szCs w:val="24"/>
        </w:rPr>
        <w:t xml:space="preserve"> and projection for </w:t>
      </w:r>
      <w:r>
        <w:rPr>
          <w:rFonts w:ascii="Times New Roman" w:hAnsi="Times New Roman"/>
          <w:sz w:val="24"/>
          <w:szCs w:val="24"/>
        </w:rPr>
        <w:t xml:space="preserve">the Middle East.  We  use the percentage changes in Table </w:t>
      </w:r>
      <w:r w:rsidR="00C925F9">
        <w:rPr>
          <w:rFonts w:ascii="Times New Roman" w:hAnsi="Times New Roman"/>
          <w:sz w:val="24"/>
          <w:szCs w:val="24"/>
        </w:rPr>
        <w:t xml:space="preserve">A1.16 </w:t>
      </w:r>
      <w:r>
        <w:rPr>
          <w:rFonts w:ascii="Times New Roman" w:hAnsi="Times New Roman"/>
          <w:sz w:val="24"/>
          <w:szCs w:val="24"/>
        </w:rPr>
        <w:t xml:space="preserve">for Saudi Arabia.  </w:t>
      </w:r>
    </w:p>
    <w:p w:rsidR="002C5CEB" w:rsidRDefault="002C5CEB" w:rsidP="002C5CEB">
      <w:pPr>
        <w:ind w:left="0"/>
        <w:rPr>
          <w:rFonts w:ascii="Times New Roman" w:hAnsi="Times New Roman"/>
          <w:sz w:val="24"/>
          <w:szCs w:val="24"/>
        </w:rPr>
      </w:pPr>
      <w:r>
        <w:rPr>
          <w:rFonts w:ascii="Times New Roman" w:hAnsi="Times New Roman"/>
          <w:sz w:val="24"/>
          <w:szCs w:val="24"/>
        </w:rPr>
        <w:lastRenderedPageBreak/>
        <w:t xml:space="preserve">Table </w:t>
      </w:r>
      <w:r w:rsidR="00C925F9">
        <w:rPr>
          <w:rFonts w:ascii="Times New Roman" w:hAnsi="Times New Roman"/>
          <w:sz w:val="24"/>
          <w:szCs w:val="24"/>
        </w:rPr>
        <w:t>A1.17</w:t>
      </w:r>
      <w:r>
        <w:rPr>
          <w:rFonts w:ascii="Times New Roman" w:hAnsi="Times New Roman"/>
          <w:sz w:val="24"/>
          <w:szCs w:val="24"/>
        </w:rPr>
        <w:t xml:space="preserve"> contains data</w:t>
      </w:r>
      <w:r w:rsidR="00C925F9">
        <w:rPr>
          <w:rFonts w:ascii="Times New Roman" w:hAnsi="Times New Roman"/>
          <w:sz w:val="24"/>
          <w:szCs w:val="24"/>
        </w:rPr>
        <w:t xml:space="preserve"> and projections for</w:t>
      </w:r>
      <w:r>
        <w:rPr>
          <w:rFonts w:ascii="Times New Roman" w:hAnsi="Times New Roman"/>
          <w:sz w:val="24"/>
          <w:szCs w:val="24"/>
        </w:rPr>
        <w:t xml:space="preserve"> the Rest of World.  This was calculated by subtracting data for North America, China, Japan, India, European Union, and Middle East from data for World.  </w:t>
      </w:r>
    </w:p>
    <w:p w:rsidR="002C5CEB" w:rsidRPr="00C925F9" w:rsidRDefault="002C5CEB" w:rsidP="002C5CEB">
      <w:pPr>
        <w:ind w:left="0"/>
        <w:rPr>
          <w:rFonts w:ascii="Times New Roman" w:hAnsi="Times New Roman"/>
          <w:i/>
          <w:sz w:val="24"/>
          <w:szCs w:val="24"/>
        </w:rPr>
      </w:pPr>
      <w:r w:rsidRPr="00C925F9">
        <w:rPr>
          <w:rFonts w:ascii="Times New Roman" w:hAnsi="Times New Roman"/>
          <w:i/>
          <w:sz w:val="24"/>
          <w:szCs w:val="24"/>
        </w:rPr>
        <w:t>Features of the data</w:t>
      </w:r>
      <w:r w:rsidR="00C925F9">
        <w:rPr>
          <w:rFonts w:ascii="Times New Roman" w:hAnsi="Times New Roman"/>
          <w:i/>
          <w:sz w:val="24"/>
          <w:szCs w:val="24"/>
        </w:rPr>
        <w:t xml:space="preserve"> and projections</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For all regions except India and Middle East, the use of coal declines between 2020 and 2030.  After 2030, the use coal declines or is flat in all regions except Middle East.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Use of renewables increases in all regions after 2020.  </w:t>
      </w:r>
    </w:p>
    <w:p w:rsidR="002C5CEB" w:rsidRDefault="002C5CEB" w:rsidP="002C5CEB">
      <w:pPr>
        <w:ind w:left="0"/>
        <w:rPr>
          <w:rFonts w:ascii="Times New Roman" w:hAnsi="Times New Roman"/>
          <w:sz w:val="24"/>
          <w:szCs w:val="24"/>
        </w:rPr>
      </w:pPr>
      <w:r>
        <w:rPr>
          <w:rFonts w:ascii="Times New Roman" w:hAnsi="Times New Roman"/>
          <w:sz w:val="24"/>
          <w:szCs w:val="24"/>
        </w:rPr>
        <w:t>Use of oil increases between 2020 and 2030 for the US, China, India, Rest of North America, Middle East and Rest of World.</w:t>
      </w:r>
      <w:r w:rsidRPr="00FA7EEE">
        <w:rPr>
          <w:rFonts w:ascii="Times New Roman" w:hAnsi="Times New Roman"/>
          <w:sz w:val="24"/>
          <w:szCs w:val="24"/>
        </w:rPr>
        <w:t xml:space="preserve">  For J</w:t>
      </w:r>
      <w:r>
        <w:rPr>
          <w:rFonts w:ascii="Times New Roman" w:hAnsi="Times New Roman"/>
          <w:sz w:val="24"/>
          <w:szCs w:val="24"/>
        </w:rPr>
        <w:t xml:space="preserve">apan and the European Union use of oil decreases.  After 2030, use of oil decreases in all regions except India, Middle East and Rest of World.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Use of natural gas increases between 2020 and 2030 in China, India, Rest of North America, Middle East and Rest of World.  It continues to increase after 2030 in India, Middle East and Rest of World.  </w:t>
      </w:r>
    </w:p>
    <w:p w:rsidR="002C5CEB" w:rsidRDefault="002C5CEB" w:rsidP="002C5CEB">
      <w:pPr>
        <w:ind w:left="0"/>
        <w:rPr>
          <w:rFonts w:ascii="Times New Roman" w:hAnsi="Times New Roman"/>
          <w:sz w:val="24"/>
          <w:szCs w:val="24"/>
        </w:rPr>
      </w:pPr>
      <w:r>
        <w:rPr>
          <w:rFonts w:ascii="Times New Roman" w:hAnsi="Times New Roman"/>
          <w:sz w:val="24"/>
          <w:szCs w:val="24"/>
        </w:rPr>
        <w:t>With regard to electricity generation, absorption increases from 2020 to 2050 in all regions except Japan.  While the annual growth rates in electricity use are quite strong, we suspect that they are below what IEA is likely to have assumed about GDP growth.</w:t>
      </w:r>
    </w:p>
    <w:p w:rsidR="002C5CEB" w:rsidRPr="00C925F9" w:rsidRDefault="002C5CEB" w:rsidP="002C5CEB">
      <w:pPr>
        <w:ind w:left="0"/>
        <w:rPr>
          <w:rFonts w:ascii="Times New Roman" w:hAnsi="Times New Roman"/>
          <w:b/>
          <w:i/>
          <w:sz w:val="24"/>
          <w:szCs w:val="24"/>
        </w:rPr>
      </w:pPr>
      <w:r w:rsidRPr="00C925F9">
        <w:rPr>
          <w:rFonts w:ascii="Times New Roman" w:hAnsi="Times New Roman"/>
          <w:b/>
          <w:i/>
          <w:sz w:val="24"/>
          <w:szCs w:val="24"/>
        </w:rPr>
        <w:t xml:space="preserve">Prices of oil, gas and </w:t>
      </w:r>
      <w:r w:rsidR="00DB0467">
        <w:rPr>
          <w:rFonts w:ascii="Times New Roman" w:hAnsi="Times New Roman"/>
          <w:b/>
          <w:i/>
          <w:sz w:val="24"/>
          <w:szCs w:val="24"/>
        </w:rPr>
        <w:t xml:space="preserve">coal </w:t>
      </w:r>
      <w:r w:rsidRPr="00C925F9">
        <w:rPr>
          <w:rFonts w:ascii="Times New Roman" w:hAnsi="Times New Roman"/>
          <w:b/>
          <w:i/>
          <w:sz w:val="24"/>
          <w:szCs w:val="24"/>
        </w:rPr>
        <w:t xml:space="preserve">from 2014 to 2019 </w:t>
      </w:r>
    </w:p>
    <w:p w:rsidR="002C5CEB" w:rsidRDefault="002C5CEB" w:rsidP="002C5CEB">
      <w:pPr>
        <w:ind w:left="0"/>
        <w:rPr>
          <w:rFonts w:ascii="Times New Roman" w:hAnsi="Times New Roman"/>
          <w:sz w:val="24"/>
          <w:szCs w:val="24"/>
        </w:rPr>
      </w:pPr>
      <w:r>
        <w:rPr>
          <w:rFonts w:ascii="Times New Roman" w:hAnsi="Times New Roman"/>
          <w:sz w:val="24"/>
          <w:szCs w:val="24"/>
        </w:rPr>
        <w:t>For prices of oil</w:t>
      </w:r>
      <w:r w:rsidR="00DB0467">
        <w:rPr>
          <w:rFonts w:ascii="Times New Roman" w:hAnsi="Times New Roman"/>
          <w:sz w:val="24"/>
          <w:szCs w:val="24"/>
        </w:rPr>
        <w:t>,</w:t>
      </w:r>
      <w:r>
        <w:rPr>
          <w:rFonts w:ascii="Times New Roman" w:hAnsi="Times New Roman"/>
          <w:sz w:val="24"/>
          <w:szCs w:val="24"/>
        </w:rPr>
        <w:t xml:space="preserve"> gas and coal see:</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   …\ITC\WTO\ </w:t>
      </w:r>
      <w:r w:rsidRPr="00815850">
        <w:rPr>
          <w:rFonts w:ascii="Times New Roman" w:hAnsi="Times New Roman"/>
          <w:sz w:val="24"/>
          <w:szCs w:val="24"/>
        </w:rPr>
        <w:t>CMO-</w:t>
      </w:r>
      <w:r>
        <w:rPr>
          <w:rFonts w:ascii="Times New Roman" w:hAnsi="Times New Roman"/>
          <w:sz w:val="24"/>
          <w:szCs w:val="24"/>
        </w:rPr>
        <w:t>Historical-Data-Annual</w:t>
      </w:r>
      <w:r w:rsidRPr="00815850">
        <w:rPr>
          <w:rFonts w:ascii="Times New Roman" w:hAnsi="Times New Roman"/>
          <w:sz w:val="24"/>
          <w:szCs w:val="24"/>
        </w:rPr>
        <w:t>.xlsx</w:t>
      </w:r>
      <w:r>
        <w:rPr>
          <w:rFonts w:ascii="Times New Roman" w:hAnsi="Times New Roman"/>
          <w:sz w:val="24"/>
          <w:szCs w:val="24"/>
        </w:rPr>
        <w:t xml:space="preserve"> published by </w:t>
      </w:r>
      <w:r w:rsidR="00C925F9">
        <w:rPr>
          <w:rFonts w:ascii="Times New Roman" w:hAnsi="Times New Roman"/>
          <w:sz w:val="24"/>
          <w:szCs w:val="24"/>
        </w:rPr>
        <w:t xml:space="preserve">the </w:t>
      </w:r>
      <w:r>
        <w:rPr>
          <w:rFonts w:ascii="Times New Roman" w:hAnsi="Times New Roman"/>
          <w:sz w:val="24"/>
          <w:szCs w:val="24"/>
        </w:rPr>
        <w:t>W</w:t>
      </w:r>
      <w:r w:rsidR="00C925F9">
        <w:rPr>
          <w:rFonts w:ascii="Times New Roman" w:hAnsi="Times New Roman"/>
          <w:sz w:val="24"/>
          <w:szCs w:val="24"/>
        </w:rPr>
        <w:t xml:space="preserve">orld </w:t>
      </w:r>
      <w:r>
        <w:rPr>
          <w:rFonts w:ascii="Times New Roman" w:hAnsi="Times New Roman"/>
          <w:sz w:val="24"/>
          <w:szCs w:val="24"/>
        </w:rPr>
        <w:t>B</w:t>
      </w:r>
      <w:r w:rsidR="00C925F9">
        <w:rPr>
          <w:rFonts w:ascii="Times New Roman" w:hAnsi="Times New Roman"/>
          <w:sz w:val="24"/>
          <w:szCs w:val="24"/>
        </w:rPr>
        <w:t>ank</w:t>
      </w:r>
    </w:p>
    <w:p w:rsidR="00C925F9" w:rsidRDefault="00C925F9" w:rsidP="002C5CEB">
      <w:pPr>
        <w:ind w:left="0"/>
        <w:rPr>
          <w:rFonts w:ascii="Times New Roman" w:hAnsi="Times New Roman"/>
          <w:sz w:val="24"/>
          <w:szCs w:val="24"/>
        </w:rPr>
      </w:pPr>
      <w:r>
        <w:rPr>
          <w:rFonts w:ascii="Times New Roman" w:hAnsi="Times New Roman"/>
          <w:sz w:val="24"/>
          <w:szCs w:val="24"/>
        </w:rPr>
        <w:t>and</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   …\ITC\WTO\WB\  </w:t>
      </w:r>
      <w:r w:rsidRPr="00815850">
        <w:rPr>
          <w:rFonts w:ascii="Times New Roman" w:hAnsi="Times New Roman"/>
          <w:sz w:val="24"/>
          <w:szCs w:val="24"/>
        </w:rPr>
        <w:t>CMO-April-2023-Energy-Fertilizers.xlsx</w:t>
      </w:r>
    </w:p>
    <w:p w:rsidR="002C5CEB" w:rsidRPr="00C925F9" w:rsidRDefault="002C5CEB" w:rsidP="002C5CEB">
      <w:pPr>
        <w:ind w:left="0"/>
        <w:rPr>
          <w:rFonts w:ascii="Times New Roman" w:hAnsi="Times New Roman"/>
          <w:i/>
          <w:sz w:val="24"/>
          <w:szCs w:val="24"/>
        </w:rPr>
      </w:pPr>
      <w:r w:rsidRPr="00C925F9">
        <w:rPr>
          <w:rFonts w:ascii="Times New Roman" w:hAnsi="Times New Roman"/>
          <w:i/>
          <w:sz w:val="24"/>
          <w:szCs w:val="24"/>
        </w:rPr>
        <w:t>Oil</w:t>
      </w:r>
    </w:p>
    <w:p w:rsidR="00C925F9" w:rsidRDefault="00C925F9" w:rsidP="002C5CEB">
      <w:pPr>
        <w:ind w:left="0"/>
        <w:rPr>
          <w:rFonts w:ascii="Times New Roman" w:hAnsi="Times New Roman"/>
          <w:sz w:val="24"/>
          <w:szCs w:val="24"/>
        </w:rPr>
      </w:pPr>
      <w:r>
        <w:rPr>
          <w:rFonts w:ascii="Times New Roman" w:hAnsi="Times New Roman"/>
          <w:sz w:val="24"/>
          <w:szCs w:val="24"/>
        </w:rPr>
        <w:t>From</w:t>
      </w:r>
      <w:r w:rsidR="002C5CEB">
        <w:rPr>
          <w:rFonts w:ascii="Times New Roman" w:hAnsi="Times New Roman"/>
          <w:sz w:val="24"/>
          <w:szCs w:val="24"/>
        </w:rPr>
        <w:t xml:space="preserve"> the W</w:t>
      </w:r>
      <w:r>
        <w:rPr>
          <w:rFonts w:ascii="Times New Roman" w:hAnsi="Times New Roman"/>
          <w:sz w:val="24"/>
          <w:szCs w:val="24"/>
        </w:rPr>
        <w:t xml:space="preserve">orld </w:t>
      </w:r>
      <w:r w:rsidR="002C5CEB">
        <w:rPr>
          <w:rFonts w:ascii="Times New Roman" w:hAnsi="Times New Roman"/>
          <w:sz w:val="24"/>
          <w:szCs w:val="24"/>
        </w:rPr>
        <w:t>B</w:t>
      </w:r>
      <w:r>
        <w:rPr>
          <w:rFonts w:ascii="Times New Roman" w:hAnsi="Times New Roman"/>
          <w:sz w:val="24"/>
          <w:szCs w:val="24"/>
        </w:rPr>
        <w:t xml:space="preserve">ank </w:t>
      </w:r>
      <w:r w:rsidR="002C5CEB">
        <w:rPr>
          <w:rFonts w:ascii="Times New Roman" w:hAnsi="Times New Roman"/>
          <w:sz w:val="24"/>
          <w:szCs w:val="24"/>
        </w:rPr>
        <w:t xml:space="preserve">there are data showing </w:t>
      </w:r>
      <w:r>
        <w:rPr>
          <w:rFonts w:ascii="Times New Roman" w:hAnsi="Times New Roman"/>
          <w:sz w:val="24"/>
          <w:szCs w:val="24"/>
        </w:rPr>
        <w:t>percentage changes</w:t>
      </w:r>
      <w:r w:rsidR="002C5CEB">
        <w:rPr>
          <w:rFonts w:ascii="Times New Roman" w:hAnsi="Times New Roman"/>
          <w:sz w:val="24"/>
          <w:szCs w:val="24"/>
        </w:rPr>
        <w:t xml:space="preserve"> in oil prices for 2004-14 and 2014-19 of about 160 and -35.28 (see range in excel sheet, this is the data for Brent)</w:t>
      </w:r>
      <w:r>
        <w:rPr>
          <w:rFonts w:ascii="Times New Roman" w:hAnsi="Times New Roman"/>
          <w:sz w:val="24"/>
          <w:szCs w:val="24"/>
        </w:rPr>
        <w:t xml:space="preserve">.  </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Our previous source of oil price movements was the Saudi National accounts (see Saudi price of commodities.xlsx).  That showed 167.81 and </w:t>
      </w:r>
      <w:r w:rsidRPr="00C925F9">
        <w:rPr>
          <w:rFonts w:ascii="Times New Roman" w:hAnsi="Times New Roman"/>
          <w:sz w:val="24"/>
          <w:szCs w:val="24"/>
        </w:rPr>
        <w:t>-29.86</w:t>
      </w:r>
      <w:r>
        <w:rPr>
          <w:rFonts w:ascii="Times New Roman" w:hAnsi="Times New Roman"/>
          <w:sz w:val="24"/>
          <w:szCs w:val="24"/>
        </w:rPr>
        <w:t xml:space="preserve">)   </w:t>
      </w:r>
    </w:p>
    <w:p w:rsidR="002C5CEB" w:rsidRPr="00C925F9" w:rsidRDefault="002C5CEB" w:rsidP="002C5CEB">
      <w:pPr>
        <w:ind w:left="0"/>
        <w:rPr>
          <w:rFonts w:ascii="Times New Roman" w:hAnsi="Times New Roman"/>
          <w:i/>
          <w:sz w:val="24"/>
          <w:szCs w:val="24"/>
        </w:rPr>
      </w:pPr>
      <w:r w:rsidRPr="00C925F9">
        <w:rPr>
          <w:rFonts w:ascii="Times New Roman" w:hAnsi="Times New Roman"/>
          <w:i/>
          <w:sz w:val="24"/>
          <w:szCs w:val="24"/>
        </w:rPr>
        <w:t>Natural gas</w:t>
      </w:r>
    </w:p>
    <w:p w:rsidR="002C5CEB" w:rsidRPr="00C925F9" w:rsidRDefault="00C925F9" w:rsidP="002C5CEB">
      <w:pPr>
        <w:ind w:left="0"/>
        <w:rPr>
          <w:rFonts w:ascii="Arial" w:eastAsia="Times New Roman" w:hAnsi="Arial" w:cs="Arial"/>
          <w:sz w:val="20"/>
          <w:szCs w:val="20"/>
          <w:lang w:eastAsia="en-AU"/>
        </w:rPr>
      </w:pPr>
      <w:r>
        <w:rPr>
          <w:rFonts w:ascii="Times New Roman" w:hAnsi="Times New Roman"/>
          <w:sz w:val="24"/>
          <w:szCs w:val="24"/>
        </w:rPr>
        <w:t>The</w:t>
      </w:r>
      <w:r w:rsidR="002C5CEB">
        <w:rPr>
          <w:rFonts w:ascii="Times New Roman" w:hAnsi="Times New Roman"/>
          <w:sz w:val="24"/>
          <w:szCs w:val="24"/>
        </w:rPr>
        <w:t xml:space="preserve"> W</w:t>
      </w:r>
      <w:r>
        <w:rPr>
          <w:rFonts w:ascii="Times New Roman" w:hAnsi="Times New Roman"/>
          <w:sz w:val="24"/>
          <w:szCs w:val="24"/>
        </w:rPr>
        <w:t xml:space="preserve">orld </w:t>
      </w:r>
      <w:r w:rsidR="002C5CEB">
        <w:rPr>
          <w:rFonts w:ascii="Times New Roman" w:hAnsi="Times New Roman"/>
          <w:sz w:val="24"/>
          <w:szCs w:val="24"/>
        </w:rPr>
        <w:t>B</w:t>
      </w:r>
      <w:r>
        <w:rPr>
          <w:rFonts w:ascii="Times New Roman" w:hAnsi="Times New Roman"/>
          <w:sz w:val="24"/>
          <w:szCs w:val="24"/>
        </w:rPr>
        <w:t>ank</w:t>
      </w:r>
      <w:r w:rsidR="002C5CEB">
        <w:rPr>
          <w:rFonts w:ascii="Times New Roman" w:hAnsi="Times New Roman"/>
          <w:sz w:val="24"/>
          <w:szCs w:val="24"/>
        </w:rPr>
        <w:t xml:space="preserve"> </w:t>
      </w:r>
      <w:r>
        <w:rPr>
          <w:rFonts w:ascii="Times New Roman" w:hAnsi="Times New Roman"/>
          <w:sz w:val="24"/>
          <w:szCs w:val="24"/>
        </w:rPr>
        <w:t>shows</w:t>
      </w:r>
      <w:r w:rsidR="002C5CEB">
        <w:rPr>
          <w:rFonts w:ascii="Times New Roman" w:hAnsi="Times New Roman"/>
          <w:sz w:val="24"/>
          <w:szCs w:val="24"/>
        </w:rPr>
        <w:t xml:space="preserve"> 3 types of </w:t>
      </w:r>
      <w:r>
        <w:rPr>
          <w:rFonts w:ascii="Times New Roman" w:hAnsi="Times New Roman"/>
          <w:sz w:val="24"/>
          <w:szCs w:val="24"/>
        </w:rPr>
        <w:t>natural gas</w:t>
      </w:r>
      <w:r w:rsidR="002C5CEB">
        <w:rPr>
          <w:rFonts w:ascii="Times New Roman" w:hAnsi="Times New Roman"/>
          <w:sz w:val="24"/>
          <w:szCs w:val="24"/>
        </w:rPr>
        <w:t xml:space="preserve"> with price growths of  </w:t>
      </w:r>
      <w:r w:rsidR="002C5CEB" w:rsidRPr="000777F1">
        <w:rPr>
          <w:rFonts w:ascii="Arial" w:eastAsia="Times New Roman" w:hAnsi="Arial" w:cs="Arial"/>
          <w:sz w:val="20"/>
          <w:szCs w:val="20"/>
          <w:lang w:eastAsia="en-AU"/>
        </w:rPr>
        <w:t>-</w:t>
      </w:r>
      <w:r w:rsidR="002C5CEB" w:rsidRPr="00C925F9">
        <w:rPr>
          <w:rFonts w:ascii="Times New Roman" w:eastAsia="Times New Roman" w:hAnsi="Times New Roman"/>
          <w:sz w:val="24"/>
          <w:szCs w:val="24"/>
          <w:lang w:eastAsia="en-AU"/>
        </w:rPr>
        <w:t>25.88, 134.99 and 212.74 for 2004-14</w:t>
      </w:r>
      <w:r w:rsidR="002C5CEB">
        <w:rPr>
          <w:rFonts w:ascii="Arial" w:eastAsia="Times New Roman" w:hAnsi="Arial" w:cs="Arial"/>
          <w:sz w:val="20"/>
          <w:szCs w:val="20"/>
          <w:lang w:eastAsia="en-AU"/>
        </w:rPr>
        <w:t xml:space="preserve">,  </w:t>
      </w:r>
      <w:r w:rsidR="002C5CEB" w:rsidRPr="00C925F9">
        <w:rPr>
          <w:rFonts w:ascii="Times New Roman" w:eastAsia="Times New Roman" w:hAnsi="Times New Roman"/>
          <w:sz w:val="24"/>
          <w:szCs w:val="24"/>
          <w:lang w:eastAsia="en-AU"/>
        </w:rPr>
        <w:t>the price growths for 2014 to 2019 are -52.2, -34.1 and -45.3.</w:t>
      </w:r>
      <w:r>
        <w:rPr>
          <w:rFonts w:ascii="Arial" w:eastAsia="Times New Roman" w:hAnsi="Arial" w:cs="Arial"/>
          <w:sz w:val="20"/>
          <w:szCs w:val="20"/>
          <w:lang w:eastAsia="en-AU"/>
        </w:rPr>
        <w:t xml:space="preserve">  </w:t>
      </w:r>
    </w:p>
    <w:p w:rsidR="002C5CEB" w:rsidRPr="00C925F9" w:rsidRDefault="002C5CEB" w:rsidP="002C5CEB">
      <w:pPr>
        <w:ind w:left="0"/>
        <w:rPr>
          <w:rFonts w:ascii="Times New Roman" w:hAnsi="Times New Roman"/>
          <w:i/>
          <w:sz w:val="24"/>
          <w:szCs w:val="24"/>
        </w:rPr>
      </w:pPr>
      <w:r w:rsidRPr="00C925F9">
        <w:rPr>
          <w:rFonts w:ascii="Times New Roman" w:hAnsi="Times New Roman"/>
          <w:i/>
          <w:sz w:val="24"/>
          <w:szCs w:val="24"/>
        </w:rPr>
        <w:t>Coal</w:t>
      </w:r>
    </w:p>
    <w:p w:rsidR="002C5CEB" w:rsidRPr="00C925F9" w:rsidRDefault="002C5CEB" w:rsidP="002C5CEB">
      <w:pPr>
        <w:ind w:left="0"/>
        <w:rPr>
          <w:rFonts w:ascii="Arial" w:eastAsia="Times New Roman" w:hAnsi="Arial" w:cs="Arial"/>
          <w:sz w:val="20"/>
          <w:szCs w:val="20"/>
          <w:lang w:eastAsia="en-AU"/>
        </w:rPr>
      </w:pPr>
      <w:r>
        <w:rPr>
          <w:rFonts w:ascii="Times New Roman" w:hAnsi="Times New Roman"/>
          <w:sz w:val="24"/>
          <w:szCs w:val="24"/>
        </w:rPr>
        <w:t>In the W</w:t>
      </w:r>
      <w:r w:rsidR="00C925F9">
        <w:rPr>
          <w:rFonts w:ascii="Times New Roman" w:hAnsi="Times New Roman"/>
          <w:sz w:val="24"/>
          <w:szCs w:val="24"/>
        </w:rPr>
        <w:t xml:space="preserve">orld </w:t>
      </w:r>
      <w:r>
        <w:rPr>
          <w:rFonts w:ascii="Times New Roman" w:hAnsi="Times New Roman"/>
          <w:sz w:val="24"/>
          <w:szCs w:val="24"/>
        </w:rPr>
        <w:t>B</w:t>
      </w:r>
      <w:r w:rsidR="00C925F9">
        <w:rPr>
          <w:rFonts w:ascii="Times New Roman" w:hAnsi="Times New Roman"/>
          <w:sz w:val="24"/>
          <w:szCs w:val="24"/>
        </w:rPr>
        <w:t>ank</w:t>
      </w:r>
      <w:r>
        <w:rPr>
          <w:rFonts w:ascii="Times New Roman" w:hAnsi="Times New Roman"/>
          <w:sz w:val="24"/>
          <w:szCs w:val="24"/>
        </w:rPr>
        <w:t xml:space="preserve"> data there are 2 types of coal (Australian &amp; South</w:t>
      </w:r>
      <w:r w:rsidR="00C925F9">
        <w:rPr>
          <w:rFonts w:ascii="Times New Roman" w:hAnsi="Times New Roman"/>
          <w:sz w:val="24"/>
          <w:szCs w:val="24"/>
        </w:rPr>
        <w:t xml:space="preserve"> African) with price growths of</w:t>
      </w:r>
      <w:r>
        <w:rPr>
          <w:rFonts w:ascii="Times New Roman" w:hAnsi="Times New Roman"/>
          <w:sz w:val="24"/>
          <w:szCs w:val="24"/>
        </w:rPr>
        <w:t xml:space="preserve">: </w:t>
      </w:r>
      <w:r w:rsidRPr="00C925F9">
        <w:rPr>
          <w:rFonts w:ascii="Times New Roman" w:eastAsia="Times New Roman" w:hAnsi="Times New Roman"/>
          <w:sz w:val="24"/>
          <w:szCs w:val="24"/>
          <w:lang w:eastAsia="en-AU"/>
        </w:rPr>
        <w:t>32.25 and 32.28 for 2004-14, and 11.06 and -0.55 for 2014-19</w:t>
      </w:r>
      <w:r w:rsidR="00C925F9">
        <w:rPr>
          <w:rFonts w:ascii="Arial" w:eastAsia="Times New Roman" w:hAnsi="Arial" w:cs="Arial"/>
          <w:sz w:val="20"/>
          <w:szCs w:val="20"/>
          <w:lang w:eastAsia="en-AU"/>
        </w:rPr>
        <w:t xml:space="preserve">. </w:t>
      </w:r>
    </w:p>
    <w:p w:rsidR="002C5CEB" w:rsidRDefault="001F455B" w:rsidP="002C5CEB">
      <w:pPr>
        <w:ind w:left="0"/>
        <w:rPr>
          <w:rFonts w:ascii="Times New Roman" w:hAnsi="Times New Roman"/>
          <w:sz w:val="24"/>
          <w:szCs w:val="24"/>
        </w:rPr>
      </w:pPr>
      <w:hyperlink r:id="rId110" w:history="1">
        <w:r w:rsidR="002C5CEB" w:rsidRPr="00C122D2">
          <w:rPr>
            <w:rStyle w:val="Hyperlink"/>
            <w:rFonts w:ascii="Times New Roman" w:hAnsi="Times New Roman"/>
            <w:sz w:val="24"/>
            <w:szCs w:val="24"/>
          </w:rPr>
          <w:t>https://tradingeconomics.com/commodity/coal</w:t>
        </w:r>
      </w:hyperlink>
      <w:r w:rsidR="002C5CEB">
        <w:rPr>
          <w:rFonts w:ascii="Times New Roman" w:hAnsi="Times New Roman"/>
          <w:sz w:val="24"/>
          <w:szCs w:val="24"/>
        </w:rPr>
        <w:t xml:space="preserve">  show</w:t>
      </w:r>
      <w:r w:rsidR="00C925F9">
        <w:rPr>
          <w:rFonts w:ascii="Times New Roman" w:hAnsi="Times New Roman"/>
          <w:sz w:val="24"/>
          <w:szCs w:val="24"/>
        </w:rPr>
        <w:t>s</w:t>
      </w:r>
      <w:r w:rsidR="002C5CEB">
        <w:rPr>
          <w:rFonts w:ascii="Times New Roman" w:hAnsi="Times New Roman"/>
          <w:sz w:val="24"/>
          <w:szCs w:val="24"/>
        </w:rPr>
        <w:t xml:space="preserve"> coal prices ($US/T) of 71.10 in 2014 and 70.90 in 2019</w:t>
      </w:r>
      <w:r w:rsidR="00C925F9">
        <w:rPr>
          <w:rFonts w:ascii="Times New Roman" w:hAnsi="Times New Roman"/>
          <w:sz w:val="24"/>
          <w:szCs w:val="24"/>
        </w:rPr>
        <w:t>,</w:t>
      </w:r>
      <w:r w:rsidR="002C5CEB">
        <w:rPr>
          <w:rFonts w:ascii="Times New Roman" w:hAnsi="Times New Roman"/>
          <w:sz w:val="24"/>
          <w:szCs w:val="24"/>
        </w:rPr>
        <w:t xml:space="preserve"> </w:t>
      </w:r>
      <w:r w:rsidR="002C5CEB" w:rsidRPr="00C925F9">
        <w:rPr>
          <w:rFonts w:ascii="Times New Roman" w:hAnsi="Times New Roman"/>
          <w:sz w:val="24"/>
          <w:szCs w:val="24"/>
        </w:rPr>
        <w:t>a fall of 1%.</w:t>
      </w:r>
      <w:r w:rsidR="002C5CEB">
        <w:rPr>
          <w:rFonts w:ascii="Times New Roman" w:hAnsi="Times New Roman"/>
          <w:sz w:val="24"/>
          <w:szCs w:val="24"/>
        </w:rPr>
        <w:t xml:space="preserve">  So this looks like the South African coal.  Australia is the largest exporter of coal, then Indonesia and Russia.  S</w:t>
      </w:r>
      <w:r w:rsidR="00C925F9">
        <w:rPr>
          <w:rFonts w:ascii="Times New Roman" w:hAnsi="Times New Roman"/>
          <w:sz w:val="24"/>
          <w:szCs w:val="24"/>
        </w:rPr>
        <w:t xml:space="preserve">outh </w:t>
      </w:r>
      <w:r w:rsidR="002C5CEB">
        <w:rPr>
          <w:rFonts w:ascii="Times New Roman" w:hAnsi="Times New Roman"/>
          <w:sz w:val="24"/>
          <w:szCs w:val="24"/>
        </w:rPr>
        <w:t>A</w:t>
      </w:r>
      <w:r w:rsidR="00C925F9">
        <w:rPr>
          <w:rFonts w:ascii="Times New Roman" w:hAnsi="Times New Roman"/>
          <w:sz w:val="24"/>
          <w:szCs w:val="24"/>
        </w:rPr>
        <w:t>frica</w:t>
      </w:r>
      <w:r w:rsidR="002C5CEB">
        <w:rPr>
          <w:rFonts w:ascii="Times New Roman" w:hAnsi="Times New Roman"/>
          <w:sz w:val="24"/>
          <w:szCs w:val="24"/>
        </w:rPr>
        <w:t xml:space="preserve"> doesn’t get a mention</w:t>
      </w:r>
      <w:r w:rsidR="00C925F9">
        <w:rPr>
          <w:rFonts w:ascii="Times New Roman" w:hAnsi="Times New Roman"/>
          <w:sz w:val="24"/>
          <w:szCs w:val="24"/>
        </w:rPr>
        <w:t>.</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Index mundi ( </w:t>
      </w:r>
      <w:hyperlink r:id="rId111" w:history="1">
        <w:r w:rsidRPr="00C122D2">
          <w:rPr>
            <w:rStyle w:val="Hyperlink"/>
            <w:rFonts w:ascii="Times New Roman" w:hAnsi="Times New Roman"/>
            <w:sz w:val="24"/>
            <w:szCs w:val="24"/>
          </w:rPr>
          <w:t>https://www.indexmundi.com/commodities/?commodity=coal-australian&amp;months=240</w:t>
        </w:r>
      </w:hyperlink>
      <w:r>
        <w:rPr>
          <w:rFonts w:ascii="Times New Roman" w:hAnsi="Times New Roman"/>
          <w:sz w:val="24"/>
          <w:szCs w:val="24"/>
        </w:rPr>
        <w:t xml:space="preserve"> )  shows growth in price of coal of </w:t>
      </w:r>
      <w:r w:rsidRPr="00C925F9">
        <w:rPr>
          <w:rFonts w:ascii="Times New Roman" w:hAnsi="Times New Roman"/>
          <w:sz w:val="24"/>
          <w:szCs w:val="24"/>
        </w:rPr>
        <w:t>20.64</w:t>
      </w:r>
      <w:r>
        <w:rPr>
          <w:rFonts w:ascii="Times New Roman" w:hAnsi="Times New Roman"/>
          <w:sz w:val="24"/>
          <w:szCs w:val="24"/>
        </w:rPr>
        <w:t xml:space="preserve"> in 2004-14</w:t>
      </w:r>
    </w:p>
    <w:p w:rsidR="002C5CEB" w:rsidRDefault="001F455B" w:rsidP="002C5CEB">
      <w:pPr>
        <w:ind w:left="0"/>
        <w:rPr>
          <w:rFonts w:ascii="Times New Roman" w:hAnsi="Times New Roman"/>
          <w:sz w:val="24"/>
          <w:szCs w:val="24"/>
        </w:rPr>
      </w:pPr>
      <w:hyperlink r:id="rId112" w:history="1">
        <w:r w:rsidR="002C5CEB" w:rsidRPr="00C122D2">
          <w:rPr>
            <w:rStyle w:val="Hyperlink"/>
            <w:rFonts w:ascii="Times New Roman" w:hAnsi="Times New Roman"/>
            <w:sz w:val="24"/>
            <w:szCs w:val="24"/>
          </w:rPr>
          <w:t>https://ourworldindata.org/grapher/coal-prices</w:t>
        </w:r>
      </w:hyperlink>
      <w:r w:rsidR="002C5CEB">
        <w:rPr>
          <w:rFonts w:ascii="Times New Roman" w:hAnsi="Times New Roman"/>
          <w:sz w:val="24"/>
          <w:szCs w:val="24"/>
        </w:rPr>
        <w:t xml:space="preserve">   has several estimates of growth in prices of coal across the periods 2004-2014 and 2014-19.   The Japanese coking coal figures </w:t>
      </w:r>
      <w:r w:rsidR="00C925F9">
        <w:rPr>
          <w:rFonts w:ascii="Times New Roman" w:hAnsi="Times New Roman"/>
          <w:sz w:val="24"/>
          <w:szCs w:val="24"/>
        </w:rPr>
        <w:t xml:space="preserve">for these two periods </w:t>
      </w:r>
      <w:r w:rsidR="002C5CEB">
        <w:rPr>
          <w:rFonts w:ascii="Times New Roman" w:hAnsi="Times New Roman"/>
          <w:sz w:val="24"/>
          <w:szCs w:val="24"/>
        </w:rPr>
        <w:t xml:space="preserve">are 87.69 and </w:t>
      </w:r>
      <w:r w:rsidR="002C5CEB" w:rsidRPr="00C925F9">
        <w:rPr>
          <w:rFonts w:ascii="Times New Roman" w:hAnsi="Times New Roman"/>
          <w:sz w:val="24"/>
          <w:szCs w:val="24"/>
        </w:rPr>
        <w:t>29.81</w:t>
      </w:r>
      <w:r w:rsidR="00C925F9">
        <w:rPr>
          <w:rFonts w:ascii="Times New Roman" w:hAnsi="Times New Roman"/>
          <w:sz w:val="24"/>
          <w:szCs w:val="24"/>
        </w:rPr>
        <w:t>.</w:t>
      </w:r>
    </w:p>
    <w:p w:rsidR="002C5CEB" w:rsidRDefault="002C5CEB" w:rsidP="002C5CEB">
      <w:pPr>
        <w:ind w:left="0"/>
        <w:rPr>
          <w:rFonts w:ascii="Times New Roman" w:hAnsi="Times New Roman"/>
          <w:sz w:val="24"/>
          <w:szCs w:val="24"/>
        </w:rPr>
      </w:pPr>
      <w:r>
        <w:rPr>
          <w:rFonts w:ascii="Times New Roman" w:hAnsi="Times New Roman"/>
          <w:sz w:val="24"/>
          <w:szCs w:val="24"/>
        </w:rPr>
        <w:t>On the basis of these data, we assume the following $US price increases for 2014 to 2019:</w:t>
      </w:r>
    </w:p>
    <w:p w:rsidR="002C5CEB" w:rsidRDefault="002C5CEB" w:rsidP="002C5CEB">
      <w:pPr>
        <w:ind w:left="0"/>
        <w:rPr>
          <w:rFonts w:ascii="Times New Roman" w:hAnsi="Times New Roman"/>
          <w:sz w:val="24"/>
          <w:szCs w:val="24"/>
        </w:rPr>
      </w:pPr>
      <w:r>
        <w:rPr>
          <w:rFonts w:ascii="Times New Roman" w:hAnsi="Times New Roman"/>
          <w:sz w:val="24"/>
          <w:szCs w:val="24"/>
        </w:rPr>
        <w:tab/>
        <w:t xml:space="preserve">Oil -29.86 (Saudi </w:t>
      </w:r>
      <w:r w:rsidR="00C925F9">
        <w:rPr>
          <w:rFonts w:ascii="Times New Roman" w:hAnsi="Times New Roman"/>
          <w:sz w:val="24"/>
          <w:szCs w:val="24"/>
        </w:rPr>
        <w:t>d</w:t>
      </w:r>
      <w:r>
        <w:rPr>
          <w:rFonts w:ascii="Times New Roman" w:hAnsi="Times New Roman"/>
          <w:sz w:val="24"/>
          <w:szCs w:val="24"/>
        </w:rPr>
        <w:t>ata)</w:t>
      </w:r>
    </w:p>
    <w:p w:rsidR="002C5CEB" w:rsidRDefault="002C5CEB" w:rsidP="002C5CEB">
      <w:pPr>
        <w:ind w:left="0"/>
        <w:rPr>
          <w:rFonts w:ascii="Times New Roman" w:hAnsi="Times New Roman"/>
          <w:sz w:val="24"/>
          <w:szCs w:val="24"/>
        </w:rPr>
      </w:pPr>
      <w:r>
        <w:rPr>
          <w:rFonts w:ascii="Times New Roman" w:hAnsi="Times New Roman"/>
          <w:sz w:val="24"/>
          <w:szCs w:val="24"/>
        </w:rPr>
        <w:tab/>
        <w:t>Gas -43.87 (World Bank, average of 3 gas prices in CMO-Historical-Data-</w:t>
      </w:r>
    </w:p>
    <w:p w:rsidR="002C5CEB" w:rsidRDefault="002C5CEB" w:rsidP="002C5CEB">
      <w:pPr>
        <w:ind w:left="0"/>
        <w:rPr>
          <w:rFonts w:ascii="Times New Roman" w:hAnsi="Times New Roman"/>
          <w:sz w:val="24"/>
          <w:szCs w:val="24"/>
        </w:rPr>
      </w:pPr>
      <w:r>
        <w:rPr>
          <w:rFonts w:ascii="Times New Roman" w:hAnsi="Times New Roman"/>
          <w:sz w:val="24"/>
          <w:szCs w:val="24"/>
        </w:rPr>
        <w:t xml:space="preserve">                               Annual.xls)</w:t>
      </w:r>
    </w:p>
    <w:p w:rsidR="002C5CEB" w:rsidRDefault="002C5CEB" w:rsidP="002C5CEB">
      <w:pPr>
        <w:ind w:left="0" w:firstLine="720"/>
        <w:rPr>
          <w:rFonts w:ascii="Times New Roman" w:hAnsi="Times New Roman"/>
          <w:sz w:val="24"/>
          <w:szCs w:val="24"/>
        </w:rPr>
      </w:pPr>
      <w:r>
        <w:rPr>
          <w:rFonts w:ascii="Times New Roman" w:hAnsi="Times New Roman"/>
          <w:sz w:val="24"/>
          <w:szCs w:val="24"/>
        </w:rPr>
        <w:t>Coal 11.06 (World Bank, Aust. Coal price in CMO-Historical-Data-Annual.xls)</w:t>
      </w:r>
      <w:r w:rsidR="00DB0467">
        <w:rPr>
          <w:rFonts w:ascii="Times New Roman" w:hAnsi="Times New Roman"/>
          <w:sz w:val="24"/>
          <w:szCs w:val="24"/>
        </w:rPr>
        <w:t>.</w:t>
      </w:r>
    </w:p>
    <w:p w:rsidR="00595A93" w:rsidRDefault="00595A93" w:rsidP="00595A93">
      <w:pPr>
        <w:ind w:left="0"/>
        <w:rPr>
          <w:rFonts w:ascii="Times New Roman" w:hAnsi="Times New Roman"/>
          <w:b/>
          <w:i/>
          <w:sz w:val="24"/>
          <w:szCs w:val="24"/>
        </w:rPr>
      </w:pPr>
      <w:r>
        <w:rPr>
          <w:rFonts w:ascii="Times New Roman" w:hAnsi="Times New Roman"/>
          <w:b/>
          <w:i/>
          <w:sz w:val="24"/>
          <w:szCs w:val="24"/>
        </w:rPr>
        <w:t>Net foreign liabilities</w:t>
      </w:r>
    </w:p>
    <w:p w:rsidR="00CF67BB" w:rsidRPr="00CF67BB" w:rsidRDefault="00CF67BB" w:rsidP="00595A93">
      <w:pPr>
        <w:ind w:left="0"/>
        <w:rPr>
          <w:rFonts w:ascii="Times New Roman" w:hAnsi="Times New Roman"/>
          <w:sz w:val="24"/>
          <w:szCs w:val="24"/>
        </w:rPr>
      </w:pPr>
      <w:r>
        <w:rPr>
          <w:rFonts w:ascii="Times New Roman" w:hAnsi="Times New Roman"/>
          <w:sz w:val="24"/>
          <w:szCs w:val="24"/>
        </w:rPr>
        <w:t xml:space="preserve">Table A1.18 shows net foreign liabilities at the start of 2014 and the start of 2019.  We impose the changes between these two years in the 2014-19 simulation.  The data for NFL are from the IMF’s </w:t>
      </w:r>
      <w:r w:rsidRPr="00CF67BB">
        <w:rPr>
          <w:rFonts w:ascii="Times New Roman" w:hAnsi="Times New Roman"/>
          <w:i/>
          <w:sz w:val="24"/>
          <w:szCs w:val="24"/>
        </w:rPr>
        <w:t>World and Regional Tables:  Balance of Payments and International Investment Position by Indicator (BPM6)</w:t>
      </w:r>
      <w:r>
        <w:rPr>
          <w:rFonts w:ascii="Times New Roman" w:hAnsi="Times New Roman"/>
          <w:sz w:val="24"/>
          <w:szCs w:val="24"/>
        </w:rPr>
        <w:t xml:space="preserve">, available at: </w:t>
      </w:r>
      <w:hyperlink r:id="rId113" w:history="1">
        <w:r w:rsidRPr="00172415">
          <w:rPr>
            <w:rStyle w:val="Hyperlink"/>
            <w:rFonts w:ascii="Times New Roman" w:hAnsi="Times New Roman"/>
            <w:sz w:val="24"/>
            <w:szCs w:val="24"/>
          </w:rPr>
          <w:t>https://data.imf.org/?sk=7a51304b-6426-40c0-83dd-ca473ca1fd52&amp;sid=1542633711584</w:t>
        </w:r>
      </w:hyperlink>
      <w:r>
        <w:rPr>
          <w:rFonts w:ascii="Times New Roman" w:hAnsi="Times New Roman"/>
          <w:sz w:val="24"/>
          <w:szCs w:val="24"/>
        </w:rPr>
        <w:t xml:space="preserve"> .</w:t>
      </w:r>
    </w:p>
    <w:p w:rsidR="002C5CEB" w:rsidRPr="00082512" w:rsidRDefault="00082512" w:rsidP="00082512">
      <w:pPr>
        <w:ind w:left="0"/>
        <w:jc w:val="center"/>
        <w:rPr>
          <w:rFonts w:ascii="Times New Roman" w:hAnsi="Times New Roman"/>
          <w:b/>
          <w:i/>
          <w:sz w:val="24"/>
          <w:szCs w:val="24"/>
        </w:rPr>
      </w:pPr>
      <w:r>
        <w:rPr>
          <w:rFonts w:ascii="Times New Roman" w:hAnsi="Times New Roman"/>
          <w:b/>
          <w:i/>
          <w:sz w:val="24"/>
          <w:szCs w:val="24"/>
        </w:rPr>
        <w:t>Table A1.18.  Net foreign liabilities (NFL</w:t>
      </w:r>
      <w:r w:rsidR="003339DC">
        <w:rPr>
          <w:rFonts w:ascii="Times New Roman" w:hAnsi="Times New Roman"/>
          <w:b/>
          <w:i/>
          <w:sz w:val="24"/>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74"/>
        <w:gridCol w:w="1474"/>
        <w:gridCol w:w="1474"/>
        <w:gridCol w:w="1474"/>
      </w:tblGrid>
      <w:tr w:rsidR="00082512" w:rsidTr="00082512">
        <w:tc>
          <w:tcPr>
            <w:tcW w:w="1701" w:type="dxa"/>
            <w:tcBorders>
              <w:top w:val="single" w:sz="18" w:space="0" w:color="7F7F7F" w:themeColor="text1" w:themeTint="80"/>
              <w:right w:val="single" w:sz="18" w:space="0" w:color="7F7F7F" w:themeColor="text1" w:themeTint="80"/>
            </w:tcBorders>
          </w:tcPr>
          <w:p w:rsidR="00082512" w:rsidRPr="00082512" w:rsidRDefault="00082512" w:rsidP="00082512">
            <w:pPr>
              <w:spacing w:before="0"/>
              <w:ind w:left="0"/>
              <w:jc w:val="center"/>
              <w:rPr>
                <w:rFonts w:ascii="Times New Roman" w:hAnsi="Times New Roman"/>
                <w:sz w:val="20"/>
                <w:szCs w:val="20"/>
                <w:lang w:eastAsia="en-AU"/>
              </w:rPr>
            </w:pPr>
          </w:p>
        </w:tc>
        <w:tc>
          <w:tcPr>
            <w:tcW w:w="2948" w:type="dxa"/>
            <w:gridSpan w:val="2"/>
            <w:tcBorders>
              <w:top w:val="single" w:sz="18" w:space="0" w:color="7F7F7F" w:themeColor="text1" w:themeTint="80"/>
              <w:left w:val="single" w:sz="18" w:space="0" w:color="7F7F7F" w:themeColor="text1" w:themeTint="80"/>
              <w:right w:val="single" w:sz="18" w:space="0" w:color="7F7F7F" w:themeColor="text1" w:themeTint="80"/>
            </w:tcBorders>
          </w:tcPr>
          <w:p w:rsidR="00082512" w:rsidRPr="00082512" w:rsidRDefault="00082512" w:rsidP="00082512">
            <w:pPr>
              <w:spacing w:before="0"/>
              <w:ind w:left="0"/>
              <w:jc w:val="center"/>
              <w:rPr>
                <w:rFonts w:ascii="Times New Roman" w:hAnsi="Times New Roman"/>
                <w:color w:val="000000"/>
                <w:sz w:val="20"/>
                <w:szCs w:val="20"/>
              </w:rPr>
            </w:pPr>
            <w:r w:rsidRPr="00082512">
              <w:rPr>
                <w:rFonts w:ascii="Times New Roman" w:hAnsi="Times New Roman"/>
                <w:color w:val="000000"/>
                <w:sz w:val="20"/>
                <w:szCs w:val="20"/>
              </w:rPr>
              <w:t>NFL, $USt</w:t>
            </w:r>
          </w:p>
        </w:tc>
        <w:tc>
          <w:tcPr>
            <w:tcW w:w="2948" w:type="dxa"/>
            <w:gridSpan w:val="2"/>
            <w:tcBorders>
              <w:top w:val="single" w:sz="18" w:space="0" w:color="7F7F7F" w:themeColor="text1" w:themeTint="80"/>
              <w:left w:val="single" w:sz="18" w:space="0" w:color="7F7F7F" w:themeColor="text1" w:themeTint="80"/>
            </w:tcBorders>
          </w:tcPr>
          <w:p w:rsidR="00082512" w:rsidRPr="00082512" w:rsidRDefault="00082512" w:rsidP="00082512">
            <w:pPr>
              <w:spacing w:before="0"/>
              <w:ind w:left="0"/>
              <w:jc w:val="center"/>
              <w:rPr>
                <w:rFonts w:ascii="Times New Roman" w:hAnsi="Times New Roman"/>
                <w:color w:val="000000"/>
                <w:sz w:val="20"/>
                <w:szCs w:val="20"/>
              </w:rPr>
            </w:pPr>
            <w:r w:rsidRPr="00082512">
              <w:rPr>
                <w:rFonts w:ascii="Times New Roman" w:hAnsi="Times New Roman"/>
                <w:color w:val="000000"/>
                <w:sz w:val="20"/>
                <w:szCs w:val="20"/>
              </w:rPr>
              <w:t>NFL/GDP</w:t>
            </w:r>
          </w:p>
        </w:tc>
      </w:tr>
      <w:tr w:rsidR="00082512" w:rsidTr="00082512">
        <w:tc>
          <w:tcPr>
            <w:tcW w:w="1701" w:type="dxa"/>
            <w:tcBorders>
              <w:bottom w:val="single" w:sz="18" w:space="0" w:color="7F7F7F" w:themeColor="text1" w:themeTint="80"/>
              <w:right w:val="single" w:sz="18" w:space="0" w:color="7F7F7F" w:themeColor="text1" w:themeTint="80"/>
            </w:tcBorders>
          </w:tcPr>
          <w:p w:rsidR="00082512" w:rsidRPr="00082512" w:rsidRDefault="00082512" w:rsidP="00082512">
            <w:pPr>
              <w:spacing w:before="0"/>
              <w:jc w:val="center"/>
              <w:rPr>
                <w:rFonts w:ascii="Times New Roman" w:hAnsi="Times New Roman"/>
                <w:color w:val="000000"/>
                <w:sz w:val="20"/>
                <w:szCs w:val="20"/>
              </w:rPr>
            </w:pPr>
          </w:p>
        </w:tc>
        <w:tc>
          <w:tcPr>
            <w:tcW w:w="1474" w:type="dxa"/>
            <w:tcBorders>
              <w:left w:val="single" w:sz="18" w:space="0" w:color="7F7F7F" w:themeColor="text1" w:themeTint="80"/>
              <w:bottom w:val="single" w:sz="18" w:space="0" w:color="7F7F7F" w:themeColor="text1" w:themeTint="80"/>
            </w:tcBorders>
          </w:tcPr>
          <w:p w:rsidR="00082512" w:rsidRPr="00082512" w:rsidRDefault="00082512" w:rsidP="00082512">
            <w:pPr>
              <w:spacing w:before="0"/>
              <w:jc w:val="center"/>
              <w:rPr>
                <w:rFonts w:ascii="Times New Roman" w:hAnsi="Times New Roman"/>
                <w:sz w:val="20"/>
                <w:szCs w:val="20"/>
              </w:rPr>
            </w:pPr>
            <w:r w:rsidRPr="00082512">
              <w:rPr>
                <w:rFonts w:ascii="Times New Roman" w:hAnsi="Times New Roman"/>
                <w:sz w:val="20"/>
                <w:szCs w:val="20"/>
              </w:rPr>
              <w:t>2014</w:t>
            </w:r>
          </w:p>
        </w:tc>
        <w:tc>
          <w:tcPr>
            <w:tcW w:w="1474" w:type="dxa"/>
            <w:tcBorders>
              <w:bottom w:val="single" w:sz="18" w:space="0" w:color="7F7F7F" w:themeColor="text1" w:themeTint="80"/>
              <w:right w:val="single" w:sz="18" w:space="0" w:color="7F7F7F" w:themeColor="text1" w:themeTint="80"/>
            </w:tcBorders>
          </w:tcPr>
          <w:p w:rsidR="00082512" w:rsidRPr="00082512" w:rsidRDefault="00082512" w:rsidP="00082512">
            <w:pPr>
              <w:spacing w:before="0"/>
              <w:jc w:val="center"/>
              <w:rPr>
                <w:rFonts w:ascii="Times New Roman" w:hAnsi="Times New Roman"/>
                <w:sz w:val="20"/>
                <w:szCs w:val="20"/>
              </w:rPr>
            </w:pPr>
            <w:r w:rsidRPr="00082512">
              <w:rPr>
                <w:rFonts w:ascii="Times New Roman" w:hAnsi="Times New Roman"/>
                <w:sz w:val="20"/>
                <w:szCs w:val="20"/>
              </w:rPr>
              <w:t>2019</w:t>
            </w:r>
          </w:p>
        </w:tc>
        <w:tc>
          <w:tcPr>
            <w:tcW w:w="1474" w:type="dxa"/>
            <w:tcBorders>
              <w:left w:val="single" w:sz="18" w:space="0" w:color="7F7F7F" w:themeColor="text1" w:themeTint="80"/>
              <w:bottom w:val="single" w:sz="18" w:space="0" w:color="7F7F7F" w:themeColor="text1" w:themeTint="80"/>
            </w:tcBorders>
          </w:tcPr>
          <w:p w:rsidR="00082512" w:rsidRPr="00082512" w:rsidRDefault="00082512" w:rsidP="00082512">
            <w:pPr>
              <w:spacing w:before="0"/>
              <w:jc w:val="center"/>
              <w:rPr>
                <w:rFonts w:ascii="Times New Roman" w:hAnsi="Times New Roman"/>
                <w:sz w:val="20"/>
                <w:szCs w:val="20"/>
              </w:rPr>
            </w:pPr>
            <w:r w:rsidRPr="00082512">
              <w:rPr>
                <w:rFonts w:ascii="Times New Roman" w:hAnsi="Times New Roman"/>
                <w:sz w:val="20"/>
                <w:szCs w:val="20"/>
              </w:rPr>
              <w:t>2014</w:t>
            </w:r>
          </w:p>
        </w:tc>
        <w:tc>
          <w:tcPr>
            <w:tcW w:w="1474" w:type="dxa"/>
            <w:tcBorders>
              <w:bottom w:val="single" w:sz="18" w:space="0" w:color="7F7F7F" w:themeColor="text1" w:themeTint="80"/>
            </w:tcBorders>
          </w:tcPr>
          <w:p w:rsidR="00082512" w:rsidRPr="00082512" w:rsidRDefault="00082512" w:rsidP="00082512">
            <w:pPr>
              <w:spacing w:before="0"/>
              <w:jc w:val="center"/>
              <w:rPr>
                <w:rFonts w:ascii="Times New Roman" w:hAnsi="Times New Roman"/>
                <w:sz w:val="20"/>
                <w:szCs w:val="20"/>
              </w:rPr>
            </w:pPr>
            <w:r w:rsidRPr="00082512">
              <w:rPr>
                <w:rFonts w:ascii="Times New Roman" w:hAnsi="Times New Roman"/>
                <w:sz w:val="20"/>
                <w:szCs w:val="20"/>
              </w:rPr>
              <w:t>2019</w:t>
            </w:r>
          </w:p>
        </w:tc>
      </w:tr>
      <w:tr w:rsidR="00082512" w:rsidTr="00082512">
        <w:tc>
          <w:tcPr>
            <w:tcW w:w="1701" w:type="dxa"/>
            <w:tcBorders>
              <w:top w:val="single" w:sz="18" w:space="0" w:color="7F7F7F" w:themeColor="text1" w:themeTint="80"/>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USA</w:t>
            </w:r>
          </w:p>
        </w:tc>
        <w:tc>
          <w:tcPr>
            <w:tcW w:w="1474" w:type="dxa"/>
            <w:tcBorders>
              <w:top w:val="single" w:sz="18" w:space="0" w:color="7F7F7F" w:themeColor="text1" w:themeTint="80"/>
              <w:left w:val="single" w:sz="18" w:space="0" w:color="7F7F7F" w:themeColor="text1" w:themeTint="80"/>
            </w:tcBorders>
            <w:vAlign w:val="bottom"/>
          </w:tcPr>
          <w:p w:rsidR="00082512" w:rsidRPr="00082512" w:rsidRDefault="00082512" w:rsidP="00082512">
            <w:pPr>
              <w:tabs>
                <w:tab w:val="decimal" w:pos="539"/>
              </w:tabs>
              <w:spacing w:before="0"/>
              <w:ind w:left="0"/>
              <w:rPr>
                <w:rFonts w:ascii="Times New Roman" w:hAnsi="Times New Roman"/>
                <w:color w:val="000000"/>
                <w:sz w:val="20"/>
                <w:szCs w:val="20"/>
                <w:lang w:eastAsia="en-AU"/>
              </w:rPr>
            </w:pPr>
            <w:r w:rsidRPr="00082512">
              <w:rPr>
                <w:rFonts w:ascii="Times New Roman" w:hAnsi="Times New Roman"/>
                <w:color w:val="000000"/>
                <w:sz w:val="20"/>
                <w:szCs w:val="20"/>
              </w:rPr>
              <w:t>5.44</w:t>
            </w:r>
          </w:p>
        </w:tc>
        <w:tc>
          <w:tcPr>
            <w:tcW w:w="1474" w:type="dxa"/>
            <w:tcBorders>
              <w:top w:val="single" w:sz="18" w:space="0" w:color="7F7F7F" w:themeColor="text1" w:themeTint="80"/>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9.80</w:t>
            </w:r>
          </w:p>
        </w:tc>
        <w:tc>
          <w:tcPr>
            <w:tcW w:w="1474" w:type="dxa"/>
            <w:tcBorders>
              <w:top w:val="single" w:sz="18" w:space="0" w:color="7F7F7F" w:themeColor="text1" w:themeTint="80"/>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0.314</w:t>
            </w:r>
          </w:p>
        </w:tc>
        <w:tc>
          <w:tcPr>
            <w:tcW w:w="1474" w:type="dxa"/>
            <w:tcBorders>
              <w:top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0.463</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Canada</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0.03</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-0.45</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0.014</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-0.257</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Mexico</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0.57</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0.56</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0.436</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0.445</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China</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-2.58</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-3.39</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-0.255</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-0.248</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Japan</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-3.09</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-3.08</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-0.670</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-0.639</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SKorea</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0.04</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-0.44</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0.029</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-0.286</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India</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0.32</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0.43</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0.154</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0.148</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France</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0.48</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0.52</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0.170</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0.192</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Germany</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-0.96</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-2.01</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-0.246</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-0.518</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UK</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0.45</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0.08</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0.151</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0.030</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RoEU</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1.26</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-0.11</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0.142</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-0.012</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SaudiArabia</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-0.76</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-0.66</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-1.022</w:t>
            </w:r>
          </w:p>
        </w:tc>
        <w:tc>
          <w:tcPr>
            <w:tcW w:w="1474" w:type="dxa"/>
            <w:vAlign w:val="bottom"/>
          </w:tcPr>
          <w:p w:rsidR="00082512" w:rsidRPr="00082512" w:rsidRDefault="00082512" w:rsidP="006B1215">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-0.84</w:t>
            </w:r>
            <w:r w:rsidR="006B1215">
              <w:rPr>
                <w:rFonts w:ascii="Times New Roman" w:hAnsi="Times New Roman"/>
                <w:color w:val="000000"/>
                <w:sz w:val="20"/>
                <w:szCs w:val="20"/>
              </w:rPr>
              <w:t>1</w:t>
            </w:r>
          </w:p>
        </w:tc>
      </w:tr>
      <w:tr w:rsidR="00082512" w:rsidTr="00082512">
        <w:tc>
          <w:tcPr>
            <w:tcW w:w="1701" w:type="dxa"/>
            <w:tcBorders>
              <w:right w:val="single" w:sz="18" w:space="0" w:color="7F7F7F" w:themeColor="text1" w:themeTint="80"/>
            </w:tcBorders>
            <w:vAlign w:val="bottom"/>
          </w:tcPr>
          <w:p w:rsidR="00082512" w:rsidRPr="00082512" w:rsidRDefault="00082512" w:rsidP="00082512">
            <w:pPr>
              <w:spacing w:before="0"/>
              <w:ind w:left="29"/>
              <w:rPr>
                <w:rFonts w:ascii="Times New Roman" w:hAnsi="Times New Roman"/>
                <w:color w:val="000000"/>
                <w:sz w:val="20"/>
                <w:szCs w:val="20"/>
              </w:rPr>
            </w:pPr>
            <w:r w:rsidRPr="00082512">
              <w:rPr>
                <w:rFonts w:ascii="Times New Roman" w:hAnsi="Times New Roman"/>
                <w:color w:val="000000"/>
                <w:sz w:val="20"/>
                <w:szCs w:val="20"/>
              </w:rPr>
              <w:t>RoW</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-1.21</w:t>
            </w:r>
          </w:p>
        </w:tc>
        <w:tc>
          <w:tcPr>
            <w:tcW w:w="1474" w:type="dxa"/>
            <w:tcBorders>
              <w:righ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-1.25</w:t>
            </w:r>
          </w:p>
        </w:tc>
        <w:tc>
          <w:tcPr>
            <w:tcW w:w="1474" w:type="dxa"/>
            <w:tcBorders>
              <w:left w:val="single" w:sz="18" w:space="0" w:color="7F7F7F" w:themeColor="text1" w:themeTint="80"/>
            </w:tcBorders>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-0.060</w:t>
            </w:r>
          </w:p>
        </w:tc>
        <w:tc>
          <w:tcPr>
            <w:tcW w:w="1474" w:type="dxa"/>
            <w:vAlign w:val="bottom"/>
          </w:tcPr>
          <w:p w:rsidR="00082512" w:rsidRPr="00082512" w:rsidRDefault="00082512"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-0.064</w:t>
            </w:r>
          </w:p>
        </w:tc>
      </w:tr>
      <w:tr w:rsidR="001F554B" w:rsidTr="00082512">
        <w:tc>
          <w:tcPr>
            <w:tcW w:w="1701" w:type="dxa"/>
            <w:tcBorders>
              <w:bottom w:val="single" w:sz="18" w:space="0" w:color="auto"/>
              <w:right w:val="single" w:sz="18" w:space="0" w:color="7F7F7F" w:themeColor="text1" w:themeTint="80"/>
            </w:tcBorders>
            <w:vAlign w:val="bottom"/>
          </w:tcPr>
          <w:p w:rsidR="001F554B" w:rsidRPr="00082512" w:rsidRDefault="00082512" w:rsidP="00082512">
            <w:pPr>
              <w:spacing w:before="0"/>
              <w:jc w:val="right"/>
              <w:rPr>
                <w:rFonts w:ascii="Times New Roman" w:hAnsi="Times New Roman"/>
                <w:b/>
                <w:i/>
                <w:color w:val="000000"/>
                <w:sz w:val="20"/>
                <w:szCs w:val="20"/>
              </w:rPr>
            </w:pPr>
            <w:r>
              <w:rPr>
                <w:rFonts w:ascii="Times New Roman" w:hAnsi="Times New Roman"/>
                <w:b/>
                <w:i/>
                <w:color w:val="000000"/>
                <w:sz w:val="20"/>
                <w:szCs w:val="20"/>
              </w:rPr>
              <w:t>Total</w:t>
            </w:r>
          </w:p>
        </w:tc>
        <w:tc>
          <w:tcPr>
            <w:tcW w:w="1474" w:type="dxa"/>
            <w:tcBorders>
              <w:left w:val="single" w:sz="18" w:space="0" w:color="7F7F7F" w:themeColor="text1" w:themeTint="80"/>
              <w:bottom w:val="single" w:sz="18" w:space="0" w:color="7F7F7F" w:themeColor="text1" w:themeTint="80"/>
            </w:tcBorders>
            <w:vAlign w:val="bottom"/>
          </w:tcPr>
          <w:p w:rsidR="001F554B" w:rsidRPr="00082512" w:rsidRDefault="001F554B"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w:t>
            </w:r>
          </w:p>
        </w:tc>
        <w:tc>
          <w:tcPr>
            <w:tcW w:w="1474" w:type="dxa"/>
            <w:tcBorders>
              <w:bottom w:val="single" w:sz="18" w:space="0" w:color="7F7F7F" w:themeColor="text1" w:themeTint="80"/>
              <w:right w:val="single" w:sz="18" w:space="0" w:color="7F7F7F" w:themeColor="text1" w:themeTint="80"/>
            </w:tcBorders>
            <w:vAlign w:val="bottom"/>
          </w:tcPr>
          <w:p w:rsidR="001F554B" w:rsidRPr="00082512" w:rsidRDefault="001F554B" w:rsidP="00082512">
            <w:pPr>
              <w:tabs>
                <w:tab w:val="decimal" w:pos="539"/>
              </w:tabs>
              <w:spacing w:before="0"/>
              <w:rPr>
                <w:rFonts w:ascii="Times New Roman" w:hAnsi="Times New Roman"/>
                <w:color w:val="000000"/>
                <w:sz w:val="20"/>
                <w:szCs w:val="20"/>
              </w:rPr>
            </w:pPr>
            <w:r w:rsidRPr="00082512">
              <w:rPr>
                <w:rFonts w:ascii="Times New Roman" w:hAnsi="Times New Roman"/>
                <w:color w:val="000000"/>
                <w:sz w:val="20"/>
                <w:szCs w:val="20"/>
              </w:rPr>
              <w:t>0</w:t>
            </w:r>
          </w:p>
        </w:tc>
        <w:tc>
          <w:tcPr>
            <w:tcW w:w="1474" w:type="dxa"/>
            <w:tcBorders>
              <w:left w:val="single" w:sz="18" w:space="0" w:color="7F7F7F" w:themeColor="text1" w:themeTint="80"/>
              <w:bottom w:val="single" w:sz="18" w:space="0" w:color="auto"/>
            </w:tcBorders>
            <w:vAlign w:val="bottom"/>
          </w:tcPr>
          <w:p w:rsidR="001F554B" w:rsidRPr="00082512" w:rsidRDefault="001F554B" w:rsidP="00082512">
            <w:pPr>
              <w:tabs>
                <w:tab w:val="decimal" w:pos="539"/>
              </w:tabs>
              <w:spacing w:before="0"/>
              <w:rPr>
                <w:rFonts w:ascii="Times New Roman" w:hAnsi="Times New Roman"/>
                <w:color w:val="000000"/>
                <w:sz w:val="20"/>
                <w:szCs w:val="20"/>
              </w:rPr>
            </w:pPr>
          </w:p>
        </w:tc>
        <w:tc>
          <w:tcPr>
            <w:tcW w:w="1474" w:type="dxa"/>
            <w:tcBorders>
              <w:bottom w:val="single" w:sz="18" w:space="0" w:color="auto"/>
            </w:tcBorders>
            <w:vAlign w:val="bottom"/>
          </w:tcPr>
          <w:p w:rsidR="001F554B" w:rsidRPr="00082512" w:rsidRDefault="001F554B" w:rsidP="00082512">
            <w:pPr>
              <w:tabs>
                <w:tab w:val="decimal" w:pos="539"/>
              </w:tabs>
              <w:spacing w:before="0"/>
              <w:rPr>
                <w:rFonts w:ascii="Times New Roman" w:hAnsi="Times New Roman"/>
                <w:sz w:val="20"/>
                <w:szCs w:val="20"/>
              </w:rPr>
            </w:pPr>
          </w:p>
        </w:tc>
      </w:tr>
    </w:tbl>
    <w:p w:rsidR="001F554B" w:rsidRDefault="001F554B" w:rsidP="00595A93">
      <w:pPr>
        <w:ind w:left="0"/>
        <w:rPr>
          <w:rFonts w:ascii="Times New Roman" w:hAnsi="Times New Roman"/>
          <w:sz w:val="24"/>
          <w:szCs w:val="24"/>
        </w:rPr>
      </w:pPr>
    </w:p>
    <w:p w:rsidR="00355E50" w:rsidRDefault="00355E50" w:rsidP="00355E50">
      <w:pPr>
        <w:ind w:left="0"/>
        <w:rPr>
          <w:rFonts w:ascii="Times New Roman" w:hAnsi="Times New Roman"/>
          <w:b/>
          <w:i/>
          <w:sz w:val="24"/>
          <w:szCs w:val="24"/>
        </w:rPr>
      </w:pPr>
      <w:r>
        <w:rPr>
          <w:rFonts w:ascii="Times New Roman" w:hAnsi="Times New Roman"/>
          <w:b/>
          <w:i/>
          <w:sz w:val="24"/>
          <w:szCs w:val="24"/>
        </w:rPr>
        <w:t>Employment by broad sector in Canada</w:t>
      </w:r>
    </w:p>
    <w:p w:rsidR="00355E50" w:rsidRDefault="00355E50" w:rsidP="00595A93">
      <w:pPr>
        <w:ind w:left="0"/>
        <w:rPr>
          <w:rFonts w:ascii="Times New Roman" w:hAnsi="Times New Roman"/>
          <w:sz w:val="24"/>
          <w:szCs w:val="24"/>
        </w:rPr>
      </w:pPr>
      <w:r>
        <w:rPr>
          <w:rFonts w:ascii="Times New Roman" w:hAnsi="Times New Roman"/>
          <w:sz w:val="24"/>
          <w:szCs w:val="24"/>
        </w:rPr>
        <w:t xml:space="preserve">We downloaded </w:t>
      </w:r>
      <w:r w:rsidR="00122732">
        <w:rPr>
          <w:rFonts w:ascii="Times New Roman" w:hAnsi="Times New Roman"/>
          <w:sz w:val="24"/>
          <w:szCs w:val="24"/>
        </w:rPr>
        <w:t>data on jobs by broad sector in Canada for 2014 and 2019 and calculated percentage growth between these two years.  The data source was</w:t>
      </w:r>
      <w:r>
        <w:rPr>
          <w:rFonts w:ascii="Times New Roman" w:hAnsi="Times New Roman"/>
          <w:sz w:val="24"/>
          <w:szCs w:val="24"/>
        </w:rPr>
        <w:t xml:space="preserve"> Statistics Canada</w:t>
      </w:r>
      <w:r w:rsidR="00122732">
        <w:rPr>
          <w:rFonts w:ascii="Times New Roman" w:hAnsi="Times New Roman"/>
          <w:sz w:val="24"/>
          <w:szCs w:val="24"/>
        </w:rPr>
        <w:t xml:space="preserve">, </w:t>
      </w:r>
      <w:r w:rsidR="00D64ED8">
        <w:rPr>
          <w:rFonts w:ascii="Times New Roman" w:hAnsi="Times New Roman"/>
          <w:sz w:val="24"/>
          <w:szCs w:val="24"/>
        </w:rPr>
        <w:fldChar w:fldCharType="begin"/>
      </w:r>
      <w:r w:rsidR="00D64ED8">
        <w:rPr>
          <w:rFonts w:ascii="Times New Roman" w:hAnsi="Times New Roman"/>
          <w:sz w:val="24"/>
          <w:szCs w:val="24"/>
        </w:rPr>
        <w:instrText xml:space="preserve"> HYPERLINK "</w:instrText>
      </w:r>
      <w:r w:rsidR="00D64ED8" w:rsidRPr="00D64ED8">
        <w:rPr>
          <w:rFonts w:ascii="Times New Roman" w:hAnsi="Times New Roman"/>
          <w:sz w:val="24"/>
          <w:szCs w:val="24"/>
        </w:rPr>
        <w:instrText>https://www150.statcan.gc.ca/t1/tbl1/en/tv.action?pid=3610048901</w:instrText>
      </w:r>
      <w:r w:rsidR="00D64ED8">
        <w:rPr>
          <w:rStyle w:val="FootnoteReference"/>
          <w:rFonts w:ascii="Times New Roman" w:hAnsi="Times New Roman"/>
          <w:sz w:val="24"/>
          <w:szCs w:val="24"/>
        </w:rPr>
        <w:footnoteReference w:id="8"/>
      </w:r>
      <w:r w:rsidR="00D64ED8">
        <w:rPr>
          <w:rFonts w:ascii="Times New Roman" w:hAnsi="Times New Roman"/>
          <w:sz w:val="24"/>
          <w:szCs w:val="24"/>
        </w:rPr>
        <w:instrText xml:space="preserve">" </w:instrText>
      </w:r>
      <w:r w:rsidR="00D64ED8">
        <w:rPr>
          <w:rFonts w:ascii="Times New Roman" w:hAnsi="Times New Roman"/>
          <w:sz w:val="24"/>
          <w:szCs w:val="24"/>
        </w:rPr>
        <w:fldChar w:fldCharType="separate"/>
      </w:r>
      <w:r w:rsidR="00D64ED8" w:rsidRPr="00FF3CB6">
        <w:rPr>
          <w:rStyle w:val="Hyperlink"/>
          <w:rFonts w:ascii="Times New Roman" w:hAnsi="Times New Roman"/>
          <w:sz w:val="24"/>
          <w:szCs w:val="24"/>
        </w:rPr>
        <w:t>https://www150.statcan.gc.ca/t1/tbl1/en/tv.action?pid=3610048901</w:t>
      </w:r>
      <w:r w:rsidR="00D64ED8">
        <w:rPr>
          <w:rFonts w:ascii="Times New Roman" w:hAnsi="Times New Roman"/>
          <w:sz w:val="24"/>
          <w:szCs w:val="24"/>
        </w:rPr>
        <w:fldChar w:fldCharType="end"/>
      </w:r>
      <w:r w:rsidR="00D64ED8">
        <w:rPr>
          <w:rFonts w:ascii="Times New Roman" w:hAnsi="Times New Roman"/>
          <w:sz w:val="24"/>
          <w:szCs w:val="24"/>
        </w:rPr>
        <w:t xml:space="preserve"> </w:t>
      </w:r>
      <w:r w:rsidR="00122732">
        <w:rPr>
          <w:rStyle w:val="FootnoteReference"/>
          <w:rFonts w:ascii="Times New Roman" w:hAnsi="Times New Roman"/>
          <w:sz w:val="24"/>
          <w:szCs w:val="24"/>
        </w:rPr>
        <w:footnoteReference w:id="9"/>
      </w:r>
      <w:r w:rsidR="00A41165">
        <w:rPr>
          <w:rFonts w:ascii="Times New Roman" w:hAnsi="Times New Roman"/>
          <w:sz w:val="24"/>
          <w:szCs w:val="24"/>
        </w:rPr>
        <w:t>.</w:t>
      </w:r>
      <w:r w:rsidR="00D64ED8">
        <w:rPr>
          <w:rFonts w:ascii="Times New Roman" w:hAnsi="Times New Roman"/>
          <w:sz w:val="24"/>
          <w:szCs w:val="24"/>
        </w:rPr>
        <w:t xml:space="preserve"> However, </w:t>
      </w:r>
      <w:r w:rsidR="00122732">
        <w:rPr>
          <w:rFonts w:ascii="Times New Roman" w:hAnsi="Times New Roman"/>
          <w:sz w:val="24"/>
          <w:szCs w:val="24"/>
        </w:rPr>
        <w:t xml:space="preserve">we </w:t>
      </w:r>
      <w:r w:rsidR="00D64ED8">
        <w:rPr>
          <w:rFonts w:ascii="Times New Roman" w:hAnsi="Times New Roman"/>
          <w:sz w:val="24"/>
          <w:szCs w:val="24"/>
        </w:rPr>
        <w:t xml:space="preserve">have not yet been imposed </w:t>
      </w:r>
      <w:r w:rsidR="00122732">
        <w:rPr>
          <w:rFonts w:ascii="Times New Roman" w:hAnsi="Times New Roman"/>
          <w:sz w:val="24"/>
          <w:szCs w:val="24"/>
        </w:rPr>
        <w:t xml:space="preserve">these percentage movements </w:t>
      </w:r>
      <w:r w:rsidR="00D64ED8">
        <w:rPr>
          <w:rFonts w:ascii="Times New Roman" w:hAnsi="Times New Roman"/>
          <w:sz w:val="24"/>
          <w:szCs w:val="24"/>
        </w:rPr>
        <w:t xml:space="preserve">in the 2014-19 simulation. </w:t>
      </w:r>
    </w:p>
    <w:p w:rsidR="00122732" w:rsidRDefault="00122732">
      <w:pPr>
        <w:spacing w:before="0" w:line="240" w:lineRule="auto"/>
        <w:ind w:left="0"/>
        <w:rPr>
          <w:rFonts w:ascii="Times New Roman" w:hAnsi="Times New Roman"/>
          <w:b/>
          <w:sz w:val="24"/>
          <w:szCs w:val="24"/>
        </w:rPr>
      </w:pPr>
      <w:r>
        <w:rPr>
          <w:rFonts w:ascii="Times New Roman" w:hAnsi="Times New Roman"/>
          <w:b/>
          <w:sz w:val="24"/>
          <w:szCs w:val="24"/>
        </w:rPr>
        <w:br w:type="page"/>
      </w:r>
    </w:p>
    <w:p w:rsidR="007E2E37" w:rsidRDefault="007E2E37" w:rsidP="00D64ED8">
      <w:pPr>
        <w:rPr>
          <w:rFonts w:ascii="Times New Roman" w:hAnsi="Times New Roman"/>
          <w:b/>
          <w:sz w:val="24"/>
          <w:szCs w:val="24"/>
        </w:rPr>
      </w:pPr>
      <w:r>
        <w:rPr>
          <w:rFonts w:ascii="Times New Roman" w:hAnsi="Times New Roman"/>
          <w:b/>
          <w:sz w:val="24"/>
          <w:szCs w:val="24"/>
        </w:rPr>
        <w:lastRenderedPageBreak/>
        <w:t>Appendix 2.  Start-of-year stock variables in disjoint years: the initial-solution problem and the homotopy method</w:t>
      </w:r>
    </w:p>
    <w:p w:rsidR="007E2E37" w:rsidRPr="00500903" w:rsidRDefault="007E2E37" w:rsidP="007E2E37">
      <w:pPr>
        <w:ind w:left="0"/>
        <w:rPr>
          <w:rFonts w:ascii="Times New Roman" w:hAnsi="Times New Roman"/>
          <w:b/>
          <w:i/>
          <w:sz w:val="24"/>
          <w:szCs w:val="24"/>
        </w:rPr>
      </w:pPr>
      <w:r w:rsidRPr="00500903">
        <w:rPr>
          <w:rFonts w:ascii="Times New Roman" w:hAnsi="Times New Roman"/>
          <w:b/>
          <w:i/>
          <w:sz w:val="24"/>
          <w:szCs w:val="24"/>
        </w:rPr>
        <w:t xml:space="preserve">Calculating real wealth for year T starting from year </w:t>
      </w:r>
      <w:r w:rsidR="00E674A5">
        <w:rPr>
          <w:rFonts w:ascii="Times New Roman" w:hAnsi="Times New Roman"/>
          <w:b/>
          <w:i/>
          <w:sz w:val="24"/>
          <w:szCs w:val="24"/>
        </w:rPr>
        <w:t>t</w:t>
      </w:r>
      <w:r w:rsidRPr="00500903">
        <w:rPr>
          <w:rFonts w:ascii="Times New Roman" w:hAnsi="Times New Roman"/>
          <w:b/>
          <w:i/>
          <w:sz w:val="24"/>
          <w:szCs w:val="24"/>
        </w:rPr>
        <w:t>: applying the smooth-growth assumption for saving</w:t>
      </w:r>
    </w:p>
    <w:p w:rsidR="007E2E37" w:rsidRPr="00B66E6A" w:rsidRDefault="007E2E37" w:rsidP="007E2E37">
      <w:pPr>
        <w:ind w:left="0"/>
        <w:rPr>
          <w:rFonts w:ascii="Times New Roman" w:hAnsi="Times New Roman"/>
          <w:sz w:val="24"/>
          <w:szCs w:val="24"/>
        </w:rPr>
      </w:pPr>
      <w:r w:rsidRPr="00B66E6A">
        <w:rPr>
          <w:rFonts w:ascii="Times New Roman" w:hAnsi="Times New Roman"/>
          <w:sz w:val="24"/>
          <w:szCs w:val="24"/>
        </w:rPr>
        <w:t>We assum</w:t>
      </w:r>
      <w:r>
        <w:rPr>
          <w:rFonts w:ascii="Times New Roman" w:hAnsi="Times New Roman"/>
          <w:sz w:val="24"/>
          <w:szCs w:val="24"/>
        </w:rPr>
        <w:t xml:space="preserve">e that </w:t>
      </w:r>
    </w:p>
    <w:p w:rsidR="007E2E37" w:rsidRPr="008F7195" w:rsidRDefault="007E2E37" w:rsidP="007E2E37">
      <w:pPr>
        <w:tabs>
          <w:tab w:val="left" w:pos="851"/>
          <w:tab w:val="right" w:pos="8931"/>
        </w:tabs>
        <w:ind w:left="0"/>
        <w:rPr>
          <w:rFonts w:ascii="Times New Roman" w:hAnsi="Times New Roman"/>
          <w:sz w:val="24"/>
          <w:szCs w:val="24"/>
        </w:rPr>
      </w:pPr>
      <w:r w:rsidRPr="008F7195">
        <w:rPr>
          <w:rFonts w:ascii="Times New Roman" w:hAnsi="Times New Roman"/>
          <w:sz w:val="24"/>
          <w:szCs w:val="24"/>
        </w:rPr>
        <w:tab/>
      </w:r>
      <w:r w:rsidR="00A95C26" w:rsidRPr="00A95C26">
        <w:rPr>
          <w:rFonts w:ascii="Times New Roman" w:hAnsi="Times New Roman"/>
          <w:position w:val="-28"/>
          <w:sz w:val="24"/>
          <w:szCs w:val="24"/>
        </w:rPr>
        <w:object w:dxaOrig="2299" w:dyaOrig="660">
          <v:shape id="_x0000_i1067" type="#_x0000_t75" style="width:115.5pt;height:31.5pt" o:ole="">
            <v:imagedata r:id="rId114" o:title=""/>
          </v:shape>
          <o:OLEObject Type="Embed" ProgID="Equation.DSMT4" ShapeID="_x0000_i1067" DrawAspect="Content" ObjectID="_1774671688" r:id="rId115"/>
        </w:object>
      </w:r>
      <w:r w:rsidRPr="008F7195">
        <w:rPr>
          <w:rFonts w:ascii="Times New Roman" w:hAnsi="Times New Roman"/>
          <w:sz w:val="24"/>
          <w:szCs w:val="24"/>
        </w:rPr>
        <w:t xml:space="preserve"> </w:t>
      </w:r>
      <w:r w:rsidRPr="008F7195">
        <w:rPr>
          <w:rFonts w:ascii="Times New Roman" w:hAnsi="Times New Roman"/>
          <w:sz w:val="24"/>
          <w:szCs w:val="24"/>
        </w:rPr>
        <w:tab/>
        <w:t>(A2.1)</w:t>
      </w:r>
    </w:p>
    <w:p w:rsidR="007E2E37" w:rsidRPr="008F7195" w:rsidRDefault="007E2E37" w:rsidP="007E2E37">
      <w:pPr>
        <w:spacing w:before="0"/>
        <w:ind w:left="0"/>
        <w:rPr>
          <w:rFonts w:ascii="Times New Roman" w:hAnsi="Times New Roman"/>
          <w:sz w:val="24"/>
          <w:szCs w:val="24"/>
        </w:rPr>
      </w:pPr>
      <w:r w:rsidRPr="008F7195">
        <w:rPr>
          <w:rFonts w:ascii="Times New Roman" w:hAnsi="Times New Roman"/>
          <w:sz w:val="24"/>
          <w:szCs w:val="24"/>
        </w:rPr>
        <w:t xml:space="preserve">where </w:t>
      </w:r>
    </w:p>
    <w:p w:rsidR="007E2E37" w:rsidRPr="008F7195" w:rsidRDefault="007E2E37" w:rsidP="007E2E37">
      <w:pPr>
        <w:spacing w:before="0"/>
        <w:ind w:left="284"/>
        <w:rPr>
          <w:rFonts w:ascii="Times New Roman" w:hAnsi="Times New Roman"/>
          <w:sz w:val="24"/>
          <w:szCs w:val="24"/>
        </w:rPr>
      </w:pPr>
      <w:r>
        <w:rPr>
          <w:rFonts w:ascii="Times New Roman" w:hAnsi="Times New Roman"/>
          <w:sz w:val="24"/>
          <w:szCs w:val="24"/>
        </w:rPr>
        <w:t>R</w:t>
      </w:r>
      <w:r w:rsidRPr="008F7195">
        <w:rPr>
          <w:rFonts w:ascii="Times New Roman" w:hAnsi="Times New Roman"/>
          <w:sz w:val="24"/>
          <w:szCs w:val="24"/>
        </w:rPr>
        <w:t>W</w:t>
      </w:r>
      <w:r w:rsidRPr="008F7195">
        <w:rPr>
          <w:rFonts w:ascii="Times New Roman" w:hAnsi="Times New Roman"/>
          <w:sz w:val="24"/>
          <w:szCs w:val="24"/>
          <w:vertAlign w:val="subscript"/>
        </w:rPr>
        <w:t>t</w:t>
      </w:r>
      <w:r w:rsidRPr="008F7195">
        <w:rPr>
          <w:rFonts w:ascii="Times New Roman" w:hAnsi="Times New Roman"/>
          <w:sz w:val="24"/>
          <w:szCs w:val="24"/>
        </w:rPr>
        <w:t xml:space="preserve"> is </w:t>
      </w:r>
      <w:r>
        <w:rPr>
          <w:rFonts w:ascii="Times New Roman" w:hAnsi="Times New Roman"/>
          <w:sz w:val="24"/>
          <w:szCs w:val="24"/>
        </w:rPr>
        <w:t xml:space="preserve">real </w:t>
      </w:r>
      <w:r w:rsidRPr="008F7195">
        <w:rPr>
          <w:rFonts w:ascii="Times New Roman" w:hAnsi="Times New Roman"/>
          <w:sz w:val="24"/>
          <w:szCs w:val="24"/>
        </w:rPr>
        <w:t>wealth for a region at the start of year t;</w:t>
      </w:r>
      <w:r>
        <w:rPr>
          <w:rFonts w:ascii="Times New Roman" w:hAnsi="Times New Roman"/>
          <w:sz w:val="24"/>
          <w:szCs w:val="24"/>
        </w:rPr>
        <w:t xml:space="preserve"> and </w:t>
      </w:r>
    </w:p>
    <w:p w:rsidR="007E2E37" w:rsidRPr="008F7195" w:rsidRDefault="007E2E37" w:rsidP="007E2E37">
      <w:pPr>
        <w:spacing w:before="0"/>
        <w:ind w:left="284"/>
        <w:rPr>
          <w:rFonts w:ascii="Times New Roman" w:hAnsi="Times New Roman"/>
          <w:sz w:val="24"/>
          <w:szCs w:val="24"/>
        </w:rPr>
      </w:pPr>
      <w:r>
        <w:rPr>
          <w:rFonts w:ascii="Times New Roman" w:hAnsi="Times New Roman"/>
          <w:sz w:val="24"/>
          <w:szCs w:val="24"/>
        </w:rPr>
        <w:t>R</w:t>
      </w:r>
      <w:r w:rsidRPr="008F7195">
        <w:rPr>
          <w:rFonts w:ascii="Times New Roman" w:hAnsi="Times New Roman"/>
          <w:sz w:val="24"/>
          <w:szCs w:val="24"/>
        </w:rPr>
        <w:t>S</w:t>
      </w:r>
      <w:r w:rsidRPr="008F7195">
        <w:rPr>
          <w:rFonts w:ascii="Times New Roman" w:hAnsi="Times New Roman"/>
          <w:sz w:val="24"/>
          <w:szCs w:val="24"/>
          <w:vertAlign w:val="subscript"/>
        </w:rPr>
        <w:t>t</w:t>
      </w:r>
      <w:r w:rsidRPr="008F7195">
        <w:rPr>
          <w:rFonts w:ascii="Times New Roman" w:hAnsi="Times New Roman"/>
          <w:sz w:val="24"/>
          <w:szCs w:val="24"/>
        </w:rPr>
        <w:t xml:space="preserve"> is </w:t>
      </w:r>
      <w:r>
        <w:rPr>
          <w:rFonts w:ascii="Times New Roman" w:hAnsi="Times New Roman"/>
          <w:sz w:val="24"/>
          <w:szCs w:val="24"/>
        </w:rPr>
        <w:t xml:space="preserve">real net </w:t>
      </w:r>
      <w:r w:rsidRPr="008F7195">
        <w:rPr>
          <w:rFonts w:ascii="Times New Roman" w:hAnsi="Times New Roman"/>
          <w:sz w:val="24"/>
          <w:szCs w:val="24"/>
        </w:rPr>
        <w:t>saving</w:t>
      </w:r>
      <w:r>
        <w:rPr>
          <w:rFonts w:ascii="Times New Roman" w:hAnsi="Times New Roman"/>
          <w:sz w:val="24"/>
          <w:szCs w:val="24"/>
        </w:rPr>
        <w:t xml:space="preserve"> (net of depreciation) for the region </w:t>
      </w:r>
      <w:r w:rsidRPr="008F7195">
        <w:rPr>
          <w:rFonts w:ascii="Times New Roman" w:hAnsi="Times New Roman"/>
          <w:sz w:val="24"/>
          <w:szCs w:val="24"/>
        </w:rPr>
        <w:t>in year t</w:t>
      </w:r>
      <w:r>
        <w:rPr>
          <w:rFonts w:ascii="Times New Roman" w:hAnsi="Times New Roman"/>
          <w:sz w:val="24"/>
          <w:szCs w:val="24"/>
        </w:rPr>
        <w:t>.</w:t>
      </w:r>
    </w:p>
    <w:p w:rsidR="007F1787" w:rsidRDefault="007F1787" w:rsidP="007F1787">
      <w:pPr>
        <w:ind w:left="0"/>
        <w:rPr>
          <w:rFonts w:ascii="Times New Roman" w:hAnsi="Times New Roman"/>
          <w:sz w:val="24"/>
          <w:szCs w:val="24"/>
        </w:rPr>
      </w:pPr>
      <w:r>
        <w:rPr>
          <w:rFonts w:ascii="Times New Roman" w:hAnsi="Times New Roman"/>
          <w:sz w:val="24"/>
          <w:szCs w:val="24"/>
        </w:rPr>
        <w:t xml:space="preserve">Equation (A2.1) gives real wealth at the start of year T as real wealth at the start of year t plus accumulated real savings over years t to T-1.  </w:t>
      </w:r>
    </w:p>
    <w:p w:rsidR="007E2E37" w:rsidRDefault="007E2E37" w:rsidP="007E2E37">
      <w:pPr>
        <w:ind w:left="0"/>
        <w:rPr>
          <w:rFonts w:ascii="Times New Roman" w:hAnsi="Times New Roman"/>
          <w:sz w:val="24"/>
          <w:szCs w:val="24"/>
        </w:rPr>
      </w:pPr>
      <w:r>
        <w:rPr>
          <w:rFonts w:ascii="Times New Roman" w:hAnsi="Times New Roman"/>
          <w:sz w:val="24"/>
          <w:szCs w:val="24"/>
        </w:rPr>
        <w:t>The real wealth of a region has two components: the part of the region’s capital stock owned by the region’s residents; and foreign assets owned by the residents of the region.  Correspondingly, in con</w:t>
      </w:r>
      <w:r w:rsidR="00E749A6">
        <w:rPr>
          <w:rFonts w:ascii="Times New Roman" w:hAnsi="Times New Roman"/>
          <w:sz w:val="24"/>
          <w:szCs w:val="24"/>
        </w:rPr>
        <w:t xml:space="preserve">verting from nominal to real, the price index we use is a composite of the </w:t>
      </w:r>
      <w:r>
        <w:rPr>
          <w:rFonts w:ascii="Times New Roman" w:hAnsi="Times New Roman"/>
          <w:sz w:val="24"/>
          <w:szCs w:val="24"/>
        </w:rPr>
        <w:t xml:space="preserve">price of the region’s capital goods and the price of the region’s foreign assets represented by prices of capital goods in other regions.  </w:t>
      </w:r>
    </w:p>
    <w:p w:rsidR="00E749A6" w:rsidRDefault="00E749A6" w:rsidP="007E2E37">
      <w:pPr>
        <w:ind w:left="0"/>
        <w:rPr>
          <w:rFonts w:ascii="Times New Roman" w:hAnsi="Times New Roman"/>
          <w:sz w:val="24"/>
          <w:szCs w:val="24"/>
        </w:rPr>
      </w:pPr>
      <w:r>
        <w:rPr>
          <w:rFonts w:ascii="Times New Roman" w:hAnsi="Times New Roman"/>
          <w:sz w:val="24"/>
          <w:szCs w:val="24"/>
        </w:rPr>
        <w:t xml:space="preserve">We adopt a smooth growth assumption for real saving: </w:t>
      </w:r>
    </w:p>
    <w:p w:rsidR="007E2E37" w:rsidRPr="008F7195" w:rsidRDefault="007E2E37" w:rsidP="007E2E37">
      <w:pPr>
        <w:tabs>
          <w:tab w:val="left" w:pos="851"/>
          <w:tab w:val="right" w:pos="8931"/>
        </w:tabs>
        <w:ind w:left="0"/>
        <w:rPr>
          <w:rFonts w:ascii="Times New Roman" w:hAnsi="Times New Roman"/>
          <w:sz w:val="24"/>
          <w:szCs w:val="24"/>
        </w:rPr>
      </w:pPr>
      <w:r w:rsidRPr="008F7195">
        <w:rPr>
          <w:rFonts w:ascii="Times New Roman" w:hAnsi="Times New Roman"/>
          <w:sz w:val="24"/>
          <w:szCs w:val="24"/>
        </w:rPr>
        <w:tab/>
      </w:r>
      <w:r w:rsidR="00484014" w:rsidRPr="00E749A6">
        <w:rPr>
          <w:rFonts w:ascii="Times New Roman" w:hAnsi="Times New Roman"/>
          <w:position w:val="-24"/>
          <w:sz w:val="24"/>
          <w:szCs w:val="24"/>
        </w:rPr>
        <w:object w:dxaOrig="3260" w:dyaOrig="620">
          <v:shape id="_x0000_i1068" type="#_x0000_t75" style="width:162pt;height:30.75pt" o:ole="">
            <v:imagedata r:id="rId116" o:title=""/>
          </v:shape>
          <o:OLEObject Type="Embed" ProgID="Equation.DSMT4" ShapeID="_x0000_i1068" DrawAspect="Content" ObjectID="_1774671689" r:id="rId117"/>
        </w:object>
      </w:r>
      <w:r w:rsidR="00E674A5">
        <w:rPr>
          <w:rFonts w:ascii="Times New Roman" w:hAnsi="Times New Roman"/>
          <w:sz w:val="24"/>
          <w:szCs w:val="24"/>
        </w:rPr>
        <w:t xml:space="preserve">          q=0, …, T-t</w:t>
      </w:r>
      <w:r w:rsidRPr="008F7195">
        <w:rPr>
          <w:rFonts w:ascii="Times New Roman" w:hAnsi="Times New Roman"/>
          <w:sz w:val="24"/>
          <w:szCs w:val="24"/>
        </w:rPr>
        <w:tab/>
        <w:t>(A2.</w:t>
      </w:r>
      <w:r w:rsidR="00E749A6">
        <w:rPr>
          <w:rFonts w:ascii="Times New Roman" w:hAnsi="Times New Roman"/>
          <w:sz w:val="24"/>
          <w:szCs w:val="24"/>
        </w:rPr>
        <w:t>2</w:t>
      </w:r>
      <w:r w:rsidRPr="008F7195">
        <w:rPr>
          <w:rFonts w:ascii="Times New Roman" w:hAnsi="Times New Roman"/>
          <w:sz w:val="24"/>
          <w:szCs w:val="24"/>
        </w:rPr>
        <w:t>)</w:t>
      </w:r>
    </w:p>
    <w:p w:rsidR="00E749A6" w:rsidRDefault="00E749A6" w:rsidP="007E2E37">
      <w:pPr>
        <w:ind w:left="0"/>
        <w:rPr>
          <w:rFonts w:ascii="Times New Roman" w:hAnsi="Times New Roman"/>
          <w:sz w:val="24"/>
          <w:szCs w:val="24"/>
        </w:rPr>
      </w:pPr>
      <w:r>
        <w:rPr>
          <w:rFonts w:ascii="Times New Roman" w:hAnsi="Times New Roman"/>
          <w:sz w:val="24"/>
          <w:szCs w:val="24"/>
        </w:rPr>
        <w:t xml:space="preserve">An alternative to (A2.2) is </w:t>
      </w:r>
      <w:r w:rsidR="00DA71F9">
        <w:rPr>
          <w:rFonts w:ascii="Times New Roman" w:hAnsi="Times New Roman"/>
          <w:sz w:val="24"/>
          <w:szCs w:val="24"/>
        </w:rPr>
        <w:t xml:space="preserve">the multiplicative form </w:t>
      </w:r>
    </w:p>
    <w:p w:rsidR="00E749A6" w:rsidRPr="00E749A6" w:rsidRDefault="00E749A6" w:rsidP="00E749A6">
      <w:pPr>
        <w:tabs>
          <w:tab w:val="left" w:pos="851"/>
          <w:tab w:val="right" w:pos="8931"/>
        </w:tabs>
        <w:ind w:left="0"/>
        <w:rPr>
          <w:rFonts w:ascii="Times New Roman" w:hAnsi="Times New Roman"/>
          <w:sz w:val="24"/>
          <w:szCs w:val="24"/>
        </w:rPr>
      </w:pPr>
      <w:r w:rsidRPr="00E749A6">
        <w:rPr>
          <w:rFonts w:ascii="Times New Roman" w:hAnsi="Times New Roman"/>
          <w:sz w:val="24"/>
          <w:szCs w:val="24"/>
        </w:rPr>
        <w:tab/>
      </w:r>
      <w:r w:rsidR="007F1787" w:rsidRPr="00E749A6">
        <w:rPr>
          <w:rFonts w:ascii="Times New Roman" w:hAnsi="Times New Roman"/>
          <w:position w:val="-32"/>
          <w:sz w:val="24"/>
          <w:szCs w:val="24"/>
        </w:rPr>
        <w:object w:dxaOrig="2079" w:dyaOrig="880">
          <v:shape id="_x0000_i1069" type="#_x0000_t75" style="width:102.75pt;height:43.5pt" o:ole="">
            <v:imagedata r:id="rId118" o:title=""/>
          </v:shape>
          <o:OLEObject Type="Embed" ProgID="Equation.DSMT4" ShapeID="_x0000_i1069" DrawAspect="Content" ObjectID="_1774671690" r:id="rId119"/>
        </w:object>
      </w:r>
      <w:r w:rsidRPr="00E749A6">
        <w:rPr>
          <w:rFonts w:ascii="Times New Roman" w:hAnsi="Times New Roman"/>
          <w:sz w:val="24"/>
          <w:szCs w:val="24"/>
        </w:rPr>
        <w:t xml:space="preserve"> </w:t>
      </w:r>
      <w:r w:rsidRPr="00E749A6">
        <w:rPr>
          <w:rFonts w:ascii="Times New Roman" w:hAnsi="Times New Roman"/>
          <w:sz w:val="24"/>
          <w:szCs w:val="24"/>
        </w:rPr>
        <w:tab/>
        <w:t>(A2.3)</w:t>
      </w:r>
    </w:p>
    <w:p w:rsidR="007E2E37" w:rsidRDefault="00E749A6" w:rsidP="00DA71F9">
      <w:pPr>
        <w:ind w:left="0"/>
        <w:rPr>
          <w:rFonts w:ascii="Times New Roman" w:hAnsi="Times New Roman"/>
          <w:sz w:val="24"/>
          <w:szCs w:val="24"/>
        </w:rPr>
      </w:pPr>
      <w:r>
        <w:rPr>
          <w:rFonts w:ascii="Times New Roman" w:hAnsi="Times New Roman"/>
          <w:sz w:val="24"/>
          <w:szCs w:val="24"/>
        </w:rPr>
        <w:t xml:space="preserve">However, </w:t>
      </w:r>
      <w:r w:rsidR="00DA71F9">
        <w:rPr>
          <w:rFonts w:ascii="Times New Roman" w:hAnsi="Times New Roman"/>
          <w:sz w:val="24"/>
          <w:szCs w:val="24"/>
        </w:rPr>
        <w:t>(A2.3) is not usable if saving turns negative, which happened for some regions in exploratory simulations.  For this reason</w:t>
      </w:r>
      <w:r w:rsidR="007F1787">
        <w:rPr>
          <w:rFonts w:ascii="Times New Roman" w:hAnsi="Times New Roman"/>
          <w:sz w:val="24"/>
          <w:szCs w:val="24"/>
        </w:rPr>
        <w:t>,</w:t>
      </w:r>
      <w:r w:rsidR="00DA71F9">
        <w:rPr>
          <w:rFonts w:ascii="Times New Roman" w:hAnsi="Times New Roman"/>
          <w:sz w:val="24"/>
          <w:szCs w:val="24"/>
        </w:rPr>
        <w:t xml:space="preserve"> we prefer (A2.2).   </w:t>
      </w:r>
    </w:p>
    <w:p w:rsidR="007F1787" w:rsidRDefault="007F1787" w:rsidP="00DA71F9">
      <w:pPr>
        <w:ind w:left="0"/>
        <w:rPr>
          <w:rFonts w:ascii="Times New Roman" w:hAnsi="Times New Roman"/>
          <w:sz w:val="24"/>
          <w:szCs w:val="24"/>
        </w:rPr>
      </w:pPr>
      <w:r>
        <w:rPr>
          <w:rFonts w:ascii="Times New Roman" w:hAnsi="Times New Roman"/>
          <w:sz w:val="24"/>
          <w:szCs w:val="24"/>
        </w:rPr>
        <w:t xml:space="preserve">Substituting from </w:t>
      </w:r>
      <w:r w:rsidR="00E674A5">
        <w:rPr>
          <w:rFonts w:ascii="Times New Roman" w:hAnsi="Times New Roman"/>
          <w:sz w:val="24"/>
          <w:szCs w:val="24"/>
        </w:rPr>
        <w:t>(</w:t>
      </w:r>
      <w:r>
        <w:rPr>
          <w:rFonts w:ascii="Times New Roman" w:hAnsi="Times New Roman"/>
          <w:sz w:val="24"/>
          <w:szCs w:val="24"/>
        </w:rPr>
        <w:t>A2.2) into (A2.1) gives:</w:t>
      </w:r>
    </w:p>
    <w:p w:rsidR="00755973" w:rsidRDefault="00755973" w:rsidP="00755973">
      <w:pPr>
        <w:tabs>
          <w:tab w:val="left" w:pos="851"/>
          <w:tab w:val="right" w:pos="8931"/>
        </w:tabs>
        <w:ind w:left="0"/>
        <w:rPr>
          <w:rFonts w:ascii="Times New Roman" w:hAnsi="Times New Roman"/>
          <w:sz w:val="24"/>
          <w:szCs w:val="24"/>
        </w:rPr>
      </w:pPr>
      <w:r w:rsidRPr="008F7195">
        <w:rPr>
          <w:rFonts w:ascii="Times New Roman" w:hAnsi="Times New Roman"/>
          <w:sz w:val="24"/>
          <w:szCs w:val="24"/>
        </w:rPr>
        <w:tab/>
      </w:r>
      <w:r w:rsidR="007C64F3" w:rsidRPr="00A95C26">
        <w:rPr>
          <w:rFonts w:ascii="Times New Roman" w:hAnsi="Times New Roman"/>
          <w:position w:val="-28"/>
          <w:sz w:val="24"/>
          <w:szCs w:val="24"/>
        </w:rPr>
        <w:object w:dxaOrig="4440" w:dyaOrig="680">
          <v:shape id="_x0000_i1070" type="#_x0000_t75" style="width:222pt;height:32.25pt" o:ole="">
            <v:imagedata r:id="rId120" o:title=""/>
          </v:shape>
          <o:OLEObject Type="Embed" ProgID="Equation.DSMT4" ShapeID="_x0000_i1070" DrawAspect="Content" ObjectID="_1774671691" r:id="rId121"/>
        </w:object>
      </w:r>
      <w:r w:rsidRPr="008F7195">
        <w:rPr>
          <w:rFonts w:ascii="Times New Roman" w:hAnsi="Times New Roman"/>
          <w:sz w:val="24"/>
          <w:szCs w:val="24"/>
        </w:rPr>
        <w:t xml:space="preserve"> </w:t>
      </w:r>
      <w:r w:rsidRPr="008F7195">
        <w:rPr>
          <w:rFonts w:ascii="Times New Roman" w:hAnsi="Times New Roman"/>
          <w:sz w:val="24"/>
          <w:szCs w:val="24"/>
        </w:rPr>
        <w:tab/>
        <w:t>(A2.</w:t>
      </w:r>
      <w:r>
        <w:rPr>
          <w:rFonts w:ascii="Times New Roman" w:hAnsi="Times New Roman"/>
          <w:sz w:val="24"/>
          <w:szCs w:val="24"/>
        </w:rPr>
        <w:t>4</w:t>
      </w:r>
      <w:r w:rsidRPr="008F7195">
        <w:rPr>
          <w:rFonts w:ascii="Times New Roman" w:hAnsi="Times New Roman"/>
          <w:sz w:val="24"/>
          <w:szCs w:val="24"/>
        </w:rPr>
        <w:t>)</w:t>
      </w:r>
    </w:p>
    <w:p w:rsidR="007E2E37" w:rsidRPr="00500903" w:rsidRDefault="007E2E37" w:rsidP="007E2E37">
      <w:pPr>
        <w:ind w:left="0"/>
        <w:rPr>
          <w:rFonts w:ascii="Times New Roman" w:hAnsi="Times New Roman"/>
          <w:b/>
          <w:i/>
          <w:sz w:val="24"/>
          <w:szCs w:val="24"/>
        </w:rPr>
      </w:pPr>
      <w:r w:rsidRPr="00500903">
        <w:rPr>
          <w:rFonts w:ascii="Times New Roman" w:hAnsi="Times New Roman"/>
          <w:b/>
          <w:i/>
          <w:sz w:val="24"/>
          <w:szCs w:val="24"/>
        </w:rPr>
        <w:t>Including wealth equations in simulations for disjoint years</w:t>
      </w:r>
    </w:p>
    <w:p w:rsidR="00755973" w:rsidRDefault="00755973" w:rsidP="007E2E37">
      <w:pPr>
        <w:ind w:left="0"/>
        <w:rPr>
          <w:rFonts w:ascii="Times New Roman" w:hAnsi="Times New Roman"/>
          <w:sz w:val="24"/>
          <w:szCs w:val="24"/>
        </w:rPr>
      </w:pPr>
      <w:r>
        <w:rPr>
          <w:rFonts w:ascii="Times New Roman" w:hAnsi="Times New Roman"/>
          <w:sz w:val="24"/>
          <w:szCs w:val="24"/>
        </w:rPr>
        <w:t>In our computation for year T</w:t>
      </w:r>
      <w:r w:rsidR="00BB5D01">
        <w:rPr>
          <w:rFonts w:ascii="Times New Roman" w:hAnsi="Times New Roman"/>
          <w:sz w:val="24"/>
          <w:szCs w:val="24"/>
        </w:rPr>
        <w:t>,</w:t>
      </w:r>
      <w:r>
        <w:rPr>
          <w:rFonts w:ascii="Times New Roman" w:hAnsi="Times New Roman"/>
          <w:sz w:val="24"/>
          <w:szCs w:val="24"/>
        </w:rPr>
        <w:t xml:space="preserve"> we require (A2.4) to hold</w:t>
      </w:r>
      <w:r w:rsidR="00BB5D01">
        <w:rPr>
          <w:rFonts w:ascii="Times New Roman" w:hAnsi="Times New Roman"/>
          <w:sz w:val="24"/>
          <w:szCs w:val="24"/>
        </w:rPr>
        <w:t>.</w:t>
      </w:r>
      <w:r>
        <w:rPr>
          <w:rFonts w:ascii="Times New Roman" w:hAnsi="Times New Roman"/>
          <w:sz w:val="24"/>
          <w:szCs w:val="24"/>
        </w:rPr>
        <w:t xml:space="preserve"> </w:t>
      </w:r>
    </w:p>
    <w:p w:rsidR="007E2E37" w:rsidRDefault="007E2E37" w:rsidP="007E2E37">
      <w:pPr>
        <w:ind w:left="0"/>
        <w:rPr>
          <w:rFonts w:ascii="Times New Roman" w:hAnsi="Times New Roman"/>
          <w:sz w:val="24"/>
          <w:szCs w:val="24"/>
        </w:rPr>
      </w:pPr>
      <w:r>
        <w:rPr>
          <w:rFonts w:ascii="Times New Roman" w:hAnsi="Times New Roman"/>
          <w:sz w:val="24"/>
          <w:szCs w:val="24"/>
        </w:rPr>
        <w:t>The inclusion of (A2.</w:t>
      </w:r>
      <w:r w:rsidR="00755973">
        <w:rPr>
          <w:rFonts w:ascii="Times New Roman" w:hAnsi="Times New Roman"/>
          <w:sz w:val="24"/>
          <w:szCs w:val="24"/>
        </w:rPr>
        <w:t>4</w:t>
      </w:r>
      <w:r>
        <w:rPr>
          <w:rFonts w:ascii="Times New Roman" w:hAnsi="Times New Roman"/>
          <w:sz w:val="24"/>
          <w:szCs w:val="24"/>
        </w:rPr>
        <w:t xml:space="preserve">) in our model for year </w:t>
      </w:r>
      <w:r w:rsidR="00BB5D01">
        <w:rPr>
          <w:rFonts w:ascii="Times New Roman" w:hAnsi="Times New Roman"/>
          <w:sz w:val="24"/>
          <w:szCs w:val="24"/>
        </w:rPr>
        <w:t>T</w:t>
      </w:r>
      <w:r>
        <w:rPr>
          <w:rFonts w:ascii="Times New Roman" w:hAnsi="Times New Roman"/>
          <w:sz w:val="24"/>
          <w:szCs w:val="24"/>
        </w:rPr>
        <w:t xml:space="preserve"> destroys the simplicity of (2.1)</w:t>
      </w:r>
      <w:r w:rsidR="00BB5D01">
        <w:rPr>
          <w:rFonts w:ascii="Times New Roman" w:hAnsi="Times New Roman"/>
          <w:sz w:val="24"/>
          <w:szCs w:val="24"/>
        </w:rPr>
        <w:t xml:space="preserve"> in section 2</w:t>
      </w:r>
      <w:r>
        <w:rPr>
          <w:rFonts w:ascii="Times New Roman" w:hAnsi="Times New Roman"/>
          <w:sz w:val="24"/>
          <w:szCs w:val="24"/>
        </w:rPr>
        <w:t xml:space="preserve">.  It must now be rewritten for year </w:t>
      </w:r>
      <w:r w:rsidR="00BB5D01">
        <w:rPr>
          <w:rFonts w:ascii="Times New Roman" w:hAnsi="Times New Roman"/>
          <w:sz w:val="24"/>
          <w:szCs w:val="24"/>
        </w:rPr>
        <w:t>T</w:t>
      </w:r>
      <w:r>
        <w:rPr>
          <w:rFonts w:ascii="Times New Roman" w:hAnsi="Times New Roman"/>
          <w:sz w:val="24"/>
          <w:szCs w:val="24"/>
        </w:rPr>
        <w:t xml:space="preserve"> as:</w:t>
      </w:r>
    </w:p>
    <w:p w:rsidR="007E2E37" w:rsidRPr="008F7195" w:rsidRDefault="007E2E37" w:rsidP="007E2E37">
      <w:pPr>
        <w:tabs>
          <w:tab w:val="left" w:pos="851"/>
          <w:tab w:val="right" w:pos="8931"/>
        </w:tabs>
        <w:ind w:left="0"/>
        <w:rPr>
          <w:rFonts w:ascii="Times New Roman" w:hAnsi="Times New Roman"/>
          <w:sz w:val="24"/>
          <w:szCs w:val="24"/>
        </w:rPr>
      </w:pPr>
      <w:r>
        <w:rPr>
          <w:rFonts w:ascii="Times New Roman" w:hAnsi="Times New Roman"/>
          <w:sz w:val="24"/>
          <w:szCs w:val="24"/>
        </w:rPr>
        <w:tab/>
      </w:r>
      <w:r w:rsidR="00BB5D01" w:rsidRPr="00355BB5">
        <w:rPr>
          <w:rFonts w:ascii="Times New Roman" w:hAnsi="Times New Roman"/>
          <w:position w:val="-12"/>
          <w:sz w:val="24"/>
          <w:szCs w:val="24"/>
        </w:rPr>
        <w:object w:dxaOrig="1960" w:dyaOrig="360">
          <v:shape id="_x0000_i1071" type="#_x0000_t75" style="width:98.25pt;height:17.25pt" o:ole="">
            <v:imagedata r:id="rId122" o:title=""/>
          </v:shape>
          <o:OLEObject Type="Embed" ProgID="Equation.DSMT4" ShapeID="_x0000_i1071" DrawAspect="Content" ObjectID="_1774671692" r:id="rId123"/>
        </w:object>
      </w:r>
      <w:r>
        <w:rPr>
          <w:rFonts w:ascii="Times New Roman" w:hAnsi="Times New Roman"/>
          <w:sz w:val="24"/>
          <w:szCs w:val="24"/>
        </w:rPr>
        <w:tab/>
        <w:t>(A2.</w:t>
      </w:r>
      <w:r w:rsidR="00BB5D01">
        <w:rPr>
          <w:rFonts w:ascii="Times New Roman" w:hAnsi="Times New Roman"/>
          <w:sz w:val="24"/>
          <w:szCs w:val="24"/>
        </w:rPr>
        <w:t>5</w:t>
      </w:r>
      <w:r>
        <w:rPr>
          <w:rFonts w:ascii="Times New Roman" w:hAnsi="Times New Roman"/>
          <w:sz w:val="24"/>
          <w:szCs w:val="24"/>
        </w:rPr>
        <w:t>)</w:t>
      </w:r>
    </w:p>
    <w:p w:rsidR="007E2E37" w:rsidRPr="00C87DB6" w:rsidRDefault="007E2E37" w:rsidP="007E2E37">
      <w:pPr>
        <w:ind w:left="0"/>
        <w:rPr>
          <w:rFonts w:ascii="Times New Roman" w:hAnsi="Times New Roman"/>
          <w:sz w:val="24"/>
          <w:szCs w:val="24"/>
        </w:rPr>
      </w:pPr>
      <w:r>
        <w:rPr>
          <w:rFonts w:ascii="Times New Roman" w:hAnsi="Times New Roman"/>
          <w:sz w:val="24"/>
          <w:szCs w:val="24"/>
        </w:rPr>
        <w:t xml:space="preserve">From the point of view of the </w:t>
      </w:r>
      <w:r w:rsidR="00BB5D01">
        <w:rPr>
          <w:rFonts w:ascii="Times New Roman" w:hAnsi="Times New Roman"/>
          <w:sz w:val="24"/>
          <w:szCs w:val="24"/>
        </w:rPr>
        <w:t>T</w:t>
      </w:r>
      <w:r>
        <w:rPr>
          <w:rFonts w:ascii="Times New Roman" w:hAnsi="Times New Roman"/>
          <w:sz w:val="24"/>
          <w:szCs w:val="24"/>
        </w:rPr>
        <w:t xml:space="preserve"> computation, </w:t>
      </w:r>
      <w:r w:rsidR="00BB5D01">
        <w:rPr>
          <w:rFonts w:ascii="Times New Roman" w:hAnsi="Times New Roman"/>
          <w:sz w:val="24"/>
          <w:szCs w:val="24"/>
        </w:rPr>
        <w:t>R</w:t>
      </w:r>
      <w:r>
        <w:rPr>
          <w:rFonts w:ascii="Times New Roman" w:hAnsi="Times New Roman"/>
          <w:sz w:val="24"/>
          <w:szCs w:val="24"/>
        </w:rPr>
        <w:t>S</w:t>
      </w:r>
      <w:r>
        <w:rPr>
          <w:rFonts w:ascii="Times New Roman" w:hAnsi="Times New Roman"/>
          <w:sz w:val="24"/>
          <w:szCs w:val="24"/>
          <w:vertAlign w:val="subscript"/>
        </w:rPr>
        <w:t>t</w:t>
      </w:r>
      <w:r>
        <w:rPr>
          <w:rFonts w:ascii="Times New Roman" w:hAnsi="Times New Roman"/>
          <w:sz w:val="24"/>
          <w:szCs w:val="24"/>
        </w:rPr>
        <w:t xml:space="preserve"> and </w:t>
      </w:r>
      <w:r w:rsidR="00BB5D01">
        <w:rPr>
          <w:rFonts w:ascii="Times New Roman" w:hAnsi="Times New Roman"/>
          <w:sz w:val="24"/>
          <w:szCs w:val="24"/>
        </w:rPr>
        <w:t>T-t</w:t>
      </w:r>
      <w:r>
        <w:rPr>
          <w:rFonts w:ascii="Times New Roman" w:hAnsi="Times New Roman"/>
          <w:sz w:val="24"/>
          <w:szCs w:val="24"/>
        </w:rPr>
        <w:t xml:space="preserve"> are parameters.  So can they be left out of a stylized representation of the model?  The answer is yes, but then we would have to write the stylized version as:</w:t>
      </w:r>
    </w:p>
    <w:p w:rsidR="007E2E37" w:rsidRDefault="007E2E37" w:rsidP="007E2E37">
      <w:pPr>
        <w:tabs>
          <w:tab w:val="left" w:pos="851"/>
          <w:tab w:val="right" w:pos="8931"/>
        </w:tabs>
        <w:ind w:left="0"/>
        <w:rPr>
          <w:rFonts w:ascii="Times New Roman" w:hAnsi="Times New Roman"/>
          <w:sz w:val="24"/>
          <w:szCs w:val="24"/>
        </w:rPr>
      </w:pPr>
      <w:r>
        <w:rPr>
          <w:rFonts w:ascii="Times New Roman" w:hAnsi="Times New Roman"/>
          <w:sz w:val="24"/>
          <w:szCs w:val="24"/>
        </w:rPr>
        <w:tab/>
      </w:r>
      <w:r w:rsidR="00BB5D01" w:rsidRPr="00916CCB">
        <w:rPr>
          <w:rFonts w:ascii="Times New Roman" w:hAnsi="Times New Roman"/>
          <w:position w:val="-12"/>
          <w:sz w:val="24"/>
          <w:szCs w:val="24"/>
        </w:rPr>
        <w:object w:dxaOrig="999" w:dyaOrig="360">
          <v:shape id="_x0000_i1072" type="#_x0000_t75" style="width:49.5pt;height:17.25pt" o:ole="">
            <v:imagedata r:id="rId124" o:title=""/>
          </v:shape>
          <o:OLEObject Type="Embed" ProgID="Equation.DSMT4" ShapeID="_x0000_i1072" DrawAspect="Content" ObjectID="_1774671693" r:id="rId125"/>
        </w:object>
      </w:r>
      <w:r>
        <w:rPr>
          <w:rFonts w:ascii="Times New Roman" w:hAnsi="Times New Roman"/>
          <w:sz w:val="24"/>
          <w:szCs w:val="24"/>
        </w:rPr>
        <w:tab/>
        <w:t>(A2.</w:t>
      </w:r>
      <w:r w:rsidR="00BB5D01">
        <w:rPr>
          <w:rFonts w:ascii="Times New Roman" w:hAnsi="Times New Roman"/>
          <w:sz w:val="24"/>
          <w:szCs w:val="24"/>
        </w:rPr>
        <w:t>6</w:t>
      </w:r>
      <w:r>
        <w:rPr>
          <w:rFonts w:ascii="Times New Roman" w:hAnsi="Times New Roman"/>
          <w:sz w:val="24"/>
          <w:szCs w:val="24"/>
        </w:rPr>
        <w:t>)</w:t>
      </w:r>
    </w:p>
    <w:p w:rsidR="007E2E37" w:rsidRDefault="007E2E37" w:rsidP="007E2E37">
      <w:pPr>
        <w:tabs>
          <w:tab w:val="left" w:pos="851"/>
          <w:tab w:val="right" w:pos="8931"/>
        </w:tabs>
        <w:ind w:left="0"/>
        <w:rPr>
          <w:rFonts w:ascii="Times New Roman" w:hAnsi="Times New Roman"/>
          <w:sz w:val="24"/>
          <w:szCs w:val="24"/>
        </w:rPr>
      </w:pPr>
      <w:r>
        <w:rPr>
          <w:rFonts w:ascii="Times New Roman" w:hAnsi="Times New Roman"/>
          <w:sz w:val="24"/>
          <w:szCs w:val="24"/>
        </w:rPr>
        <w:lastRenderedPageBreak/>
        <w:t xml:space="preserve">If we don’t explicitly include </w:t>
      </w:r>
      <w:r w:rsidR="00BB5D01">
        <w:rPr>
          <w:rFonts w:ascii="Times New Roman" w:hAnsi="Times New Roman"/>
          <w:sz w:val="24"/>
          <w:szCs w:val="24"/>
        </w:rPr>
        <w:t>R</w:t>
      </w:r>
      <w:r>
        <w:rPr>
          <w:rFonts w:ascii="Times New Roman" w:hAnsi="Times New Roman"/>
          <w:sz w:val="24"/>
          <w:szCs w:val="24"/>
        </w:rPr>
        <w:t>S</w:t>
      </w:r>
      <w:r>
        <w:rPr>
          <w:rFonts w:ascii="Times New Roman" w:hAnsi="Times New Roman"/>
          <w:sz w:val="24"/>
          <w:szCs w:val="24"/>
          <w:vertAlign w:val="subscript"/>
        </w:rPr>
        <w:t>t</w:t>
      </w:r>
      <w:r>
        <w:rPr>
          <w:rFonts w:ascii="Times New Roman" w:hAnsi="Times New Roman"/>
          <w:sz w:val="24"/>
          <w:szCs w:val="24"/>
        </w:rPr>
        <w:t xml:space="preserve"> and </w:t>
      </w:r>
      <w:r w:rsidR="00BB5D01">
        <w:rPr>
          <w:rFonts w:ascii="Times New Roman" w:hAnsi="Times New Roman"/>
          <w:sz w:val="24"/>
          <w:szCs w:val="24"/>
        </w:rPr>
        <w:t>T-t</w:t>
      </w:r>
      <w:r>
        <w:rPr>
          <w:rFonts w:ascii="Times New Roman" w:hAnsi="Times New Roman"/>
          <w:sz w:val="24"/>
          <w:szCs w:val="24"/>
        </w:rPr>
        <w:t xml:space="preserve"> as arguments of the F function then we must recognize that the appropriate form of the F function depends on the year.  It won’t be the same for 2014, 2019, 2030, etc.  The parameter values in the 2019 model include real saving for 2014 and a </w:t>
      </w:r>
      <w:r w:rsidR="00BB5D01">
        <w:rPr>
          <w:rFonts w:ascii="Times New Roman" w:hAnsi="Times New Roman"/>
          <w:sz w:val="24"/>
          <w:szCs w:val="24"/>
        </w:rPr>
        <w:t>T-t</w:t>
      </w:r>
      <w:r>
        <w:rPr>
          <w:rFonts w:ascii="Times New Roman" w:hAnsi="Times New Roman"/>
          <w:sz w:val="24"/>
          <w:szCs w:val="24"/>
        </w:rPr>
        <w:t xml:space="preserve"> value of 5.  The parameter values in the 2030 model include real saving for 2019 and a </w:t>
      </w:r>
      <w:r w:rsidR="00BB5D01">
        <w:rPr>
          <w:rFonts w:ascii="Times New Roman" w:hAnsi="Times New Roman"/>
          <w:sz w:val="24"/>
          <w:szCs w:val="24"/>
        </w:rPr>
        <w:t>T-t</w:t>
      </w:r>
      <w:r>
        <w:rPr>
          <w:rFonts w:ascii="Times New Roman" w:hAnsi="Times New Roman"/>
          <w:sz w:val="24"/>
          <w:szCs w:val="24"/>
        </w:rPr>
        <w:t xml:space="preserve"> value of 11, etc.  </w:t>
      </w:r>
    </w:p>
    <w:p w:rsidR="007E2E37" w:rsidRDefault="007E2E37" w:rsidP="007E2E37">
      <w:pPr>
        <w:tabs>
          <w:tab w:val="left" w:pos="851"/>
          <w:tab w:val="right" w:pos="8931"/>
        </w:tabs>
        <w:ind w:left="0"/>
        <w:rPr>
          <w:rFonts w:ascii="Times New Roman" w:hAnsi="Times New Roman"/>
          <w:sz w:val="24"/>
          <w:szCs w:val="24"/>
        </w:rPr>
      </w:pPr>
      <w:r>
        <w:rPr>
          <w:rFonts w:ascii="Times New Roman" w:hAnsi="Times New Roman"/>
          <w:sz w:val="24"/>
          <w:szCs w:val="24"/>
        </w:rPr>
        <w:t>This immediately tells us that a solution for 2014 won’t necessarily solve the 2019 model and therefore can’t be used as the initial solution in the GEMPACK computation for 2019.  Similarly, the solution for 2019 won’t necessarily solve the 2030 model and therefore can’t be used as the initial solution in the GEMPACK computation for 2030, etc.</w:t>
      </w:r>
    </w:p>
    <w:p w:rsidR="007E2E37" w:rsidRPr="00C87DB6" w:rsidRDefault="007E2E37" w:rsidP="007E2E37">
      <w:pPr>
        <w:tabs>
          <w:tab w:val="left" w:pos="851"/>
          <w:tab w:val="right" w:pos="8931"/>
        </w:tabs>
        <w:ind w:left="0"/>
        <w:rPr>
          <w:rFonts w:ascii="Times New Roman" w:hAnsi="Times New Roman"/>
          <w:sz w:val="24"/>
          <w:szCs w:val="24"/>
        </w:rPr>
      </w:pPr>
      <w:r>
        <w:rPr>
          <w:rFonts w:ascii="Times New Roman" w:hAnsi="Times New Roman"/>
          <w:sz w:val="24"/>
          <w:szCs w:val="24"/>
        </w:rPr>
        <w:t>The inaccuracy of the stylized representation (2.1) is not of prime importance.  However, the problem of finding an initial solution need</w:t>
      </w:r>
      <w:r w:rsidR="007C64F3">
        <w:rPr>
          <w:rFonts w:ascii="Times New Roman" w:hAnsi="Times New Roman"/>
          <w:sz w:val="24"/>
          <w:szCs w:val="24"/>
        </w:rPr>
        <w:t>s</w:t>
      </w:r>
      <w:r>
        <w:rPr>
          <w:rFonts w:ascii="Times New Roman" w:hAnsi="Times New Roman"/>
          <w:sz w:val="24"/>
          <w:szCs w:val="24"/>
        </w:rPr>
        <w:t xml:space="preserve"> to be solved.  As set out in Dixon and Rimmer (2002), this was done via the homotopy approach suggested to us by Mark Horridge</w:t>
      </w:r>
      <w:r>
        <w:rPr>
          <w:rStyle w:val="FootnoteReference"/>
          <w:rFonts w:ascii="Times New Roman" w:hAnsi="Times New Roman"/>
          <w:sz w:val="24"/>
          <w:szCs w:val="24"/>
        </w:rPr>
        <w:footnoteReference w:id="10"/>
      </w:r>
      <w:r>
        <w:rPr>
          <w:rFonts w:ascii="Times New Roman" w:hAnsi="Times New Roman"/>
          <w:sz w:val="24"/>
          <w:szCs w:val="24"/>
        </w:rPr>
        <w:t xml:space="preserve">.  </w:t>
      </w:r>
    </w:p>
    <w:p w:rsidR="007E2E37" w:rsidRPr="00854719" w:rsidRDefault="007E2E37" w:rsidP="007E2E37">
      <w:pPr>
        <w:ind w:left="0"/>
        <w:rPr>
          <w:rFonts w:ascii="Times New Roman" w:hAnsi="Times New Roman"/>
          <w:b/>
          <w:i/>
          <w:sz w:val="24"/>
          <w:szCs w:val="24"/>
        </w:rPr>
      </w:pPr>
      <w:r>
        <w:rPr>
          <w:rFonts w:ascii="Times New Roman" w:hAnsi="Times New Roman"/>
          <w:b/>
          <w:i/>
          <w:sz w:val="24"/>
          <w:szCs w:val="24"/>
        </w:rPr>
        <w:t>The h</w:t>
      </w:r>
      <w:r w:rsidRPr="00854719">
        <w:rPr>
          <w:rFonts w:ascii="Times New Roman" w:hAnsi="Times New Roman"/>
          <w:b/>
          <w:i/>
          <w:sz w:val="24"/>
          <w:szCs w:val="24"/>
        </w:rPr>
        <w:t>omotopy form</w:t>
      </w:r>
    </w:p>
    <w:p w:rsidR="007E2E37" w:rsidRDefault="007E2E37" w:rsidP="007E2E37">
      <w:pPr>
        <w:ind w:left="0"/>
        <w:rPr>
          <w:rFonts w:ascii="Times New Roman" w:hAnsi="Times New Roman"/>
          <w:sz w:val="24"/>
          <w:szCs w:val="24"/>
        </w:rPr>
      </w:pPr>
      <w:r>
        <w:rPr>
          <w:rFonts w:ascii="Times New Roman" w:hAnsi="Times New Roman"/>
          <w:sz w:val="24"/>
          <w:szCs w:val="24"/>
        </w:rPr>
        <w:t xml:space="preserve">To see that the year t solution does not satisfy the year </w:t>
      </w:r>
      <w:r w:rsidR="00BB5D01">
        <w:rPr>
          <w:rFonts w:ascii="Times New Roman" w:hAnsi="Times New Roman"/>
          <w:sz w:val="24"/>
          <w:szCs w:val="24"/>
        </w:rPr>
        <w:t>T</w:t>
      </w:r>
      <w:r>
        <w:rPr>
          <w:rFonts w:ascii="Times New Roman" w:hAnsi="Times New Roman"/>
          <w:sz w:val="24"/>
          <w:szCs w:val="24"/>
        </w:rPr>
        <w:t xml:space="preserve"> model, we replace </w:t>
      </w:r>
      <w:r w:rsidR="00BB5D01">
        <w:rPr>
          <w:rFonts w:ascii="Times New Roman" w:hAnsi="Times New Roman"/>
          <w:sz w:val="24"/>
          <w:szCs w:val="24"/>
        </w:rPr>
        <w:t>T</w:t>
      </w:r>
      <w:r>
        <w:rPr>
          <w:rFonts w:ascii="Times New Roman" w:hAnsi="Times New Roman"/>
          <w:sz w:val="24"/>
          <w:szCs w:val="24"/>
        </w:rPr>
        <w:t xml:space="preserve"> values in (A2.</w:t>
      </w:r>
      <w:r w:rsidR="00BB5D01">
        <w:rPr>
          <w:rFonts w:ascii="Times New Roman" w:hAnsi="Times New Roman"/>
          <w:sz w:val="24"/>
          <w:szCs w:val="24"/>
        </w:rPr>
        <w:t>4</w:t>
      </w:r>
      <w:r>
        <w:rPr>
          <w:rFonts w:ascii="Times New Roman" w:hAnsi="Times New Roman"/>
          <w:sz w:val="24"/>
          <w:szCs w:val="24"/>
        </w:rPr>
        <w:t>) with year t values.  This gives</w:t>
      </w:r>
    </w:p>
    <w:p w:rsidR="007E2E37" w:rsidRPr="00CD1054" w:rsidRDefault="00BB5D01" w:rsidP="007E2E37">
      <w:pPr>
        <w:ind w:left="0"/>
        <w:rPr>
          <w:rFonts w:ascii="Times New Roman" w:hAnsi="Times New Roman"/>
          <w:sz w:val="24"/>
          <w:szCs w:val="24"/>
        </w:rPr>
      </w:pPr>
      <w:r w:rsidRPr="00BB5D01">
        <w:rPr>
          <w:rFonts w:ascii="Times New Roman" w:hAnsi="Times New Roman"/>
          <w:b/>
          <w:position w:val="-12"/>
          <w:sz w:val="24"/>
          <w:szCs w:val="24"/>
        </w:rPr>
        <w:object w:dxaOrig="1180" w:dyaOrig="360">
          <v:shape id="_x0000_i1073" type="#_x0000_t75" style="width:59.25pt;height:18pt" o:ole="">
            <v:imagedata r:id="rId126" o:title=""/>
          </v:shape>
          <o:OLEObject Type="Embed" ProgID="Equation.DSMT4" ShapeID="_x0000_i1073" DrawAspect="Content" ObjectID="_1774671694" r:id="rId127"/>
        </w:object>
      </w:r>
    </w:p>
    <w:p w:rsidR="007E2E37" w:rsidRDefault="007C64F3" w:rsidP="007E2E37">
      <w:pPr>
        <w:ind w:left="0"/>
        <w:rPr>
          <w:rFonts w:ascii="Times New Roman" w:hAnsi="Times New Roman"/>
          <w:b/>
          <w:sz w:val="24"/>
          <w:szCs w:val="24"/>
        </w:rPr>
      </w:pPr>
      <w:r w:rsidRPr="00D4465D">
        <w:rPr>
          <w:rFonts w:ascii="Times New Roman" w:hAnsi="Times New Roman"/>
          <w:b/>
          <w:position w:val="-14"/>
          <w:sz w:val="24"/>
          <w:szCs w:val="24"/>
        </w:rPr>
        <w:object w:dxaOrig="2780" w:dyaOrig="400">
          <v:shape id="_x0000_i1074" type="#_x0000_t75" style="width:138pt;height:22.5pt" o:ole="">
            <v:imagedata r:id="rId128" o:title=""/>
          </v:shape>
          <o:OLEObject Type="Embed" ProgID="Equation.DSMT4" ShapeID="_x0000_i1074" DrawAspect="Content" ObjectID="_1774671695" r:id="rId129"/>
        </w:object>
      </w:r>
      <w:r w:rsidR="007E2E37">
        <w:rPr>
          <w:rFonts w:ascii="Times New Roman" w:hAnsi="Times New Roman"/>
          <w:b/>
          <w:sz w:val="24"/>
          <w:szCs w:val="24"/>
        </w:rPr>
        <w:t xml:space="preserve">  </w:t>
      </w:r>
    </w:p>
    <w:p w:rsidR="007E2E37" w:rsidRPr="001013F2" w:rsidRDefault="007E2E37" w:rsidP="007E2E37">
      <w:pPr>
        <w:ind w:left="0"/>
        <w:rPr>
          <w:rFonts w:ascii="Times New Roman" w:hAnsi="Times New Roman"/>
          <w:sz w:val="24"/>
          <w:szCs w:val="24"/>
        </w:rPr>
      </w:pPr>
      <w:r>
        <w:rPr>
          <w:rFonts w:ascii="Times New Roman" w:hAnsi="Times New Roman"/>
          <w:sz w:val="24"/>
          <w:szCs w:val="24"/>
        </w:rPr>
        <w:t xml:space="preserve">Only in the special case that </w:t>
      </w:r>
      <w:r w:rsidR="00D4465D">
        <w:rPr>
          <w:rFonts w:ascii="Times New Roman" w:hAnsi="Times New Roman"/>
          <w:sz w:val="24"/>
          <w:szCs w:val="24"/>
        </w:rPr>
        <w:t>R</w:t>
      </w:r>
      <w:r>
        <w:rPr>
          <w:rFonts w:ascii="Times New Roman" w:hAnsi="Times New Roman"/>
          <w:sz w:val="24"/>
          <w:szCs w:val="24"/>
        </w:rPr>
        <w:t>S</w:t>
      </w:r>
      <w:r>
        <w:rPr>
          <w:rFonts w:ascii="Times New Roman" w:hAnsi="Times New Roman"/>
          <w:sz w:val="24"/>
          <w:szCs w:val="24"/>
          <w:vertAlign w:val="subscript"/>
        </w:rPr>
        <w:t>t</w:t>
      </w:r>
      <w:r>
        <w:rPr>
          <w:rFonts w:ascii="Times New Roman" w:hAnsi="Times New Roman"/>
          <w:sz w:val="24"/>
          <w:szCs w:val="24"/>
        </w:rPr>
        <w:t xml:space="preserve"> = 0 do we have LHS = RHS.  </w:t>
      </w:r>
    </w:p>
    <w:p w:rsidR="007E2E37" w:rsidRPr="00CD1054" w:rsidRDefault="007E2E37" w:rsidP="007E2E37">
      <w:pPr>
        <w:ind w:left="0"/>
        <w:rPr>
          <w:rFonts w:ascii="Times New Roman" w:hAnsi="Times New Roman"/>
          <w:sz w:val="24"/>
          <w:szCs w:val="24"/>
        </w:rPr>
      </w:pPr>
      <w:r>
        <w:rPr>
          <w:rFonts w:ascii="Times New Roman" w:hAnsi="Times New Roman"/>
          <w:sz w:val="24"/>
          <w:szCs w:val="24"/>
        </w:rPr>
        <w:t>To deal with this problem, rather than (A2.</w:t>
      </w:r>
      <w:r w:rsidR="00D4465D">
        <w:rPr>
          <w:rFonts w:ascii="Times New Roman" w:hAnsi="Times New Roman"/>
          <w:sz w:val="24"/>
          <w:szCs w:val="24"/>
        </w:rPr>
        <w:t>4</w:t>
      </w:r>
      <w:r>
        <w:rPr>
          <w:rFonts w:ascii="Times New Roman" w:hAnsi="Times New Roman"/>
          <w:sz w:val="24"/>
          <w:szCs w:val="24"/>
        </w:rPr>
        <w:t xml:space="preserve">), the equation we introduce into the model for </w:t>
      </w:r>
      <w:r w:rsidR="00D4465D">
        <w:rPr>
          <w:rFonts w:ascii="Times New Roman" w:hAnsi="Times New Roman"/>
          <w:sz w:val="24"/>
          <w:szCs w:val="24"/>
        </w:rPr>
        <w:t>year T</w:t>
      </w:r>
      <w:r>
        <w:rPr>
          <w:rFonts w:ascii="Times New Roman" w:hAnsi="Times New Roman"/>
          <w:sz w:val="24"/>
          <w:szCs w:val="24"/>
        </w:rPr>
        <w:t xml:space="preserve"> is  </w:t>
      </w:r>
    </w:p>
    <w:p w:rsidR="007E2E37" w:rsidRPr="008F7195" w:rsidRDefault="007E2E37" w:rsidP="007E2E37">
      <w:pPr>
        <w:tabs>
          <w:tab w:val="left" w:pos="851"/>
          <w:tab w:val="right" w:pos="8931"/>
        </w:tabs>
        <w:ind w:left="0"/>
        <w:rPr>
          <w:rFonts w:ascii="Times New Roman" w:hAnsi="Times New Roman"/>
          <w:sz w:val="24"/>
          <w:szCs w:val="24"/>
        </w:rPr>
      </w:pPr>
      <w:r>
        <w:rPr>
          <w:rFonts w:ascii="Times New Roman" w:hAnsi="Times New Roman"/>
          <w:sz w:val="24"/>
          <w:szCs w:val="24"/>
        </w:rPr>
        <w:tab/>
      </w:r>
      <w:r w:rsidR="007C64F3" w:rsidRPr="00D4465D">
        <w:rPr>
          <w:rFonts w:ascii="Times New Roman" w:hAnsi="Times New Roman"/>
          <w:b/>
          <w:position w:val="-28"/>
          <w:sz w:val="24"/>
          <w:szCs w:val="24"/>
        </w:rPr>
        <w:object w:dxaOrig="6660" w:dyaOrig="680">
          <v:shape id="_x0000_i1075" type="#_x0000_t75" style="width:336pt;height:33.75pt" o:ole="">
            <v:imagedata r:id="rId130" o:title=""/>
          </v:shape>
          <o:OLEObject Type="Embed" ProgID="Equation.DSMT4" ShapeID="_x0000_i1075" DrawAspect="Content" ObjectID="_1774671696" r:id="rId131"/>
        </w:object>
      </w:r>
      <w:r>
        <w:rPr>
          <w:rFonts w:ascii="Times New Roman" w:hAnsi="Times New Roman"/>
          <w:sz w:val="24"/>
          <w:szCs w:val="24"/>
        </w:rPr>
        <w:tab/>
        <w:t>(A2.</w:t>
      </w:r>
      <w:r w:rsidR="00D4465D">
        <w:rPr>
          <w:rFonts w:ascii="Times New Roman" w:hAnsi="Times New Roman"/>
          <w:sz w:val="24"/>
          <w:szCs w:val="24"/>
        </w:rPr>
        <w:t>7</w:t>
      </w:r>
      <w:r>
        <w:rPr>
          <w:rFonts w:ascii="Times New Roman" w:hAnsi="Times New Roman"/>
          <w:sz w:val="24"/>
          <w:szCs w:val="24"/>
        </w:rPr>
        <w:t>)</w:t>
      </w:r>
    </w:p>
    <w:p w:rsidR="007E2E37" w:rsidRDefault="007E2E37" w:rsidP="007E2E37">
      <w:pPr>
        <w:ind w:left="0"/>
        <w:rPr>
          <w:rFonts w:ascii="Times New Roman" w:hAnsi="Times New Roman"/>
          <w:sz w:val="24"/>
          <w:szCs w:val="24"/>
        </w:rPr>
      </w:pPr>
      <w:r>
        <w:rPr>
          <w:rFonts w:ascii="Times New Roman" w:hAnsi="Times New Roman"/>
          <w:sz w:val="24"/>
          <w:szCs w:val="24"/>
        </w:rPr>
        <w:t xml:space="preserve">In this equation, U is a new exogenous variable.  Its value in the initial solution for year </w:t>
      </w:r>
      <w:r w:rsidR="00D4465D">
        <w:rPr>
          <w:rFonts w:ascii="Times New Roman" w:hAnsi="Times New Roman"/>
          <w:sz w:val="24"/>
          <w:szCs w:val="24"/>
        </w:rPr>
        <w:t>T</w:t>
      </w:r>
      <w:r>
        <w:rPr>
          <w:rFonts w:ascii="Times New Roman" w:hAnsi="Times New Roman"/>
          <w:sz w:val="24"/>
          <w:szCs w:val="24"/>
        </w:rPr>
        <w:t xml:space="preserve"> is zero.  With this value, the year t solution </w:t>
      </w:r>
      <w:r w:rsidRPr="001013F2">
        <w:rPr>
          <w:rFonts w:ascii="Times New Roman" w:hAnsi="Times New Roman"/>
          <w:i/>
          <w:sz w:val="24"/>
          <w:szCs w:val="24"/>
        </w:rPr>
        <w:t>does</w:t>
      </w:r>
      <w:r>
        <w:rPr>
          <w:rFonts w:ascii="Times New Roman" w:hAnsi="Times New Roman"/>
          <w:sz w:val="24"/>
          <w:szCs w:val="24"/>
        </w:rPr>
        <w:t xml:space="preserve"> satisfy (A2.</w:t>
      </w:r>
      <w:r w:rsidR="00D4465D">
        <w:rPr>
          <w:rFonts w:ascii="Times New Roman" w:hAnsi="Times New Roman"/>
          <w:sz w:val="24"/>
          <w:szCs w:val="24"/>
        </w:rPr>
        <w:t>7</w:t>
      </w:r>
      <w:r>
        <w:rPr>
          <w:rFonts w:ascii="Times New Roman" w:hAnsi="Times New Roman"/>
          <w:sz w:val="24"/>
          <w:szCs w:val="24"/>
        </w:rPr>
        <w:t xml:space="preserve">) in the year </w:t>
      </w:r>
      <w:r w:rsidR="00D4465D">
        <w:rPr>
          <w:rFonts w:ascii="Times New Roman" w:hAnsi="Times New Roman"/>
          <w:sz w:val="24"/>
          <w:szCs w:val="24"/>
        </w:rPr>
        <w:t>T</w:t>
      </w:r>
      <w:r>
        <w:rPr>
          <w:rFonts w:ascii="Times New Roman" w:hAnsi="Times New Roman"/>
          <w:sz w:val="24"/>
          <w:szCs w:val="24"/>
        </w:rPr>
        <w:t xml:space="preserve"> model: </w:t>
      </w:r>
    </w:p>
    <w:p w:rsidR="00D4465D" w:rsidRPr="00CD1054" w:rsidRDefault="00D4465D" w:rsidP="00D4465D">
      <w:pPr>
        <w:ind w:left="0"/>
        <w:rPr>
          <w:rFonts w:ascii="Times New Roman" w:hAnsi="Times New Roman"/>
          <w:sz w:val="24"/>
          <w:szCs w:val="24"/>
        </w:rPr>
      </w:pPr>
      <w:r w:rsidRPr="00BB5D01">
        <w:rPr>
          <w:rFonts w:ascii="Times New Roman" w:hAnsi="Times New Roman"/>
          <w:b/>
          <w:position w:val="-12"/>
          <w:sz w:val="24"/>
          <w:szCs w:val="24"/>
        </w:rPr>
        <w:object w:dxaOrig="1180" w:dyaOrig="360">
          <v:shape id="_x0000_i1076" type="#_x0000_t75" style="width:59.25pt;height:18pt" o:ole="">
            <v:imagedata r:id="rId126" o:title=""/>
          </v:shape>
          <o:OLEObject Type="Embed" ProgID="Equation.DSMT4" ShapeID="_x0000_i1076" DrawAspect="Content" ObjectID="_1774671697" r:id="rId132"/>
        </w:object>
      </w:r>
    </w:p>
    <w:p w:rsidR="00D4465D" w:rsidRDefault="007C64F3" w:rsidP="00D4465D">
      <w:pPr>
        <w:ind w:left="0"/>
        <w:rPr>
          <w:rFonts w:ascii="Times New Roman" w:hAnsi="Times New Roman"/>
          <w:b/>
          <w:sz w:val="24"/>
          <w:szCs w:val="24"/>
        </w:rPr>
      </w:pPr>
      <w:r w:rsidRPr="00D4465D">
        <w:rPr>
          <w:rFonts w:ascii="Times New Roman" w:hAnsi="Times New Roman"/>
          <w:b/>
          <w:position w:val="-14"/>
          <w:sz w:val="24"/>
          <w:szCs w:val="24"/>
        </w:rPr>
        <w:object w:dxaOrig="5539" w:dyaOrig="400">
          <v:shape id="_x0000_i1077" type="#_x0000_t75" style="width:276pt;height:22.5pt" o:ole="">
            <v:imagedata r:id="rId133" o:title=""/>
          </v:shape>
          <o:OLEObject Type="Embed" ProgID="Equation.DSMT4" ShapeID="_x0000_i1077" DrawAspect="Content" ObjectID="_1774671698" r:id="rId134"/>
        </w:object>
      </w:r>
      <w:r w:rsidR="00D4465D">
        <w:rPr>
          <w:rFonts w:ascii="Times New Roman" w:hAnsi="Times New Roman"/>
          <w:b/>
          <w:sz w:val="24"/>
          <w:szCs w:val="24"/>
        </w:rPr>
        <w:t xml:space="preserve">  </w:t>
      </w:r>
    </w:p>
    <w:p w:rsidR="007E2E37" w:rsidRPr="001013F2" w:rsidRDefault="007E2E37" w:rsidP="007E2E37">
      <w:pPr>
        <w:ind w:left="0"/>
        <w:rPr>
          <w:rFonts w:ascii="Times New Roman" w:hAnsi="Times New Roman"/>
          <w:sz w:val="24"/>
          <w:szCs w:val="24"/>
        </w:rPr>
      </w:pPr>
      <w:r>
        <w:rPr>
          <w:rFonts w:ascii="Times New Roman" w:hAnsi="Times New Roman"/>
          <w:sz w:val="24"/>
          <w:szCs w:val="24"/>
        </w:rPr>
        <w:t xml:space="preserve">In the required solution for year </w:t>
      </w:r>
      <w:r w:rsidR="00E674A5">
        <w:rPr>
          <w:rFonts w:ascii="Times New Roman" w:hAnsi="Times New Roman"/>
          <w:sz w:val="24"/>
          <w:szCs w:val="24"/>
        </w:rPr>
        <w:t>T</w:t>
      </w:r>
      <w:r>
        <w:rPr>
          <w:rFonts w:ascii="Times New Roman" w:hAnsi="Times New Roman"/>
          <w:sz w:val="24"/>
          <w:szCs w:val="24"/>
        </w:rPr>
        <w:t>, U =1, establishing the required equation (A2.</w:t>
      </w:r>
      <w:r w:rsidR="00E674A5">
        <w:rPr>
          <w:rFonts w:ascii="Times New Roman" w:hAnsi="Times New Roman"/>
          <w:sz w:val="24"/>
          <w:szCs w:val="24"/>
        </w:rPr>
        <w:t>4</w:t>
      </w:r>
      <w:r>
        <w:rPr>
          <w:rFonts w:ascii="Times New Roman" w:hAnsi="Times New Roman"/>
          <w:sz w:val="24"/>
          <w:szCs w:val="24"/>
        </w:rPr>
        <w:t xml:space="preserve">).  Consequently, in going from the initial solution for year </w:t>
      </w:r>
      <w:r w:rsidR="00E674A5">
        <w:rPr>
          <w:rFonts w:ascii="Times New Roman" w:hAnsi="Times New Roman"/>
          <w:sz w:val="24"/>
          <w:szCs w:val="24"/>
        </w:rPr>
        <w:t>T</w:t>
      </w:r>
      <w:r>
        <w:rPr>
          <w:rFonts w:ascii="Times New Roman" w:hAnsi="Times New Roman"/>
          <w:sz w:val="24"/>
          <w:szCs w:val="24"/>
        </w:rPr>
        <w:t xml:space="preserve"> to the required solution, we shock U from zero to one.  We apply this shock together with all the other shocks representing movements in variables from their year t values to their year </w:t>
      </w:r>
      <w:r w:rsidR="00E674A5">
        <w:rPr>
          <w:rFonts w:ascii="Times New Roman" w:hAnsi="Times New Roman"/>
          <w:sz w:val="24"/>
          <w:szCs w:val="24"/>
        </w:rPr>
        <w:t>T</w:t>
      </w:r>
      <w:r>
        <w:rPr>
          <w:rFonts w:ascii="Times New Roman" w:hAnsi="Times New Roman"/>
          <w:sz w:val="24"/>
          <w:szCs w:val="24"/>
        </w:rPr>
        <w:t xml:space="preserve"> values.   </w:t>
      </w:r>
    </w:p>
    <w:p w:rsidR="007E2E37" w:rsidRDefault="007E2E37" w:rsidP="007E2E37">
      <w:pPr>
        <w:rPr>
          <w:rFonts w:ascii="Times New Roman" w:hAnsi="Times New Roman"/>
          <w:sz w:val="24"/>
          <w:szCs w:val="24"/>
        </w:rPr>
      </w:pPr>
      <w:r>
        <w:rPr>
          <w:rFonts w:ascii="Times New Roman" w:hAnsi="Times New Roman"/>
          <w:sz w:val="24"/>
          <w:szCs w:val="24"/>
        </w:rPr>
        <w:br w:type="page"/>
      </w:r>
    </w:p>
    <w:p w:rsidR="00BD5B0B" w:rsidRPr="004358CB" w:rsidRDefault="006D7ACC" w:rsidP="00CF0CB3">
      <w:pPr>
        <w:ind w:left="0"/>
        <w:rPr>
          <w:rFonts w:ascii="Times New Roman" w:hAnsi="Times New Roman"/>
          <w:b/>
          <w:sz w:val="24"/>
          <w:szCs w:val="24"/>
        </w:rPr>
      </w:pPr>
      <w:r w:rsidRPr="004358CB">
        <w:rPr>
          <w:rFonts w:ascii="Times New Roman" w:hAnsi="Times New Roman"/>
          <w:b/>
          <w:sz w:val="24"/>
          <w:szCs w:val="24"/>
        </w:rPr>
        <w:lastRenderedPageBreak/>
        <w:t>Appendix 3.  Giving regional investors forward-looking expectations</w:t>
      </w:r>
      <w:r w:rsidR="00671A65">
        <w:rPr>
          <w:rFonts w:ascii="Times New Roman" w:hAnsi="Times New Roman"/>
          <w:b/>
          <w:sz w:val="24"/>
          <w:szCs w:val="24"/>
        </w:rPr>
        <w:t xml:space="preserve">  </w:t>
      </w:r>
    </w:p>
    <w:p w:rsidR="00180425" w:rsidRPr="00180425" w:rsidRDefault="00180425" w:rsidP="00CF0CB3">
      <w:pPr>
        <w:ind w:left="0"/>
        <w:rPr>
          <w:rFonts w:ascii="Times New Roman" w:hAnsi="Times New Roman"/>
          <w:b/>
          <w:i/>
          <w:sz w:val="24"/>
          <w:szCs w:val="24"/>
        </w:rPr>
      </w:pPr>
      <w:r>
        <w:rPr>
          <w:rFonts w:ascii="Times New Roman" w:hAnsi="Times New Roman"/>
          <w:b/>
          <w:i/>
          <w:sz w:val="24"/>
          <w:szCs w:val="24"/>
        </w:rPr>
        <w:t>Strategy</w:t>
      </w:r>
    </w:p>
    <w:p w:rsidR="009D16CE" w:rsidRPr="004358CB" w:rsidRDefault="009D16CE" w:rsidP="00CF0CB3">
      <w:pPr>
        <w:ind w:left="0"/>
        <w:rPr>
          <w:rFonts w:ascii="Times New Roman" w:hAnsi="Times New Roman"/>
          <w:sz w:val="24"/>
          <w:szCs w:val="24"/>
        </w:rPr>
      </w:pPr>
      <w:r w:rsidRPr="004358CB">
        <w:rPr>
          <w:rFonts w:ascii="Times New Roman" w:hAnsi="Times New Roman"/>
          <w:sz w:val="24"/>
          <w:szCs w:val="24"/>
        </w:rPr>
        <w:t>We consider a sequence of four simulation</w:t>
      </w:r>
      <w:r w:rsidR="0087286A">
        <w:rPr>
          <w:rFonts w:ascii="Times New Roman" w:hAnsi="Times New Roman"/>
          <w:sz w:val="24"/>
          <w:szCs w:val="24"/>
        </w:rPr>
        <w:t>s</w:t>
      </w:r>
      <w:r w:rsidRPr="004358CB">
        <w:rPr>
          <w:rFonts w:ascii="Times New Roman" w:hAnsi="Times New Roman"/>
          <w:sz w:val="24"/>
          <w:szCs w:val="24"/>
        </w:rPr>
        <w:t xml:space="preserve"> connecting disjoint years t(0), t(1), t(2), t(3) and t(4),  (think 2014, 2019, 2030, 2040 and 2050).  We refer to the simulation that connects t(i) and t(i+1) as the t(i+1) simulation.  </w:t>
      </w:r>
    </w:p>
    <w:p w:rsidR="006D7ACC" w:rsidRPr="004358CB" w:rsidRDefault="006D7ACC" w:rsidP="00CF0CB3">
      <w:pPr>
        <w:ind w:left="0"/>
        <w:rPr>
          <w:rFonts w:ascii="Times New Roman" w:hAnsi="Times New Roman"/>
          <w:sz w:val="24"/>
          <w:szCs w:val="24"/>
        </w:rPr>
      </w:pPr>
      <w:r w:rsidRPr="004358CB">
        <w:rPr>
          <w:rFonts w:ascii="Times New Roman" w:hAnsi="Times New Roman"/>
          <w:sz w:val="24"/>
          <w:szCs w:val="24"/>
        </w:rPr>
        <w:t>In the simulation for year t</w:t>
      </w:r>
      <w:r w:rsidR="009D16CE" w:rsidRPr="004358CB">
        <w:rPr>
          <w:rFonts w:ascii="Times New Roman" w:hAnsi="Times New Roman"/>
          <w:sz w:val="24"/>
          <w:szCs w:val="24"/>
        </w:rPr>
        <w:t xml:space="preserve">(i), i = 1, 2, 3, </w:t>
      </w:r>
      <w:r w:rsidRPr="004358CB">
        <w:rPr>
          <w:rFonts w:ascii="Times New Roman" w:hAnsi="Times New Roman"/>
          <w:sz w:val="24"/>
          <w:szCs w:val="24"/>
        </w:rPr>
        <w:t xml:space="preserve"> we wish to impose the condition that growth in r’s capital </w:t>
      </w:r>
      <w:r w:rsidRPr="004358CB">
        <w:rPr>
          <w:rFonts w:ascii="Times New Roman" w:hAnsi="Times New Roman"/>
          <w:i/>
          <w:sz w:val="24"/>
          <w:szCs w:val="24"/>
        </w:rPr>
        <w:t>in</w:t>
      </w:r>
      <w:r w:rsidRPr="004358CB">
        <w:rPr>
          <w:rFonts w:ascii="Times New Roman" w:hAnsi="Times New Roman"/>
          <w:sz w:val="24"/>
          <w:szCs w:val="24"/>
        </w:rPr>
        <w:t xml:space="preserve"> year </w:t>
      </w:r>
      <w:r w:rsidR="009D16CE" w:rsidRPr="004358CB">
        <w:rPr>
          <w:rFonts w:ascii="Times New Roman" w:hAnsi="Times New Roman"/>
          <w:sz w:val="24"/>
          <w:szCs w:val="24"/>
        </w:rPr>
        <w:t>t(i)</w:t>
      </w:r>
      <w:r w:rsidRPr="004358CB">
        <w:rPr>
          <w:rFonts w:ascii="Times New Roman" w:hAnsi="Times New Roman"/>
          <w:sz w:val="24"/>
          <w:szCs w:val="24"/>
        </w:rPr>
        <w:t xml:space="preserve"> is proportional to average annual growth from start of </w:t>
      </w:r>
      <w:r w:rsidR="009D16CE" w:rsidRPr="004358CB">
        <w:rPr>
          <w:rFonts w:ascii="Times New Roman" w:hAnsi="Times New Roman"/>
          <w:sz w:val="24"/>
          <w:szCs w:val="24"/>
        </w:rPr>
        <w:t xml:space="preserve">t(i) to start of </w:t>
      </w:r>
      <w:r w:rsidR="0089132E" w:rsidRPr="004358CB">
        <w:rPr>
          <w:rFonts w:ascii="Times New Roman" w:hAnsi="Times New Roman"/>
          <w:sz w:val="24"/>
          <w:szCs w:val="24"/>
        </w:rPr>
        <w:t xml:space="preserve">t(i+1), </w:t>
      </w:r>
      <w:r w:rsidRPr="004358CB">
        <w:rPr>
          <w:rFonts w:ascii="Times New Roman" w:hAnsi="Times New Roman"/>
          <w:sz w:val="24"/>
          <w:szCs w:val="24"/>
        </w:rPr>
        <w:t>that is there exists F</w:t>
      </w:r>
      <w:r w:rsidR="001E1C39">
        <w:rPr>
          <w:rFonts w:ascii="Times New Roman" w:hAnsi="Times New Roman"/>
          <w:sz w:val="24"/>
          <w:szCs w:val="24"/>
        </w:rPr>
        <w:t>F_KE</w:t>
      </w:r>
      <w:r w:rsidR="0089132E" w:rsidRPr="004358CB">
        <w:rPr>
          <w:rFonts w:ascii="Times New Roman" w:hAnsi="Times New Roman"/>
          <w:sz w:val="24"/>
          <w:szCs w:val="24"/>
        </w:rPr>
        <w:t>(t(i))</w:t>
      </w:r>
      <w:r w:rsidRPr="004358CB">
        <w:rPr>
          <w:rFonts w:ascii="Times New Roman" w:hAnsi="Times New Roman"/>
          <w:sz w:val="24"/>
          <w:szCs w:val="24"/>
        </w:rPr>
        <w:t xml:space="preserve"> such that</w:t>
      </w:r>
    </w:p>
    <w:p w:rsidR="006D7ACC" w:rsidRPr="004358CB" w:rsidRDefault="006D7ACC" w:rsidP="00CF0CB3">
      <w:pPr>
        <w:tabs>
          <w:tab w:val="left" w:pos="851"/>
          <w:tab w:val="right" w:pos="8931"/>
        </w:tabs>
        <w:ind w:left="0"/>
        <w:rPr>
          <w:rFonts w:ascii="Times New Roman" w:hAnsi="Times New Roman"/>
          <w:sz w:val="24"/>
          <w:szCs w:val="24"/>
        </w:rPr>
      </w:pPr>
      <w:r w:rsidRPr="004358CB">
        <w:rPr>
          <w:rFonts w:ascii="Times New Roman" w:hAnsi="Times New Roman"/>
          <w:sz w:val="24"/>
          <w:szCs w:val="24"/>
        </w:rPr>
        <w:tab/>
      </w:r>
      <w:r w:rsidR="001E1C39" w:rsidRPr="004358CB">
        <w:rPr>
          <w:rFonts w:ascii="Times New Roman" w:hAnsi="Times New Roman"/>
          <w:position w:val="-32"/>
          <w:sz w:val="24"/>
          <w:szCs w:val="24"/>
        </w:rPr>
        <w:object w:dxaOrig="4940" w:dyaOrig="859">
          <v:shape id="_x0000_i1078" type="#_x0000_t75" style="width:246.75pt;height:42.75pt" o:ole="">
            <v:imagedata r:id="rId135" o:title=""/>
          </v:shape>
          <o:OLEObject Type="Embed" ProgID="Equation.DSMT4" ShapeID="_x0000_i1078" DrawAspect="Content" ObjectID="_1774671699" r:id="rId136"/>
        </w:object>
      </w:r>
      <w:r w:rsidRPr="004358CB">
        <w:rPr>
          <w:rFonts w:ascii="Times New Roman" w:hAnsi="Times New Roman"/>
          <w:sz w:val="24"/>
          <w:szCs w:val="24"/>
        </w:rPr>
        <w:t xml:space="preserve">     for all r </w:t>
      </w:r>
      <w:r w:rsidR="0089132E" w:rsidRPr="004358CB">
        <w:rPr>
          <w:rFonts w:ascii="Times New Roman" w:hAnsi="Times New Roman"/>
          <w:sz w:val="24"/>
          <w:szCs w:val="24"/>
        </w:rPr>
        <w:t xml:space="preserve">  and i=1,2,3</w:t>
      </w:r>
      <w:r w:rsidRPr="004358CB">
        <w:rPr>
          <w:rFonts w:ascii="Times New Roman" w:hAnsi="Times New Roman"/>
          <w:sz w:val="24"/>
          <w:szCs w:val="24"/>
        </w:rPr>
        <w:tab/>
        <w:t>(A3.1)</w:t>
      </w:r>
    </w:p>
    <w:p w:rsidR="006D7ACC" w:rsidRPr="004358CB" w:rsidRDefault="0087286A" w:rsidP="00CF0CB3">
      <w:pPr>
        <w:ind w:left="0"/>
        <w:rPr>
          <w:rFonts w:ascii="Times New Roman" w:hAnsi="Times New Roman"/>
          <w:sz w:val="24"/>
          <w:szCs w:val="24"/>
        </w:rPr>
      </w:pPr>
      <w:r>
        <w:rPr>
          <w:rFonts w:ascii="Times New Roman" w:hAnsi="Times New Roman"/>
          <w:sz w:val="24"/>
          <w:szCs w:val="24"/>
        </w:rPr>
        <w:t xml:space="preserve">where </w:t>
      </w:r>
      <w:r w:rsidR="00CF0CB3">
        <w:rPr>
          <w:rFonts w:ascii="Times New Roman" w:hAnsi="Times New Roman"/>
          <w:sz w:val="24"/>
          <w:szCs w:val="24"/>
        </w:rPr>
        <w:t xml:space="preserve">KE(r,t(i)) </w:t>
      </w:r>
      <w:r>
        <w:rPr>
          <w:rFonts w:ascii="Times New Roman" w:hAnsi="Times New Roman"/>
          <w:sz w:val="24"/>
          <w:szCs w:val="24"/>
        </w:rPr>
        <w:t>is capital in region r at the end of year t(i)</w:t>
      </w:r>
      <w:r w:rsidR="00CF0CB3">
        <w:rPr>
          <w:rFonts w:ascii="Times New Roman" w:hAnsi="Times New Roman"/>
          <w:sz w:val="24"/>
          <w:szCs w:val="24"/>
        </w:rPr>
        <w:t xml:space="preserve"> and KB(r,t(i)) is capital in region r at the start of year t(i).  KE(r,t(i)) and KB(r,t(i)) together tie down region r’s investment in year t(i).  </w:t>
      </w:r>
      <w:r w:rsidR="006D7ACC" w:rsidRPr="004358CB">
        <w:rPr>
          <w:rFonts w:ascii="Times New Roman" w:hAnsi="Times New Roman"/>
          <w:sz w:val="24"/>
          <w:szCs w:val="24"/>
        </w:rPr>
        <w:t>The factor of proportionality</w:t>
      </w:r>
      <w:r w:rsidR="0089132E" w:rsidRPr="004358CB">
        <w:rPr>
          <w:rFonts w:ascii="Times New Roman" w:hAnsi="Times New Roman"/>
          <w:sz w:val="24"/>
          <w:szCs w:val="24"/>
        </w:rPr>
        <w:t>, F</w:t>
      </w:r>
      <w:r w:rsidR="001E1C39">
        <w:rPr>
          <w:rFonts w:ascii="Times New Roman" w:hAnsi="Times New Roman"/>
          <w:sz w:val="24"/>
          <w:szCs w:val="24"/>
        </w:rPr>
        <w:t>F_KE</w:t>
      </w:r>
      <w:r w:rsidR="0089132E" w:rsidRPr="004358CB">
        <w:rPr>
          <w:rFonts w:ascii="Times New Roman" w:hAnsi="Times New Roman"/>
          <w:sz w:val="24"/>
          <w:szCs w:val="24"/>
        </w:rPr>
        <w:t>(t(i)),</w:t>
      </w:r>
      <w:r w:rsidR="006D7ACC" w:rsidRPr="004358CB">
        <w:rPr>
          <w:rFonts w:ascii="Times New Roman" w:hAnsi="Times New Roman"/>
          <w:sz w:val="24"/>
          <w:szCs w:val="24"/>
        </w:rPr>
        <w:t xml:space="preserve"> is determined so that </w:t>
      </w:r>
      <w:r w:rsidR="00A86A91" w:rsidRPr="004358CB">
        <w:rPr>
          <w:rFonts w:ascii="Times New Roman" w:hAnsi="Times New Roman"/>
          <w:sz w:val="24"/>
          <w:szCs w:val="24"/>
        </w:rPr>
        <w:t>global investment</w:t>
      </w:r>
      <w:r w:rsidR="00CF0CB3">
        <w:rPr>
          <w:rFonts w:ascii="Times New Roman" w:hAnsi="Times New Roman"/>
          <w:sz w:val="24"/>
          <w:szCs w:val="24"/>
        </w:rPr>
        <w:t xml:space="preserve"> (the sum of regional investments)</w:t>
      </w:r>
      <w:r w:rsidR="00A86A91" w:rsidRPr="004358CB">
        <w:rPr>
          <w:rFonts w:ascii="Times New Roman" w:hAnsi="Times New Roman"/>
          <w:sz w:val="24"/>
          <w:szCs w:val="24"/>
        </w:rPr>
        <w:t xml:space="preserve"> in year t</w:t>
      </w:r>
      <w:r w:rsidR="0089132E" w:rsidRPr="004358CB">
        <w:rPr>
          <w:rFonts w:ascii="Times New Roman" w:hAnsi="Times New Roman"/>
          <w:sz w:val="24"/>
          <w:szCs w:val="24"/>
        </w:rPr>
        <w:t>(i)</w:t>
      </w:r>
      <w:r w:rsidR="00A86A91" w:rsidRPr="004358CB">
        <w:rPr>
          <w:rFonts w:ascii="Times New Roman" w:hAnsi="Times New Roman"/>
          <w:sz w:val="24"/>
          <w:szCs w:val="24"/>
        </w:rPr>
        <w:t xml:space="preserve"> equals global saving</w:t>
      </w:r>
      <w:r w:rsidR="0089132E" w:rsidRPr="004358CB">
        <w:rPr>
          <w:rFonts w:ascii="Times New Roman" w:hAnsi="Times New Roman"/>
          <w:sz w:val="24"/>
          <w:szCs w:val="24"/>
        </w:rPr>
        <w:t xml:space="preserve"> in t(i)</w:t>
      </w:r>
      <w:r w:rsidR="00A86A91" w:rsidRPr="004358CB">
        <w:rPr>
          <w:rFonts w:ascii="Times New Roman" w:hAnsi="Times New Roman"/>
          <w:sz w:val="24"/>
          <w:szCs w:val="24"/>
        </w:rPr>
        <w:t xml:space="preserve">. </w:t>
      </w:r>
    </w:p>
    <w:p w:rsidR="0089132E" w:rsidRPr="004358CB" w:rsidRDefault="00CF0CB3" w:rsidP="00CF0CB3">
      <w:pPr>
        <w:ind w:left="0"/>
        <w:rPr>
          <w:rFonts w:ascii="Times New Roman" w:hAnsi="Times New Roman"/>
          <w:sz w:val="24"/>
          <w:szCs w:val="24"/>
        </w:rPr>
      </w:pPr>
      <w:r>
        <w:rPr>
          <w:rFonts w:ascii="Times New Roman" w:hAnsi="Times New Roman"/>
          <w:sz w:val="24"/>
          <w:szCs w:val="24"/>
        </w:rPr>
        <w:t xml:space="preserve">As the terminal condition we use </w:t>
      </w:r>
      <w:r w:rsidR="0089132E" w:rsidRPr="004358CB">
        <w:rPr>
          <w:rFonts w:ascii="Times New Roman" w:hAnsi="Times New Roman"/>
          <w:sz w:val="24"/>
          <w:szCs w:val="24"/>
        </w:rPr>
        <w:t xml:space="preserve"> </w:t>
      </w:r>
    </w:p>
    <w:p w:rsidR="00CF0CB3" w:rsidRPr="004358CB" w:rsidRDefault="00CF0CB3" w:rsidP="00CF0CB3">
      <w:pPr>
        <w:tabs>
          <w:tab w:val="left" w:pos="851"/>
          <w:tab w:val="right" w:pos="8931"/>
        </w:tabs>
        <w:ind w:left="0"/>
        <w:rPr>
          <w:rFonts w:ascii="Times New Roman" w:hAnsi="Times New Roman"/>
          <w:sz w:val="24"/>
          <w:szCs w:val="24"/>
        </w:rPr>
      </w:pPr>
      <w:r w:rsidRPr="004358CB">
        <w:rPr>
          <w:rFonts w:ascii="Times New Roman" w:hAnsi="Times New Roman"/>
          <w:sz w:val="24"/>
          <w:szCs w:val="24"/>
        </w:rPr>
        <w:tab/>
      </w:r>
      <w:r w:rsidR="001E1C39" w:rsidRPr="0087286A">
        <w:rPr>
          <w:rFonts w:ascii="Times New Roman" w:hAnsi="Times New Roman"/>
          <w:position w:val="-32"/>
          <w:sz w:val="24"/>
          <w:szCs w:val="24"/>
        </w:rPr>
        <w:object w:dxaOrig="4740" w:dyaOrig="859">
          <v:shape id="_x0000_i1079" type="#_x0000_t75" style="width:237.75pt;height:42.75pt" o:ole="">
            <v:imagedata r:id="rId137" o:title=""/>
          </v:shape>
          <o:OLEObject Type="Embed" ProgID="Equation.DSMT4" ShapeID="_x0000_i1079" DrawAspect="Content" ObjectID="_1774671700" r:id="rId138"/>
        </w:object>
      </w:r>
      <w:r w:rsidRPr="004358CB">
        <w:rPr>
          <w:rFonts w:ascii="Times New Roman" w:hAnsi="Times New Roman"/>
          <w:sz w:val="24"/>
          <w:szCs w:val="24"/>
        </w:rPr>
        <w:t xml:space="preserve">     for all r   </w:t>
      </w:r>
      <w:r w:rsidRPr="004358CB">
        <w:rPr>
          <w:rFonts w:ascii="Times New Roman" w:hAnsi="Times New Roman"/>
          <w:sz w:val="24"/>
          <w:szCs w:val="24"/>
        </w:rPr>
        <w:tab/>
        <w:t>(A3.</w:t>
      </w:r>
      <w:r>
        <w:rPr>
          <w:rFonts w:ascii="Times New Roman" w:hAnsi="Times New Roman"/>
          <w:sz w:val="24"/>
          <w:szCs w:val="24"/>
        </w:rPr>
        <w:t>2</w:t>
      </w:r>
      <w:r w:rsidRPr="004358CB">
        <w:rPr>
          <w:rFonts w:ascii="Times New Roman" w:hAnsi="Times New Roman"/>
          <w:sz w:val="24"/>
          <w:szCs w:val="24"/>
        </w:rPr>
        <w:t>)</w:t>
      </w:r>
    </w:p>
    <w:p w:rsidR="00A86A91" w:rsidRPr="006F18C3" w:rsidRDefault="00A86A91" w:rsidP="00CF0CB3">
      <w:pPr>
        <w:ind w:left="0"/>
        <w:rPr>
          <w:rFonts w:ascii="Times New Roman" w:hAnsi="Times New Roman"/>
          <w:sz w:val="24"/>
          <w:szCs w:val="24"/>
        </w:rPr>
      </w:pPr>
      <w:r w:rsidRPr="006F18C3">
        <w:rPr>
          <w:rFonts w:ascii="Times New Roman" w:hAnsi="Times New Roman"/>
          <w:sz w:val="24"/>
          <w:szCs w:val="24"/>
        </w:rPr>
        <w:t xml:space="preserve">When we are undertaking the computation for year </w:t>
      </w:r>
      <w:r w:rsidR="00644BFF" w:rsidRPr="006F18C3">
        <w:rPr>
          <w:rFonts w:ascii="Times New Roman" w:hAnsi="Times New Roman"/>
          <w:sz w:val="24"/>
          <w:szCs w:val="24"/>
        </w:rPr>
        <w:t xml:space="preserve">t(i), i=1,2,3,4,  </w:t>
      </w:r>
      <w:r w:rsidRPr="006F18C3">
        <w:rPr>
          <w:rFonts w:ascii="Times New Roman" w:hAnsi="Times New Roman"/>
          <w:sz w:val="24"/>
          <w:szCs w:val="24"/>
        </w:rPr>
        <w:t xml:space="preserve">we </w:t>
      </w:r>
      <w:r w:rsidR="00644BFF" w:rsidRPr="006F18C3">
        <w:rPr>
          <w:rFonts w:ascii="Times New Roman" w:hAnsi="Times New Roman"/>
          <w:sz w:val="24"/>
          <w:szCs w:val="24"/>
        </w:rPr>
        <w:t xml:space="preserve">impose </w:t>
      </w:r>
      <w:r w:rsidRPr="006F18C3">
        <w:rPr>
          <w:rFonts w:ascii="Times New Roman" w:hAnsi="Times New Roman"/>
          <w:sz w:val="24"/>
          <w:szCs w:val="24"/>
        </w:rPr>
        <w:t>the equation</w:t>
      </w:r>
    </w:p>
    <w:p w:rsidR="00CF0CB3" w:rsidRPr="004358CB" w:rsidRDefault="00CF0CB3" w:rsidP="00CF0CB3">
      <w:pPr>
        <w:tabs>
          <w:tab w:val="left" w:pos="851"/>
          <w:tab w:val="right" w:pos="8931"/>
        </w:tabs>
        <w:ind w:left="0"/>
        <w:rPr>
          <w:rFonts w:ascii="Times New Roman" w:hAnsi="Times New Roman"/>
          <w:sz w:val="24"/>
          <w:szCs w:val="24"/>
        </w:rPr>
      </w:pPr>
      <w:r w:rsidRPr="004358CB">
        <w:rPr>
          <w:rFonts w:ascii="Times New Roman" w:hAnsi="Times New Roman"/>
          <w:sz w:val="24"/>
          <w:szCs w:val="24"/>
        </w:rPr>
        <w:tab/>
      </w:r>
      <w:r w:rsidR="001E1C39" w:rsidRPr="006F18C3">
        <w:rPr>
          <w:rFonts w:ascii="Times New Roman" w:hAnsi="Times New Roman"/>
          <w:position w:val="-30"/>
          <w:sz w:val="24"/>
          <w:szCs w:val="24"/>
        </w:rPr>
        <w:object w:dxaOrig="3620" w:dyaOrig="680">
          <v:shape id="_x0000_i1080" type="#_x0000_t75" style="width:182.25pt;height:33.75pt" o:ole="">
            <v:imagedata r:id="rId139" o:title=""/>
          </v:shape>
          <o:OLEObject Type="Embed" ProgID="Equation.DSMT4" ShapeID="_x0000_i1080" DrawAspect="Content" ObjectID="_1774671701" r:id="rId140"/>
        </w:object>
      </w:r>
      <w:r w:rsidRPr="004358CB">
        <w:rPr>
          <w:rFonts w:ascii="Times New Roman" w:hAnsi="Times New Roman"/>
          <w:sz w:val="24"/>
          <w:szCs w:val="24"/>
        </w:rPr>
        <w:t xml:space="preserve">     </w:t>
      </w:r>
      <w:r w:rsidRPr="006F18C3">
        <w:rPr>
          <w:rFonts w:ascii="Times New Roman" w:hAnsi="Times New Roman"/>
          <w:sz w:val="24"/>
          <w:szCs w:val="24"/>
        </w:rPr>
        <w:t>for all r  and i=1,2,3</w:t>
      </w:r>
      <w:r w:rsidR="005F56A2">
        <w:rPr>
          <w:rFonts w:ascii="Times New Roman" w:hAnsi="Times New Roman"/>
          <w:sz w:val="24"/>
          <w:szCs w:val="24"/>
        </w:rPr>
        <w:t>,</w:t>
      </w:r>
      <w:r w:rsidRPr="006F18C3">
        <w:rPr>
          <w:rFonts w:ascii="Times New Roman" w:hAnsi="Times New Roman"/>
          <w:sz w:val="24"/>
          <w:szCs w:val="24"/>
        </w:rPr>
        <w:t>4</w:t>
      </w:r>
      <w:r w:rsidRPr="004358CB">
        <w:rPr>
          <w:rFonts w:ascii="Times New Roman" w:hAnsi="Times New Roman"/>
          <w:sz w:val="24"/>
          <w:szCs w:val="24"/>
        </w:rPr>
        <w:tab/>
      </w:r>
      <w:r w:rsidRPr="006F18C3">
        <w:rPr>
          <w:rFonts w:ascii="Times New Roman" w:hAnsi="Times New Roman"/>
          <w:sz w:val="24"/>
          <w:szCs w:val="24"/>
        </w:rPr>
        <w:t>(A3.3)</w:t>
      </w:r>
    </w:p>
    <w:p w:rsidR="00EE4A29" w:rsidRDefault="00644BFF" w:rsidP="00CF0CB3">
      <w:pPr>
        <w:ind w:left="0"/>
        <w:rPr>
          <w:rFonts w:ascii="Times New Roman" w:hAnsi="Times New Roman"/>
          <w:sz w:val="24"/>
          <w:szCs w:val="24"/>
        </w:rPr>
      </w:pPr>
      <w:r w:rsidRPr="002F09C8">
        <w:rPr>
          <w:rFonts w:ascii="Times New Roman" w:hAnsi="Times New Roman"/>
          <w:sz w:val="24"/>
          <w:szCs w:val="24"/>
        </w:rPr>
        <w:t xml:space="preserve">In this equation G(r,t(i)) is a guess of </w:t>
      </w:r>
      <w:r w:rsidRPr="002F09C8">
        <w:rPr>
          <w:rFonts w:ascii="Times New Roman" w:hAnsi="Times New Roman"/>
          <w:position w:val="-14"/>
          <w:sz w:val="24"/>
          <w:szCs w:val="24"/>
        </w:rPr>
        <w:object w:dxaOrig="3360" w:dyaOrig="440">
          <v:shape id="_x0000_i1081" type="#_x0000_t75" style="width:166.5pt;height:21.75pt" o:ole="">
            <v:imagedata r:id="rId141" o:title=""/>
          </v:shape>
          <o:OLEObject Type="Embed" ProgID="Equation.DSMT4" ShapeID="_x0000_i1081" DrawAspect="Content" ObjectID="_1774671702" r:id="rId142"/>
        </w:object>
      </w:r>
      <w:r w:rsidR="0098389E" w:rsidRPr="002F09C8">
        <w:rPr>
          <w:rFonts w:ascii="Times New Roman" w:hAnsi="Times New Roman"/>
          <w:sz w:val="24"/>
          <w:szCs w:val="24"/>
        </w:rPr>
        <w:t xml:space="preserve"> for i=1,2,3.  G(r,t(4)) is a guess of </w:t>
      </w:r>
      <w:r w:rsidR="0098389E" w:rsidRPr="002F09C8">
        <w:rPr>
          <w:rFonts w:ascii="Times New Roman" w:hAnsi="Times New Roman"/>
          <w:position w:val="-14"/>
          <w:sz w:val="24"/>
          <w:szCs w:val="24"/>
        </w:rPr>
        <w:object w:dxaOrig="3080" w:dyaOrig="440">
          <v:shape id="_x0000_i1082" type="#_x0000_t75" style="width:153.75pt;height:21.75pt" o:ole="">
            <v:imagedata r:id="rId143" o:title=""/>
          </v:shape>
          <o:OLEObject Type="Embed" ProgID="Equation.DSMT4" ShapeID="_x0000_i1082" DrawAspect="Content" ObjectID="_1774671703" r:id="rId144"/>
        </w:object>
      </w:r>
      <w:r w:rsidR="00CF0CB3">
        <w:rPr>
          <w:rFonts w:ascii="Times New Roman" w:hAnsi="Times New Roman"/>
          <w:sz w:val="24"/>
          <w:szCs w:val="24"/>
        </w:rPr>
        <w:t xml:space="preserve">, with </w:t>
      </w:r>
      <w:r w:rsidR="0098389E" w:rsidRPr="002F09C8">
        <w:rPr>
          <w:rFonts w:ascii="Times New Roman" w:hAnsi="Times New Roman"/>
          <w:sz w:val="24"/>
          <w:szCs w:val="24"/>
        </w:rPr>
        <w:t>G(r,t(4))= G(r,t(3)).</w:t>
      </w:r>
      <w:r w:rsidR="00EE4A29">
        <w:rPr>
          <w:rFonts w:ascii="Times New Roman" w:hAnsi="Times New Roman"/>
          <w:sz w:val="24"/>
          <w:szCs w:val="24"/>
        </w:rPr>
        <w:t xml:space="preserve">  We treat F</w:t>
      </w:r>
      <w:r w:rsidR="001E1C39">
        <w:rPr>
          <w:rFonts w:ascii="Times New Roman" w:hAnsi="Times New Roman"/>
          <w:sz w:val="24"/>
          <w:szCs w:val="24"/>
        </w:rPr>
        <w:t>F_KE</w:t>
      </w:r>
      <w:r w:rsidR="00EE4A29">
        <w:rPr>
          <w:rFonts w:ascii="Times New Roman" w:hAnsi="Times New Roman"/>
          <w:sz w:val="24"/>
          <w:szCs w:val="24"/>
        </w:rPr>
        <w:t xml:space="preserve">t(i)) as endogenous and the guesses, G(r,t(i)), as exogenous.  </w:t>
      </w:r>
    </w:p>
    <w:p w:rsidR="00644BFF" w:rsidRPr="002F09C8" w:rsidRDefault="0098389E" w:rsidP="00CF0CB3">
      <w:pPr>
        <w:ind w:left="0"/>
        <w:rPr>
          <w:rFonts w:ascii="Times New Roman" w:hAnsi="Times New Roman"/>
          <w:sz w:val="24"/>
          <w:szCs w:val="24"/>
        </w:rPr>
      </w:pPr>
      <w:r w:rsidRPr="002F09C8">
        <w:rPr>
          <w:rFonts w:ascii="Times New Roman" w:hAnsi="Times New Roman"/>
          <w:sz w:val="24"/>
          <w:szCs w:val="24"/>
        </w:rPr>
        <w:t>To obtain accurate guesses, we conduct an iterative process</w:t>
      </w:r>
      <w:r w:rsidR="00EE4A29">
        <w:rPr>
          <w:rFonts w:ascii="Times New Roman" w:hAnsi="Times New Roman"/>
          <w:sz w:val="24"/>
          <w:szCs w:val="24"/>
        </w:rPr>
        <w:t>,</w:t>
      </w:r>
      <w:r w:rsidRPr="002F09C8">
        <w:rPr>
          <w:rFonts w:ascii="Times New Roman" w:hAnsi="Times New Roman"/>
          <w:sz w:val="24"/>
          <w:szCs w:val="24"/>
        </w:rPr>
        <w:t xml:space="preserve"> each step of which requires four connected simulations.  </w:t>
      </w:r>
      <w:r w:rsidR="00E87607">
        <w:rPr>
          <w:rFonts w:ascii="Times New Roman" w:hAnsi="Times New Roman"/>
          <w:sz w:val="24"/>
          <w:szCs w:val="24"/>
        </w:rPr>
        <w:t xml:space="preserve">We denote the first step by q = 1. </w:t>
      </w:r>
    </w:p>
    <w:p w:rsidR="00706E22" w:rsidRPr="00180425" w:rsidRDefault="00706E22" w:rsidP="005F56A2">
      <w:pPr>
        <w:ind w:left="0"/>
        <w:rPr>
          <w:rFonts w:ascii="Times New Roman" w:hAnsi="Times New Roman"/>
          <w:b/>
          <w:i/>
          <w:sz w:val="24"/>
          <w:szCs w:val="24"/>
        </w:rPr>
      </w:pPr>
      <w:r w:rsidRPr="00180425">
        <w:rPr>
          <w:rFonts w:ascii="Times New Roman" w:hAnsi="Times New Roman"/>
          <w:b/>
          <w:i/>
          <w:sz w:val="24"/>
          <w:szCs w:val="24"/>
        </w:rPr>
        <w:t>First step in the iterative process</w:t>
      </w:r>
      <w:r w:rsidR="00E87607">
        <w:rPr>
          <w:rFonts w:ascii="Times New Roman" w:hAnsi="Times New Roman"/>
          <w:b/>
          <w:i/>
          <w:sz w:val="24"/>
          <w:szCs w:val="24"/>
        </w:rPr>
        <w:t xml:space="preserve">: static expectations </w:t>
      </w:r>
    </w:p>
    <w:p w:rsidR="00E87607" w:rsidRDefault="0098389E" w:rsidP="001E047A">
      <w:pPr>
        <w:ind w:left="0"/>
        <w:rPr>
          <w:rFonts w:ascii="Times New Roman" w:hAnsi="Times New Roman"/>
          <w:sz w:val="24"/>
          <w:szCs w:val="24"/>
        </w:rPr>
      </w:pPr>
      <w:r w:rsidRPr="002F09C8">
        <w:rPr>
          <w:rFonts w:ascii="Times New Roman" w:hAnsi="Times New Roman"/>
          <w:sz w:val="24"/>
          <w:szCs w:val="24"/>
        </w:rPr>
        <w:t>In the first step</w:t>
      </w:r>
      <w:r w:rsidR="00E87607">
        <w:rPr>
          <w:rFonts w:ascii="Times New Roman" w:hAnsi="Times New Roman"/>
          <w:sz w:val="24"/>
          <w:szCs w:val="24"/>
        </w:rPr>
        <w:t xml:space="preserve"> (q=1)</w:t>
      </w:r>
      <w:r w:rsidR="005F56A2">
        <w:rPr>
          <w:rFonts w:ascii="Times New Roman" w:hAnsi="Times New Roman"/>
          <w:sz w:val="24"/>
          <w:szCs w:val="24"/>
        </w:rPr>
        <w:t>,</w:t>
      </w:r>
      <w:r w:rsidRPr="002F09C8">
        <w:rPr>
          <w:rFonts w:ascii="Times New Roman" w:hAnsi="Times New Roman"/>
          <w:sz w:val="24"/>
          <w:szCs w:val="24"/>
        </w:rPr>
        <w:t xml:space="preserve"> we </w:t>
      </w:r>
      <w:r w:rsidR="005F56A2">
        <w:rPr>
          <w:rFonts w:ascii="Times New Roman" w:hAnsi="Times New Roman"/>
          <w:sz w:val="24"/>
          <w:szCs w:val="24"/>
        </w:rPr>
        <w:t xml:space="preserve">conduct a sequence of 4 simulations in which global saving in year t(i) is distributed to investment across regions </w:t>
      </w:r>
      <w:r w:rsidR="00286C33">
        <w:rPr>
          <w:rFonts w:ascii="Times New Roman" w:hAnsi="Times New Roman"/>
          <w:sz w:val="24"/>
          <w:szCs w:val="24"/>
        </w:rPr>
        <w:t>using the normal GTAP specification</w:t>
      </w:r>
      <w:r w:rsidR="001E047A">
        <w:rPr>
          <w:rFonts w:ascii="Times New Roman" w:hAnsi="Times New Roman"/>
          <w:sz w:val="24"/>
          <w:szCs w:val="24"/>
        </w:rPr>
        <w:t xml:space="preserve">.  </w:t>
      </w:r>
      <w:r w:rsidR="00E87607">
        <w:rPr>
          <w:rFonts w:ascii="Times New Roman" w:hAnsi="Times New Roman"/>
          <w:sz w:val="24"/>
          <w:szCs w:val="24"/>
        </w:rPr>
        <w:t xml:space="preserve">We refer to this step as static expectations.  </w:t>
      </w:r>
    </w:p>
    <w:p w:rsidR="00180425" w:rsidRDefault="001E047A" w:rsidP="001E047A">
      <w:pPr>
        <w:ind w:left="0"/>
        <w:rPr>
          <w:rFonts w:ascii="Times New Roman" w:hAnsi="Times New Roman"/>
          <w:iCs/>
          <w:sz w:val="24"/>
          <w:szCs w:val="24"/>
        </w:rPr>
      </w:pPr>
      <w:r>
        <w:rPr>
          <w:rFonts w:ascii="Times New Roman" w:hAnsi="Times New Roman"/>
          <w:sz w:val="24"/>
          <w:szCs w:val="24"/>
        </w:rPr>
        <w:t>Th</w:t>
      </w:r>
      <w:r w:rsidR="00E87607">
        <w:rPr>
          <w:rFonts w:ascii="Times New Roman" w:hAnsi="Times New Roman"/>
          <w:sz w:val="24"/>
          <w:szCs w:val="24"/>
        </w:rPr>
        <w:t xml:space="preserve">e simulations in this step </w:t>
      </w:r>
      <w:r>
        <w:rPr>
          <w:rFonts w:ascii="Times New Roman" w:hAnsi="Times New Roman"/>
          <w:sz w:val="24"/>
          <w:szCs w:val="24"/>
        </w:rPr>
        <w:t>rel</w:t>
      </w:r>
      <w:r w:rsidR="00E87607">
        <w:rPr>
          <w:rFonts w:ascii="Times New Roman" w:hAnsi="Times New Roman"/>
          <w:sz w:val="24"/>
          <w:szCs w:val="24"/>
        </w:rPr>
        <w:t xml:space="preserve">y </w:t>
      </w:r>
      <w:r>
        <w:rPr>
          <w:rFonts w:ascii="Times New Roman" w:hAnsi="Times New Roman"/>
          <w:sz w:val="24"/>
          <w:szCs w:val="24"/>
        </w:rPr>
        <w:t xml:space="preserve">on equalization of risk-adjusted expected rates of return.  </w:t>
      </w:r>
      <w:r w:rsidRPr="00284D82">
        <w:rPr>
          <w:rFonts w:ascii="Times New Roman" w:hAnsi="Times New Roman"/>
          <w:iCs/>
          <w:sz w:val="24"/>
          <w:szCs w:val="24"/>
        </w:rPr>
        <w:t xml:space="preserve">The risk adjusted expected rate of return in </w:t>
      </w:r>
      <w:r>
        <w:rPr>
          <w:rFonts w:ascii="Times New Roman" w:hAnsi="Times New Roman"/>
          <w:iCs/>
          <w:sz w:val="24"/>
          <w:szCs w:val="24"/>
        </w:rPr>
        <w:t>t(i)</w:t>
      </w:r>
      <w:r w:rsidRPr="00284D82">
        <w:rPr>
          <w:rFonts w:ascii="Times New Roman" w:hAnsi="Times New Roman"/>
          <w:iCs/>
          <w:sz w:val="24"/>
          <w:szCs w:val="24"/>
        </w:rPr>
        <w:t xml:space="preserve"> in a region is determined in GTAP as the </w:t>
      </w:r>
      <w:r w:rsidRPr="00284D82">
        <w:rPr>
          <w:rFonts w:ascii="Times New Roman" w:hAnsi="Times New Roman"/>
          <w:i/>
          <w:iCs/>
          <w:sz w:val="24"/>
          <w:szCs w:val="24"/>
        </w:rPr>
        <w:t>actual</w:t>
      </w:r>
      <w:r w:rsidRPr="00284D82">
        <w:rPr>
          <w:rFonts w:ascii="Times New Roman" w:hAnsi="Times New Roman"/>
          <w:iCs/>
          <w:sz w:val="24"/>
          <w:szCs w:val="24"/>
        </w:rPr>
        <w:t xml:space="preserve"> rate of return in </w:t>
      </w:r>
      <w:r>
        <w:rPr>
          <w:rFonts w:ascii="Times New Roman" w:hAnsi="Times New Roman"/>
          <w:iCs/>
          <w:sz w:val="24"/>
          <w:szCs w:val="24"/>
        </w:rPr>
        <w:t>t(i)</w:t>
      </w:r>
      <w:r w:rsidRPr="00284D82">
        <w:rPr>
          <w:rFonts w:ascii="Times New Roman" w:hAnsi="Times New Roman"/>
          <w:iCs/>
          <w:sz w:val="24"/>
          <w:szCs w:val="24"/>
        </w:rPr>
        <w:t xml:space="preserve"> modified to incorporate risk through a downward sloping function of the region’s capital growth in </w:t>
      </w:r>
      <w:r>
        <w:rPr>
          <w:rFonts w:ascii="Times New Roman" w:hAnsi="Times New Roman"/>
          <w:iCs/>
          <w:sz w:val="24"/>
          <w:szCs w:val="24"/>
        </w:rPr>
        <w:t>t(i)</w:t>
      </w:r>
      <w:r w:rsidRPr="00284D82">
        <w:rPr>
          <w:rFonts w:ascii="Times New Roman" w:hAnsi="Times New Roman"/>
          <w:iCs/>
          <w:sz w:val="24"/>
          <w:szCs w:val="24"/>
        </w:rPr>
        <w:t xml:space="preserve"> and a region-specific risk-adjustment factor.  Actual rates of return in </w:t>
      </w:r>
      <w:r>
        <w:rPr>
          <w:rFonts w:ascii="Times New Roman" w:hAnsi="Times New Roman"/>
          <w:iCs/>
          <w:sz w:val="24"/>
          <w:szCs w:val="24"/>
        </w:rPr>
        <w:t>t(i)</w:t>
      </w:r>
      <w:r w:rsidRPr="00284D82">
        <w:rPr>
          <w:rFonts w:ascii="Times New Roman" w:hAnsi="Times New Roman"/>
          <w:iCs/>
          <w:sz w:val="24"/>
          <w:szCs w:val="24"/>
        </w:rPr>
        <w:t xml:space="preserve"> reflect rental rates for using capital and costs of creating capital.  </w:t>
      </w:r>
    </w:p>
    <w:p w:rsidR="00180425" w:rsidRDefault="00180425" w:rsidP="00180425">
      <w:pPr>
        <w:ind w:left="0"/>
        <w:rPr>
          <w:rFonts w:ascii="Times New Roman" w:hAnsi="Times New Roman"/>
          <w:iCs/>
          <w:sz w:val="24"/>
          <w:szCs w:val="24"/>
        </w:rPr>
      </w:pPr>
      <w:r>
        <w:rPr>
          <w:rFonts w:ascii="Times New Roman" w:hAnsi="Times New Roman"/>
          <w:iCs/>
          <w:sz w:val="24"/>
          <w:szCs w:val="24"/>
        </w:rPr>
        <w:t xml:space="preserve">In this sequence of simulations, we introduce all of the shocks for macro and energy variables described in the main text.  We do this without forward-looking expectations.  Investment in </w:t>
      </w:r>
      <w:r>
        <w:rPr>
          <w:rFonts w:ascii="Times New Roman" w:hAnsi="Times New Roman"/>
          <w:iCs/>
          <w:sz w:val="24"/>
          <w:szCs w:val="24"/>
        </w:rPr>
        <w:lastRenderedPageBreak/>
        <w:t xml:space="preserve">region r in t(i) does not depend on values of variables beyond year t(i).  Thus, no iterative procedure is required.  </w:t>
      </w:r>
    </w:p>
    <w:p w:rsidR="00180425" w:rsidRDefault="00180425" w:rsidP="00180425">
      <w:pPr>
        <w:ind w:left="0"/>
        <w:rPr>
          <w:rFonts w:ascii="Times New Roman" w:hAnsi="Times New Roman"/>
          <w:iCs/>
          <w:sz w:val="24"/>
          <w:szCs w:val="24"/>
        </w:rPr>
      </w:pPr>
      <w:r>
        <w:rPr>
          <w:rFonts w:ascii="Times New Roman" w:hAnsi="Times New Roman"/>
          <w:iCs/>
          <w:sz w:val="24"/>
          <w:szCs w:val="24"/>
        </w:rPr>
        <w:t xml:space="preserve">The role of this sequence of simulations is simply to get the iterative process started.  </w:t>
      </w:r>
    </w:p>
    <w:p w:rsidR="00180425" w:rsidRPr="00180425" w:rsidRDefault="00180425" w:rsidP="00180425">
      <w:pPr>
        <w:ind w:left="0"/>
        <w:rPr>
          <w:rFonts w:ascii="Times New Roman" w:hAnsi="Times New Roman"/>
          <w:b/>
          <w:i/>
          <w:iCs/>
          <w:sz w:val="24"/>
          <w:szCs w:val="24"/>
        </w:rPr>
      </w:pPr>
      <w:r w:rsidRPr="00180425">
        <w:rPr>
          <w:rFonts w:ascii="Times New Roman" w:hAnsi="Times New Roman"/>
          <w:b/>
          <w:i/>
          <w:iCs/>
          <w:sz w:val="24"/>
          <w:szCs w:val="24"/>
        </w:rPr>
        <w:t>Subsequent steps in the iterative process</w:t>
      </w:r>
    </w:p>
    <w:p w:rsidR="00180425" w:rsidRPr="002F09C8" w:rsidRDefault="00180425" w:rsidP="00180425">
      <w:pPr>
        <w:ind w:left="0"/>
        <w:rPr>
          <w:rFonts w:ascii="Times New Roman" w:hAnsi="Times New Roman"/>
          <w:sz w:val="24"/>
          <w:szCs w:val="24"/>
        </w:rPr>
      </w:pPr>
      <w:r w:rsidRPr="002F09C8">
        <w:rPr>
          <w:rFonts w:ascii="Times New Roman" w:hAnsi="Times New Roman"/>
          <w:sz w:val="24"/>
          <w:szCs w:val="24"/>
        </w:rPr>
        <w:t>In subsequent steps</w:t>
      </w:r>
      <w:r w:rsidR="00E87607">
        <w:rPr>
          <w:rFonts w:ascii="Times New Roman" w:hAnsi="Times New Roman"/>
          <w:sz w:val="24"/>
          <w:szCs w:val="24"/>
        </w:rPr>
        <w:t xml:space="preserve"> (q&gt;1),</w:t>
      </w:r>
      <w:r w:rsidRPr="002F09C8">
        <w:rPr>
          <w:rFonts w:ascii="Times New Roman" w:hAnsi="Times New Roman"/>
          <w:sz w:val="24"/>
          <w:szCs w:val="24"/>
        </w:rPr>
        <w:t xml:space="preserve"> we set the guesses </w:t>
      </w:r>
      <w:r w:rsidR="00E87607">
        <w:rPr>
          <w:rFonts w:ascii="Times New Roman" w:hAnsi="Times New Roman"/>
          <w:sz w:val="24"/>
          <w:szCs w:val="24"/>
        </w:rPr>
        <w:t xml:space="preserve">for </w:t>
      </w:r>
      <w:r w:rsidR="00E87607" w:rsidRPr="002F09C8">
        <w:rPr>
          <w:rFonts w:ascii="Times New Roman" w:hAnsi="Times New Roman"/>
          <w:sz w:val="24"/>
          <w:szCs w:val="24"/>
        </w:rPr>
        <w:t>G(r,t(i))</w:t>
      </w:r>
      <w:r w:rsidR="00E87607">
        <w:rPr>
          <w:rFonts w:ascii="Times New Roman" w:hAnsi="Times New Roman"/>
          <w:sz w:val="24"/>
          <w:szCs w:val="24"/>
        </w:rPr>
        <w:t xml:space="preserve"> </w:t>
      </w:r>
      <w:r w:rsidRPr="002F09C8">
        <w:rPr>
          <w:rFonts w:ascii="Times New Roman" w:hAnsi="Times New Roman"/>
          <w:sz w:val="24"/>
          <w:szCs w:val="24"/>
        </w:rPr>
        <w:t>according to:</w:t>
      </w:r>
    </w:p>
    <w:p w:rsidR="00180425" w:rsidRPr="002F09C8" w:rsidRDefault="00180425" w:rsidP="00180425">
      <w:pPr>
        <w:tabs>
          <w:tab w:val="left" w:pos="851"/>
          <w:tab w:val="right" w:pos="8931"/>
        </w:tabs>
        <w:ind w:left="0"/>
        <w:rPr>
          <w:rFonts w:ascii="Times New Roman" w:hAnsi="Times New Roman"/>
          <w:sz w:val="24"/>
          <w:szCs w:val="24"/>
        </w:rPr>
      </w:pPr>
      <w:r w:rsidRPr="002F09C8">
        <w:rPr>
          <w:rFonts w:ascii="Times New Roman" w:hAnsi="Times New Roman"/>
          <w:sz w:val="24"/>
          <w:szCs w:val="24"/>
        </w:rPr>
        <w:tab/>
      </w:r>
      <w:r w:rsidRPr="002F09C8">
        <w:rPr>
          <w:rFonts w:ascii="Times New Roman" w:hAnsi="Times New Roman"/>
          <w:position w:val="-34"/>
          <w:sz w:val="24"/>
          <w:szCs w:val="24"/>
        </w:rPr>
        <w:object w:dxaOrig="3640" w:dyaOrig="920">
          <v:shape id="_x0000_i1083" type="#_x0000_t75" style="width:181.5pt;height:45.75pt" o:ole="">
            <v:imagedata r:id="rId145" o:title=""/>
          </v:shape>
          <o:OLEObject Type="Embed" ProgID="Equation.DSMT4" ShapeID="_x0000_i1083" DrawAspect="Content" ObjectID="_1774671704" r:id="rId146"/>
        </w:object>
      </w:r>
      <w:r w:rsidRPr="002F09C8">
        <w:rPr>
          <w:rFonts w:ascii="Times New Roman" w:hAnsi="Times New Roman"/>
          <w:sz w:val="24"/>
          <w:szCs w:val="24"/>
        </w:rPr>
        <w:t xml:space="preserve">     for all r, for i=1,2,3 and for q&gt;1</w:t>
      </w:r>
      <w:r w:rsidRPr="002F09C8">
        <w:rPr>
          <w:rFonts w:ascii="Times New Roman" w:hAnsi="Times New Roman"/>
          <w:sz w:val="24"/>
          <w:szCs w:val="24"/>
        </w:rPr>
        <w:tab/>
        <w:t>(A3.</w:t>
      </w:r>
      <w:r>
        <w:rPr>
          <w:rFonts w:ascii="Times New Roman" w:hAnsi="Times New Roman"/>
          <w:sz w:val="24"/>
          <w:szCs w:val="24"/>
        </w:rPr>
        <w:t>4</w:t>
      </w:r>
      <w:r w:rsidRPr="002F09C8">
        <w:rPr>
          <w:rFonts w:ascii="Times New Roman" w:hAnsi="Times New Roman"/>
          <w:sz w:val="24"/>
          <w:szCs w:val="24"/>
        </w:rPr>
        <w:t>)</w:t>
      </w:r>
    </w:p>
    <w:p w:rsidR="00180425" w:rsidRPr="002F09C8" w:rsidRDefault="00180425" w:rsidP="00180425">
      <w:pPr>
        <w:ind w:left="0"/>
        <w:rPr>
          <w:rFonts w:ascii="Times New Roman" w:hAnsi="Times New Roman"/>
          <w:sz w:val="24"/>
          <w:szCs w:val="24"/>
        </w:rPr>
      </w:pPr>
      <w:r w:rsidRPr="002F09C8">
        <w:rPr>
          <w:rFonts w:ascii="Times New Roman" w:hAnsi="Times New Roman"/>
          <w:sz w:val="24"/>
          <w:szCs w:val="24"/>
        </w:rPr>
        <w:t>and</w:t>
      </w:r>
    </w:p>
    <w:p w:rsidR="00180425" w:rsidRPr="002F09C8" w:rsidRDefault="00180425" w:rsidP="00180425">
      <w:pPr>
        <w:tabs>
          <w:tab w:val="left" w:pos="851"/>
          <w:tab w:val="right" w:pos="8931"/>
        </w:tabs>
        <w:ind w:left="0"/>
        <w:rPr>
          <w:rFonts w:ascii="Times New Roman" w:hAnsi="Times New Roman"/>
          <w:sz w:val="24"/>
          <w:szCs w:val="24"/>
        </w:rPr>
      </w:pPr>
      <w:r w:rsidRPr="002F09C8">
        <w:rPr>
          <w:rFonts w:ascii="Times New Roman" w:hAnsi="Times New Roman"/>
          <w:sz w:val="24"/>
          <w:szCs w:val="24"/>
        </w:rPr>
        <w:tab/>
      </w:r>
      <w:r w:rsidRPr="002F09C8">
        <w:rPr>
          <w:rFonts w:ascii="Times New Roman" w:hAnsi="Times New Roman"/>
          <w:position w:val="-16"/>
          <w:sz w:val="24"/>
          <w:szCs w:val="24"/>
        </w:rPr>
        <w:object w:dxaOrig="2540" w:dyaOrig="440">
          <v:shape id="_x0000_i1084" type="#_x0000_t75" style="width:128.25pt;height:21.75pt" o:ole="">
            <v:imagedata r:id="rId147" o:title=""/>
          </v:shape>
          <o:OLEObject Type="Embed" ProgID="Equation.DSMT4" ShapeID="_x0000_i1084" DrawAspect="Content" ObjectID="_1774671705" r:id="rId148"/>
        </w:object>
      </w:r>
      <w:r w:rsidRPr="002F09C8">
        <w:rPr>
          <w:rFonts w:ascii="Times New Roman" w:hAnsi="Times New Roman"/>
          <w:sz w:val="24"/>
          <w:szCs w:val="24"/>
        </w:rPr>
        <w:t xml:space="preserve">     for all r</w:t>
      </w:r>
      <w:r w:rsidR="007C64F3">
        <w:rPr>
          <w:rFonts w:ascii="Times New Roman" w:hAnsi="Times New Roman"/>
          <w:sz w:val="24"/>
          <w:szCs w:val="24"/>
        </w:rPr>
        <w:t xml:space="preserve"> and q&gt;1</w:t>
      </w:r>
      <w:r w:rsidRPr="002F09C8">
        <w:rPr>
          <w:rFonts w:ascii="Times New Roman" w:hAnsi="Times New Roman"/>
          <w:sz w:val="24"/>
          <w:szCs w:val="24"/>
        </w:rPr>
        <w:t xml:space="preserve">   </w:t>
      </w:r>
      <w:r w:rsidRPr="002F09C8">
        <w:rPr>
          <w:rFonts w:ascii="Times New Roman" w:hAnsi="Times New Roman"/>
          <w:sz w:val="24"/>
          <w:szCs w:val="24"/>
        </w:rPr>
        <w:tab/>
        <w:t>(A3.</w:t>
      </w:r>
      <w:r>
        <w:rPr>
          <w:rFonts w:ascii="Times New Roman" w:hAnsi="Times New Roman"/>
          <w:sz w:val="24"/>
          <w:szCs w:val="24"/>
        </w:rPr>
        <w:t>5</w:t>
      </w:r>
      <w:r w:rsidRPr="002F09C8">
        <w:rPr>
          <w:rFonts w:ascii="Times New Roman" w:hAnsi="Times New Roman"/>
          <w:sz w:val="24"/>
          <w:szCs w:val="24"/>
        </w:rPr>
        <w:t>)</w:t>
      </w:r>
    </w:p>
    <w:p w:rsidR="00180425" w:rsidRPr="002F09C8" w:rsidRDefault="00180425" w:rsidP="00180425">
      <w:pPr>
        <w:ind w:left="0"/>
        <w:rPr>
          <w:rFonts w:ascii="Times New Roman" w:hAnsi="Times New Roman"/>
          <w:sz w:val="24"/>
          <w:szCs w:val="24"/>
        </w:rPr>
      </w:pPr>
      <w:r w:rsidRPr="002F09C8">
        <w:rPr>
          <w:rFonts w:ascii="Times New Roman" w:hAnsi="Times New Roman"/>
          <w:sz w:val="24"/>
          <w:szCs w:val="24"/>
        </w:rPr>
        <w:t>We continue the iterative steps until the movement</w:t>
      </w:r>
      <w:r w:rsidR="00355BB5">
        <w:rPr>
          <w:rFonts w:ascii="Times New Roman" w:hAnsi="Times New Roman"/>
          <w:sz w:val="24"/>
          <w:szCs w:val="24"/>
        </w:rPr>
        <w:t>s</w:t>
      </w:r>
      <w:r w:rsidRPr="002F09C8">
        <w:rPr>
          <w:rFonts w:ascii="Times New Roman" w:hAnsi="Times New Roman"/>
          <w:sz w:val="24"/>
          <w:szCs w:val="24"/>
        </w:rPr>
        <w:t xml:space="preserve"> in the guesses between steps </w:t>
      </w:r>
      <w:r w:rsidR="00355BB5">
        <w:rPr>
          <w:rFonts w:ascii="Times New Roman" w:hAnsi="Times New Roman"/>
          <w:sz w:val="24"/>
          <w:szCs w:val="24"/>
        </w:rPr>
        <w:t>are</w:t>
      </w:r>
      <w:r w:rsidRPr="002F09C8">
        <w:rPr>
          <w:rFonts w:ascii="Times New Roman" w:hAnsi="Times New Roman"/>
          <w:sz w:val="24"/>
          <w:szCs w:val="24"/>
        </w:rPr>
        <w:t xml:space="preserve"> negligible.  </w:t>
      </w:r>
    </w:p>
    <w:p w:rsidR="00180425" w:rsidRPr="00180425" w:rsidRDefault="00180425" w:rsidP="00180425">
      <w:pPr>
        <w:ind w:left="0"/>
        <w:rPr>
          <w:rFonts w:ascii="Times New Roman" w:hAnsi="Times New Roman"/>
          <w:b/>
          <w:i/>
          <w:sz w:val="24"/>
          <w:szCs w:val="24"/>
        </w:rPr>
      </w:pPr>
      <w:r w:rsidRPr="00180425">
        <w:rPr>
          <w:rFonts w:ascii="Times New Roman" w:hAnsi="Times New Roman"/>
          <w:b/>
          <w:i/>
          <w:sz w:val="24"/>
          <w:szCs w:val="24"/>
        </w:rPr>
        <w:t>GEMPACK implementation</w:t>
      </w:r>
    </w:p>
    <w:p w:rsidR="00180425" w:rsidRPr="00CF0CB3" w:rsidRDefault="00180425" w:rsidP="00180425">
      <w:pPr>
        <w:ind w:left="0"/>
        <w:rPr>
          <w:rFonts w:ascii="Times New Roman" w:hAnsi="Times New Roman"/>
          <w:sz w:val="24"/>
          <w:szCs w:val="24"/>
        </w:rPr>
      </w:pPr>
      <w:r w:rsidRPr="00CF0CB3">
        <w:rPr>
          <w:rFonts w:ascii="Times New Roman" w:hAnsi="Times New Roman"/>
          <w:sz w:val="24"/>
          <w:szCs w:val="24"/>
        </w:rPr>
        <w:t>The initial solution for almost all variables in the t(i) simulation is provided by the t(i-1) solution [the database in the case of the t(1) simulation].  In equation (A3.3), we set the initial solution for F(t(i)) at 1</w:t>
      </w:r>
      <w:r>
        <w:rPr>
          <w:rFonts w:ascii="Times New Roman" w:hAnsi="Times New Roman"/>
          <w:sz w:val="24"/>
          <w:szCs w:val="24"/>
        </w:rPr>
        <w:t xml:space="preserve"> </w:t>
      </w:r>
      <w:r w:rsidRPr="00CF0CB3">
        <w:rPr>
          <w:rFonts w:ascii="Times New Roman" w:hAnsi="Times New Roman"/>
          <w:sz w:val="24"/>
          <w:szCs w:val="24"/>
        </w:rPr>
        <w:t>and the initial solution</w:t>
      </w:r>
      <w:r>
        <w:rPr>
          <w:rFonts w:ascii="Times New Roman" w:hAnsi="Times New Roman"/>
          <w:sz w:val="24"/>
          <w:szCs w:val="24"/>
        </w:rPr>
        <w:t xml:space="preserve"> for G(r,t(i)) at KE(r,t(i-1))/</w:t>
      </w:r>
      <w:r w:rsidRPr="00CF0CB3">
        <w:rPr>
          <w:rFonts w:ascii="Times New Roman" w:hAnsi="Times New Roman"/>
          <w:sz w:val="24"/>
          <w:szCs w:val="24"/>
        </w:rPr>
        <w:t xml:space="preserve">KB(r,t(i-1)).  </w:t>
      </w:r>
    </w:p>
    <w:p w:rsidR="00180425" w:rsidRPr="00CF0CB3" w:rsidRDefault="00180425" w:rsidP="00180425">
      <w:pPr>
        <w:ind w:left="0"/>
        <w:rPr>
          <w:rFonts w:ascii="Times New Roman" w:hAnsi="Times New Roman"/>
          <w:sz w:val="24"/>
          <w:szCs w:val="24"/>
        </w:rPr>
      </w:pPr>
      <w:r>
        <w:rPr>
          <w:rFonts w:ascii="Times New Roman" w:hAnsi="Times New Roman"/>
          <w:sz w:val="24"/>
          <w:szCs w:val="24"/>
        </w:rPr>
        <w:t xml:space="preserve">The percentage change version of (A3.3) that we include in the GEMPACK representation of the model is: </w:t>
      </w:r>
    </w:p>
    <w:p w:rsidR="00180425" w:rsidRPr="002F09C8" w:rsidRDefault="00180425" w:rsidP="00180425">
      <w:pPr>
        <w:tabs>
          <w:tab w:val="left" w:pos="851"/>
          <w:tab w:val="right" w:pos="8931"/>
        </w:tabs>
        <w:ind w:left="0"/>
        <w:rPr>
          <w:rFonts w:ascii="Times New Roman" w:hAnsi="Times New Roman"/>
          <w:sz w:val="24"/>
          <w:szCs w:val="24"/>
        </w:rPr>
      </w:pPr>
      <w:r w:rsidRPr="002F09C8">
        <w:rPr>
          <w:rFonts w:ascii="Times New Roman" w:hAnsi="Times New Roman"/>
          <w:sz w:val="24"/>
          <w:szCs w:val="24"/>
        </w:rPr>
        <w:tab/>
      </w:r>
      <w:r w:rsidRPr="007F08A0">
        <w:rPr>
          <w:rFonts w:ascii="Times New Roman" w:hAnsi="Times New Roman"/>
          <w:position w:val="-10"/>
          <w:sz w:val="24"/>
          <w:szCs w:val="24"/>
        </w:rPr>
        <w:object w:dxaOrig="3780" w:dyaOrig="320">
          <v:shape id="_x0000_i1085" type="#_x0000_t75" style="width:189.75pt;height:15.75pt" o:ole="">
            <v:imagedata r:id="rId149" o:title=""/>
          </v:shape>
          <o:OLEObject Type="Embed" ProgID="Equation.DSMT4" ShapeID="_x0000_i1085" DrawAspect="Content" ObjectID="_1774671706" r:id="rId150"/>
        </w:object>
      </w:r>
      <w:r>
        <w:rPr>
          <w:rFonts w:ascii="Times New Roman" w:hAnsi="Times New Roman"/>
          <w:sz w:val="24"/>
          <w:szCs w:val="24"/>
        </w:rPr>
        <w:t xml:space="preserve">     for all r   </w:t>
      </w:r>
      <w:r>
        <w:rPr>
          <w:rFonts w:ascii="Times New Roman" w:hAnsi="Times New Roman"/>
          <w:sz w:val="24"/>
          <w:szCs w:val="24"/>
        </w:rPr>
        <w:tab/>
        <w:t>(A3.6</w:t>
      </w:r>
      <w:r w:rsidRPr="002F09C8">
        <w:rPr>
          <w:rFonts w:ascii="Times New Roman" w:hAnsi="Times New Roman"/>
          <w:sz w:val="24"/>
          <w:szCs w:val="24"/>
        </w:rPr>
        <w:t>)</w:t>
      </w:r>
    </w:p>
    <w:p w:rsidR="00180425" w:rsidRPr="002F09C8" w:rsidRDefault="00180425" w:rsidP="00180425">
      <w:pPr>
        <w:ind w:left="0"/>
        <w:rPr>
          <w:rFonts w:ascii="Times New Roman" w:hAnsi="Times New Roman"/>
          <w:sz w:val="24"/>
          <w:szCs w:val="24"/>
        </w:rPr>
      </w:pPr>
      <w:r w:rsidRPr="002F09C8">
        <w:rPr>
          <w:rFonts w:ascii="Times New Roman" w:hAnsi="Times New Roman"/>
          <w:sz w:val="24"/>
          <w:szCs w:val="24"/>
        </w:rPr>
        <w:t xml:space="preserve">where </w:t>
      </w:r>
      <w:r>
        <w:rPr>
          <w:rFonts w:ascii="Times New Roman" w:hAnsi="Times New Roman"/>
          <w:sz w:val="24"/>
          <w:szCs w:val="24"/>
        </w:rPr>
        <w:t>ke</w:t>
      </w:r>
      <w:r w:rsidRPr="002F09C8">
        <w:rPr>
          <w:rFonts w:ascii="Times New Roman" w:hAnsi="Times New Roman"/>
          <w:sz w:val="24"/>
          <w:szCs w:val="24"/>
        </w:rPr>
        <w:t>(r</w:t>
      </w:r>
      <w:r>
        <w:rPr>
          <w:rFonts w:ascii="Times New Roman" w:hAnsi="Times New Roman"/>
          <w:sz w:val="24"/>
          <w:szCs w:val="24"/>
        </w:rPr>
        <w:t xml:space="preserve">), kb(r),g(r) and ff_ke  are percentage deviations in KE(r,t(i)), KB(r,t(i)), G(r,t(i)) and FF_KE(t(i)) from their initial solutions, and f_ke(r) is a shift variable. </w:t>
      </w:r>
      <w:r w:rsidRPr="002F09C8">
        <w:rPr>
          <w:rFonts w:ascii="Times New Roman" w:hAnsi="Times New Roman"/>
          <w:sz w:val="24"/>
          <w:szCs w:val="24"/>
        </w:rPr>
        <w:t xml:space="preserve"> </w:t>
      </w:r>
    </w:p>
    <w:p w:rsidR="00180425" w:rsidRDefault="00180425" w:rsidP="00180425">
      <w:pPr>
        <w:ind w:left="0"/>
        <w:rPr>
          <w:rFonts w:ascii="Times New Roman" w:hAnsi="Times New Roman"/>
          <w:sz w:val="24"/>
          <w:szCs w:val="24"/>
        </w:rPr>
      </w:pPr>
      <w:r w:rsidRPr="00CF0CB3">
        <w:rPr>
          <w:rFonts w:ascii="Times New Roman" w:hAnsi="Times New Roman"/>
          <w:sz w:val="24"/>
          <w:szCs w:val="24"/>
        </w:rPr>
        <w:t xml:space="preserve">In the first iteration (q=1) </w:t>
      </w:r>
      <w:r w:rsidRPr="001E1C39">
        <w:rPr>
          <w:rFonts w:ascii="Times New Roman" w:hAnsi="Times New Roman"/>
          <w:sz w:val="24"/>
          <w:szCs w:val="24"/>
        </w:rPr>
        <w:t>we make (A3.6) inactive</w:t>
      </w:r>
      <w:r w:rsidRPr="00CF0CB3">
        <w:rPr>
          <w:rFonts w:ascii="Times New Roman" w:hAnsi="Times New Roman"/>
          <w:sz w:val="24"/>
          <w:szCs w:val="24"/>
        </w:rPr>
        <w:t>.  We do this by e</w:t>
      </w:r>
      <w:r>
        <w:rPr>
          <w:rFonts w:ascii="Times New Roman" w:hAnsi="Times New Roman"/>
          <w:sz w:val="24"/>
          <w:szCs w:val="24"/>
        </w:rPr>
        <w:t>nd</w:t>
      </w:r>
      <w:r w:rsidRPr="00CF0CB3">
        <w:rPr>
          <w:rFonts w:ascii="Times New Roman" w:hAnsi="Times New Roman"/>
          <w:sz w:val="24"/>
          <w:szCs w:val="24"/>
        </w:rPr>
        <w:t xml:space="preserve">ogenizing </w:t>
      </w:r>
      <w:r>
        <w:rPr>
          <w:rFonts w:ascii="Times New Roman" w:hAnsi="Times New Roman"/>
          <w:sz w:val="24"/>
          <w:szCs w:val="24"/>
        </w:rPr>
        <w:t>f_k</w:t>
      </w:r>
      <w:r w:rsidR="0073404E">
        <w:rPr>
          <w:rFonts w:ascii="Times New Roman" w:hAnsi="Times New Roman"/>
          <w:sz w:val="24"/>
          <w:szCs w:val="24"/>
        </w:rPr>
        <w:t>e</w:t>
      </w:r>
      <w:r w:rsidRPr="00CF0CB3">
        <w:rPr>
          <w:rFonts w:ascii="Times New Roman" w:hAnsi="Times New Roman"/>
          <w:sz w:val="24"/>
          <w:szCs w:val="24"/>
        </w:rPr>
        <w:t>(r)</w:t>
      </w:r>
      <w:r>
        <w:rPr>
          <w:rFonts w:ascii="Times New Roman" w:hAnsi="Times New Roman"/>
          <w:sz w:val="24"/>
          <w:szCs w:val="24"/>
        </w:rPr>
        <w:t xml:space="preserve"> and exogenizing ff_ke</w:t>
      </w:r>
      <w:r w:rsidRPr="00CF0CB3">
        <w:rPr>
          <w:rFonts w:ascii="Times New Roman" w:hAnsi="Times New Roman"/>
          <w:sz w:val="24"/>
          <w:szCs w:val="24"/>
        </w:rPr>
        <w:t xml:space="preserve">.  </w:t>
      </w:r>
      <w:r>
        <w:rPr>
          <w:rFonts w:ascii="Times New Roman" w:hAnsi="Times New Roman"/>
          <w:sz w:val="24"/>
          <w:szCs w:val="24"/>
        </w:rPr>
        <w:t xml:space="preserve">Rather than relying on (A3.6), we determine investment in each region in year t(i) according to the GTAP mechanism using equalization of risk-adjusted expected rates of return (described above).  With (A3.6) inactive, the value we choose for g(r) is unimportant: g(r) equals 0 will do. </w:t>
      </w:r>
    </w:p>
    <w:p w:rsidR="00180425" w:rsidRPr="00AA14DB" w:rsidRDefault="00180425" w:rsidP="00180425">
      <w:pPr>
        <w:ind w:left="0"/>
        <w:rPr>
          <w:rFonts w:ascii="Times New Roman" w:hAnsi="Times New Roman"/>
          <w:sz w:val="24"/>
          <w:szCs w:val="24"/>
        </w:rPr>
      </w:pPr>
      <w:r>
        <w:rPr>
          <w:rFonts w:ascii="Times New Roman" w:hAnsi="Times New Roman"/>
          <w:sz w:val="24"/>
          <w:szCs w:val="24"/>
        </w:rPr>
        <w:t xml:space="preserve">In subsequent iterations, q &gt; 1, (A3.6) remains inactive in the 2014-19 simulation in which regional investment is given by data.  However, for the 2019-30, 2030-40 and 2040-50 simulations, </w:t>
      </w:r>
      <w:r w:rsidRPr="00CF0CB3">
        <w:rPr>
          <w:rFonts w:ascii="Times New Roman" w:hAnsi="Times New Roman"/>
          <w:sz w:val="24"/>
          <w:szCs w:val="24"/>
        </w:rPr>
        <w:t>(A3.</w:t>
      </w:r>
      <w:r>
        <w:rPr>
          <w:rFonts w:ascii="Times New Roman" w:hAnsi="Times New Roman"/>
          <w:sz w:val="24"/>
          <w:szCs w:val="24"/>
        </w:rPr>
        <w:t>6</w:t>
      </w:r>
      <w:r w:rsidRPr="00CF0CB3">
        <w:rPr>
          <w:rFonts w:ascii="Times New Roman" w:hAnsi="Times New Roman"/>
          <w:sz w:val="24"/>
          <w:szCs w:val="24"/>
        </w:rPr>
        <w:t xml:space="preserve">) </w:t>
      </w:r>
      <w:r>
        <w:rPr>
          <w:rFonts w:ascii="Times New Roman" w:hAnsi="Times New Roman"/>
          <w:sz w:val="24"/>
          <w:szCs w:val="24"/>
        </w:rPr>
        <w:t>is activated:</w:t>
      </w:r>
      <w:r w:rsidRPr="00CF0CB3">
        <w:rPr>
          <w:rFonts w:ascii="Times New Roman" w:hAnsi="Times New Roman"/>
          <w:sz w:val="24"/>
          <w:szCs w:val="24"/>
        </w:rPr>
        <w:t xml:space="preserve"> f_</w:t>
      </w:r>
      <w:r>
        <w:rPr>
          <w:rFonts w:ascii="Times New Roman" w:hAnsi="Times New Roman"/>
          <w:sz w:val="24"/>
          <w:szCs w:val="24"/>
        </w:rPr>
        <w:t>ke</w:t>
      </w:r>
      <w:r w:rsidRPr="00CF0CB3">
        <w:rPr>
          <w:rFonts w:ascii="Times New Roman" w:hAnsi="Times New Roman"/>
          <w:sz w:val="24"/>
          <w:szCs w:val="24"/>
        </w:rPr>
        <w:t xml:space="preserve">(r) </w:t>
      </w:r>
      <w:r>
        <w:rPr>
          <w:rFonts w:ascii="Times New Roman" w:hAnsi="Times New Roman"/>
          <w:sz w:val="24"/>
          <w:szCs w:val="24"/>
        </w:rPr>
        <w:t xml:space="preserve">is exogenous and ff_ke is endogenous.  </w:t>
      </w:r>
      <w:r w:rsidRPr="00CF0CB3">
        <w:rPr>
          <w:rFonts w:ascii="Times New Roman" w:hAnsi="Times New Roman"/>
          <w:sz w:val="24"/>
          <w:szCs w:val="24"/>
        </w:rPr>
        <w:t xml:space="preserve">Now the guesses for g(r) play their </w:t>
      </w:r>
      <w:r w:rsidRPr="00AA14DB">
        <w:rPr>
          <w:rFonts w:ascii="Times New Roman" w:hAnsi="Times New Roman"/>
          <w:sz w:val="24"/>
          <w:szCs w:val="24"/>
        </w:rPr>
        <w:t xml:space="preserve">intended roles of determining growth in capital in the simulation year.     </w:t>
      </w:r>
    </w:p>
    <w:p w:rsidR="00180425" w:rsidRPr="00AA14DB" w:rsidRDefault="00180425" w:rsidP="00180425">
      <w:pPr>
        <w:ind w:left="0"/>
        <w:rPr>
          <w:rFonts w:ascii="Times New Roman" w:hAnsi="Times New Roman"/>
          <w:sz w:val="24"/>
          <w:szCs w:val="24"/>
        </w:rPr>
      </w:pPr>
      <w:r w:rsidRPr="00AA14DB">
        <w:rPr>
          <w:rFonts w:ascii="Times New Roman" w:hAnsi="Times New Roman"/>
          <w:sz w:val="24"/>
          <w:szCs w:val="24"/>
        </w:rPr>
        <w:t>In the t(i) simulation, with q&gt;1, we want to move G(r,t(i)) from its initial value to the value given by (A3.</w:t>
      </w:r>
      <w:r>
        <w:rPr>
          <w:rFonts w:ascii="Times New Roman" w:hAnsi="Times New Roman"/>
          <w:sz w:val="24"/>
          <w:szCs w:val="24"/>
        </w:rPr>
        <w:t>4</w:t>
      </w:r>
      <w:r w:rsidRPr="00AA14DB">
        <w:rPr>
          <w:rFonts w:ascii="Times New Roman" w:hAnsi="Times New Roman"/>
          <w:sz w:val="24"/>
          <w:szCs w:val="24"/>
        </w:rPr>
        <w:t xml:space="preserve">) </w:t>
      </w:r>
      <w:r>
        <w:rPr>
          <w:rFonts w:ascii="Times New Roman" w:hAnsi="Times New Roman"/>
          <w:sz w:val="24"/>
          <w:szCs w:val="24"/>
        </w:rPr>
        <w:t>or</w:t>
      </w:r>
      <w:r w:rsidRPr="00AA14DB">
        <w:rPr>
          <w:rFonts w:ascii="Times New Roman" w:hAnsi="Times New Roman"/>
          <w:sz w:val="24"/>
          <w:szCs w:val="24"/>
        </w:rPr>
        <w:t xml:space="preserve"> (A3.</w:t>
      </w:r>
      <w:r>
        <w:rPr>
          <w:rFonts w:ascii="Times New Roman" w:hAnsi="Times New Roman"/>
          <w:sz w:val="24"/>
          <w:szCs w:val="24"/>
        </w:rPr>
        <w:t>5</w:t>
      </w:r>
      <w:r w:rsidRPr="00AA14DB">
        <w:rPr>
          <w:rFonts w:ascii="Times New Roman" w:hAnsi="Times New Roman"/>
          <w:sz w:val="24"/>
          <w:szCs w:val="24"/>
        </w:rPr>
        <w:t xml:space="preserve">).  Consequently the shock we apply to g(r) in the t(i) simulation in the qth iteration is given by </w:t>
      </w:r>
    </w:p>
    <w:p w:rsidR="00180425" w:rsidRPr="00AA14DB" w:rsidRDefault="00180425" w:rsidP="00180425">
      <w:pPr>
        <w:tabs>
          <w:tab w:val="left" w:pos="851"/>
          <w:tab w:val="right" w:pos="8931"/>
        </w:tabs>
        <w:ind w:left="0"/>
        <w:rPr>
          <w:rFonts w:ascii="Times New Roman" w:hAnsi="Times New Roman"/>
          <w:sz w:val="24"/>
          <w:szCs w:val="24"/>
        </w:rPr>
      </w:pPr>
      <w:r w:rsidRPr="00AA14DB">
        <w:rPr>
          <w:rFonts w:ascii="Times New Roman" w:hAnsi="Times New Roman"/>
          <w:position w:val="-86"/>
          <w:sz w:val="24"/>
          <w:szCs w:val="24"/>
        </w:rPr>
        <w:object w:dxaOrig="6300" w:dyaOrig="1840">
          <v:shape id="_x0000_i1086" type="#_x0000_t75" style="width:315pt;height:92.25pt" o:ole="">
            <v:imagedata r:id="rId151" o:title=""/>
          </v:shape>
          <o:OLEObject Type="Embed" ProgID="Equation.DSMT4" ShapeID="_x0000_i1086" DrawAspect="Content" ObjectID="_1774671707" r:id="rId152"/>
        </w:object>
      </w:r>
      <w:r w:rsidRPr="00AA14DB">
        <w:rPr>
          <w:rFonts w:ascii="Times New Roman" w:hAnsi="Times New Roman"/>
          <w:sz w:val="24"/>
          <w:szCs w:val="24"/>
        </w:rPr>
        <w:t xml:space="preserve">   for all r, i=1,2,3   </w:t>
      </w:r>
      <w:r w:rsidRPr="00AA14DB">
        <w:rPr>
          <w:rFonts w:ascii="Times New Roman" w:hAnsi="Times New Roman"/>
          <w:sz w:val="24"/>
          <w:szCs w:val="24"/>
        </w:rPr>
        <w:tab/>
        <w:t>(A3.</w:t>
      </w:r>
      <w:r>
        <w:rPr>
          <w:rFonts w:ascii="Times New Roman" w:hAnsi="Times New Roman"/>
          <w:sz w:val="24"/>
          <w:szCs w:val="24"/>
        </w:rPr>
        <w:t>7</w:t>
      </w:r>
      <w:r w:rsidRPr="00AA14DB">
        <w:rPr>
          <w:rFonts w:ascii="Times New Roman" w:hAnsi="Times New Roman"/>
          <w:sz w:val="24"/>
          <w:szCs w:val="24"/>
        </w:rPr>
        <w:t>)</w:t>
      </w:r>
    </w:p>
    <w:p w:rsidR="00180425" w:rsidRPr="00AA14DB" w:rsidRDefault="00180425" w:rsidP="00180425">
      <w:pPr>
        <w:ind w:left="0"/>
        <w:rPr>
          <w:rFonts w:ascii="Times New Roman" w:hAnsi="Times New Roman"/>
          <w:sz w:val="24"/>
          <w:szCs w:val="24"/>
        </w:rPr>
      </w:pPr>
      <w:r w:rsidRPr="00AA14DB">
        <w:rPr>
          <w:rFonts w:ascii="Times New Roman" w:hAnsi="Times New Roman"/>
          <w:sz w:val="24"/>
          <w:szCs w:val="24"/>
        </w:rPr>
        <w:t>and</w:t>
      </w:r>
    </w:p>
    <w:p w:rsidR="00180425" w:rsidRPr="00AA14DB" w:rsidRDefault="00180425" w:rsidP="00180425">
      <w:pPr>
        <w:tabs>
          <w:tab w:val="left" w:pos="851"/>
          <w:tab w:val="right" w:pos="8931"/>
        </w:tabs>
        <w:ind w:left="0"/>
        <w:rPr>
          <w:rFonts w:ascii="Times New Roman" w:hAnsi="Times New Roman"/>
          <w:sz w:val="24"/>
          <w:szCs w:val="24"/>
        </w:rPr>
      </w:pPr>
      <w:r w:rsidRPr="00AA14DB">
        <w:rPr>
          <w:rFonts w:ascii="Times New Roman" w:hAnsi="Times New Roman"/>
          <w:position w:val="-86"/>
          <w:sz w:val="24"/>
          <w:szCs w:val="24"/>
        </w:rPr>
        <w:object w:dxaOrig="5800" w:dyaOrig="1840">
          <v:shape id="_x0000_i1087" type="#_x0000_t75" style="width:291pt;height:92.25pt" o:ole="">
            <v:imagedata r:id="rId153" o:title=""/>
          </v:shape>
          <o:OLEObject Type="Embed" ProgID="Equation.DSMT4" ShapeID="_x0000_i1087" DrawAspect="Content" ObjectID="_1774671708" r:id="rId154"/>
        </w:object>
      </w:r>
      <w:r w:rsidRPr="00AA14DB">
        <w:rPr>
          <w:rFonts w:ascii="Times New Roman" w:hAnsi="Times New Roman"/>
          <w:sz w:val="24"/>
          <w:szCs w:val="24"/>
        </w:rPr>
        <w:t xml:space="preserve">   for all r,</w:t>
      </w:r>
      <w:r w:rsidRPr="00AA14DB">
        <w:rPr>
          <w:rFonts w:ascii="Times New Roman" w:hAnsi="Times New Roman"/>
          <w:sz w:val="24"/>
          <w:szCs w:val="24"/>
        </w:rPr>
        <w:tab/>
        <w:t>(A3.</w:t>
      </w:r>
      <w:r>
        <w:rPr>
          <w:rFonts w:ascii="Times New Roman" w:hAnsi="Times New Roman"/>
          <w:sz w:val="24"/>
          <w:szCs w:val="24"/>
        </w:rPr>
        <w:t>8</w:t>
      </w:r>
      <w:r w:rsidRPr="00AA14DB">
        <w:rPr>
          <w:rFonts w:ascii="Times New Roman" w:hAnsi="Times New Roman"/>
          <w:sz w:val="24"/>
          <w:szCs w:val="24"/>
        </w:rPr>
        <w:t>)</w:t>
      </w:r>
    </w:p>
    <w:p w:rsidR="00180425" w:rsidRPr="00180425" w:rsidRDefault="0073404E" w:rsidP="00180425">
      <w:pPr>
        <w:spacing w:before="0"/>
        <w:ind w:left="0"/>
        <w:rPr>
          <w:rFonts w:ascii="Times New Roman" w:hAnsi="Times New Roman"/>
          <w:sz w:val="24"/>
          <w:szCs w:val="24"/>
        </w:rPr>
      </w:pPr>
      <w:r>
        <w:rPr>
          <w:rFonts w:ascii="Times New Roman" w:hAnsi="Times New Roman"/>
          <w:sz w:val="24"/>
          <w:szCs w:val="24"/>
        </w:rPr>
        <w:t>The results in the main text are h</w:t>
      </w:r>
      <w:r w:rsidR="00180425">
        <w:rPr>
          <w:rFonts w:ascii="Times New Roman" w:hAnsi="Times New Roman"/>
          <w:sz w:val="24"/>
          <w:szCs w:val="24"/>
        </w:rPr>
        <w:t xml:space="preserve">ighly converged </w:t>
      </w:r>
      <w:r>
        <w:rPr>
          <w:rFonts w:ascii="Times New Roman" w:hAnsi="Times New Roman"/>
          <w:sz w:val="24"/>
          <w:szCs w:val="24"/>
        </w:rPr>
        <w:t>solutions</w:t>
      </w:r>
      <w:r w:rsidR="00180425">
        <w:rPr>
          <w:rFonts w:ascii="Times New Roman" w:hAnsi="Times New Roman"/>
          <w:sz w:val="24"/>
          <w:szCs w:val="24"/>
        </w:rPr>
        <w:t xml:space="preserve"> obtained with q = 8.   </w:t>
      </w:r>
    </w:p>
    <w:p w:rsidR="00180425" w:rsidRDefault="00FD3954" w:rsidP="001E047A">
      <w:pPr>
        <w:ind w:left="0"/>
        <w:rPr>
          <w:rFonts w:ascii="Times New Roman" w:hAnsi="Times New Roman"/>
          <w:b/>
          <w:i/>
          <w:iCs/>
          <w:sz w:val="24"/>
          <w:szCs w:val="24"/>
        </w:rPr>
      </w:pPr>
      <w:r>
        <w:rPr>
          <w:rFonts w:ascii="Times New Roman" w:hAnsi="Times New Roman"/>
          <w:b/>
          <w:i/>
          <w:iCs/>
          <w:sz w:val="24"/>
          <w:szCs w:val="24"/>
        </w:rPr>
        <w:t>Do forward-looking expectations matter?</w:t>
      </w:r>
    </w:p>
    <w:p w:rsidR="009F0A38" w:rsidRDefault="00FD3954" w:rsidP="001E047A">
      <w:pPr>
        <w:ind w:left="0"/>
        <w:rPr>
          <w:rFonts w:ascii="Times New Roman" w:hAnsi="Times New Roman"/>
          <w:iCs/>
          <w:sz w:val="24"/>
          <w:szCs w:val="24"/>
        </w:rPr>
      </w:pPr>
      <w:r>
        <w:rPr>
          <w:rFonts w:ascii="Times New Roman" w:hAnsi="Times New Roman"/>
          <w:iCs/>
          <w:sz w:val="24"/>
          <w:szCs w:val="24"/>
        </w:rPr>
        <w:t>To answer this question we prepared Table</w:t>
      </w:r>
      <w:r w:rsidR="009F0A38">
        <w:rPr>
          <w:rFonts w:ascii="Times New Roman" w:hAnsi="Times New Roman"/>
          <w:iCs/>
          <w:sz w:val="24"/>
          <w:szCs w:val="24"/>
        </w:rPr>
        <w:t>s</w:t>
      </w:r>
      <w:r>
        <w:rPr>
          <w:rFonts w:ascii="Times New Roman" w:hAnsi="Times New Roman"/>
          <w:iCs/>
          <w:sz w:val="24"/>
          <w:szCs w:val="24"/>
        </w:rPr>
        <w:t xml:space="preserve"> A3.1 </w:t>
      </w:r>
      <w:r w:rsidR="009F0A38">
        <w:rPr>
          <w:rFonts w:ascii="Times New Roman" w:hAnsi="Times New Roman"/>
          <w:iCs/>
          <w:sz w:val="24"/>
          <w:szCs w:val="24"/>
        </w:rPr>
        <w:t xml:space="preserve">– A3.3 </w:t>
      </w:r>
      <w:r>
        <w:rPr>
          <w:rFonts w:ascii="Times New Roman" w:hAnsi="Times New Roman"/>
          <w:iCs/>
          <w:sz w:val="24"/>
          <w:szCs w:val="24"/>
        </w:rPr>
        <w:t xml:space="preserve">which show </w:t>
      </w:r>
      <w:r w:rsidR="009F0A38">
        <w:rPr>
          <w:rFonts w:ascii="Times New Roman" w:hAnsi="Times New Roman"/>
          <w:iCs/>
          <w:sz w:val="24"/>
          <w:szCs w:val="24"/>
        </w:rPr>
        <w:t xml:space="preserve">capital and investment </w:t>
      </w:r>
      <w:r w:rsidR="00E87607">
        <w:rPr>
          <w:rFonts w:ascii="Times New Roman" w:hAnsi="Times New Roman"/>
          <w:iCs/>
          <w:sz w:val="24"/>
          <w:szCs w:val="24"/>
        </w:rPr>
        <w:t>results computed under static expectations (q=1) and converged forward-looking expectations</w:t>
      </w:r>
      <w:r w:rsidR="009F0A38">
        <w:rPr>
          <w:rFonts w:ascii="Times New Roman" w:hAnsi="Times New Roman"/>
          <w:iCs/>
          <w:sz w:val="24"/>
          <w:szCs w:val="24"/>
        </w:rPr>
        <w:t xml:space="preserve"> (q=8)</w:t>
      </w:r>
      <w:r>
        <w:rPr>
          <w:rFonts w:ascii="Times New Roman" w:hAnsi="Times New Roman"/>
          <w:iCs/>
          <w:sz w:val="24"/>
          <w:szCs w:val="24"/>
        </w:rPr>
        <w:t xml:space="preserve">  </w:t>
      </w:r>
    </w:p>
    <w:p w:rsidR="00E2590F" w:rsidRDefault="009F0A38" w:rsidP="001E047A">
      <w:pPr>
        <w:ind w:left="0"/>
        <w:rPr>
          <w:rFonts w:ascii="Times New Roman" w:hAnsi="Times New Roman"/>
          <w:iCs/>
          <w:sz w:val="24"/>
          <w:szCs w:val="24"/>
        </w:rPr>
      </w:pPr>
      <w:r>
        <w:rPr>
          <w:rFonts w:ascii="Times New Roman" w:hAnsi="Times New Roman"/>
          <w:iCs/>
          <w:sz w:val="24"/>
          <w:szCs w:val="24"/>
        </w:rPr>
        <w:t xml:space="preserve">Table A3.1 gives average annual percentage growth rates in capital stocks from the start of 2014 to the start of 2019, from the start of 2019 to the start of 2030, etc.  For 2014 to 2019, these growth rates </w:t>
      </w:r>
      <w:r w:rsidR="00FD3954">
        <w:rPr>
          <w:rFonts w:ascii="Times New Roman" w:hAnsi="Times New Roman"/>
          <w:iCs/>
          <w:sz w:val="24"/>
          <w:szCs w:val="24"/>
        </w:rPr>
        <w:t>are the same in both panels</w:t>
      </w:r>
      <w:r w:rsidR="00E2590F">
        <w:rPr>
          <w:rFonts w:ascii="Times New Roman" w:hAnsi="Times New Roman"/>
          <w:iCs/>
          <w:sz w:val="24"/>
          <w:szCs w:val="24"/>
        </w:rPr>
        <w:t xml:space="preserve"> of the table</w:t>
      </w:r>
      <w:r w:rsidR="00FD3954">
        <w:rPr>
          <w:rFonts w:ascii="Times New Roman" w:hAnsi="Times New Roman"/>
          <w:iCs/>
          <w:sz w:val="24"/>
          <w:szCs w:val="24"/>
        </w:rPr>
        <w:t xml:space="preserve">: they are determined by data.  </w:t>
      </w:r>
      <w:r>
        <w:rPr>
          <w:rFonts w:ascii="Times New Roman" w:hAnsi="Times New Roman"/>
          <w:iCs/>
          <w:sz w:val="24"/>
          <w:szCs w:val="24"/>
        </w:rPr>
        <w:t>For the other periods</w:t>
      </w:r>
      <w:r w:rsidR="0002601B">
        <w:rPr>
          <w:rFonts w:ascii="Times New Roman" w:hAnsi="Times New Roman"/>
          <w:iCs/>
          <w:sz w:val="24"/>
          <w:szCs w:val="24"/>
        </w:rPr>
        <w:t>,</w:t>
      </w:r>
      <w:r>
        <w:rPr>
          <w:rFonts w:ascii="Times New Roman" w:hAnsi="Times New Roman"/>
          <w:iCs/>
          <w:sz w:val="24"/>
          <w:szCs w:val="24"/>
        </w:rPr>
        <w:t xml:space="preserve"> the</w:t>
      </w:r>
      <w:r w:rsidR="00E2590F">
        <w:rPr>
          <w:rFonts w:ascii="Times New Roman" w:hAnsi="Times New Roman"/>
          <w:iCs/>
          <w:sz w:val="24"/>
          <w:szCs w:val="24"/>
        </w:rPr>
        <w:t>re are</w:t>
      </w:r>
      <w:r>
        <w:rPr>
          <w:rFonts w:ascii="Times New Roman" w:hAnsi="Times New Roman"/>
          <w:iCs/>
          <w:sz w:val="24"/>
          <w:szCs w:val="24"/>
        </w:rPr>
        <w:t xml:space="preserve"> differences in growth rates between the two panels </w:t>
      </w:r>
      <w:r w:rsidR="00E2590F">
        <w:rPr>
          <w:rFonts w:ascii="Times New Roman" w:hAnsi="Times New Roman"/>
          <w:iCs/>
          <w:sz w:val="24"/>
          <w:szCs w:val="24"/>
        </w:rPr>
        <w:t xml:space="preserve">but they </w:t>
      </w:r>
      <w:r>
        <w:rPr>
          <w:rFonts w:ascii="Times New Roman" w:hAnsi="Times New Roman"/>
          <w:iCs/>
          <w:sz w:val="24"/>
          <w:szCs w:val="24"/>
        </w:rPr>
        <w:t xml:space="preserve">are relatively minor.  </w:t>
      </w:r>
    </w:p>
    <w:p w:rsidR="000D0989" w:rsidRDefault="000D0989" w:rsidP="001E047A">
      <w:pPr>
        <w:ind w:left="0"/>
        <w:rPr>
          <w:rFonts w:ascii="Times New Roman" w:hAnsi="Times New Roman"/>
          <w:iCs/>
          <w:sz w:val="24"/>
          <w:szCs w:val="24"/>
        </w:rPr>
      </w:pPr>
      <w:r>
        <w:rPr>
          <w:rFonts w:ascii="Times New Roman" w:hAnsi="Times New Roman"/>
          <w:iCs/>
          <w:sz w:val="24"/>
          <w:szCs w:val="24"/>
        </w:rPr>
        <w:t xml:space="preserve">Table A3.2 shows percentage growth in capital stocks </w:t>
      </w:r>
      <w:r>
        <w:rPr>
          <w:rFonts w:ascii="Times New Roman" w:hAnsi="Times New Roman"/>
          <w:i/>
          <w:iCs/>
          <w:sz w:val="24"/>
          <w:szCs w:val="24"/>
        </w:rPr>
        <w:t>in</w:t>
      </w:r>
      <w:r>
        <w:rPr>
          <w:rFonts w:ascii="Times New Roman" w:hAnsi="Times New Roman"/>
          <w:iCs/>
          <w:sz w:val="24"/>
          <w:szCs w:val="24"/>
        </w:rPr>
        <w:t xml:space="preserve"> 2019, 2030, 2040 and 2050.  These compare start-of-year capital stocks with end-of-year capital stocks.  The 2019 growth rates are derived from data and consequently are the same in both panels.  However, there are </w:t>
      </w:r>
      <w:r w:rsidR="00FD3954">
        <w:rPr>
          <w:rFonts w:ascii="Times New Roman" w:hAnsi="Times New Roman"/>
          <w:iCs/>
          <w:sz w:val="24"/>
          <w:szCs w:val="24"/>
        </w:rPr>
        <w:t xml:space="preserve">considerable differences in the results </w:t>
      </w:r>
      <w:r>
        <w:rPr>
          <w:rFonts w:ascii="Times New Roman" w:hAnsi="Times New Roman"/>
          <w:iCs/>
          <w:sz w:val="24"/>
          <w:szCs w:val="24"/>
        </w:rPr>
        <w:t xml:space="preserve">for the other years </w:t>
      </w:r>
      <w:r w:rsidR="00FD3954">
        <w:rPr>
          <w:rFonts w:ascii="Times New Roman" w:hAnsi="Times New Roman"/>
          <w:iCs/>
          <w:sz w:val="24"/>
          <w:szCs w:val="24"/>
        </w:rPr>
        <w:t xml:space="preserve">as we move from static-expectations to converged forward-looking expectations.  </w:t>
      </w:r>
    </w:p>
    <w:p w:rsidR="00EC4525" w:rsidRDefault="000D0989" w:rsidP="005D6B0F">
      <w:pPr>
        <w:ind w:left="0"/>
        <w:rPr>
          <w:rFonts w:ascii="Times New Roman" w:hAnsi="Times New Roman"/>
          <w:iCs/>
          <w:sz w:val="24"/>
          <w:szCs w:val="24"/>
        </w:rPr>
      </w:pPr>
      <w:r>
        <w:rPr>
          <w:rFonts w:ascii="Times New Roman" w:hAnsi="Times New Roman"/>
          <w:iCs/>
          <w:sz w:val="24"/>
          <w:szCs w:val="24"/>
        </w:rPr>
        <w:t xml:space="preserve">Table A3.3 shows average annual percentage growth rates in investment across periods: 2019 compared with 2014; 2030 compared with 2019; etc.  </w:t>
      </w:r>
      <w:r w:rsidR="00315913">
        <w:rPr>
          <w:rFonts w:ascii="Times New Roman" w:hAnsi="Times New Roman"/>
          <w:iCs/>
          <w:sz w:val="24"/>
          <w:szCs w:val="24"/>
        </w:rPr>
        <w:t>The growth rates in the 2014-19 columns are the same in both panels because they are derived from data.  The growth rates in the other columns follow in a mechanical way from the results in Tables A3.1</w:t>
      </w:r>
      <w:r w:rsidR="00207E09">
        <w:rPr>
          <w:rFonts w:ascii="Times New Roman" w:hAnsi="Times New Roman"/>
          <w:iCs/>
          <w:sz w:val="24"/>
          <w:szCs w:val="24"/>
        </w:rPr>
        <w:t xml:space="preserve"> and A3.2</w:t>
      </w:r>
      <w:r w:rsidR="00CF0210">
        <w:rPr>
          <w:rFonts w:ascii="Times New Roman" w:hAnsi="Times New Roman"/>
          <w:iCs/>
          <w:sz w:val="24"/>
          <w:szCs w:val="24"/>
        </w:rPr>
        <w:t xml:space="preserve"> </w:t>
      </w:r>
      <w:r w:rsidR="007C64F3">
        <w:rPr>
          <w:rFonts w:ascii="Times New Roman" w:hAnsi="Times New Roman"/>
          <w:iCs/>
          <w:sz w:val="24"/>
          <w:szCs w:val="24"/>
        </w:rPr>
        <w:t xml:space="preserve">according to </w:t>
      </w:r>
      <w:r w:rsidR="00CF0210">
        <w:rPr>
          <w:rFonts w:ascii="Times New Roman" w:hAnsi="Times New Roman"/>
          <w:iCs/>
          <w:sz w:val="24"/>
          <w:szCs w:val="24"/>
        </w:rPr>
        <w:t>a generalized version of equation (6.2)</w:t>
      </w:r>
      <w:r w:rsidR="005D6B0F">
        <w:rPr>
          <w:rFonts w:ascii="Times New Roman" w:hAnsi="Times New Roman"/>
          <w:iCs/>
          <w:sz w:val="24"/>
          <w:szCs w:val="24"/>
        </w:rPr>
        <w:t xml:space="preserve">: </w:t>
      </w:r>
    </w:p>
    <w:p w:rsidR="004138FD" w:rsidRDefault="00FE7A27" w:rsidP="00931856">
      <w:pPr>
        <w:tabs>
          <w:tab w:val="right" w:pos="8931"/>
        </w:tabs>
        <w:ind w:left="0"/>
        <w:rPr>
          <w:rFonts w:ascii="Times New Roman" w:hAnsi="Times New Roman"/>
          <w:iCs/>
          <w:sz w:val="24"/>
          <w:szCs w:val="24"/>
        </w:rPr>
      </w:pPr>
      <w:r w:rsidRPr="00FE7A27">
        <w:rPr>
          <w:rFonts w:ascii="Times New Roman" w:hAnsi="Times New Roman"/>
          <w:iCs/>
          <w:position w:val="-84"/>
          <w:sz w:val="24"/>
          <w:szCs w:val="24"/>
        </w:rPr>
        <w:object w:dxaOrig="7900" w:dyaOrig="1800">
          <v:shape id="_x0000_i1088" type="#_x0000_t75" style="width:395.25pt;height:89.25pt" o:ole="">
            <v:imagedata r:id="rId155" o:title=""/>
          </v:shape>
          <o:OLEObject Type="Embed" ProgID="Equation.DSMT4" ShapeID="_x0000_i1088" DrawAspect="Content" ObjectID="_1774671709" r:id="rId156"/>
        </w:object>
      </w:r>
      <w:r w:rsidR="004138FD">
        <w:rPr>
          <w:rFonts w:ascii="Times New Roman" w:hAnsi="Times New Roman"/>
          <w:iCs/>
          <w:sz w:val="24"/>
          <w:szCs w:val="24"/>
        </w:rPr>
        <w:t xml:space="preserve"> </w:t>
      </w:r>
      <w:r w:rsidR="00931856">
        <w:rPr>
          <w:rFonts w:ascii="Times New Roman" w:hAnsi="Times New Roman"/>
          <w:iCs/>
          <w:sz w:val="24"/>
          <w:szCs w:val="24"/>
        </w:rPr>
        <w:tab/>
        <w:t>(A3.</w:t>
      </w:r>
      <w:r w:rsidR="005D6B0F">
        <w:rPr>
          <w:rFonts w:ascii="Times New Roman" w:hAnsi="Times New Roman"/>
          <w:iCs/>
          <w:sz w:val="24"/>
          <w:szCs w:val="24"/>
        </w:rPr>
        <w:t>9</w:t>
      </w:r>
      <w:r w:rsidR="00931856">
        <w:rPr>
          <w:rFonts w:ascii="Times New Roman" w:hAnsi="Times New Roman"/>
          <w:iCs/>
          <w:sz w:val="24"/>
          <w:szCs w:val="24"/>
        </w:rPr>
        <w:t>)</w:t>
      </w:r>
    </w:p>
    <w:p w:rsidR="00EC4525" w:rsidRDefault="00931856" w:rsidP="00931856">
      <w:pPr>
        <w:spacing w:before="0"/>
        <w:ind w:left="0"/>
        <w:rPr>
          <w:rFonts w:ascii="Times New Roman" w:hAnsi="Times New Roman"/>
          <w:iCs/>
          <w:sz w:val="24"/>
          <w:szCs w:val="24"/>
        </w:rPr>
      </w:pPr>
      <w:r>
        <w:rPr>
          <w:rFonts w:ascii="Times New Roman" w:hAnsi="Times New Roman"/>
          <w:iCs/>
          <w:sz w:val="24"/>
          <w:szCs w:val="24"/>
        </w:rPr>
        <w:t xml:space="preserve">where </w:t>
      </w:r>
    </w:p>
    <w:p w:rsidR="00931856" w:rsidRDefault="008A169B" w:rsidP="00931856">
      <w:pPr>
        <w:spacing w:before="0"/>
        <w:ind w:left="284"/>
        <w:rPr>
          <w:rFonts w:ascii="Times New Roman" w:hAnsi="Times New Roman"/>
          <w:iCs/>
          <w:sz w:val="24"/>
          <w:szCs w:val="24"/>
        </w:rPr>
      </w:pPr>
      <w:r w:rsidRPr="00931856">
        <w:rPr>
          <w:rFonts w:ascii="Times New Roman" w:hAnsi="Times New Roman"/>
          <w:iCs/>
          <w:position w:val="-14"/>
          <w:sz w:val="24"/>
          <w:szCs w:val="24"/>
        </w:rPr>
        <w:object w:dxaOrig="1320" w:dyaOrig="400">
          <v:shape id="_x0000_i1089" type="#_x0000_t75" style="width:66pt;height:19.5pt" o:ole="">
            <v:imagedata r:id="rId157" o:title=""/>
          </v:shape>
          <o:OLEObject Type="Embed" ProgID="Equation.DSMT4" ShapeID="_x0000_i1089" DrawAspect="Content" ObjectID="_1774671710" r:id="rId158"/>
        </w:object>
      </w:r>
      <w:r w:rsidR="00931856">
        <w:rPr>
          <w:rFonts w:ascii="Times New Roman" w:hAnsi="Times New Roman"/>
          <w:iCs/>
          <w:sz w:val="24"/>
          <w:szCs w:val="24"/>
        </w:rPr>
        <w:t xml:space="preserve"> is the </w:t>
      </w:r>
      <w:r w:rsidR="005D6B0F">
        <w:rPr>
          <w:rFonts w:ascii="Times New Roman" w:hAnsi="Times New Roman"/>
          <w:iCs/>
          <w:sz w:val="24"/>
          <w:szCs w:val="24"/>
        </w:rPr>
        <w:t xml:space="preserve">average annual percentage growth in investment in a region from </w:t>
      </w:r>
      <w:r w:rsidR="005D6B0F">
        <w:rPr>
          <w:rFonts w:ascii="Times New Roman" w:hAnsi="Times New Roman"/>
          <w:iCs/>
          <w:sz w:val="24"/>
          <w:szCs w:val="24"/>
        </w:rPr>
        <w:br/>
      </w:r>
      <w:r w:rsidR="00931856">
        <w:rPr>
          <w:rFonts w:ascii="Times New Roman" w:hAnsi="Times New Roman"/>
          <w:iCs/>
          <w:sz w:val="24"/>
          <w:szCs w:val="24"/>
        </w:rPr>
        <w:t>t(i-1) to t(i)</w:t>
      </w:r>
      <w:r w:rsidR="005D6B0F">
        <w:rPr>
          <w:rFonts w:ascii="Times New Roman" w:hAnsi="Times New Roman"/>
          <w:iCs/>
          <w:sz w:val="24"/>
          <w:szCs w:val="24"/>
        </w:rPr>
        <w:t>,</w:t>
      </w:r>
      <w:r w:rsidR="00931856">
        <w:rPr>
          <w:rFonts w:ascii="Times New Roman" w:hAnsi="Times New Roman"/>
          <w:iCs/>
          <w:sz w:val="24"/>
          <w:szCs w:val="24"/>
        </w:rPr>
        <w:t xml:space="preserve"> result</w:t>
      </w:r>
      <w:r w:rsidR="005D6B0F">
        <w:rPr>
          <w:rFonts w:ascii="Times New Roman" w:hAnsi="Times New Roman"/>
          <w:iCs/>
          <w:sz w:val="24"/>
          <w:szCs w:val="24"/>
        </w:rPr>
        <w:t>s</w:t>
      </w:r>
      <w:r w:rsidR="00931856">
        <w:rPr>
          <w:rFonts w:ascii="Times New Roman" w:hAnsi="Times New Roman"/>
          <w:iCs/>
          <w:sz w:val="24"/>
          <w:szCs w:val="24"/>
        </w:rPr>
        <w:t xml:space="preserve"> in </w:t>
      </w:r>
      <w:r>
        <w:rPr>
          <w:rFonts w:ascii="Times New Roman" w:hAnsi="Times New Roman"/>
          <w:iCs/>
          <w:sz w:val="24"/>
          <w:szCs w:val="24"/>
        </w:rPr>
        <w:t xml:space="preserve">Table </w:t>
      </w:r>
      <w:r w:rsidR="00931856">
        <w:rPr>
          <w:rFonts w:ascii="Times New Roman" w:hAnsi="Times New Roman"/>
          <w:iCs/>
          <w:sz w:val="24"/>
          <w:szCs w:val="24"/>
        </w:rPr>
        <w:t>A3.3;</w:t>
      </w:r>
    </w:p>
    <w:p w:rsidR="00931856" w:rsidRDefault="008A169B" w:rsidP="00931856">
      <w:pPr>
        <w:spacing w:before="0"/>
        <w:ind w:left="284"/>
        <w:rPr>
          <w:rFonts w:ascii="Times New Roman" w:hAnsi="Times New Roman"/>
          <w:iCs/>
          <w:sz w:val="24"/>
          <w:szCs w:val="24"/>
        </w:rPr>
      </w:pPr>
      <w:r w:rsidRPr="008A169B">
        <w:rPr>
          <w:rFonts w:ascii="Times New Roman" w:hAnsi="Times New Roman"/>
          <w:iCs/>
          <w:position w:val="-14"/>
          <w:sz w:val="24"/>
          <w:szCs w:val="24"/>
        </w:rPr>
        <w:object w:dxaOrig="1500" w:dyaOrig="400">
          <v:shape id="_x0000_i1090" type="#_x0000_t75" style="width:73.5pt;height:19.5pt" o:ole="">
            <v:imagedata r:id="rId159" o:title=""/>
          </v:shape>
          <o:OLEObject Type="Embed" ProgID="Equation.DSMT4" ShapeID="_x0000_i1090" DrawAspect="Content" ObjectID="_1774671711" r:id="rId160"/>
        </w:object>
      </w:r>
      <w:r>
        <w:rPr>
          <w:rFonts w:ascii="Times New Roman" w:hAnsi="Times New Roman"/>
          <w:iCs/>
          <w:sz w:val="24"/>
          <w:szCs w:val="24"/>
        </w:rPr>
        <w:t xml:space="preserve"> is the average annual percentage growth i</w:t>
      </w:r>
      <w:r w:rsidR="0073404E">
        <w:rPr>
          <w:rFonts w:ascii="Times New Roman" w:hAnsi="Times New Roman"/>
          <w:iCs/>
          <w:sz w:val="24"/>
          <w:szCs w:val="24"/>
        </w:rPr>
        <w:t>n</w:t>
      </w:r>
      <w:r>
        <w:rPr>
          <w:rFonts w:ascii="Times New Roman" w:hAnsi="Times New Roman"/>
          <w:iCs/>
          <w:sz w:val="24"/>
          <w:szCs w:val="24"/>
        </w:rPr>
        <w:t xml:space="preserve"> start</w:t>
      </w:r>
      <w:r w:rsidR="0073404E">
        <w:rPr>
          <w:rFonts w:ascii="Times New Roman" w:hAnsi="Times New Roman"/>
          <w:iCs/>
          <w:sz w:val="24"/>
          <w:szCs w:val="24"/>
        </w:rPr>
        <w:t>-</w:t>
      </w:r>
      <w:r>
        <w:rPr>
          <w:rFonts w:ascii="Times New Roman" w:hAnsi="Times New Roman"/>
          <w:iCs/>
          <w:sz w:val="24"/>
          <w:szCs w:val="24"/>
        </w:rPr>
        <w:t>of</w:t>
      </w:r>
      <w:r w:rsidR="0073404E">
        <w:rPr>
          <w:rFonts w:ascii="Times New Roman" w:hAnsi="Times New Roman"/>
          <w:iCs/>
          <w:sz w:val="24"/>
          <w:szCs w:val="24"/>
        </w:rPr>
        <w:t>-</w:t>
      </w:r>
      <w:r>
        <w:rPr>
          <w:rFonts w:ascii="Times New Roman" w:hAnsi="Times New Roman"/>
          <w:iCs/>
          <w:sz w:val="24"/>
          <w:szCs w:val="24"/>
        </w:rPr>
        <w:t>year capital for a region, result</w:t>
      </w:r>
      <w:r w:rsidR="005D6B0F">
        <w:rPr>
          <w:rFonts w:ascii="Times New Roman" w:hAnsi="Times New Roman"/>
          <w:iCs/>
          <w:sz w:val="24"/>
          <w:szCs w:val="24"/>
        </w:rPr>
        <w:t>s</w:t>
      </w:r>
      <w:r>
        <w:rPr>
          <w:rFonts w:ascii="Times New Roman" w:hAnsi="Times New Roman"/>
          <w:iCs/>
          <w:sz w:val="24"/>
          <w:szCs w:val="24"/>
        </w:rPr>
        <w:t xml:space="preserve"> in Table A3.1; and</w:t>
      </w:r>
    </w:p>
    <w:p w:rsidR="008A169B" w:rsidRDefault="008A169B" w:rsidP="00931856">
      <w:pPr>
        <w:spacing w:before="0"/>
        <w:ind w:left="284"/>
        <w:rPr>
          <w:rFonts w:ascii="Times New Roman" w:hAnsi="Times New Roman"/>
          <w:iCs/>
          <w:sz w:val="24"/>
          <w:szCs w:val="24"/>
        </w:rPr>
      </w:pPr>
      <w:r>
        <w:rPr>
          <w:rFonts w:ascii="Times New Roman" w:hAnsi="Times New Roman"/>
          <w:iCs/>
          <w:sz w:val="24"/>
          <w:szCs w:val="24"/>
        </w:rPr>
        <w:t>k[t(i)] is the percentage growth of capital in a region across year t(i), result</w:t>
      </w:r>
      <w:r w:rsidR="005D6B0F">
        <w:rPr>
          <w:rFonts w:ascii="Times New Roman" w:hAnsi="Times New Roman"/>
          <w:iCs/>
          <w:sz w:val="24"/>
          <w:szCs w:val="24"/>
        </w:rPr>
        <w:t>s</w:t>
      </w:r>
      <w:r>
        <w:rPr>
          <w:rFonts w:ascii="Times New Roman" w:hAnsi="Times New Roman"/>
          <w:iCs/>
          <w:sz w:val="24"/>
          <w:szCs w:val="24"/>
        </w:rPr>
        <w:t xml:space="preserve"> in Table </w:t>
      </w:r>
      <w:r w:rsidR="005D6B0F">
        <w:rPr>
          <w:rFonts w:ascii="Times New Roman" w:hAnsi="Times New Roman"/>
          <w:iCs/>
          <w:sz w:val="24"/>
          <w:szCs w:val="24"/>
        </w:rPr>
        <w:t>A</w:t>
      </w:r>
      <w:r>
        <w:rPr>
          <w:rFonts w:ascii="Times New Roman" w:hAnsi="Times New Roman"/>
          <w:iCs/>
          <w:sz w:val="24"/>
          <w:szCs w:val="24"/>
        </w:rPr>
        <w:t xml:space="preserve">3.2.  </w:t>
      </w:r>
    </w:p>
    <w:p w:rsidR="008A169B" w:rsidRDefault="008A169B" w:rsidP="008A169B">
      <w:pPr>
        <w:ind w:left="0"/>
        <w:rPr>
          <w:rFonts w:ascii="Times New Roman" w:hAnsi="Times New Roman"/>
          <w:iCs/>
          <w:sz w:val="24"/>
          <w:szCs w:val="24"/>
        </w:rPr>
      </w:pPr>
      <w:r>
        <w:rPr>
          <w:rFonts w:ascii="Times New Roman" w:hAnsi="Times New Roman"/>
          <w:iCs/>
          <w:sz w:val="24"/>
          <w:szCs w:val="24"/>
        </w:rPr>
        <w:t>(A3.</w:t>
      </w:r>
      <w:r w:rsidR="005D6B0F">
        <w:rPr>
          <w:rFonts w:ascii="Times New Roman" w:hAnsi="Times New Roman"/>
          <w:iCs/>
          <w:sz w:val="24"/>
          <w:szCs w:val="24"/>
        </w:rPr>
        <w:t>9</w:t>
      </w:r>
      <w:r>
        <w:rPr>
          <w:rFonts w:ascii="Times New Roman" w:hAnsi="Times New Roman"/>
          <w:iCs/>
          <w:sz w:val="24"/>
          <w:szCs w:val="24"/>
        </w:rPr>
        <w:t xml:space="preserve">) means that the investment results in Table A3.3 don’t need a separate explanation once we have understood the results in Tables A3.1 and A3.2.  </w:t>
      </w:r>
    </w:p>
    <w:p w:rsidR="00E2590F" w:rsidRDefault="00E2590F" w:rsidP="00E2590F">
      <w:pPr>
        <w:ind w:left="0"/>
        <w:rPr>
          <w:rFonts w:ascii="Times New Roman" w:hAnsi="Times New Roman"/>
          <w:iCs/>
          <w:sz w:val="24"/>
          <w:szCs w:val="24"/>
        </w:rPr>
      </w:pPr>
      <w:r>
        <w:rPr>
          <w:rFonts w:ascii="Times New Roman" w:hAnsi="Times New Roman"/>
          <w:iCs/>
          <w:sz w:val="24"/>
          <w:szCs w:val="24"/>
        </w:rPr>
        <w:t xml:space="preserve">In Table </w:t>
      </w:r>
      <w:r w:rsidR="005D6B0F">
        <w:rPr>
          <w:rFonts w:ascii="Times New Roman" w:hAnsi="Times New Roman"/>
          <w:iCs/>
          <w:sz w:val="24"/>
          <w:szCs w:val="24"/>
        </w:rPr>
        <w:t>A</w:t>
      </w:r>
      <w:r>
        <w:rPr>
          <w:rFonts w:ascii="Times New Roman" w:hAnsi="Times New Roman"/>
          <w:iCs/>
          <w:sz w:val="24"/>
          <w:szCs w:val="24"/>
        </w:rPr>
        <w:t xml:space="preserve">3.1, capital growth over the simulation periods 2019-30, 2030-40 and 2040-50 depends mainly on our assumptions concerning growth in real GDP and employment.  These assumptions don’t vary as we go from q=1 to q=8.  This is the reason that the </w:t>
      </w:r>
      <w:r w:rsidR="006375D1">
        <w:rPr>
          <w:rFonts w:ascii="Times New Roman" w:hAnsi="Times New Roman"/>
          <w:iCs/>
          <w:sz w:val="24"/>
          <w:szCs w:val="24"/>
        </w:rPr>
        <w:t xml:space="preserve">differences in the </w:t>
      </w:r>
      <w:r>
        <w:rPr>
          <w:rFonts w:ascii="Times New Roman" w:hAnsi="Times New Roman"/>
          <w:iCs/>
          <w:sz w:val="24"/>
          <w:szCs w:val="24"/>
        </w:rPr>
        <w:t xml:space="preserve">growth rates between the two panels </w:t>
      </w:r>
      <w:r w:rsidR="006375D1">
        <w:rPr>
          <w:rFonts w:ascii="Times New Roman" w:hAnsi="Times New Roman"/>
          <w:iCs/>
          <w:sz w:val="24"/>
          <w:szCs w:val="24"/>
        </w:rPr>
        <w:t xml:space="preserve">in Table </w:t>
      </w:r>
      <w:r w:rsidR="005D6B0F">
        <w:rPr>
          <w:rFonts w:ascii="Times New Roman" w:hAnsi="Times New Roman"/>
          <w:iCs/>
          <w:sz w:val="24"/>
          <w:szCs w:val="24"/>
        </w:rPr>
        <w:t>A</w:t>
      </w:r>
      <w:r w:rsidR="006375D1">
        <w:rPr>
          <w:rFonts w:ascii="Times New Roman" w:hAnsi="Times New Roman"/>
          <w:iCs/>
          <w:sz w:val="24"/>
          <w:szCs w:val="24"/>
        </w:rPr>
        <w:t xml:space="preserve">3.1 are </w:t>
      </w:r>
      <w:r>
        <w:rPr>
          <w:rFonts w:ascii="Times New Roman" w:hAnsi="Times New Roman"/>
          <w:iCs/>
          <w:sz w:val="24"/>
          <w:szCs w:val="24"/>
        </w:rPr>
        <w:t xml:space="preserve">relatively minor.  </w:t>
      </w:r>
      <w:r w:rsidR="006375D1">
        <w:rPr>
          <w:rFonts w:ascii="Times New Roman" w:hAnsi="Times New Roman"/>
          <w:iCs/>
          <w:sz w:val="24"/>
          <w:szCs w:val="24"/>
        </w:rPr>
        <w:t>Consequently</w:t>
      </w:r>
      <w:r w:rsidR="0073404E">
        <w:rPr>
          <w:rFonts w:ascii="Times New Roman" w:hAnsi="Times New Roman"/>
          <w:iCs/>
          <w:sz w:val="24"/>
          <w:szCs w:val="24"/>
        </w:rPr>
        <w:t>,</w:t>
      </w:r>
      <w:r w:rsidR="006375D1">
        <w:rPr>
          <w:rFonts w:ascii="Times New Roman" w:hAnsi="Times New Roman"/>
          <w:iCs/>
          <w:sz w:val="24"/>
          <w:szCs w:val="24"/>
        </w:rPr>
        <w:t xml:space="preserve"> in explaining the differences in the investment results in </w:t>
      </w:r>
      <w:r w:rsidR="007C64F3">
        <w:rPr>
          <w:rFonts w:ascii="Times New Roman" w:hAnsi="Times New Roman"/>
          <w:iCs/>
          <w:sz w:val="24"/>
          <w:szCs w:val="24"/>
        </w:rPr>
        <w:t xml:space="preserve">left and right panels of </w:t>
      </w:r>
      <w:r w:rsidR="006375D1">
        <w:rPr>
          <w:rFonts w:ascii="Times New Roman" w:hAnsi="Times New Roman"/>
          <w:iCs/>
          <w:sz w:val="24"/>
          <w:szCs w:val="24"/>
        </w:rPr>
        <w:t xml:space="preserve">Table </w:t>
      </w:r>
      <w:r w:rsidR="005D6B0F">
        <w:rPr>
          <w:rFonts w:ascii="Times New Roman" w:hAnsi="Times New Roman"/>
          <w:iCs/>
          <w:sz w:val="24"/>
          <w:szCs w:val="24"/>
        </w:rPr>
        <w:t>A</w:t>
      </w:r>
      <w:r w:rsidR="006375D1">
        <w:rPr>
          <w:rFonts w:ascii="Times New Roman" w:hAnsi="Times New Roman"/>
          <w:iCs/>
          <w:sz w:val="24"/>
          <w:szCs w:val="24"/>
        </w:rPr>
        <w:t xml:space="preserve">3.3, we can focus on Table </w:t>
      </w:r>
      <w:r w:rsidR="005D6B0F">
        <w:rPr>
          <w:rFonts w:ascii="Times New Roman" w:hAnsi="Times New Roman"/>
          <w:iCs/>
          <w:sz w:val="24"/>
          <w:szCs w:val="24"/>
        </w:rPr>
        <w:t>A</w:t>
      </w:r>
      <w:r w:rsidR="006375D1">
        <w:rPr>
          <w:rFonts w:ascii="Times New Roman" w:hAnsi="Times New Roman"/>
          <w:iCs/>
          <w:sz w:val="24"/>
          <w:szCs w:val="24"/>
        </w:rPr>
        <w:t xml:space="preserve">3.2.   </w:t>
      </w:r>
    </w:p>
    <w:p w:rsidR="000D0989" w:rsidRPr="006375D1" w:rsidRDefault="000D0989" w:rsidP="001E047A">
      <w:pPr>
        <w:ind w:left="0"/>
        <w:rPr>
          <w:rFonts w:ascii="Times New Roman" w:hAnsi="Times New Roman"/>
          <w:i/>
          <w:iCs/>
          <w:sz w:val="24"/>
          <w:szCs w:val="24"/>
        </w:rPr>
      </w:pPr>
      <w:r>
        <w:rPr>
          <w:rFonts w:ascii="Times New Roman" w:hAnsi="Times New Roman"/>
          <w:i/>
          <w:iCs/>
          <w:sz w:val="24"/>
          <w:szCs w:val="24"/>
        </w:rPr>
        <w:t>The relationship between capital growth through a period and capital growth through a year</w:t>
      </w:r>
      <w:r w:rsidR="006375D1">
        <w:rPr>
          <w:rFonts w:ascii="Times New Roman" w:hAnsi="Times New Roman"/>
          <w:i/>
          <w:iCs/>
          <w:sz w:val="24"/>
          <w:szCs w:val="24"/>
        </w:rPr>
        <w:t xml:space="preserve"> u</w:t>
      </w:r>
      <w:r w:rsidRPr="006375D1">
        <w:rPr>
          <w:rFonts w:ascii="Times New Roman" w:hAnsi="Times New Roman"/>
          <w:i/>
          <w:iCs/>
          <w:sz w:val="24"/>
          <w:szCs w:val="24"/>
        </w:rPr>
        <w:t xml:space="preserve">nder converged forward-looking expectations </w:t>
      </w:r>
    </w:p>
    <w:p w:rsidR="00C42609" w:rsidRDefault="006375D1" w:rsidP="001E047A">
      <w:pPr>
        <w:ind w:left="0"/>
        <w:rPr>
          <w:rFonts w:ascii="Times New Roman" w:hAnsi="Times New Roman"/>
          <w:iCs/>
          <w:sz w:val="24"/>
          <w:szCs w:val="24"/>
        </w:rPr>
      </w:pPr>
      <w:r>
        <w:rPr>
          <w:rFonts w:ascii="Times New Roman" w:hAnsi="Times New Roman"/>
          <w:iCs/>
          <w:sz w:val="24"/>
          <w:szCs w:val="24"/>
        </w:rPr>
        <w:t xml:space="preserve">The results for 2030 in the right panel of Table </w:t>
      </w:r>
      <w:r w:rsidR="005D6B0F">
        <w:rPr>
          <w:rFonts w:ascii="Times New Roman" w:hAnsi="Times New Roman"/>
          <w:iCs/>
          <w:sz w:val="24"/>
          <w:szCs w:val="24"/>
        </w:rPr>
        <w:t>A</w:t>
      </w:r>
      <w:r>
        <w:rPr>
          <w:rFonts w:ascii="Times New Roman" w:hAnsi="Times New Roman"/>
          <w:iCs/>
          <w:sz w:val="24"/>
          <w:szCs w:val="24"/>
        </w:rPr>
        <w:t xml:space="preserve">3.2 are </w:t>
      </w:r>
      <w:r w:rsidR="0073404E">
        <w:rPr>
          <w:rFonts w:ascii="Times New Roman" w:hAnsi="Times New Roman"/>
          <w:iCs/>
          <w:sz w:val="24"/>
          <w:szCs w:val="24"/>
        </w:rPr>
        <w:t xml:space="preserve">tightly </w:t>
      </w:r>
      <w:r>
        <w:rPr>
          <w:rFonts w:ascii="Times New Roman" w:hAnsi="Times New Roman"/>
          <w:iCs/>
          <w:sz w:val="24"/>
          <w:szCs w:val="24"/>
        </w:rPr>
        <w:t>related to those for 2030-40 in the right panel of T</w:t>
      </w:r>
      <w:r w:rsidR="00C42609">
        <w:rPr>
          <w:rFonts w:ascii="Times New Roman" w:hAnsi="Times New Roman"/>
          <w:iCs/>
          <w:sz w:val="24"/>
          <w:szCs w:val="24"/>
        </w:rPr>
        <w:t xml:space="preserve">able </w:t>
      </w:r>
      <w:r w:rsidR="005D6B0F">
        <w:rPr>
          <w:rFonts w:ascii="Times New Roman" w:hAnsi="Times New Roman"/>
          <w:iCs/>
          <w:sz w:val="24"/>
          <w:szCs w:val="24"/>
        </w:rPr>
        <w:t>A</w:t>
      </w:r>
      <w:r w:rsidR="00C42609">
        <w:rPr>
          <w:rFonts w:ascii="Times New Roman" w:hAnsi="Times New Roman"/>
          <w:iCs/>
          <w:sz w:val="24"/>
          <w:szCs w:val="24"/>
        </w:rPr>
        <w:t xml:space="preserve">3.1.  Under forward-looking expectations, the growth rates </w:t>
      </w:r>
      <w:r w:rsidR="00C42609" w:rsidRPr="00C42609">
        <w:rPr>
          <w:rFonts w:ascii="Times New Roman" w:hAnsi="Times New Roman"/>
          <w:i/>
          <w:iCs/>
          <w:sz w:val="24"/>
          <w:szCs w:val="24"/>
        </w:rPr>
        <w:t>in</w:t>
      </w:r>
      <w:r w:rsidR="00C42609">
        <w:rPr>
          <w:rFonts w:ascii="Times New Roman" w:hAnsi="Times New Roman"/>
          <w:iCs/>
          <w:sz w:val="24"/>
          <w:szCs w:val="24"/>
        </w:rPr>
        <w:t xml:space="preserve"> 2030 reflect the average annual growth rates for the perio</w:t>
      </w:r>
      <w:r w:rsidR="0073404E">
        <w:rPr>
          <w:rFonts w:ascii="Times New Roman" w:hAnsi="Times New Roman"/>
          <w:iCs/>
          <w:sz w:val="24"/>
          <w:szCs w:val="24"/>
        </w:rPr>
        <w:t>d 2030 to 2040.</w:t>
      </w:r>
      <w:r w:rsidR="00C42609">
        <w:rPr>
          <w:rFonts w:ascii="Times New Roman" w:hAnsi="Times New Roman"/>
          <w:iCs/>
          <w:sz w:val="24"/>
          <w:szCs w:val="24"/>
        </w:rPr>
        <w:t xml:space="preserve">  The </w:t>
      </w:r>
      <w:r w:rsidR="0073404E">
        <w:rPr>
          <w:rFonts w:ascii="Times New Roman" w:hAnsi="Times New Roman"/>
          <w:iCs/>
          <w:sz w:val="24"/>
          <w:szCs w:val="24"/>
        </w:rPr>
        <w:t xml:space="preserve">2030 </w:t>
      </w:r>
      <w:r w:rsidR="00C42609">
        <w:rPr>
          <w:rFonts w:ascii="Times New Roman" w:hAnsi="Times New Roman"/>
          <w:iCs/>
          <w:sz w:val="24"/>
          <w:szCs w:val="24"/>
        </w:rPr>
        <w:t xml:space="preserve">growth rates </w:t>
      </w:r>
      <w:r w:rsidR="00A451B2">
        <w:rPr>
          <w:rFonts w:ascii="Times New Roman" w:hAnsi="Times New Roman"/>
          <w:iCs/>
          <w:sz w:val="24"/>
          <w:szCs w:val="24"/>
        </w:rPr>
        <w:t xml:space="preserve">in </w:t>
      </w:r>
      <w:r w:rsidR="007C64F3">
        <w:rPr>
          <w:rFonts w:ascii="Times New Roman" w:hAnsi="Times New Roman"/>
          <w:iCs/>
          <w:sz w:val="24"/>
          <w:szCs w:val="24"/>
        </w:rPr>
        <w:t xml:space="preserve">the right panel of </w:t>
      </w:r>
      <w:r w:rsidR="00A451B2">
        <w:rPr>
          <w:rFonts w:ascii="Times New Roman" w:hAnsi="Times New Roman"/>
          <w:iCs/>
          <w:sz w:val="24"/>
          <w:szCs w:val="24"/>
        </w:rPr>
        <w:t xml:space="preserve">Table A3.2 </w:t>
      </w:r>
      <w:r w:rsidR="00C42609">
        <w:rPr>
          <w:rFonts w:ascii="Times New Roman" w:hAnsi="Times New Roman"/>
          <w:iCs/>
          <w:sz w:val="24"/>
          <w:szCs w:val="24"/>
        </w:rPr>
        <w:t xml:space="preserve">are about 0.3 percentage points greater than </w:t>
      </w:r>
      <w:r w:rsidR="00A451B2">
        <w:rPr>
          <w:rFonts w:ascii="Times New Roman" w:hAnsi="Times New Roman"/>
          <w:iCs/>
          <w:sz w:val="24"/>
          <w:szCs w:val="24"/>
        </w:rPr>
        <w:t>the 2030-40 growth rates i</w:t>
      </w:r>
      <w:r w:rsidR="00C42609">
        <w:rPr>
          <w:rFonts w:ascii="Times New Roman" w:hAnsi="Times New Roman"/>
          <w:iCs/>
          <w:sz w:val="24"/>
          <w:szCs w:val="24"/>
        </w:rPr>
        <w:t xml:space="preserve">n </w:t>
      </w:r>
      <w:r w:rsidR="007C64F3">
        <w:rPr>
          <w:rFonts w:ascii="Times New Roman" w:hAnsi="Times New Roman"/>
          <w:iCs/>
          <w:sz w:val="24"/>
          <w:szCs w:val="24"/>
        </w:rPr>
        <w:t xml:space="preserve">the right panel of </w:t>
      </w:r>
      <w:r w:rsidR="00C42609">
        <w:rPr>
          <w:rFonts w:ascii="Times New Roman" w:hAnsi="Times New Roman"/>
          <w:iCs/>
          <w:sz w:val="24"/>
          <w:szCs w:val="24"/>
        </w:rPr>
        <w:t xml:space="preserve">Table A3.1.  </w:t>
      </w:r>
      <w:r w:rsidR="00A451B2">
        <w:rPr>
          <w:rFonts w:ascii="Times New Roman" w:hAnsi="Times New Roman"/>
          <w:iCs/>
          <w:sz w:val="24"/>
          <w:szCs w:val="24"/>
        </w:rPr>
        <w:t xml:space="preserve">Why the discrepancy?  </w:t>
      </w:r>
      <w:r w:rsidR="00C42609">
        <w:rPr>
          <w:rFonts w:ascii="Times New Roman" w:hAnsi="Times New Roman"/>
          <w:iCs/>
          <w:sz w:val="24"/>
          <w:szCs w:val="24"/>
        </w:rPr>
        <w:t xml:space="preserve">The answer is that global saving as a share of global GDP declines as we go from 2030 to 2040.  This means that capital growth </w:t>
      </w:r>
      <w:r w:rsidR="00C42609">
        <w:rPr>
          <w:rFonts w:ascii="Times New Roman" w:hAnsi="Times New Roman"/>
          <w:i/>
          <w:iCs/>
          <w:sz w:val="24"/>
          <w:szCs w:val="24"/>
        </w:rPr>
        <w:t>in</w:t>
      </w:r>
      <w:r w:rsidR="00C42609">
        <w:rPr>
          <w:rFonts w:ascii="Times New Roman" w:hAnsi="Times New Roman"/>
          <w:iCs/>
          <w:sz w:val="24"/>
          <w:szCs w:val="24"/>
        </w:rPr>
        <w:t xml:space="preserve"> 2030 can’t be sustained over the following decade. </w:t>
      </w:r>
      <w:r w:rsidR="007C64F3">
        <w:rPr>
          <w:rFonts w:ascii="Times New Roman" w:hAnsi="Times New Roman"/>
          <w:iCs/>
          <w:sz w:val="24"/>
          <w:szCs w:val="24"/>
        </w:rPr>
        <w:t xml:space="preserve"> </w:t>
      </w:r>
    </w:p>
    <w:p w:rsidR="000D0989" w:rsidRDefault="00C42609" w:rsidP="001E047A">
      <w:pPr>
        <w:ind w:left="0"/>
        <w:rPr>
          <w:rFonts w:ascii="Times New Roman" w:hAnsi="Times New Roman"/>
          <w:iCs/>
          <w:sz w:val="24"/>
          <w:szCs w:val="24"/>
        </w:rPr>
      </w:pPr>
      <w:r>
        <w:rPr>
          <w:rFonts w:ascii="Times New Roman" w:hAnsi="Times New Roman"/>
          <w:iCs/>
          <w:sz w:val="24"/>
          <w:szCs w:val="24"/>
        </w:rPr>
        <w:t xml:space="preserve">Similarly, the growth rates in 2040 </w:t>
      </w:r>
      <w:r w:rsidR="00B17C3F">
        <w:rPr>
          <w:rFonts w:ascii="Times New Roman" w:hAnsi="Times New Roman"/>
          <w:iCs/>
          <w:sz w:val="24"/>
          <w:szCs w:val="24"/>
        </w:rPr>
        <w:t xml:space="preserve">in the right panel of Table A3.2 are tightly related to those for 2040-50 in the right panel of Table A3.1.  With our terminal condition, the growth rates in 2050 in the right panel of Table A3.2 are also explained by those for 2040-50 in the right panel of Table A3.1.  </w:t>
      </w:r>
    </w:p>
    <w:p w:rsidR="00B17C3F" w:rsidRPr="006375D1" w:rsidRDefault="00B17C3F" w:rsidP="00B17C3F">
      <w:pPr>
        <w:ind w:left="0"/>
        <w:rPr>
          <w:rFonts w:ascii="Times New Roman" w:hAnsi="Times New Roman"/>
          <w:i/>
          <w:iCs/>
          <w:sz w:val="24"/>
          <w:szCs w:val="24"/>
        </w:rPr>
      </w:pPr>
      <w:r>
        <w:rPr>
          <w:rFonts w:ascii="Times New Roman" w:hAnsi="Times New Roman"/>
          <w:i/>
          <w:iCs/>
          <w:sz w:val="24"/>
          <w:szCs w:val="24"/>
        </w:rPr>
        <w:t>The relationship between capital growth through a period and capital growth through a year u</w:t>
      </w:r>
      <w:r w:rsidRPr="006375D1">
        <w:rPr>
          <w:rFonts w:ascii="Times New Roman" w:hAnsi="Times New Roman"/>
          <w:i/>
          <w:iCs/>
          <w:sz w:val="24"/>
          <w:szCs w:val="24"/>
        </w:rPr>
        <w:t xml:space="preserve">nder </w:t>
      </w:r>
      <w:r>
        <w:rPr>
          <w:rFonts w:ascii="Times New Roman" w:hAnsi="Times New Roman"/>
          <w:i/>
          <w:iCs/>
          <w:sz w:val="24"/>
          <w:szCs w:val="24"/>
        </w:rPr>
        <w:t>static expectations</w:t>
      </w:r>
      <w:r w:rsidRPr="006375D1">
        <w:rPr>
          <w:rFonts w:ascii="Times New Roman" w:hAnsi="Times New Roman"/>
          <w:i/>
          <w:iCs/>
          <w:sz w:val="24"/>
          <w:szCs w:val="24"/>
        </w:rPr>
        <w:t xml:space="preserve"> </w:t>
      </w:r>
    </w:p>
    <w:p w:rsidR="001E047A" w:rsidRPr="00180425" w:rsidRDefault="00B17C3F" w:rsidP="002C4FD6">
      <w:pPr>
        <w:ind w:left="0"/>
        <w:rPr>
          <w:rFonts w:ascii="Times New Roman" w:hAnsi="Times New Roman"/>
          <w:iCs/>
          <w:sz w:val="24"/>
          <w:szCs w:val="24"/>
        </w:rPr>
      </w:pPr>
      <w:r>
        <w:rPr>
          <w:rFonts w:ascii="Times New Roman" w:hAnsi="Times New Roman"/>
          <w:iCs/>
          <w:sz w:val="24"/>
          <w:szCs w:val="24"/>
        </w:rPr>
        <w:t>To understand the relationships between the results in the left panels of Tables A3.1 and A3.2, we need to</w:t>
      </w:r>
      <w:r w:rsidR="00FD3954">
        <w:rPr>
          <w:rFonts w:ascii="Times New Roman" w:hAnsi="Times New Roman"/>
          <w:iCs/>
          <w:sz w:val="24"/>
          <w:szCs w:val="24"/>
        </w:rPr>
        <w:t xml:space="preserve"> set out the details of the GTAP specification </w:t>
      </w:r>
      <w:r>
        <w:rPr>
          <w:rFonts w:ascii="Times New Roman" w:hAnsi="Times New Roman"/>
          <w:iCs/>
          <w:sz w:val="24"/>
          <w:szCs w:val="24"/>
        </w:rPr>
        <w:t xml:space="preserve">of capital growth in a year under static expectations.  This </w:t>
      </w:r>
      <w:r w:rsidR="002C4FD6">
        <w:rPr>
          <w:rFonts w:ascii="Times New Roman" w:hAnsi="Times New Roman"/>
          <w:iCs/>
          <w:sz w:val="24"/>
          <w:szCs w:val="24"/>
        </w:rPr>
        <w:t>specification can be expressed as</w:t>
      </w:r>
      <w:r w:rsidR="002C4FD6" w:rsidRPr="00180425">
        <w:rPr>
          <w:rStyle w:val="FootnoteReference"/>
          <w:rFonts w:ascii="Times New Roman" w:hAnsi="Times New Roman"/>
          <w:iCs/>
          <w:sz w:val="24"/>
          <w:szCs w:val="24"/>
        </w:rPr>
        <w:footnoteReference w:id="11"/>
      </w:r>
      <w:r w:rsidR="002C4FD6">
        <w:rPr>
          <w:rFonts w:ascii="Times New Roman" w:hAnsi="Times New Roman"/>
          <w:iCs/>
          <w:sz w:val="24"/>
          <w:szCs w:val="24"/>
        </w:rPr>
        <w:t>:</w:t>
      </w:r>
      <w:r w:rsidR="001E047A" w:rsidRPr="00180425">
        <w:rPr>
          <w:rFonts w:ascii="Times New Roman" w:hAnsi="Times New Roman"/>
          <w:iCs/>
          <w:sz w:val="24"/>
          <w:szCs w:val="24"/>
        </w:rPr>
        <w:t xml:space="preserve"> </w:t>
      </w:r>
    </w:p>
    <w:p w:rsidR="00286C33" w:rsidRPr="00286C33" w:rsidRDefault="00286C33" w:rsidP="002C4FD6">
      <w:pPr>
        <w:tabs>
          <w:tab w:val="left" w:pos="851"/>
          <w:tab w:val="right" w:pos="8789"/>
        </w:tabs>
        <w:ind w:left="0"/>
        <w:rPr>
          <w:rFonts w:ascii="Times New Roman" w:hAnsi="Times New Roman"/>
          <w:sz w:val="24"/>
          <w:szCs w:val="24"/>
        </w:rPr>
      </w:pPr>
      <w:r w:rsidRPr="00180425">
        <w:rPr>
          <w:rFonts w:ascii="Times New Roman" w:hAnsi="Times New Roman"/>
          <w:sz w:val="24"/>
          <w:szCs w:val="24"/>
        </w:rPr>
        <w:t xml:space="preserve">      </w:t>
      </w:r>
      <w:r w:rsidRPr="00180425">
        <w:rPr>
          <w:rFonts w:ascii="Times New Roman" w:hAnsi="Times New Roman"/>
          <w:position w:val="-32"/>
          <w:sz w:val="24"/>
          <w:szCs w:val="24"/>
        </w:rPr>
        <w:object w:dxaOrig="7100" w:dyaOrig="820">
          <v:shape id="_x0000_i1091" type="#_x0000_t75" style="width:355.5pt;height:42pt" o:ole="">
            <v:imagedata r:id="rId161" o:title=""/>
          </v:shape>
          <o:OLEObject Type="Embed" ProgID="Equation.DSMT4" ShapeID="_x0000_i1091" DrawAspect="Content" ObjectID="_1774671712" r:id="rId162"/>
        </w:object>
      </w:r>
      <w:r w:rsidRPr="00286C33">
        <w:rPr>
          <w:rFonts w:ascii="Times New Roman" w:hAnsi="Times New Roman"/>
          <w:sz w:val="24"/>
          <w:szCs w:val="24"/>
        </w:rPr>
        <w:t xml:space="preserve"> </w:t>
      </w:r>
      <w:r w:rsidRPr="00286C33">
        <w:rPr>
          <w:rFonts w:ascii="Times New Roman" w:hAnsi="Times New Roman"/>
          <w:sz w:val="24"/>
          <w:szCs w:val="24"/>
        </w:rPr>
        <w:tab/>
        <w:t>(</w:t>
      </w:r>
      <w:r w:rsidRPr="00180425">
        <w:rPr>
          <w:rFonts w:ascii="Times New Roman" w:hAnsi="Times New Roman"/>
          <w:sz w:val="24"/>
          <w:szCs w:val="24"/>
        </w:rPr>
        <w:t>A3.</w:t>
      </w:r>
      <w:r w:rsidR="005D6B0F">
        <w:rPr>
          <w:rFonts w:ascii="Times New Roman" w:hAnsi="Times New Roman"/>
          <w:sz w:val="24"/>
          <w:szCs w:val="24"/>
        </w:rPr>
        <w:t>10</w:t>
      </w:r>
      <w:r w:rsidRPr="00180425">
        <w:rPr>
          <w:rFonts w:ascii="Times New Roman" w:hAnsi="Times New Roman"/>
          <w:sz w:val="24"/>
          <w:szCs w:val="24"/>
        </w:rPr>
        <w:t>)</w:t>
      </w:r>
    </w:p>
    <w:p w:rsidR="00286C33" w:rsidRPr="00286C33" w:rsidRDefault="00286C33" w:rsidP="002C4FD6">
      <w:pPr>
        <w:ind w:left="0"/>
        <w:rPr>
          <w:rFonts w:ascii="Times New Roman" w:hAnsi="Times New Roman"/>
          <w:sz w:val="24"/>
          <w:szCs w:val="24"/>
        </w:rPr>
      </w:pPr>
      <w:r w:rsidRPr="00286C33">
        <w:rPr>
          <w:rFonts w:ascii="Times New Roman" w:hAnsi="Times New Roman"/>
          <w:sz w:val="24"/>
          <w:szCs w:val="24"/>
        </w:rPr>
        <w:t>The RHS of (</w:t>
      </w:r>
      <w:r w:rsidRPr="00180425">
        <w:rPr>
          <w:rFonts w:ascii="Times New Roman" w:hAnsi="Times New Roman"/>
          <w:sz w:val="24"/>
          <w:szCs w:val="24"/>
        </w:rPr>
        <w:t>A3</w:t>
      </w:r>
      <w:r w:rsidRPr="00286C33">
        <w:rPr>
          <w:rFonts w:ascii="Times New Roman" w:hAnsi="Times New Roman"/>
          <w:sz w:val="24"/>
          <w:szCs w:val="24"/>
        </w:rPr>
        <w:t>.</w:t>
      </w:r>
      <w:r w:rsidR="005D6B0F">
        <w:rPr>
          <w:rFonts w:ascii="Times New Roman" w:hAnsi="Times New Roman"/>
          <w:sz w:val="24"/>
          <w:szCs w:val="24"/>
        </w:rPr>
        <w:t>10</w:t>
      </w:r>
      <w:r w:rsidRPr="00286C33">
        <w:rPr>
          <w:rFonts w:ascii="Times New Roman" w:hAnsi="Times New Roman"/>
          <w:sz w:val="24"/>
          <w:szCs w:val="24"/>
        </w:rPr>
        <w:t xml:space="preserve">) is the risk-adjusted expected rate of return </w:t>
      </w:r>
      <w:r w:rsidR="007C64F3">
        <w:rPr>
          <w:rFonts w:ascii="Times New Roman" w:hAnsi="Times New Roman"/>
          <w:sz w:val="24"/>
          <w:szCs w:val="24"/>
        </w:rPr>
        <w:t>on investment in</w:t>
      </w:r>
      <w:r w:rsidRPr="00286C33">
        <w:rPr>
          <w:rFonts w:ascii="Times New Roman" w:hAnsi="Times New Roman"/>
          <w:sz w:val="24"/>
          <w:szCs w:val="24"/>
        </w:rPr>
        <w:t xml:space="preserve"> region r.  </w:t>
      </w:r>
      <w:r w:rsidRPr="00180425">
        <w:rPr>
          <w:rFonts w:ascii="Times New Roman" w:hAnsi="Times New Roman"/>
          <w:sz w:val="24"/>
          <w:szCs w:val="24"/>
        </w:rPr>
        <w:t xml:space="preserve">It is </w:t>
      </w:r>
      <w:r w:rsidRPr="00286C33">
        <w:rPr>
          <w:rFonts w:ascii="Times New Roman" w:hAnsi="Times New Roman"/>
          <w:sz w:val="24"/>
          <w:szCs w:val="24"/>
        </w:rPr>
        <w:t>the product of three factors:</w:t>
      </w:r>
    </w:p>
    <w:p w:rsidR="00286C33" w:rsidRPr="00286C33" w:rsidRDefault="00286C33" w:rsidP="002C4FD6">
      <w:pPr>
        <w:numPr>
          <w:ilvl w:val="0"/>
          <w:numId w:val="5"/>
        </w:numPr>
        <w:ind w:left="709"/>
        <w:contextualSpacing/>
        <w:rPr>
          <w:rFonts w:ascii="Times New Roman" w:hAnsi="Times New Roman"/>
          <w:sz w:val="24"/>
          <w:szCs w:val="24"/>
        </w:rPr>
      </w:pPr>
      <w:r w:rsidRPr="00286C33">
        <w:rPr>
          <w:rFonts w:ascii="Times New Roman" w:hAnsi="Times New Roman"/>
          <w:sz w:val="24"/>
          <w:szCs w:val="24"/>
        </w:rPr>
        <w:t>RORC(r</w:t>
      </w:r>
      <w:r w:rsidRPr="00180425">
        <w:rPr>
          <w:rFonts w:ascii="Times New Roman" w:hAnsi="Times New Roman"/>
          <w:sz w:val="24"/>
          <w:szCs w:val="24"/>
        </w:rPr>
        <w:t>,t(i)</w:t>
      </w:r>
      <w:r w:rsidRPr="00286C33">
        <w:rPr>
          <w:rFonts w:ascii="Times New Roman" w:hAnsi="Times New Roman"/>
          <w:sz w:val="24"/>
          <w:szCs w:val="24"/>
        </w:rPr>
        <w:t xml:space="preserve">), the actual rate of return on capital in </w:t>
      </w:r>
      <w:r w:rsidR="00EA2F71">
        <w:rPr>
          <w:rFonts w:ascii="Times New Roman" w:hAnsi="Times New Roman"/>
          <w:sz w:val="24"/>
          <w:szCs w:val="24"/>
        </w:rPr>
        <w:t xml:space="preserve">year t(i) in </w:t>
      </w:r>
      <w:r w:rsidRPr="00286C33">
        <w:rPr>
          <w:rFonts w:ascii="Times New Roman" w:hAnsi="Times New Roman"/>
          <w:sz w:val="24"/>
          <w:szCs w:val="24"/>
        </w:rPr>
        <w:t>region r;</w:t>
      </w:r>
    </w:p>
    <w:p w:rsidR="00286C33" w:rsidRPr="00286C33" w:rsidRDefault="00F74F8C" w:rsidP="002C4FD6">
      <w:pPr>
        <w:numPr>
          <w:ilvl w:val="0"/>
          <w:numId w:val="5"/>
        </w:numPr>
        <w:ind w:left="709"/>
        <w:contextualSpacing/>
        <w:rPr>
          <w:rFonts w:ascii="Times New Roman" w:hAnsi="Times New Roman"/>
          <w:sz w:val="24"/>
          <w:szCs w:val="24"/>
        </w:rPr>
      </w:pPr>
      <w:r w:rsidRPr="00180425">
        <w:rPr>
          <w:rFonts w:ascii="Times New Roman" w:hAnsi="Times New Roman"/>
          <w:position w:val="-14"/>
          <w:sz w:val="24"/>
          <w:szCs w:val="24"/>
        </w:rPr>
        <w:object w:dxaOrig="3260" w:dyaOrig="460">
          <v:shape id="_x0000_i1092" type="#_x0000_t75" style="width:162pt;height:22.5pt" o:ole="">
            <v:imagedata r:id="rId163" o:title=""/>
          </v:shape>
          <o:OLEObject Type="Embed" ProgID="Equation.DSMT4" ShapeID="_x0000_i1092" DrawAspect="Content" ObjectID="_1774671713" r:id="rId164"/>
        </w:object>
      </w:r>
      <w:r w:rsidR="00286C33" w:rsidRPr="00286C33">
        <w:rPr>
          <w:rFonts w:ascii="Times New Roman" w:hAnsi="Times New Roman"/>
          <w:sz w:val="24"/>
          <w:szCs w:val="24"/>
        </w:rPr>
        <w:t xml:space="preserve"> where RORFLEX(r) is a positive parameter; and </w:t>
      </w:r>
    </w:p>
    <w:p w:rsidR="00286C33" w:rsidRPr="00286C33" w:rsidRDefault="00286C33" w:rsidP="002C4FD6">
      <w:pPr>
        <w:numPr>
          <w:ilvl w:val="0"/>
          <w:numId w:val="5"/>
        </w:numPr>
        <w:ind w:left="709"/>
        <w:contextualSpacing/>
        <w:rPr>
          <w:rFonts w:ascii="Times New Roman" w:hAnsi="Times New Roman"/>
          <w:sz w:val="24"/>
          <w:szCs w:val="24"/>
        </w:rPr>
      </w:pPr>
      <w:r w:rsidRPr="00286C33">
        <w:rPr>
          <w:rFonts w:ascii="Times New Roman" w:hAnsi="Times New Roman"/>
          <w:sz w:val="24"/>
          <w:szCs w:val="24"/>
        </w:rPr>
        <w:t>CGDSLACK(r</w:t>
      </w:r>
      <w:r w:rsidR="001E047A" w:rsidRPr="00180425">
        <w:rPr>
          <w:rFonts w:ascii="Times New Roman" w:hAnsi="Times New Roman"/>
          <w:sz w:val="24"/>
          <w:szCs w:val="24"/>
        </w:rPr>
        <w:t>,t(i)</w:t>
      </w:r>
      <w:r w:rsidRPr="00286C33">
        <w:rPr>
          <w:rFonts w:ascii="Times New Roman" w:hAnsi="Times New Roman"/>
          <w:sz w:val="24"/>
          <w:szCs w:val="24"/>
        </w:rPr>
        <w:t>), the risk-adjustment factor specific to region r.</w:t>
      </w:r>
    </w:p>
    <w:p w:rsidR="00286C33" w:rsidRPr="00286C33" w:rsidRDefault="00286C33" w:rsidP="002C4FD6">
      <w:pPr>
        <w:ind w:left="0"/>
        <w:rPr>
          <w:rFonts w:ascii="Times New Roman" w:hAnsi="Times New Roman"/>
          <w:sz w:val="24"/>
          <w:szCs w:val="24"/>
        </w:rPr>
      </w:pPr>
      <w:r w:rsidRPr="00286C33">
        <w:rPr>
          <w:rFonts w:ascii="Times New Roman" w:hAnsi="Times New Roman"/>
          <w:sz w:val="24"/>
          <w:szCs w:val="24"/>
        </w:rPr>
        <w:lastRenderedPageBreak/>
        <w:t>The LHS of (</w:t>
      </w:r>
      <w:r w:rsidR="001E047A" w:rsidRPr="00180425">
        <w:rPr>
          <w:rFonts w:ascii="Times New Roman" w:hAnsi="Times New Roman"/>
          <w:sz w:val="24"/>
          <w:szCs w:val="24"/>
        </w:rPr>
        <w:t>A3</w:t>
      </w:r>
      <w:r w:rsidRPr="00286C33">
        <w:rPr>
          <w:rFonts w:ascii="Times New Roman" w:hAnsi="Times New Roman"/>
          <w:sz w:val="24"/>
          <w:szCs w:val="24"/>
        </w:rPr>
        <w:t>.</w:t>
      </w:r>
      <w:r w:rsidR="00B17C3F">
        <w:rPr>
          <w:rFonts w:ascii="Times New Roman" w:hAnsi="Times New Roman"/>
          <w:sz w:val="24"/>
          <w:szCs w:val="24"/>
        </w:rPr>
        <w:t>1</w:t>
      </w:r>
      <w:r w:rsidR="007C64F3">
        <w:rPr>
          <w:rFonts w:ascii="Times New Roman" w:hAnsi="Times New Roman"/>
          <w:sz w:val="24"/>
          <w:szCs w:val="24"/>
        </w:rPr>
        <w:t>0</w:t>
      </w:r>
      <w:r w:rsidRPr="00286C33">
        <w:rPr>
          <w:rFonts w:ascii="Times New Roman" w:hAnsi="Times New Roman"/>
          <w:sz w:val="24"/>
          <w:szCs w:val="24"/>
        </w:rPr>
        <w:t>) is a scalar.  Th</w:t>
      </w:r>
      <w:r w:rsidR="00F61F84" w:rsidRPr="00180425">
        <w:rPr>
          <w:rFonts w:ascii="Times New Roman" w:hAnsi="Times New Roman"/>
          <w:sz w:val="24"/>
          <w:szCs w:val="24"/>
        </w:rPr>
        <w:t>i</w:t>
      </w:r>
      <w:r w:rsidRPr="00286C33">
        <w:rPr>
          <w:rFonts w:ascii="Times New Roman" w:hAnsi="Times New Roman"/>
          <w:sz w:val="24"/>
          <w:szCs w:val="24"/>
        </w:rPr>
        <w:t>s</w:t>
      </w:r>
      <w:r w:rsidR="00F61F84" w:rsidRPr="00180425">
        <w:rPr>
          <w:rFonts w:ascii="Times New Roman" w:hAnsi="Times New Roman"/>
          <w:sz w:val="24"/>
          <w:szCs w:val="24"/>
        </w:rPr>
        <w:t xml:space="preserve"> </w:t>
      </w:r>
      <w:r w:rsidRPr="00286C33">
        <w:rPr>
          <w:rFonts w:ascii="Times New Roman" w:hAnsi="Times New Roman"/>
          <w:sz w:val="24"/>
          <w:szCs w:val="24"/>
        </w:rPr>
        <w:t>equalizes risk-adjusted expected rates of return across regions</w:t>
      </w:r>
      <w:r w:rsidR="007C64F3">
        <w:rPr>
          <w:rFonts w:ascii="Times New Roman" w:hAnsi="Times New Roman"/>
          <w:sz w:val="24"/>
          <w:szCs w:val="24"/>
        </w:rPr>
        <w:t xml:space="preserve"> in t(i)</w:t>
      </w:r>
      <w:r w:rsidRPr="00286C33">
        <w:rPr>
          <w:rFonts w:ascii="Times New Roman" w:hAnsi="Times New Roman"/>
          <w:sz w:val="24"/>
          <w:szCs w:val="24"/>
        </w:rPr>
        <w:t xml:space="preserve">.  </w:t>
      </w:r>
    </w:p>
    <w:p w:rsidR="00815C72" w:rsidRDefault="00815C72" w:rsidP="002C4FD6">
      <w:pPr>
        <w:ind w:left="0"/>
        <w:rPr>
          <w:rFonts w:ascii="Times New Roman" w:hAnsi="Times New Roman"/>
          <w:sz w:val="24"/>
          <w:szCs w:val="24"/>
        </w:rPr>
      </w:pPr>
      <w:r>
        <w:rPr>
          <w:rFonts w:ascii="Times New Roman" w:hAnsi="Times New Roman"/>
          <w:sz w:val="24"/>
          <w:szCs w:val="24"/>
        </w:rPr>
        <w:t xml:space="preserve">In the 2014-19 simulation in all steps of the iterative process, the movements in RORC(r,t(1)) vary across regions, to accommodate observed movements in regional capital stocks.  CGDSLACK(r,t(1)) also varies across regions, to accommodate observed movements in regional investment.  </w:t>
      </w:r>
    </w:p>
    <w:p w:rsidR="00286C33" w:rsidRDefault="00815C72" w:rsidP="002C4FD6">
      <w:pPr>
        <w:ind w:left="0"/>
        <w:rPr>
          <w:rFonts w:ascii="Times New Roman" w:hAnsi="Times New Roman"/>
          <w:sz w:val="24"/>
          <w:szCs w:val="24"/>
        </w:rPr>
      </w:pPr>
      <w:r>
        <w:rPr>
          <w:rFonts w:ascii="Times New Roman" w:hAnsi="Times New Roman"/>
          <w:sz w:val="24"/>
          <w:szCs w:val="24"/>
        </w:rPr>
        <w:t xml:space="preserve">In the static-expectations simulations (q=1) for later periods, the movements in RORC(r,t(i)), i &gt; 1, are equated across regions: it is assumed that </w:t>
      </w:r>
      <w:r w:rsidR="00F74F8C">
        <w:rPr>
          <w:rFonts w:ascii="Times New Roman" w:hAnsi="Times New Roman"/>
          <w:sz w:val="24"/>
          <w:szCs w:val="24"/>
        </w:rPr>
        <w:t>regional capital flows between t(i-1) and t(i) are determined in a way that equalizes percentage movements in current rates of return.  CGDSLACK(r,t(</w:t>
      </w:r>
      <w:r w:rsidR="00A451B2">
        <w:rPr>
          <w:rFonts w:ascii="Times New Roman" w:hAnsi="Times New Roman"/>
          <w:sz w:val="24"/>
          <w:szCs w:val="24"/>
        </w:rPr>
        <w:t>i</w:t>
      </w:r>
      <w:r w:rsidR="00F74F8C">
        <w:rPr>
          <w:rFonts w:ascii="Times New Roman" w:hAnsi="Times New Roman"/>
          <w:sz w:val="24"/>
          <w:szCs w:val="24"/>
        </w:rPr>
        <w:t>)), i &gt; 1, is set exogenously on zero change.  Under this setup, (A3.</w:t>
      </w:r>
      <w:r w:rsidR="00EA2F71">
        <w:rPr>
          <w:rFonts w:ascii="Times New Roman" w:hAnsi="Times New Roman"/>
          <w:sz w:val="24"/>
          <w:szCs w:val="24"/>
        </w:rPr>
        <w:t>1</w:t>
      </w:r>
      <w:r w:rsidR="005D6B0F">
        <w:rPr>
          <w:rFonts w:ascii="Times New Roman" w:hAnsi="Times New Roman"/>
          <w:sz w:val="24"/>
          <w:szCs w:val="24"/>
        </w:rPr>
        <w:t>0</w:t>
      </w:r>
      <w:r w:rsidR="00F74F8C">
        <w:rPr>
          <w:rFonts w:ascii="Times New Roman" w:hAnsi="Times New Roman"/>
          <w:sz w:val="24"/>
          <w:szCs w:val="24"/>
        </w:rPr>
        <w:t xml:space="preserve">) can be thought of as determining the allocation of global saving to investment </w:t>
      </w:r>
      <w:r w:rsidR="00EA2F71">
        <w:rPr>
          <w:rFonts w:ascii="Times New Roman" w:hAnsi="Times New Roman"/>
          <w:sz w:val="24"/>
          <w:szCs w:val="24"/>
        </w:rPr>
        <w:t>in</w:t>
      </w:r>
      <w:r w:rsidR="00F74F8C">
        <w:rPr>
          <w:rFonts w:ascii="Times New Roman" w:hAnsi="Times New Roman"/>
          <w:sz w:val="24"/>
          <w:szCs w:val="24"/>
        </w:rPr>
        <w:t xml:space="preserve"> regions by dete</w:t>
      </w:r>
      <w:r w:rsidR="003A7468">
        <w:rPr>
          <w:rFonts w:ascii="Times New Roman" w:hAnsi="Times New Roman"/>
          <w:sz w:val="24"/>
          <w:szCs w:val="24"/>
        </w:rPr>
        <w:t>r</w:t>
      </w:r>
      <w:r w:rsidR="00F74F8C">
        <w:rPr>
          <w:rFonts w:ascii="Times New Roman" w:hAnsi="Times New Roman"/>
          <w:sz w:val="24"/>
          <w:szCs w:val="24"/>
        </w:rPr>
        <w:t xml:space="preserve">mining </w:t>
      </w:r>
      <w:r w:rsidR="003A7468" w:rsidRPr="003A7468">
        <w:rPr>
          <w:rFonts w:ascii="Times New Roman" w:hAnsi="Times New Roman"/>
          <w:position w:val="-10"/>
          <w:sz w:val="24"/>
          <w:szCs w:val="24"/>
        </w:rPr>
        <w:object w:dxaOrig="2140" w:dyaOrig="340">
          <v:shape id="_x0000_i1093" type="#_x0000_t75" style="width:106.5pt;height:17.25pt" o:ole="">
            <v:imagedata r:id="rId165" o:title=""/>
          </v:shape>
          <o:OLEObject Type="Embed" ProgID="Equation.DSMT4" ShapeID="_x0000_i1093" DrawAspect="Content" ObjectID="_1774671714" r:id="rId166"/>
        </w:object>
      </w:r>
      <w:r w:rsidR="003A7468">
        <w:rPr>
          <w:rFonts w:ascii="Times New Roman" w:hAnsi="Times New Roman"/>
          <w:sz w:val="24"/>
          <w:szCs w:val="24"/>
        </w:rPr>
        <w:t xml:space="preserve">.  </w:t>
      </w:r>
      <w:r>
        <w:rPr>
          <w:rFonts w:ascii="Times New Roman" w:hAnsi="Times New Roman"/>
          <w:sz w:val="24"/>
          <w:szCs w:val="24"/>
        </w:rPr>
        <w:t xml:space="preserve">   </w:t>
      </w:r>
    </w:p>
    <w:p w:rsidR="00304F9A" w:rsidRDefault="003A7468" w:rsidP="00284D82">
      <w:pPr>
        <w:ind w:left="0"/>
        <w:rPr>
          <w:rFonts w:ascii="Times New Roman" w:hAnsi="Times New Roman"/>
          <w:sz w:val="24"/>
          <w:szCs w:val="24"/>
        </w:rPr>
      </w:pPr>
      <w:r>
        <w:rPr>
          <w:rFonts w:ascii="Times New Roman" w:hAnsi="Times New Roman"/>
          <w:sz w:val="24"/>
          <w:szCs w:val="24"/>
        </w:rPr>
        <w:t xml:space="preserve">With no variation in the relative movements across regions </w:t>
      </w:r>
      <w:r w:rsidR="004901D0">
        <w:rPr>
          <w:rFonts w:ascii="Times New Roman" w:hAnsi="Times New Roman"/>
          <w:sz w:val="24"/>
          <w:szCs w:val="24"/>
        </w:rPr>
        <w:t>in</w:t>
      </w:r>
      <w:r>
        <w:rPr>
          <w:rFonts w:ascii="Times New Roman" w:hAnsi="Times New Roman"/>
          <w:sz w:val="24"/>
          <w:szCs w:val="24"/>
        </w:rPr>
        <w:t xml:space="preserve"> either RORC or CGDSLACK, (A3.</w:t>
      </w:r>
      <w:r w:rsidR="00EA2F71">
        <w:rPr>
          <w:rFonts w:ascii="Times New Roman" w:hAnsi="Times New Roman"/>
          <w:sz w:val="24"/>
          <w:szCs w:val="24"/>
        </w:rPr>
        <w:t>1</w:t>
      </w:r>
      <w:r w:rsidR="005D6B0F">
        <w:rPr>
          <w:rFonts w:ascii="Times New Roman" w:hAnsi="Times New Roman"/>
          <w:sz w:val="24"/>
          <w:szCs w:val="24"/>
        </w:rPr>
        <w:t>0</w:t>
      </w:r>
      <w:r>
        <w:rPr>
          <w:rFonts w:ascii="Times New Roman" w:hAnsi="Times New Roman"/>
          <w:sz w:val="24"/>
          <w:szCs w:val="24"/>
        </w:rPr>
        <w:t xml:space="preserve">) doesn’t allow variation across regions in the relative movements in KE/KB.  Thus, there is no variation across regions in relative </w:t>
      </w:r>
      <w:r w:rsidR="00304F9A">
        <w:rPr>
          <w:rFonts w:ascii="Times New Roman" w:hAnsi="Times New Roman"/>
          <w:sz w:val="24"/>
          <w:szCs w:val="24"/>
        </w:rPr>
        <w:t xml:space="preserve">rates of capital growth in years t(2), t(3) and t(4).  If region r had high observed capital growth in 2019 relative to other regions then it will have high simulated capital growth relative to other regions in 2030, 2040 and 2050. </w:t>
      </w:r>
    </w:p>
    <w:p w:rsidR="00E87607" w:rsidRDefault="00304F9A" w:rsidP="00284D82">
      <w:pPr>
        <w:ind w:left="0"/>
        <w:rPr>
          <w:rFonts w:ascii="Times New Roman" w:hAnsi="Times New Roman"/>
          <w:sz w:val="24"/>
          <w:szCs w:val="24"/>
        </w:rPr>
      </w:pPr>
      <w:r>
        <w:rPr>
          <w:rFonts w:ascii="Times New Roman" w:hAnsi="Times New Roman"/>
          <w:sz w:val="24"/>
          <w:szCs w:val="24"/>
        </w:rPr>
        <w:t xml:space="preserve">This is far from ideal.  Observed capital growth in </w:t>
      </w:r>
      <w:r w:rsidR="005F411D">
        <w:rPr>
          <w:rFonts w:ascii="Times New Roman" w:hAnsi="Times New Roman"/>
          <w:sz w:val="24"/>
          <w:szCs w:val="24"/>
        </w:rPr>
        <w:t xml:space="preserve">2019 in region r may reflect transient factors that are not relevant to future years.  The relevant factors we </w:t>
      </w:r>
      <w:r w:rsidR="005F411D" w:rsidRPr="00B83529">
        <w:rPr>
          <w:rFonts w:ascii="Times New Roman" w:hAnsi="Times New Roman"/>
          <w:i/>
          <w:sz w:val="24"/>
          <w:szCs w:val="24"/>
        </w:rPr>
        <w:t>can</w:t>
      </w:r>
      <w:r w:rsidR="005F411D">
        <w:rPr>
          <w:rFonts w:ascii="Times New Roman" w:hAnsi="Times New Roman"/>
          <w:sz w:val="24"/>
          <w:szCs w:val="24"/>
        </w:rPr>
        <w:t xml:space="preserve"> take into account in determining capital growth (and hence investment) </w:t>
      </w:r>
      <w:r w:rsidR="005F411D" w:rsidRPr="005F411D">
        <w:rPr>
          <w:rFonts w:ascii="Times New Roman" w:hAnsi="Times New Roman"/>
          <w:i/>
          <w:sz w:val="24"/>
          <w:szCs w:val="24"/>
        </w:rPr>
        <w:t>in</w:t>
      </w:r>
      <w:r w:rsidR="005F411D">
        <w:rPr>
          <w:rFonts w:ascii="Times New Roman" w:hAnsi="Times New Roman"/>
          <w:sz w:val="24"/>
          <w:szCs w:val="24"/>
        </w:rPr>
        <w:t xml:space="preserve"> 2030 are those that explain capital growth for 2030-40.  Similarly, the relev</w:t>
      </w:r>
      <w:r w:rsidR="00B83529">
        <w:rPr>
          <w:rFonts w:ascii="Times New Roman" w:hAnsi="Times New Roman"/>
          <w:sz w:val="24"/>
          <w:szCs w:val="24"/>
        </w:rPr>
        <w:t>a</w:t>
      </w:r>
      <w:r w:rsidR="005F411D">
        <w:rPr>
          <w:rFonts w:ascii="Times New Roman" w:hAnsi="Times New Roman"/>
          <w:sz w:val="24"/>
          <w:szCs w:val="24"/>
        </w:rPr>
        <w:t xml:space="preserve">nt factors we can take into account in determining capital growth (and hence investment) </w:t>
      </w:r>
      <w:r w:rsidR="005F411D" w:rsidRPr="005F411D">
        <w:rPr>
          <w:rFonts w:ascii="Times New Roman" w:hAnsi="Times New Roman"/>
          <w:i/>
          <w:sz w:val="24"/>
          <w:szCs w:val="24"/>
        </w:rPr>
        <w:t>in</w:t>
      </w:r>
      <w:r w:rsidR="005F411D">
        <w:rPr>
          <w:rFonts w:ascii="Times New Roman" w:hAnsi="Times New Roman"/>
          <w:sz w:val="24"/>
          <w:szCs w:val="24"/>
        </w:rPr>
        <w:t xml:space="preserve"> 2040 are those that explain capital growth for 2040-50.</w:t>
      </w:r>
    </w:p>
    <w:p w:rsidR="009B2145" w:rsidRPr="004901D0" w:rsidRDefault="00B83529" w:rsidP="00284D82">
      <w:pPr>
        <w:ind w:left="0"/>
        <w:rPr>
          <w:rFonts w:ascii="Times New Roman" w:hAnsi="Times New Roman"/>
          <w:sz w:val="24"/>
          <w:szCs w:val="24"/>
        </w:rPr>
      </w:pPr>
      <w:r>
        <w:rPr>
          <w:rFonts w:ascii="Times New Roman" w:hAnsi="Times New Roman"/>
          <w:sz w:val="24"/>
          <w:szCs w:val="24"/>
        </w:rPr>
        <w:t xml:space="preserve">Mishandling capital growth </w:t>
      </w:r>
      <w:r>
        <w:rPr>
          <w:rFonts w:ascii="Times New Roman" w:hAnsi="Times New Roman"/>
          <w:i/>
          <w:sz w:val="24"/>
          <w:szCs w:val="24"/>
        </w:rPr>
        <w:t>in</w:t>
      </w:r>
      <w:r>
        <w:rPr>
          <w:rFonts w:ascii="Times New Roman" w:hAnsi="Times New Roman"/>
          <w:sz w:val="24"/>
          <w:szCs w:val="24"/>
        </w:rPr>
        <w:t xml:space="preserve"> 2030, 2040 and 2050 doesn’t have much effect on the results for capital growth </w:t>
      </w:r>
      <w:r w:rsidRPr="00B83529">
        <w:rPr>
          <w:rFonts w:ascii="Times New Roman" w:hAnsi="Times New Roman"/>
          <w:i/>
          <w:sz w:val="24"/>
          <w:szCs w:val="24"/>
        </w:rPr>
        <w:t>between</w:t>
      </w:r>
      <w:r>
        <w:rPr>
          <w:rFonts w:ascii="Times New Roman" w:hAnsi="Times New Roman"/>
          <w:sz w:val="24"/>
          <w:szCs w:val="24"/>
        </w:rPr>
        <w:t xml:space="preserve"> 2019 and 2030, </w:t>
      </w:r>
      <w:r w:rsidR="009B2145" w:rsidRPr="00B83529">
        <w:rPr>
          <w:rFonts w:ascii="Times New Roman" w:hAnsi="Times New Roman"/>
          <w:i/>
          <w:sz w:val="24"/>
          <w:szCs w:val="24"/>
        </w:rPr>
        <w:t>between</w:t>
      </w:r>
      <w:r w:rsidR="009B2145">
        <w:rPr>
          <w:rFonts w:ascii="Times New Roman" w:hAnsi="Times New Roman"/>
          <w:sz w:val="24"/>
          <w:szCs w:val="24"/>
        </w:rPr>
        <w:t xml:space="preserve"> </w:t>
      </w:r>
      <w:r>
        <w:rPr>
          <w:rFonts w:ascii="Times New Roman" w:hAnsi="Times New Roman"/>
          <w:sz w:val="24"/>
          <w:szCs w:val="24"/>
        </w:rPr>
        <w:t xml:space="preserve">2030 and 2040, and </w:t>
      </w:r>
      <w:r w:rsidR="009B2145" w:rsidRPr="00B83529">
        <w:rPr>
          <w:rFonts w:ascii="Times New Roman" w:hAnsi="Times New Roman"/>
          <w:i/>
          <w:sz w:val="24"/>
          <w:szCs w:val="24"/>
        </w:rPr>
        <w:t>between</w:t>
      </w:r>
      <w:r w:rsidR="009B2145">
        <w:rPr>
          <w:rFonts w:ascii="Times New Roman" w:hAnsi="Times New Roman"/>
          <w:sz w:val="24"/>
          <w:szCs w:val="24"/>
        </w:rPr>
        <w:t xml:space="preserve"> </w:t>
      </w:r>
      <w:r>
        <w:rPr>
          <w:rFonts w:ascii="Times New Roman" w:hAnsi="Times New Roman"/>
          <w:sz w:val="24"/>
          <w:szCs w:val="24"/>
        </w:rPr>
        <w:t xml:space="preserve">2040 and 2050.  However, it means that the simulated picture for 2030 is not necessarily representative of the years 2031 up to 2040, and the simulated picture </w:t>
      </w:r>
      <w:r w:rsidR="009B2145">
        <w:rPr>
          <w:rFonts w:ascii="Times New Roman" w:hAnsi="Times New Roman"/>
          <w:sz w:val="24"/>
          <w:szCs w:val="24"/>
        </w:rPr>
        <w:t>for</w:t>
      </w:r>
      <w:r>
        <w:rPr>
          <w:rFonts w:ascii="Times New Roman" w:hAnsi="Times New Roman"/>
          <w:sz w:val="24"/>
          <w:szCs w:val="24"/>
        </w:rPr>
        <w:t xml:space="preserve"> 204</w:t>
      </w:r>
      <w:r w:rsidR="009B2145">
        <w:rPr>
          <w:rFonts w:ascii="Times New Roman" w:hAnsi="Times New Roman"/>
          <w:sz w:val="24"/>
          <w:szCs w:val="24"/>
        </w:rPr>
        <w:t>0</w:t>
      </w:r>
      <w:r>
        <w:rPr>
          <w:rFonts w:ascii="Times New Roman" w:hAnsi="Times New Roman"/>
          <w:sz w:val="24"/>
          <w:szCs w:val="24"/>
        </w:rPr>
        <w:t xml:space="preserve"> is not necessarily </w:t>
      </w:r>
      <w:r w:rsidRPr="004901D0">
        <w:rPr>
          <w:rFonts w:ascii="Times New Roman" w:hAnsi="Times New Roman"/>
          <w:sz w:val="24"/>
          <w:szCs w:val="24"/>
        </w:rPr>
        <w:t xml:space="preserve">representative of the years 2041 up to 2050. </w:t>
      </w:r>
    </w:p>
    <w:p w:rsidR="00DE1056" w:rsidRDefault="009B2145" w:rsidP="00284D82">
      <w:pPr>
        <w:ind w:left="0"/>
        <w:rPr>
          <w:rFonts w:ascii="Times New Roman" w:hAnsi="Times New Roman"/>
          <w:sz w:val="24"/>
          <w:szCs w:val="24"/>
        </w:rPr>
      </w:pPr>
      <w:r w:rsidRPr="004901D0">
        <w:rPr>
          <w:rFonts w:ascii="Times New Roman" w:hAnsi="Times New Roman"/>
          <w:sz w:val="24"/>
          <w:szCs w:val="24"/>
        </w:rPr>
        <w:t xml:space="preserve">Consider, for example, the results in </w:t>
      </w:r>
      <w:r w:rsidR="00EA2F71" w:rsidRPr="004901D0">
        <w:rPr>
          <w:rFonts w:ascii="Times New Roman" w:hAnsi="Times New Roman"/>
          <w:sz w:val="24"/>
          <w:szCs w:val="24"/>
        </w:rPr>
        <w:t xml:space="preserve">the left panels of </w:t>
      </w:r>
      <w:r w:rsidRPr="004901D0">
        <w:rPr>
          <w:rFonts w:ascii="Times New Roman" w:hAnsi="Times New Roman"/>
          <w:sz w:val="24"/>
          <w:szCs w:val="24"/>
        </w:rPr>
        <w:t>Table</w:t>
      </w:r>
      <w:r w:rsidR="00EA2F71" w:rsidRPr="004901D0">
        <w:rPr>
          <w:rFonts w:ascii="Times New Roman" w:hAnsi="Times New Roman"/>
          <w:sz w:val="24"/>
          <w:szCs w:val="24"/>
        </w:rPr>
        <w:t>s</w:t>
      </w:r>
      <w:r w:rsidRPr="004901D0">
        <w:rPr>
          <w:rFonts w:ascii="Times New Roman" w:hAnsi="Times New Roman"/>
          <w:sz w:val="24"/>
          <w:szCs w:val="24"/>
        </w:rPr>
        <w:t xml:space="preserve"> A3.1 </w:t>
      </w:r>
      <w:r w:rsidR="00EA2F71" w:rsidRPr="004901D0">
        <w:rPr>
          <w:rFonts w:ascii="Times New Roman" w:hAnsi="Times New Roman"/>
          <w:sz w:val="24"/>
          <w:szCs w:val="24"/>
        </w:rPr>
        <w:t xml:space="preserve">and A3.2 </w:t>
      </w:r>
      <w:r w:rsidRPr="004901D0">
        <w:rPr>
          <w:rFonts w:ascii="Times New Roman" w:hAnsi="Times New Roman"/>
          <w:sz w:val="24"/>
          <w:szCs w:val="24"/>
        </w:rPr>
        <w:t xml:space="preserve">for </w:t>
      </w:r>
      <w:r w:rsidR="00EA2F71" w:rsidRPr="004901D0">
        <w:rPr>
          <w:rFonts w:ascii="Times New Roman" w:hAnsi="Times New Roman"/>
          <w:sz w:val="24"/>
          <w:szCs w:val="24"/>
        </w:rPr>
        <w:t>China</w:t>
      </w:r>
      <w:r w:rsidRPr="004901D0">
        <w:rPr>
          <w:rFonts w:ascii="Times New Roman" w:hAnsi="Times New Roman"/>
          <w:sz w:val="24"/>
          <w:szCs w:val="24"/>
        </w:rPr>
        <w:t>.</w:t>
      </w:r>
      <w:r w:rsidR="005D6B0F" w:rsidRPr="004901D0">
        <w:rPr>
          <w:rFonts w:ascii="Times New Roman" w:hAnsi="Times New Roman"/>
          <w:sz w:val="24"/>
          <w:szCs w:val="24"/>
        </w:rPr>
        <w:t xml:space="preserve"> </w:t>
      </w:r>
      <w:r w:rsidR="00DE1056" w:rsidRPr="004901D0">
        <w:rPr>
          <w:rFonts w:ascii="Times New Roman" w:hAnsi="Times New Roman"/>
          <w:sz w:val="24"/>
          <w:szCs w:val="24"/>
        </w:rPr>
        <w:t xml:space="preserve"> In Table A3.1</w:t>
      </w:r>
      <w:r w:rsidR="00B53D30" w:rsidRPr="004901D0">
        <w:rPr>
          <w:rFonts w:ascii="Times New Roman" w:hAnsi="Times New Roman"/>
          <w:sz w:val="24"/>
          <w:szCs w:val="24"/>
        </w:rPr>
        <w:t>,</w:t>
      </w:r>
      <w:r w:rsidR="00DE1056" w:rsidRPr="004901D0">
        <w:rPr>
          <w:rFonts w:ascii="Times New Roman" w:hAnsi="Times New Roman"/>
          <w:sz w:val="24"/>
          <w:szCs w:val="24"/>
        </w:rPr>
        <w:t xml:space="preserve"> China’s capital growth slows from an average annual rate of 9.</w:t>
      </w:r>
      <w:r w:rsidR="0041689B" w:rsidRPr="004901D0">
        <w:rPr>
          <w:rFonts w:ascii="Times New Roman" w:hAnsi="Times New Roman"/>
          <w:sz w:val="24"/>
          <w:szCs w:val="24"/>
        </w:rPr>
        <w:t>61</w:t>
      </w:r>
      <w:r w:rsidR="00DE1056" w:rsidRPr="004901D0">
        <w:rPr>
          <w:rFonts w:ascii="Times New Roman" w:hAnsi="Times New Roman"/>
          <w:sz w:val="24"/>
          <w:szCs w:val="24"/>
        </w:rPr>
        <w:t xml:space="preserve"> per cent in 2014-19 to </w:t>
      </w:r>
      <w:r w:rsidR="0041689B" w:rsidRPr="004901D0">
        <w:rPr>
          <w:rFonts w:ascii="Times New Roman" w:hAnsi="Times New Roman"/>
          <w:sz w:val="24"/>
          <w:szCs w:val="24"/>
        </w:rPr>
        <w:t>5.</w:t>
      </w:r>
      <w:r w:rsidR="00B11740">
        <w:rPr>
          <w:rFonts w:ascii="Times New Roman" w:hAnsi="Times New Roman"/>
          <w:sz w:val="24"/>
          <w:szCs w:val="24"/>
        </w:rPr>
        <w:t>43</w:t>
      </w:r>
      <w:r w:rsidR="00DE1056" w:rsidRPr="004901D0">
        <w:rPr>
          <w:rFonts w:ascii="Times New Roman" w:hAnsi="Times New Roman"/>
          <w:sz w:val="24"/>
          <w:szCs w:val="24"/>
        </w:rPr>
        <w:t xml:space="preserve"> per cent in 2019-30 to 4.</w:t>
      </w:r>
      <w:r w:rsidR="0041689B" w:rsidRPr="004901D0">
        <w:rPr>
          <w:rFonts w:ascii="Times New Roman" w:hAnsi="Times New Roman"/>
          <w:sz w:val="24"/>
          <w:szCs w:val="24"/>
        </w:rPr>
        <w:t>1</w:t>
      </w:r>
      <w:r w:rsidR="00B11740">
        <w:rPr>
          <w:rFonts w:ascii="Times New Roman" w:hAnsi="Times New Roman"/>
          <w:sz w:val="24"/>
          <w:szCs w:val="24"/>
        </w:rPr>
        <w:t>2</w:t>
      </w:r>
      <w:r w:rsidR="00DE1056" w:rsidRPr="004901D0">
        <w:rPr>
          <w:rFonts w:ascii="Times New Roman" w:hAnsi="Times New Roman"/>
          <w:sz w:val="24"/>
          <w:szCs w:val="24"/>
        </w:rPr>
        <w:t xml:space="preserve"> per cent in 2030-40 and to </w:t>
      </w:r>
      <w:r w:rsidR="0041689B" w:rsidRPr="004901D0">
        <w:rPr>
          <w:rFonts w:ascii="Times New Roman" w:hAnsi="Times New Roman"/>
          <w:sz w:val="24"/>
          <w:szCs w:val="24"/>
        </w:rPr>
        <w:t>3.</w:t>
      </w:r>
      <w:r w:rsidR="00B11740">
        <w:rPr>
          <w:rFonts w:ascii="Times New Roman" w:hAnsi="Times New Roman"/>
          <w:sz w:val="24"/>
          <w:szCs w:val="24"/>
        </w:rPr>
        <w:t>9</w:t>
      </w:r>
      <w:r w:rsidR="0041689B" w:rsidRPr="004901D0">
        <w:rPr>
          <w:rFonts w:ascii="Times New Roman" w:hAnsi="Times New Roman"/>
          <w:sz w:val="24"/>
          <w:szCs w:val="24"/>
        </w:rPr>
        <w:t>4</w:t>
      </w:r>
      <w:r w:rsidR="00DE1056" w:rsidRPr="004901D0">
        <w:rPr>
          <w:rFonts w:ascii="Times New Roman" w:hAnsi="Times New Roman"/>
          <w:sz w:val="24"/>
          <w:szCs w:val="24"/>
        </w:rPr>
        <w:t xml:space="preserve"> per cent </w:t>
      </w:r>
      <w:r w:rsidR="00A451B2" w:rsidRPr="004901D0">
        <w:rPr>
          <w:rFonts w:ascii="Times New Roman" w:hAnsi="Times New Roman"/>
          <w:sz w:val="24"/>
          <w:szCs w:val="24"/>
        </w:rPr>
        <w:t>in</w:t>
      </w:r>
      <w:r w:rsidR="00DE1056" w:rsidRPr="004901D0">
        <w:rPr>
          <w:rFonts w:ascii="Times New Roman" w:hAnsi="Times New Roman"/>
          <w:sz w:val="24"/>
          <w:szCs w:val="24"/>
        </w:rPr>
        <w:t xml:space="preserve"> 2040-50.  </w:t>
      </w:r>
      <w:r w:rsidR="007A5C71" w:rsidRPr="004901D0">
        <w:rPr>
          <w:rFonts w:ascii="Times New Roman" w:hAnsi="Times New Roman"/>
          <w:sz w:val="24"/>
          <w:szCs w:val="24"/>
        </w:rPr>
        <w:t xml:space="preserve">However, in Table A3.2 China has strong capital growth </w:t>
      </w:r>
      <w:r w:rsidR="007A5C71" w:rsidRPr="004901D0">
        <w:rPr>
          <w:rFonts w:ascii="Times New Roman" w:hAnsi="Times New Roman"/>
          <w:i/>
          <w:sz w:val="24"/>
          <w:szCs w:val="24"/>
        </w:rPr>
        <w:t xml:space="preserve">in </w:t>
      </w:r>
      <w:r w:rsidR="007A5C71" w:rsidRPr="004901D0">
        <w:rPr>
          <w:rFonts w:ascii="Times New Roman" w:hAnsi="Times New Roman"/>
          <w:sz w:val="24"/>
          <w:szCs w:val="24"/>
        </w:rPr>
        <w:t xml:space="preserve">2030, </w:t>
      </w:r>
      <w:r w:rsidR="007A5C71" w:rsidRPr="004901D0">
        <w:rPr>
          <w:rFonts w:ascii="Times New Roman" w:hAnsi="Times New Roman"/>
          <w:i/>
          <w:sz w:val="24"/>
          <w:szCs w:val="24"/>
        </w:rPr>
        <w:t>in</w:t>
      </w:r>
      <w:r w:rsidR="007A5C71" w:rsidRPr="004901D0">
        <w:rPr>
          <w:rFonts w:ascii="Times New Roman" w:hAnsi="Times New Roman"/>
          <w:sz w:val="24"/>
          <w:szCs w:val="24"/>
        </w:rPr>
        <w:t xml:space="preserve"> 2040 and </w:t>
      </w:r>
      <w:r w:rsidR="007A5C71" w:rsidRPr="004901D0">
        <w:rPr>
          <w:rFonts w:ascii="Times New Roman" w:hAnsi="Times New Roman"/>
          <w:i/>
          <w:sz w:val="24"/>
          <w:szCs w:val="24"/>
        </w:rPr>
        <w:t xml:space="preserve">in </w:t>
      </w:r>
      <w:r w:rsidR="007A5C71" w:rsidRPr="004901D0">
        <w:rPr>
          <w:rFonts w:ascii="Times New Roman" w:hAnsi="Times New Roman"/>
          <w:sz w:val="24"/>
          <w:szCs w:val="24"/>
        </w:rPr>
        <w:t>2050.</w:t>
      </w:r>
      <w:r w:rsidR="007A5C71">
        <w:rPr>
          <w:rFonts w:ascii="Times New Roman" w:hAnsi="Times New Roman"/>
          <w:sz w:val="24"/>
          <w:szCs w:val="24"/>
        </w:rPr>
        <w:t xml:space="preserve">  This reflects strong capital growth in 2019.  </w:t>
      </w:r>
      <w:r w:rsidR="00DE1056">
        <w:rPr>
          <w:rFonts w:ascii="Times New Roman" w:hAnsi="Times New Roman"/>
          <w:sz w:val="24"/>
          <w:szCs w:val="24"/>
        </w:rPr>
        <w:t xml:space="preserve">This leaves the simulated </w:t>
      </w:r>
      <w:r w:rsidR="007A5C71">
        <w:rPr>
          <w:rFonts w:ascii="Times New Roman" w:hAnsi="Times New Roman"/>
          <w:sz w:val="24"/>
          <w:szCs w:val="24"/>
        </w:rPr>
        <w:t xml:space="preserve">capital </w:t>
      </w:r>
      <w:r w:rsidR="00DE1056">
        <w:rPr>
          <w:rFonts w:ascii="Times New Roman" w:hAnsi="Times New Roman"/>
          <w:sz w:val="24"/>
          <w:szCs w:val="24"/>
        </w:rPr>
        <w:t xml:space="preserve">growth rates </w:t>
      </w:r>
      <w:r w:rsidR="007A5C71">
        <w:rPr>
          <w:rFonts w:ascii="Times New Roman" w:hAnsi="Times New Roman"/>
          <w:sz w:val="24"/>
          <w:szCs w:val="24"/>
        </w:rPr>
        <w:t xml:space="preserve">in the particular years 2030, 2040 and 2050 too high compared with the growth rates for the relevant decades, making the simulated results for investment </w:t>
      </w:r>
      <w:r w:rsidR="00B11740">
        <w:rPr>
          <w:rFonts w:ascii="Times New Roman" w:hAnsi="Times New Roman"/>
          <w:sz w:val="24"/>
          <w:szCs w:val="24"/>
        </w:rPr>
        <w:t xml:space="preserve">levels </w:t>
      </w:r>
      <w:r w:rsidR="007A5C71">
        <w:rPr>
          <w:rFonts w:ascii="Times New Roman" w:hAnsi="Times New Roman"/>
          <w:sz w:val="24"/>
          <w:szCs w:val="24"/>
        </w:rPr>
        <w:t xml:space="preserve">in these </w:t>
      </w:r>
      <w:r w:rsidR="00B53D30">
        <w:rPr>
          <w:rFonts w:ascii="Times New Roman" w:hAnsi="Times New Roman"/>
          <w:sz w:val="24"/>
          <w:szCs w:val="24"/>
        </w:rPr>
        <w:t xml:space="preserve">particular </w:t>
      </w:r>
      <w:r w:rsidR="007A5C71">
        <w:rPr>
          <w:rFonts w:ascii="Times New Roman" w:hAnsi="Times New Roman"/>
          <w:sz w:val="24"/>
          <w:szCs w:val="24"/>
        </w:rPr>
        <w:t xml:space="preserve">years too high.  </w:t>
      </w:r>
      <w:r w:rsidR="00B53D30">
        <w:rPr>
          <w:rFonts w:ascii="Times New Roman" w:hAnsi="Times New Roman"/>
          <w:sz w:val="24"/>
          <w:szCs w:val="24"/>
        </w:rPr>
        <w:t xml:space="preserve">A consequence of the </w:t>
      </w:r>
      <w:r w:rsidR="007A5C71">
        <w:rPr>
          <w:rFonts w:ascii="Times New Roman" w:hAnsi="Times New Roman"/>
          <w:sz w:val="24"/>
          <w:szCs w:val="24"/>
        </w:rPr>
        <w:t xml:space="preserve">investment </w:t>
      </w:r>
      <w:r w:rsidR="00B11740">
        <w:rPr>
          <w:rFonts w:ascii="Times New Roman" w:hAnsi="Times New Roman"/>
          <w:sz w:val="24"/>
          <w:szCs w:val="24"/>
        </w:rPr>
        <w:t>levels</w:t>
      </w:r>
      <w:r w:rsidR="007A5C71">
        <w:rPr>
          <w:rFonts w:ascii="Times New Roman" w:hAnsi="Times New Roman"/>
          <w:sz w:val="24"/>
          <w:szCs w:val="24"/>
        </w:rPr>
        <w:t xml:space="preserve"> for the particular years being too high</w:t>
      </w:r>
      <w:r w:rsidR="00B53D30">
        <w:rPr>
          <w:rFonts w:ascii="Times New Roman" w:hAnsi="Times New Roman"/>
          <w:sz w:val="24"/>
          <w:szCs w:val="24"/>
        </w:rPr>
        <w:t xml:space="preserve"> is that the trade balances are too low.  </w:t>
      </w:r>
      <w:r w:rsidR="007A5C71">
        <w:rPr>
          <w:rFonts w:ascii="Times New Roman" w:hAnsi="Times New Roman"/>
          <w:sz w:val="24"/>
          <w:szCs w:val="24"/>
        </w:rPr>
        <w:t xml:space="preserve"> </w:t>
      </w:r>
    </w:p>
    <w:p w:rsidR="00B53D30" w:rsidRDefault="00B53D30" w:rsidP="00284D82">
      <w:pPr>
        <w:ind w:left="0"/>
        <w:rPr>
          <w:rFonts w:ascii="Times New Roman" w:hAnsi="Times New Roman"/>
          <w:sz w:val="24"/>
          <w:szCs w:val="24"/>
        </w:rPr>
      </w:pPr>
      <w:r>
        <w:rPr>
          <w:rFonts w:ascii="Times New Roman" w:hAnsi="Times New Roman"/>
          <w:sz w:val="24"/>
          <w:szCs w:val="24"/>
        </w:rPr>
        <w:t xml:space="preserve">More generally, the static expectation results give macro pictures </w:t>
      </w:r>
      <w:r w:rsidR="00A451B2">
        <w:rPr>
          <w:rFonts w:ascii="Times New Roman" w:hAnsi="Times New Roman"/>
          <w:sz w:val="24"/>
          <w:szCs w:val="24"/>
        </w:rPr>
        <w:t>for</w:t>
      </w:r>
      <w:r>
        <w:rPr>
          <w:rFonts w:ascii="Times New Roman" w:hAnsi="Times New Roman"/>
          <w:sz w:val="24"/>
          <w:szCs w:val="24"/>
        </w:rPr>
        <w:t xml:space="preserve"> 2030, 2040 and 2050 that are unrealistic in the context of the macro developments implied by our simulations for the intermediate years.  </w:t>
      </w:r>
    </w:p>
    <w:p w:rsidR="00E87607" w:rsidRDefault="00E87607" w:rsidP="00284D82">
      <w:pPr>
        <w:ind w:left="0"/>
        <w:rPr>
          <w:rFonts w:ascii="Times New Roman" w:hAnsi="Times New Roman"/>
          <w:sz w:val="24"/>
          <w:szCs w:val="24"/>
        </w:rPr>
      </w:pPr>
    </w:p>
    <w:p w:rsidR="00E87607" w:rsidRDefault="00E87607" w:rsidP="00284D82">
      <w:pPr>
        <w:ind w:left="0"/>
        <w:rPr>
          <w:rFonts w:ascii="Times New Roman" w:hAnsi="Times New Roman"/>
          <w:sz w:val="24"/>
          <w:szCs w:val="24"/>
        </w:rPr>
      </w:pPr>
    </w:p>
    <w:p w:rsidR="001F08F8" w:rsidRDefault="001F08F8">
      <w:pPr>
        <w:rPr>
          <w:rFonts w:ascii="Times New Roman" w:hAnsi="Times New Roman"/>
          <w:b/>
          <w:i/>
          <w:sz w:val="24"/>
          <w:szCs w:val="24"/>
        </w:rPr>
      </w:pPr>
      <w:r>
        <w:rPr>
          <w:rFonts w:ascii="Times New Roman" w:hAnsi="Times New Roman"/>
          <w:b/>
          <w:i/>
          <w:sz w:val="24"/>
          <w:szCs w:val="24"/>
        </w:rPr>
        <w:br w:type="page"/>
      </w:r>
    </w:p>
    <w:p w:rsidR="0036643D" w:rsidRPr="00FD3954" w:rsidRDefault="0036643D" w:rsidP="0036643D">
      <w:pPr>
        <w:spacing w:before="0"/>
        <w:ind w:left="0"/>
        <w:jc w:val="center"/>
        <w:rPr>
          <w:rFonts w:ascii="Times New Roman" w:hAnsi="Times New Roman"/>
          <w:b/>
          <w:i/>
          <w:sz w:val="24"/>
          <w:szCs w:val="24"/>
        </w:rPr>
      </w:pPr>
      <w:r>
        <w:rPr>
          <w:rFonts w:ascii="Times New Roman" w:hAnsi="Times New Roman"/>
          <w:b/>
          <w:i/>
          <w:sz w:val="24"/>
          <w:szCs w:val="24"/>
        </w:rPr>
        <w:lastRenderedPageBreak/>
        <w:t>Table A3.1.  Average annual % growth rates in start-of-year capital stocks</w:t>
      </w:r>
      <w:r w:rsidR="005E5B9D">
        <w:rPr>
          <w:rFonts w:ascii="Times New Roman" w:hAnsi="Times New Roman"/>
          <w:b/>
          <w:i/>
          <w:sz w:val="24"/>
          <w:szCs w:val="24"/>
        </w:rPr>
        <w:t xml:space="preserve"> </w:t>
      </w:r>
    </w:p>
    <w:tbl>
      <w:tblPr>
        <w:tblW w:w="0" w:type="auto"/>
        <w:tblBorders>
          <w:top w:val="single" w:sz="18" w:space="0" w:color="7F7F7F"/>
          <w:bottom w:val="single" w:sz="18" w:space="0" w:color="7F7F7F"/>
        </w:tblBorders>
        <w:tblLook w:val="04A0" w:firstRow="1" w:lastRow="0" w:firstColumn="1" w:lastColumn="0" w:noHBand="0" w:noVBand="1"/>
      </w:tblPr>
      <w:tblGrid>
        <w:gridCol w:w="1335"/>
        <w:gridCol w:w="850"/>
        <w:gridCol w:w="850"/>
        <w:gridCol w:w="850"/>
        <w:gridCol w:w="850"/>
        <w:gridCol w:w="850"/>
        <w:gridCol w:w="850"/>
        <w:gridCol w:w="850"/>
        <w:gridCol w:w="850"/>
      </w:tblGrid>
      <w:tr w:rsidR="0083655D" w:rsidRPr="00C600BB" w:rsidTr="00C600BB">
        <w:tc>
          <w:tcPr>
            <w:tcW w:w="1335"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24"/>
                <w:szCs w:val="24"/>
              </w:rPr>
            </w:pPr>
          </w:p>
        </w:tc>
        <w:tc>
          <w:tcPr>
            <w:tcW w:w="3400" w:type="dxa"/>
            <w:gridSpan w:val="4"/>
            <w:tcBorders>
              <w:top w:val="single" w:sz="18" w:space="0" w:color="7F7F7F"/>
              <w:left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 xml:space="preserve">Static expectations </w:t>
            </w:r>
          </w:p>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(q=1)</w:t>
            </w:r>
          </w:p>
        </w:tc>
        <w:tc>
          <w:tcPr>
            <w:tcW w:w="3400" w:type="dxa"/>
            <w:gridSpan w:val="4"/>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Converged forward-looking  expectations (q=8)</w:t>
            </w:r>
          </w:p>
        </w:tc>
      </w:tr>
      <w:tr w:rsidR="0083655D" w:rsidRPr="00C600BB" w:rsidTr="00C600BB">
        <w:tc>
          <w:tcPr>
            <w:tcW w:w="1335"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24"/>
                <w:szCs w:val="24"/>
              </w:rPr>
            </w:pPr>
          </w:p>
        </w:tc>
        <w:tc>
          <w:tcPr>
            <w:tcW w:w="850" w:type="dxa"/>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2014-19</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2019-30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2030-40</w:t>
            </w:r>
          </w:p>
        </w:tc>
        <w:tc>
          <w:tcPr>
            <w:tcW w:w="850"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2040-50</w:t>
            </w:r>
          </w:p>
        </w:tc>
        <w:tc>
          <w:tcPr>
            <w:tcW w:w="850" w:type="dxa"/>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2014-19</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2019-30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2030-40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2040-50</w:t>
            </w:r>
          </w:p>
        </w:tc>
      </w:tr>
      <w:tr w:rsidR="005E5B9D" w:rsidRPr="00C600BB" w:rsidTr="002B7D49">
        <w:tc>
          <w:tcPr>
            <w:tcW w:w="1335" w:type="dxa"/>
            <w:tcBorders>
              <w:top w:val="single" w:sz="18" w:space="0" w:color="7F7F7F"/>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USA</w:t>
            </w:r>
          </w:p>
        </w:tc>
        <w:tc>
          <w:tcPr>
            <w:tcW w:w="850" w:type="dxa"/>
            <w:tcBorders>
              <w:top w:val="single" w:sz="18" w:space="0" w:color="7F7F7F"/>
              <w:left w:val="single" w:sz="18" w:space="0" w:color="7F7F7F"/>
              <w:bottom w:val="nil"/>
            </w:tcBorders>
            <w:shd w:val="clear" w:color="auto" w:fill="auto"/>
            <w:vAlign w:val="center"/>
          </w:tcPr>
          <w:p w:rsidR="005E5B9D" w:rsidRPr="005E5B9D" w:rsidRDefault="005E5B9D" w:rsidP="005E5B9D">
            <w:pPr>
              <w:spacing w:before="0" w:line="240" w:lineRule="auto"/>
              <w:ind w:left="0"/>
              <w:jc w:val="right"/>
              <w:rPr>
                <w:rFonts w:ascii="Times New Roman" w:hAnsi="Times New Roman"/>
                <w:color w:val="000000"/>
                <w:sz w:val="18"/>
                <w:szCs w:val="18"/>
                <w:lang w:eastAsia="en-AU"/>
              </w:rPr>
            </w:pPr>
            <w:r w:rsidRPr="005E5B9D">
              <w:rPr>
                <w:rFonts w:ascii="Times New Roman" w:hAnsi="Times New Roman"/>
                <w:color w:val="000000"/>
                <w:sz w:val="18"/>
                <w:szCs w:val="18"/>
              </w:rPr>
              <w:t>2.61</w:t>
            </w:r>
          </w:p>
        </w:tc>
        <w:tc>
          <w:tcPr>
            <w:tcW w:w="850" w:type="dxa"/>
            <w:tcBorders>
              <w:top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1.93</w:t>
            </w:r>
          </w:p>
        </w:tc>
        <w:tc>
          <w:tcPr>
            <w:tcW w:w="850" w:type="dxa"/>
            <w:tcBorders>
              <w:top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1.87</w:t>
            </w:r>
          </w:p>
        </w:tc>
        <w:tc>
          <w:tcPr>
            <w:tcW w:w="850" w:type="dxa"/>
            <w:tcBorders>
              <w:top w:val="single" w:sz="18" w:space="0" w:color="7F7F7F"/>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1.69</w:t>
            </w:r>
          </w:p>
        </w:tc>
        <w:tc>
          <w:tcPr>
            <w:tcW w:w="850" w:type="dxa"/>
            <w:tcBorders>
              <w:top w:val="single" w:sz="18" w:space="0" w:color="7F7F7F"/>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2.61</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1.98</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1.87</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1.70</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Canada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2.68</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2.25</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2.36</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2.30</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2.39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Mexico</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2.92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0.90</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0.89</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2.92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1.01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0.89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0.54</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China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9.61</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5.43</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4.12</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3.94</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9.61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5.36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4.09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3.94</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Japan</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0.27</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0.17</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SKorea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4.50</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1.87</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1.87</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4.50</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1.88</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India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7.41</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5.62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5.58</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4.77</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7.41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5.48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5.62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4.79</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France</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2.46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1.70</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1.39</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2.46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1.64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Germany</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2.21</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0.82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0.55</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0.60</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2.21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0.79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0.61</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UK</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2.70</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0.90</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1.21</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1.07</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2.70</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1.07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RoEU</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2.44</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2.31</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1.89</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2.44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2.31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1.89</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SaudiArabia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5.84</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4.39</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2.76</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1.88</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5.84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4.30</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1.89</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RoW</w:t>
            </w:r>
          </w:p>
        </w:tc>
        <w:tc>
          <w:tcPr>
            <w:tcW w:w="850" w:type="dxa"/>
            <w:tcBorders>
              <w:top w:val="nil"/>
              <w:left w:val="single" w:sz="18" w:space="0" w:color="7F7F7F"/>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4.02</w:t>
            </w:r>
          </w:p>
        </w:tc>
        <w:tc>
          <w:tcPr>
            <w:tcW w:w="850" w:type="dxa"/>
            <w:tcBorders>
              <w:top w:val="nil"/>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3.49</w:t>
            </w:r>
          </w:p>
        </w:tc>
        <w:tc>
          <w:tcPr>
            <w:tcW w:w="850" w:type="dxa"/>
            <w:tcBorders>
              <w:top w:val="nil"/>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3.33</w:t>
            </w:r>
          </w:p>
        </w:tc>
        <w:tc>
          <w:tcPr>
            <w:tcW w:w="850" w:type="dxa"/>
            <w:tcBorders>
              <w:top w:val="nil"/>
              <w:bottom w:val="single" w:sz="18" w:space="0" w:color="7F7F7F"/>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2.78</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4.02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3.51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3.33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2.79</w:t>
            </w:r>
          </w:p>
        </w:tc>
      </w:tr>
    </w:tbl>
    <w:p w:rsidR="0036643D" w:rsidRDefault="0036643D" w:rsidP="0036643D">
      <w:pPr>
        <w:spacing w:before="0"/>
        <w:ind w:left="0"/>
        <w:jc w:val="center"/>
        <w:rPr>
          <w:rFonts w:ascii="Times New Roman" w:hAnsi="Times New Roman"/>
          <w:b/>
          <w:i/>
          <w:sz w:val="24"/>
          <w:szCs w:val="24"/>
        </w:rPr>
      </w:pPr>
    </w:p>
    <w:p w:rsidR="0036643D" w:rsidRPr="00FD3954" w:rsidRDefault="0036643D" w:rsidP="0036643D">
      <w:pPr>
        <w:spacing w:before="0"/>
        <w:ind w:left="0"/>
        <w:jc w:val="center"/>
        <w:rPr>
          <w:rFonts w:ascii="Times New Roman" w:hAnsi="Times New Roman"/>
          <w:b/>
          <w:i/>
          <w:sz w:val="24"/>
          <w:szCs w:val="24"/>
        </w:rPr>
      </w:pPr>
      <w:r>
        <w:rPr>
          <w:rFonts w:ascii="Times New Roman" w:hAnsi="Times New Roman"/>
          <w:b/>
          <w:i/>
          <w:sz w:val="24"/>
          <w:szCs w:val="24"/>
        </w:rPr>
        <w:t>Table A3.2.  Percentage growth in capital from start to end of year</w:t>
      </w:r>
      <w:r w:rsidR="00850472" w:rsidRPr="00850472">
        <w:rPr>
          <w:rFonts w:ascii="Times New Roman" w:hAnsi="Times New Roman"/>
          <w:b/>
          <w:i/>
          <w:sz w:val="24"/>
          <w:szCs w:val="24"/>
          <w:highlight w:val="yellow"/>
        </w:rPr>
        <w:t xml:space="preserve"> </w:t>
      </w:r>
    </w:p>
    <w:tbl>
      <w:tblPr>
        <w:tblW w:w="0" w:type="auto"/>
        <w:tblBorders>
          <w:top w:val="single" w:sz="18" w:space="0" w:color="7F7F7F"/>
          <w:bottom w:val="single" w:sz="18" w:space="0" w:color="7F7F7F"/>
        </w:tblBorders>
        <w:tblLook w:val="04A0" w:firstRow="1" w:lastRow="0" w:firstColumn="1" w:lastColumn="0" w:noHBand="0" w:noVBand="1"/>
      </w:tblPr>
      <w:tblGrid>
        <w:gridCol w:w="1335"/>
        <w:gridCol w:w="850"/>
        <w:gridCol w:w="850"/>
        <w:gridCol w:w="850"/>
        <w:gridCol w:w="850"/>
        <w:gridCol w:w="850"/>
        <w:gridCol w:w="850"/>
        <w:gridCol w:w="850"/>
        <w:gridCol w:w="850"/>
      </w:tblGrid>
      <w:tr w:rsidR="0083655D" w:rsidRPr="00C600BB" w:rsidTr="00C600BB">
        <w:tc>
          <w:tcPr>
            <w:tcW w:w="1335"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24"/>
                <w:szCs w:val="24"/>
              </w:rPr>
            </w:pPr>
          </w:p>
        </w:tc>
        <w:tc>
          <w:tcPr>
            <w:tcW w:w="3400" w:type="dxa"/>
            <w:gridSpan w:val="4"/>
            <w:tcBorders>
              <w:top w:val="single" w:sz="18" w:space="0" w:color="7F7F7F"/>
              <w:left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 xml:space="preserve">Static expectations </w:t>
            </w:r>
          </w:p>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(q=1)</w:t>
            </w:r>
          </w:p>
        </w:tc>
        <w:tc>
          <w:tcPr>
            <w:tcW w:w="3400" w:type="dxa"/>
            <w:gridSpan w:val="4"/>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Converged forward-looking  expectations (q=8)</w:t>
            </w:r>
          </w:p>
        </w:tc>
      </w:tr>
      <w:tr w:rsidR="0083655D" w:rsidRPr="00C600BB" w:rsidTr="00C600BB">
        <w:tc>
          <w:tcPr>
            <w:tcW w:w="1335"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24"/>
                <w:szCs w:val="24"/>
              </w:rPr>
            </w:pPr>
          </w:p>
        </w:tc>
        <w:tc>
          <w:tcPr>
            <w:tcW w:w="850" w:type="dxa"/>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2019</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2030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2040</w:t>
            </w:r>
          </w:p>
        </w:tc>
        <w:tc>
          <w:tcPr>
            <w:tcW w:w="850"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2050</w:t>
            </w:r>
          </w:p>
        </w:tc>
        <w:tc>
          <w:tcPr>
            <w:tcW w:w="850" w:type="dxa"/>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2019</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2030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2040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jc w:val="right"/>
              <w:rPr>
                <w:rFonts w:ascii="Times New Roman" w:hAnsi="Times New Roman"/>
                <w:b/>
                <w:sz w:val="18"/>
                <w:szCs w:val="18"/>
              </w:rPr>
            </w:pPr>
            <w:r w:rsidRPr="00C600BB">
              <w:rPr>
                <w:rFonts w:ascii="Times New Roman" w:hAnsi="Times New Roman"/>
                <w:b/>
                <w:sz w:val="18"/>
                <w:szCs w:val="18"/>
              </w:rPr>
              <w:t>2050</w:t>
            </w:r>
          </w:p>
        </w:tc>
      </w:tr>
      <w:tr w:rsidR="005E5B9D" w:rsidRPr="00C600BB" w:rsidTr="002B7D49">
        <w:tc>
          <w:tcPr>
            <w:tcW w:w="1335" w:type="dxa"/>
            <w:tcBorders>
              <w:top w:val="single" w:sz="18" w:space="0" w:color="7F7F7F"/>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USA</w:t>
            </w:r>
          </w:p>
        </w:tc>
        <w:tc>
          <w:tcPr>
            <w:tcW w:w="850" w:type="dxa"/>
            <w:tcBorders>
              <w:top w:val="single" w:sz="18" w:space="0" w:color="7F7F7F"/>
              <w:left w:val="single" w:sz="18" w:space="0" w:color="7F7F7F"/>
              <w:bottom w:val="nil"/>
            </w:tcBorders>
            <w:shd w:val="clear" w:color="auto" w:fill="auto"/>
            <w:vAlign w:val="center"/>
          </w:tcPr>
          <w:p w:rsidR="005E5B9D" w:rsidRPr="005E5B9D" w:rsidRDefault="005E5B9D" w:rsidP="005E5B9D">
            <w:pPr>
              <w:spacing w:before="0" w:line="240" w:lineRule="auto"/>
              <w:ind w:left="0"/>
              <w:jc w:val="right"/>
              <w:rPr>
                <w:rFonts w:ascii="Times New Roman" w:hAnsi="Times New Roman"/>
                <w:color w:val="000000"/>
                <w:sz w:val="18"/>
                <w:szCs w:val="18"/>
                <w:lang w:eastAsia="en-AU"/>
              </w:rPr>
            </w:pPr>
            <w:r w:rsidRPr="005E5B9D">
              <w:rPr>
                <w:rFonts w:ascii="Times New Roman" w:hAnsi="Times New Roman"/>
                <w:color w:val="000000"/>
                <w:sz w:val="18"/>
                <w:szCs w:val="18"/>
              </w:rPr>
              <w:t>4.73</w:t>
            </w:r>
          </w:p>
        </w:tc>
        <w:tc>
          <w:tcPr>
            <w:tcW w:w="850" w:type="dxa"/>
            <w:tcBorders>
              <w:top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3.87</w:t>
            </w:r>
          </w:p>
        </w:tc>
        <w:tc>
          <w:tcPr>
            <w:tcW w:w="850" w:type="dxa"/>
            <w:tcBorders>
              <w:top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3.53</w:t>
            </w:r>
          </w:p>
        </w:tc>
        <w:tc>
          <w:tcPr>
            <w:tcW w:w="850" w:type="dxa"/>
            <w:tcBorders>
              <w:top w:val="single" w:sz="18" w:space="0" w:color="7F7F7F"/>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3.40</w:t>
            </w:r>
          </w:p>
        </w:tc>
        <w:tc>
          <w:tcPr>
            <w:tcW w:w="850" w:type="dxa"/>
            <w:tcBorders>
              <w:top w:val="single" w:sz="18" w:space="0" w:color="7F7F7F"/>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4.73</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2.19</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1.92</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1.70</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Canada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3.93</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3.07</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2.73</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2.60</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2.20</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Mexico</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0.29</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-0.54</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-0.86</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-0.99</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1.19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0.77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0.54</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China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6.73</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5.65</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5.08</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4.68</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6.73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4.44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4.17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3.95</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Japan</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2.55</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1.71</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1.38</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1.26</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0.39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SKorea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3.63</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2.78</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2.44</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2.31</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3.63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2.18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2.10</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1.88</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India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4.76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3.91</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3.58</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3.46</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4.76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5.91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5.04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4.80</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France</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3.98</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3.06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2.62</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2.35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Germany</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2.09</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1.25</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0.89</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0.72</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2.09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0.87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0.83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0.61</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UK</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0.58</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0.26</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0.14</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1.07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RoEU</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1.60</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1.20</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0.99</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2.61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2.12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1.90</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SaudiArabia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1.79</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0.97</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0.64</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0.52</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3.03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2.13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1.90</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RoW</w:t>
            </w:r>
          </w:p>
        </w:tc>
        <w:tc>
          <w:tcPr>
            <w:tcW w:w="850" w:type="dxa"/>
            <w:tcBorders>
              <w:top w:val="nil"/>
              <w:left w:val="single" w:sz="18" w:space="0" w:color="7F7F7F"/>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2.79</w:t>
            </w:r>
          </w:p>
        </w:tc>
        <w:tc>
          <w:tcPr>
            <w:tcW w:w="850" w:type="dxa"/>
            <w:tcBorders>
              <w:top w:val="nil"/>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1.94</w:t>
            </w:r>
          </w:p>
        </w:tc>
        <w:tc>
          <w:tcPr>
            <w:tcW w:w="850" w:type="dxa"/>
            <w:tcBorders>
              <w:top w:val="nil"/>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1.60</w:t>
            </w:r>
          </w:p>
        </w:tc>
        <w:tc>
          <w:tcPr>
            <w:tcW w:w="850" w:type="dxa"/>
            <w:tcBorders>
              <w:top w:val="nil"/>
              <w:bottom w:val="single" w:sz="18" w:space="0" w:color="7F7F7F"/>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1.46</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3.63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3.02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2.79</w:t>
            </w:r>
          </w:p>
        </w:tc>
      </w:tr>
    </w:tbl>
    <w:p w:rsidR="0036643D" w:rsidRDefault="0036643D" w:rsidP="0036643D">
      <w:pPr>
        <w:spacing w:before="0"/>
        <w:ind w:left="0"/>
        <w:jc w:val="center"/>
        <w:rPr>
          <w:rFonts w:ascii="Times New Roman" w:hAnsi="Times New Roman"/>
          <w:b/>
          <w:i/>
          <w:sz w:val="24"/>
          <w:szCs w:val="24"/>
        </w:rPr>
      </w:pPr>
    </w:p>
    <w:p w:rsidR="0036643D" w:rsidRPr="00FD3954" w:rsidRDefault="0036643D" w:rsidP="0036643D">
      <w:pPr>
        <w:spacing w:before="0"/>
        <w:ind w:left="0"/>
        <w:jc w:val="center"/>
        <w:rPr>
          <w:rFonts w:ascii="Times New Roman" w:hAnsi="Times New Roman"/>
          <w:b/>
          <w:i/>
          <w:sz w:val="24"/>
          <w:szCs w:val="24"/>
        </w:rPr>
      </w:pPr>
      <w:r>
        <w:rPr>
          <w:rFonts w:ascii="Times New Roman" w:hAnsi="Times New Roman"/>
          <w:b/>
          <w:i/>
          <w:sz w:val="24"/>
          <w:szCs w:val="24"/>
        </w:rPr>
        <w:t>Table A3.3.  Average annual % growth rates in real investment</w:t>
      </w:r>
      <w:r w:rsidR="00850472">
        <w:rPr>
          <w:rFonts w:ascii="Times New Roman" w:hAnsi="Times New Roman"/>
          <w:b/>
          <w:i/>
          <w:sz w:val="24"/>
          <w:szCs w:val="24"/>
        </w:rPr>
        <w:t xml:space="preserve"> </w:t>
      </w:r>
    </w:p>
    <w:tbl>
      <w:tblPr>
        <w:tblW w:w="0" w:type="auto"/>
        <w:tblBorders>
          <w:top w:val="single" w:sz="18" w:space="0" w:color="7F7F7F"/>
          <w:bottom w:val="single" w:sz="18" w:space="0" w:color="7F7F7F"/>
        </w:tblBorders>
        <w:tblLook w:val="04A0" w:firstRow="1" w:lastRow="0" w:firstColumn="1" w:lastColumn="0" w:noHBand="0" w:noVBand="1"/>
      </w:tblPr>
      <w:tblGrid>
        <w:gridCol w:w="1335"/>
        <w:gridCol w:w="850"/>
        <w:gridCol w:w="850"/>
        <w:gridCol w:w="850"/>
        <w:gridCol w:w="850"/>
        <w:gridCol w:w="850"/>
        <w:gridCol w:w="850"/>
        <w:gridCol w:w="850"/>
        <w:gridCol w:w="850"/>
      </w:tblGrid>
      <w:tr w:rsidR="0083655D" w:rsidRPr="00C600BB" w:rsidTr="00C600BB">
        <w:tc>
          <w:tcPr>
            <w:tcW w:w="1335"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24"/>
                <w:szCs w:val="24"/>
              </w:rPr>
            </w:pPr>
          </w:p>
        </w:tc>
        <w:tc>
          <w:tcPr>
            <w:tcW w:w="3400" w:type="dxa"/>
            <w:gridSpan w:val="4"/>
            <w:tcBorders>
              <w:top w:val="single" w:sz="18" w:space="0" w:color="7F7F7F"/>
              <w:left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 xml:space="preserve">Static expectations </w:t>
            </w:r>
          </w:p>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(q=1)</w:t>
            </w:r>
          </w:p>
        </w:tc>
        <w:tc>
          <w:tcPr>
            <w:tcW w:w="3400" w:type="dxa"/>
            <w:gridSpan w:val="4"/>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jc w:val="center"/>
              <w:rPr>
                <w:rFonts w:ascii="Times New Roman" w:hAnsi="Times New Roman"/>
                <w:b/>
                <w:sz w:val="18"/>
                <w:szCs w:val="18"/>
              </w:rPr>
            </w:pPr>
            <w:r w:rsidRPr="00C600BB">
              <w:rPr>
                <w:rFonts w:ascii="Times New Roman" w:hAnsi="Times New Roman"/>
                <w:b/>
                <w:sz w:val="18"/>
                <w:szCs w:val="18"/>
              </w:rPr>
              <w:t>Converged forward-looking  expectations (q=8)</w:t>
            </w:r>
          </w:p>
        </w:tc>
      </w:tr>
      <w:tr w:rsidR="0083655D" w:rsidRPr="00C600BB" w:rsidTr="00C600BB">
        <w:tc>
          <w:tcPr>
            <w:tcW w:w="1335"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24"/>
                <w:szCs w:val="24"/>
              </w:rPr>
            </w:pPr>
          </w:p>
        </w:tc>
        <w:tc>
          <w:tcPr>
            <w:tcW w:w="850" w:type="dxa"/>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2014-19</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2019-30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2030-40</w:t>
            </w:r>
          </w:p>
        </w:tc>
        <w:tc>
          <w:tcPr>
            <w:tcW w:w="850" w:type="dxa"/>
            <w:tcBorders>
              <w:top w:val="single" w:sz="18" w:space="0" w:color="7F7F7F"/>
              <w:bottom w:val="single" w:sz="18" w:space="0" w:color="7F7F7F"/>
              <w:right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2040-50</w:t>
            </w:r>
          </w:p>
        </w:tc>
        <w:tc>
          <w:tcPr>
            <w:tcW w:w="850" w:type="dxa"/>
            <w:tcBorders>
              <w:top w:val="single" w:sz="18" w:space="0" w:color="7F7F7F"/>
              <w:left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2014-19</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2019-30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2030-40</w:t>
            </w:r>
          </w:p>
        </w:tc>
        <w:tc>
          <w:tcPr>
            <w:tcW w:w="850" w:type="dxa"/>
            <w:tcBorders>
              <w:top w:val="single" w:sz="18" w:space="0" w:color="7F7F7F"/>
              <w:bottom w:val="single" w:sz="18" w:space="0" w:color="7F7F7F"/>
            </w:tcBorders>
            <w:shd w:val="clear" w:color="auto" w:fill="auto"/>
          </w:tcPr>
          <w:p w:rsidR="0036643D" w:rsidRPr="00C600BB" w:rsidRDefault="0036643D" w:rsidP="00C600BB">
            <w:pPr>
              <w:spacing w:before="0" w:line="240" w:lineRule="auto"/>
              <w:ind w:left="0"/>
              <w:rPr>
                <w:rFonts w:ascii="Times New Roman" w:hAnsi="Times New Roman"/>
                <w:b/>
                <w:sz w:val="18"/>
                <w:szCs w:val="18"/>
              </w:rPr>
            </w:pPr>
            <w:r w:rsidRPr="00C600BB">
              <w:rPr>
                <w:rFonts w:ascii="Times New Roman" w:hAnsi="Times New Roman"/>
                <w:b/>
                <w:sz w:val="18"/>
                <w:szCs w:val="18"/>
              </w:rPr>
              <w:t>2040-50</w:t>
            </w:r>
          </w:p>
        </w:tc>
      </w:tr>
      <w:tr w:rsidR="005E5B9D" w:rsidRPr="00C600BB" w:rsidTr="002B7D49">
        <w:tc>
          <w:tcPr>
            <w:tcW w:w="1335" w:type="dxa"/>
            <w:tcBorders>
              <w:top w:val="single" w:sz="18" w:space="0" w:color="7F7F7F"/>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USA</w:t>
            </w:r>
          </w:p>
        </w:tc>
        <w:tc>
          <w:tcPr>
            <w:tcW w:w="850" w:type="dxa"/>
            <w:tcBorders>
              <w:top w:val="single" w:sz="18" w:space="0" w:color="7F7F7F"/>
              <w:left w:val="single" w:sz="18" w:space="0" w:color="7F7F7F"/>
              <w:bottom w:val="nil"/>
            </w:tcBorders>
            <w:shd w:val="clear" w:color="auto" w:fill="auto"/>
            <w:vAlign w:val="center"/>
          </w:tcPr>
          <w:p w:rsidR="005E5B9D" w:rsidRPr="005E5B9D" w:rsidRDefault="005E5B9D" w:rsidP="005E5B9D">
            <w:pPr>
              <w:spacing w:before="0" w:line="240" w:lineRule="auto"/>
              <w:ind w:left="0"/>
              <w:jc w:val="right"/>
              <w:rPr>
                <w:rFonts w:ascii="Times New Roman" w:hAnsi="Times New Roman"/>
                <w:color w:val="000000"/>
                <w:sz w:val="18"/>
                <w:szCs w:val="18"/>
                <w:lang w:eastAsia="en-AU"/>
              </w:rPr>
            </w:pPr>
            <w:r w:rsidRPr="005E5B9D">
              <w:rPr>
                <w:rFonts w:ascii="Times New Roman" w:hAnsi="Times New Roman"/>
                <w:color w:val="000000"/>
                <w:sz w:val="18"/>
                <w:szCs w:val="18"/>
              </w:rPr>
              <w:t>3.30</w:t>
            </w:r>
          </w:p>
        </w:tc>
        <w:tc>
          <w:tcPr>
            <w:tcW w:w="850" w:type="dxa"/>
            <w:tcBorders>
              <w:top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0.97</w:t>
            </w:r>
          </w:p>
        </w:tc>
        <w:tc>
          <w:tcPr>
            <w:tcW w:w="850" w:type="dxa"/>
            <w:tcBorders>
              <w:top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tcBorders>
              <w:top w:val="single" w:sz="18" w:space="0" w:color="7F7F7F"/>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1.52</w:t>
            </w:r>
          </w:p>
        </w:tc>
        <w:tc>
          <w:tcPr>
            <w:tcW w:w="850" w:type="dxa"/>
            <w:tcBorders>
              <w:top w:val="single" w:sz="18" w:space="0" w:color="7F7F7F"/>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3.30</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-1.16</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tcBorders>
              <w:top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1.31</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Canada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-0.55</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1.19</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1.85</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0.76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1.59</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Mexico</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-1.07</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-0.09</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0.03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0.07</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China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5.42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4.42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3.50</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3.47</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5.42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3.09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3.76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3.65</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Japan</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1.48</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0.10</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-0.32</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-0.05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-1.92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-0.11</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-0.34</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SKorea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3.97</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1.35</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1.66</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3.97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1.73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1.50</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India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5.48</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4.65</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5.13</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4.60</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5.48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6.68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4.65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4.51</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France</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3.05</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0.58</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0.74</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0.94</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3.05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1.17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0.96</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Germany</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2.56</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-0.53</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-0.15</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0.23</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2.56</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0.48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0.14</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UK</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-0.63</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0.46</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0.78</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1.13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0.79</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0.64</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RoEU</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5.84</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1.22</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1.57</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1.45</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5.84</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1.51</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SaudiArabia</w:t>
            </w:r>
          </w:p>
        </w:tc>
        <w:tc>
          <w:tcPr>
            <w:tcW w:w="850" w:type="dxa"/>
            <w:tcBorders>
              <w:top w:val="nil"/>
              <w:left w:val="single" w:sz="18" w:space="0" w:color="7F7F7F"/>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-0.67</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2.94</w:t>
            </w:r>
          </w:p>
        </w:tc>
        <w:tc>
          <w:tcPr>
            <w:tcW w:w="850" w:type="dxa"/>
            <w:tcBorders>
              <w:top w:val="nil"/>
              <w:bottom w:val="nil"/>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2.07</w:t>
            </w:r>
          </w:p>
        </w:tc>
        <w:tc>
          <w:tcPr>
            <w:tcW w:w="850" w:type="dxa"/>
            <w:tcBorders>
              <w:top w:val="nil"/>
              <w:bottom w:val="nil"/>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1.62</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-0.67</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6.15</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1.33</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1.51</w:t>
            </w:r>
          </w:p>
        </w:tc>
      </w:tr>
      <w:tr w:rsidR="005E5B9D" w:rsidRPr="00C600BB" w:rsidTr="002B7D49">
        <w:tc>
          <w:tcPr>
            <w:tcW w:w="1335" w:type="dxa"/>
            <w:tcBorders>
              <w:right w:val="single" w:sz="18" w:space="0" w:color="7F7F7F"/>
            </w:tcBorders>
            <w:shd w:val="clear" w:color="auto" w:fill="auto"/>
            <w:vAlign w:val="bottom"/>
          </w:tcPr>
          <w:p w:rsidR="005E5B9D" w:rsidRPr="00C600BB" w:rsidRDefault="005E5B9D" w:rsidP="005E5B9D">
            <w:pPr>
              <w:spacing w:before="0" w:line="240" w:lineRule="auto"/>
              <w:ind w:left="29"/>
              <w:rPr>
                <w:rFonts w:ascii="Times New Roman" w:hAnsi="Times New Roman"/>
                <w:b/>
                <w:color w:val="000000"/>
                <w:sz w:val="20"/>
                <w:szCs w:val="20"/>
              </w:rPr>
            </w:pPr>
            <w:r w:rsidRPr="00C600BB">
              <w:rPr>
                <w:rFonts w:ascii="Times New Roman" w:hAnsi="Times New Roman"/>
                <w:b/>
                <w:color w:val="000000"/>
                <w:sz w:val="20"/>
                <w:szCs w:val="20"/>
              </w:rPr>
              <w:t>RoW</w:t>
            </w:r>
          </w:p>
        </w:tc>
        <w:tc>
          <w:tcPr>
            <w:tcW w:w="850" w:type="dxa"/>
            <w:tcBorders>
              <w:top w:val="nil"/>
              <w:left w:val="single" w:sz="18" w:space="0" w:color="7F7F7F"/>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2.82</w:t>
            </w:r>
          </w:p>
        </w:tc>
        <w:tc>
          <w:tcPr>
            <w:tcW w:w="850" w:type="dxa"/>
            <w:tcBorders>
              <w:top w:val="nil"/>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2.24</w:t>
            </w:r>
          </w:p>
        </w:tc>
        <w:tc>
          <w:tcPr>
            <w:tcW w:w="850" w:type="dxa"/>
            <w:tcBorders>
              <w:top w:val="nil"/>
              <w:bottom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2.72</w:t>
            </w:r>
          </w:p>
        </w:tc>
        <w:tc>
          <w:tcPr>
            <w:tcW w:w="850" w:type="dxa"/>
            <w:tcBorders>
              <w:top w:val="nil"/>
              <w:bottom w:val="single" w:sz="18" w:space="0" w:color="7F7F7F"/>
              <w:righ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2.54</w:t>
            </w:r>
          </w:p>
        </w:tc>
        <w:tc>
          <w:tcPr>
            <w:tcW w:w="850" w:type="dxa"/>
            <w:tcBorders>
              <w:left w:val="single" w:sz="18" w:space="0" w:color="7F7F7F"/>
            </w:tcBorders>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2.82</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4.60</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2.48</w:t>
            </w:r>
          </w:p>
        </w:tc>
        <w:tc>
          <w:tcPr>
            <w:tcW w:w="850" w:type="dxa"/>
            <w:shd w:val="clear" w:color="auto" w:fill="auto"/>
            <w:vAlign w:val="center"/>
          </w:tcPr>
          <w:p w:rsidR="005E5B9D" w:rsidRPr="005E5B9D" w:rsidRDefault="005E5B9D" w:rsidP="005E5B9D">
            <w:pPr>
              <w:spacing w:before="0" w:line="240" w:lineRule="auto"/>
              <w:jc w:val="right"/>
              <w:rPr>
                <w:rFonts w:ascii="Times New Roman" w:hAnsi="Times New Roman"/>
                <w:color w:val="000000"/>
                <w:sz w:val="18"/>
                <w:szCs w:val="18"/>
              </w:rPr>
            </w:pPr>
            <w:r w:rsidRPr="005E5B9D">
              <w:rPr>
                <w:rFonts w:ascii="Times New Roman" w:hAnsi="Times New Roman"/>
                <w:color w:val="000000"/>
                <w:sz w:val="18"/>
                <w:szCs w:val="18"/>
              </w:rPr>
              <w:t>2.45</w:t>
            </w:r>
          </w:p>
        </w:tc>
      </w:tr>
    </w:tbl>
    <w:p w:rsidR="0036643D" w:rsidRDefault="0036643D" w:rsidP="0036643D">
      <w:pPr>
        <w:spacing w:before="0"/>
        <w:ind w:left="0"/>
        <w:jc w:val="center"/>
        <w:rPr>
          <w:rFonts w:ascii="Times New Roman" w:hAnsi="Times New Roman"/>
          <w:b/>
          <w:i/>
          <w:sz w:val="24"/>
          <w:szCs w:val="24"/>
        </w:rPr>
      </w:pPr>
    </w:p>
    <w:p w:rsidR="002F7380" w:rsidRDefault="002F7380" w:rsidP="002F7380">
      <w:pPr>
        <w:ind w:left="0"/>
        <w:rPr>
          <w:rFonts w:ascii="Times New Roman" w:hAnsi="Times New Roman"/>
          <w:sz w:val="24"/>
          <w:szCs w:val="24"/>
        </w:rPr>
      </w:pPr>
    </w:p>
    <w:p w:rsidR="002F761E" w:rsidRDefault="002F761E" w:rsidP="002F761E">
      <w:pPr>
        <w:spacing w:after="120"/>
        <w:ind w:left="0"/>
        <w:rPr>
          <w:rFonts w:ascii="Times New Roman" w:hAnsi="Times New Roman"/>
          <w:sz w:val="24"/>
          <w:szCs w:val="24"/>
        </w:rPr>
      </w:pPr>
      <w:r>
        <w:rPr>
          <w:rFonts w:ascii="Times New Roman" w:hAnsi="Times New Roman"/>
          <w:b/>
          <w:sz w:val="24"/>
          <w:szCs w:val="24"/>
        </w:rPr>
        <w:lastRenderedPageBreak/>
        <w:t xml:space="preserve">Appendix 4.   </w:t>
      </w:r>
      <w:r w:rsidRPr="002F761E">
        <w:rPr>
          <w:rFonts w:ascii="Times New Roman" w:hAnsi="Times New Roman"/>
          <w:b/>
          <w:sz w:val="24"/>
          <w:szCs w:val="24"/>
        </w:rPr>
        <w:t>GTAP industries</w:t>
      </w:r>
      <w:r>
        <w:rPr>
          <w:rFonts w:ascii="Times New Roman" w:hAnsi="Times New Roman"/>
          <w:sz w:val="24"/>
          <w:szCs w:val="24"/>
        </w:rPr>
        <w:t xml:space="preserve"> </w:t>
      </w:r>
    </w:p>
    <w:tbl>
      <w:tblPr>
        <w:tblStyle w:val="TableGrid"/>
        <w:tblW w:w="8500" w:type="dxa"/>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562"/>
        <w:gridCol w:w="709"/>
        <w:gridCol w:w="7229"/>
      </w:tblGrid>
      <w:tr w:rsidR="002F761E" w:rsidRPr="002F761E" w:rsidTr="00AE6313">
        <w:tc>
          <w:tcPr>
            <w:tcW w:w="562" w:type="dxa"/>
            <w:tcBorders>
              <w:top w:val="single" w:sz="18" w:space="0" w:color="7F7F7F" w:themeColor="text1" w:themeTint="80"/>
              <w:bottom w:val="single" w:sz="18" w:space="0" w:color="7F7F7F" w:themeColor="text1" w:themeTint="80"/>
            </w:tcBorders>
          </w:tcPr>
          <w:p w:rsidR="002F761E" w:rsidRPr="002F761E" w:rsidRDefault="002F761E" w:rsidP="002F761E">
            <w:pPr>
              <w:spacing w:before="0" w:line="240" w:lineRule="auto"/>
              <w:ind w:left="0"/>
              <w:rPr>
                <w:rFonts w:ascii="Times New Roman" w:hAnsi="Times New Roman"/>
                <w:b/>
                <w:sz w:val="24"/>
                <w:szCs w:val="24"/>
              </w:rPr>
            </w:pPr>
          </w:p>
        </w:tc>
        <w:tc>
          <w:tcPr>
            <w:tcW w:w="709" w:type="dxa"/>
            <w:tcBorders>
              <w:top w:val="single" w:sz="18" w:space="0" w:color="7F7F7F" w:themeColor="text1" w:themeTint="80"/>
              <w:bottom w:val="single" w:sz="18" w:space="0" w:color="7F7F7F" w:themeColor="text1" w:themeTint="80"/>
            </w:tcBorders>
          </w:tcPr>
          <w:p w:rsidR="002F761E" w:rsidRPr="002F761E" w:rsidRDefault="002F761E" w:rsidP="002F761E">
            <w:pPr>
              <w:spacing w:before="0" w:line="240" w:lineRule="auto"/>
              <w:ind w:left="0"/>
              <w:rPr>
                <w:rFonts w:ascii="Times New Roman" w:hAnsi="Times New Roman"/>
                <w:b/>
                <w:sz w:val="24"/>
                <w:szCs w:val="24"/>
              </w:rPr>
            </w:pPr>
          </w:p>
        </w:tc>
        <w:tc>
          <w:tcPr>
            <w:tcW w:w="7229" w:type="dxa"/>
            <w:tcBorders>
              <w:top w:val="single" w:sz="18" w:space="0" w:color="7F7F7F" w:themeColor="text1" w:themeTint="80"/>
              <w:bottom w:val="single" w:sz="18" w:space="0" w:color="7F7F7F" w:themeColor="text1" w:themeTint="80"/>
            </w:tcBorders>
          </w:tcPr>
          <w:p w:rsidR="002F761E" w:rsidRPr="002F761E" w:rsidRDefault="002F761E" w:rsidP="002F761E">
            <w:pPr>
              <w:spacing w:before="0" w:line="240" w:lineRule="auto"/>
              <w:ind w:left="0"/>
              <w:rPr>
                <w:rFonts w:ascii="Times New Roman" w:hAnsi="Times New Roman"/>
                <w:b/>
                <w:sz w:val="24"/>
                <w:szCs w:val="24"/>
              </w:rPr>
            </w:pPr>
            <w:r w:rsidRPr="002F761E">
              <w:rPr>
                <w:rFonts w:ascii="Times New Roman" w:hAnsi="Times New Roman"/>
                <w:b/>
                <w:sz w:val="24"/>
                <w:szCs w:val="24"/>
              </w:rPr>
              <w:t>Description</w:t>
            </w:r>
          </w:p>
        </w:tc>
      </w:tr>
      <w:tr w:rsidR="002F761E" w:rsidRPr="002F761E" w:rsidTr="00AE6313">
        <w:tc>
          <w:tcPr>
            <w:tcW w:w="562" w:type="dxa"/>
            <w:tcBorders>
              <w:top w:val="single" w:sz="18" w:space="0" w:color="7F7F7F" w:themeColor="text1" w:themeTint="80"/>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w:t>
            </w:r>
          </w:p>
        </w:tc>
        <w:tc>
          <w:tcPr>
            <w:tcW w:w="709" w:type="dxa"/>
            <w:tcBorders>
              <w:top w:val="single" w:sz="18" w:space="0" w:color="7F7F7F" w:themeColor="text1" w:themeTint="80"/>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pdr</w:t>
            </w:r>
          </w:p>
        </w:tc>
        <w:tc>
          <w:tcPr>
            <w:tcW w:w="7229" w:type="dxa"/>
            <w:tcBorders>
              <w:top w:val="single" w:sz="18" w:space="0" w:color="7F7F7F" w:themeColor="text1" w:themeTint="80"/>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Paddy Rice: rice, husked and unhusked</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wht</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Wheat: wheat and meslin</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gro</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Grains: maize (corn), barley, rye, oats, other cereals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v_f</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Veg &amp; Fruit: vegetables, fruitvegetables, fruit and nuts, potatoes, cassava, truffles,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osd</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Oil Seeds: oil seeds and oleaginous fruit; soy beans, copra</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6</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c_b</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Cane &amp; Beet: sugar cane and sugar beet</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7</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pfb</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Plant Fibres: cotton, flax, hemp, sisal and other raw vegetable materials used in textiles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8</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ocr</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Crops: live plants; cut flowers and flower buds; flower seeds and fruit seeds; vegetable seeds, beverage and spice crops, unmanufactured tobacco, cereal straw and husks, unprepared, whether or not chopped, ground, pressed or in the form of pellets; swedes, mangolds, fodder roots, hay, lucerne (alfalfa), clover, sainfoin, forage kale, lupines, vetches and similar forage products, whether or not in the form of pellets, plants and parts of plants used primarily in perfumery, in pharmacy, or for insecticidal, fungicidal or similar purposes, sugar beet seed and seeds of forage plants, other raw vegetable materials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9</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ctl</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Cattle: cattle, sheep, goats, horses, asses, mules, and hinnies; and semen thereof</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10</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oap</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Animal Products: swine, poultry and other live animals; eggs, in shell (fresh or cooked), natural honey, snails (fresh or preserved) except sea snails; frogs' legs, edible products of animal origin n.e.c., hides, skins and furskins, raw , insect waxes and spermaceti, whether or not refined or coloured</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11</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rmk</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Raw milk</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12</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wol</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Wool: wool, silk, and other raw animal materials used in textile</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13</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frs</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Forestry: forestry, logging and related service activities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14</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fsh</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Fishing: hunting, trapping and game propagation including related service activities, fishing, fish farms; service activities incidental to fishing</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15</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coa</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Coal: mining and agglomeration of hard coal, lignite and peat</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16</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oil</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Oil: extraction of crude petroleum and natural gas (part), service activities incidental to oil and gas extraction excluding surveying (part)</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17</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gas</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Gas: extraction of crude petroleum and natural gas (part), service activities incidental to oil and gas extraction excluding surveying (part)</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18</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omn</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Mining: mining of metal ores, uranium, gems. other mining and quarrying</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19</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cmt</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Cattle Meat: fresh or chilled meat and edible offal of cattle, sheep, goats, horses, asses, mules, and hinnies. raw fats or grease from any animal or bird.</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20</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omt</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Meat: pig meat and offal. preserves and preparations of meat, meat offal or blood, flours, meals and pellets of meat or inedible meat offal; greaves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21</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vol</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Vegetable Oils: crude and refined oils of soya-bean, maize (corn),olive, sesame, ground-nut, olive, sunflower-seed, safflower, cotton-seed, rape, colza and canola, mustard, coconut palm, palm kernel, castor, tung jojoba, babassu and linseed, perhaps partly or wholly hydrogenated,inter-esterified, re-esterified or elaidinised. Also margarine and similar preparations, animal or vegetable waxes, fats and oils and their fractions, cotton linters, oil-cake and other solid residues resulting from the extraction of vegetable fats or oils; flours and meals of oil seeds or oleaginous fruits, except those of mustard; degras and other residues resulting from the treatment of fatty substances or animal or vegetable waxes.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22</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mil</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Milk: dairy products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23</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pcr</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Processed Rice: rice, semi- or wholly milled</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24</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sgr</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Sugar</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25</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ofd</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Food: prepared and preserved fish or vegetables, fruit juices and vegetable juices, prepared and preserved fruit and nuts, all cereal flours, groats, meal and pellets of wheat, cereal groats, meal and pellets n.e.c., other cereal grain products (including corn flakes), other vegetable flours and meals, mixes and doughs for the preparation of bakers' wares, starches and starch products; sugars and sugar syrups n.e.c., preparations used in animal feeding, bakery products, cocoa, chocolate and sugar confectionery, macaroni, noodles, couscous and similar farinaceous products, food products n.e.c.</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26</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b_t</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Beverages and Tobacco products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27</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tex</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Textiles: textiles and man-made fibres</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28</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wap</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Wearing Apparel: Clothing, dressing and dyeing of fur</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29</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lea</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Leather: tanning and dressing of leather; luggage, handbags, saddlery, harness and footwear</w:t>
            </w:r>
          </w:p>
        </w:tc>
      </w:tr>
      <w:tr w:rsidR="002F761E" w:rsidRPr="002F761E" w:rsidTr="00AE6313">
        <w:tc>
          <w:tcPr>
            <w:tcW w:w="562"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30</w:t>
            </w:r>
          </w:p>
        </w:tc>
        <w:tc>
          <w:tcPr>
            <w:tcW w:w="70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lum</w:t>
            </w:r>
          </w:p>
        </w:tc>
        <w:tc>
          <w:tcPr>
            <w:tcW w:w="7229" w:type="dxa"/>
            <w:tcBorders>
              <w:top w:val="single" w:sz="4" w:space="0" w:color="auto"/>
              <w:bottom w:val="single" w:sz="4" w:space="0" w:color="auto"/>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Lumber: wood and products of wood and cork, except furniture; articles of straw and plaiting materials</w:t>
            </w:r>
          </w:p>
        </w:tc>
      </w:tr>
    </w:tbl>
    <w:p w:rsidR="002F761E" w:rsidRPr="002F761E" w:rsidRDefault="002F761E" w:rsidP="002F761E">
      <w:pPr>
        <w:spacing w:before="0" w:line="240" w:lineRule="auto"/>
        <w:ind w:right="662"/>
        <w:jc w:val="right"/>
        <w:rPr>
          <w:rFonts w:ascii="Times New Roman" w:hAnsi="Times New Roman"/>
          <w:b/>
          <w:i/>
          <w:sz w:val="18"/>
          <w:szCs w:val="18"/>
        </w:rPr>
      </w:pPr>
      <w:r w:rsidRPr="002F761E">
        <w:rPr>
          <w:rFonts w:ascii="Times New Roman" w:hAnsi="Times New Roman"/>
          <w:b/>
          <w:i/>
          <w:sz w:val="18"/>
          <w:szCs w:val="18"/>
        </w:rPr>
        <w:t>Table continues …</w:t>
      </w:r>
    </w:p>
    <w:p w:rsidR="002F761E" w:rsidRPr="002F761E" w:rsidRDefault="002F761E" w:rsidP="002F761E">
      <w:pPr>
        <w:spacing w:before="0" w:line="240" w:lineRule="auto"/>
        <w:rPr>
          <w:rFonts w:ascii="Times New Roman" w:hAnsi="Times New Roman"/>
          <w:b/>
          <w:i/>
          <w:sz w:val="18"/>
          <w:szCs w:val="18"/>
        </w:rPr>
      </w:pPr>
      <w:r w:rsidRPr="002F761E">
        <w:rPr>
          <w:rFonts w:ascii="Times New Roman" w:hAnsi="Times New Roman"/>
          <w:b/>
          <w:i/>
          <w:sz w:val="18"/>
          <w:szCs w:val="18"/>
        </w:rPr>
        <w:br w:type="page"/>
      </w:r>
    </w:p>
    <w:p w:rsidR="002F761E" w:rsidRPr="002F761E" w:rsidRDefault="002F761E" w:rsidP="002F761E">
      <w:pPr>
        <w:spacing w:before="0" w:line="240" w:lineRule="auto"/>
        <w:ind w:right="662"/>
        <w:rPr>
          <w:rFonts w:ascii="Times New Roman" w:hAnsi="Times New Roman"/>
          <w:b/>
          <w:i/>
          <w:sz w:val="18"/>
          <w:szCs w:val="18"/>
        </w:rPr>
      </w:pPr>
      <w:r w:rsidRPr="002F761E">
        <w:rPr>
          <w:rFonts w:ascii="Times New Roman" w:hAnsi="Times New Roman"/>
          <w:b/>
          <w:i/>
          <w:sz w:val="18"/>
          <w:szCs w:val="18"/>
        </w:rPr>
        <w:lastRenderedPageBreak/>
        <w:t xml:space="preserve">… Table continued </w:t>
      </w:r>
    </w:p>
    <w:tbl>
      <w:tblPr>
        <w:tblStyle w:val="TableGrid"/>
        <w:tblW w:w="8500" w:type="dxa"/>
        <w:tblInd w:w="-5" w:type="dxa"/>
        <w:tblLook w:val="04A0" w:firstRow="1" w:lastRow="0" w:firstColumn="1" w:lastColumn="0" w:noHBand="0" w:noVBand="1"/>
      </w:tblPr>
      <w:tblGrid>
        <w:gridCol w:w="562"/>
        <w:gridCol w:w="709"/>
        <w:gridCol w:w="7229"/>
      </w:tblGrid>
      <w:tr w:rsidR="002F761E" w:rsidRPr="002F761E" w:rsidTr="00AE6313">
        <w:tc>
          <w:tcPr>
            <w:tcW w:w="562" w:type="dxa"/>
            <w:tcBorders>
              <w:top w:val="single" w:sz="18" w:space="0" w:color="7F7F7F" w:themeColor="text1" w:themeTint="80"/>
              <w:left w:val="nil"/>
              <w:bottom w:val="single" w:sz="18" w:space="0" w:color="7F7F7F" w:themeColor="text1" w:themeTint="80"/>
              <w:right w:val="nil"/>
            </w:tcBorders>
          </w:tcPr>
          <w:p w:rsidR="002F761E" w:rsidRPr="002F761E" w:rsidRDefault="002F761E" w:rsidP="002F761E">
            <w:pPr>
              <w:spacing w:before="0" w:line="240" w:lineRule="auto"/>
              <w:ind w:left="0"/>
              <w:rPr>
                <w:rFonts w:ascii="Times New Roman" w:hAnsi="Times New Roman"/>
                <w:b/>
                <w:sz w:val="18"/>
                <w:szCs w:val="18"/>
              </w:rPr>
            </w:pPr>
          </w:p>
        </w:tc>
        <w:tc>
          <w:tcPr>
            <w:tcW w:w="709" w:type="dxa"/>
            <w:tcBorders>
              <w:top w:val="single" w:sz="18" w:space="0" w:color="7F7F7F" w:themeColor="text1" w:themeTint="80"/>
              <w:left w:val="nil"/>
              <w:bottom w:val="single" w:sz="18" w:space="0" w:color="7F7F7F" w:themeColor="text1" w:themeTint="80"/>
              <w:right w:val="nil"/>
            </w:tcBorders>
          </w:tcPr>
          <w:p w:rsidR="002F761E" w:rsidRPr="002F761E" w:rsidRDefault="002F761E" w:rsidP="002F761E">
            <w:pPr>
              <w:spacing w:before="0" w:line="240" w:lineRule="auto"/>
              <w:ind w:left="0"/>
              <w:rPr>
                <w:rFonts w:ascii="Times New Roman" w:hAnsi="Times New Roman"/>
                <w:b/>
                <w:sz w:val="18"/>
                <w:szCs w:val="18"/>
              </w:rPr>
            </w:pPr>
          </w:p>
        </w:tc>
        <w:tc>
          <w:tcPr>
            <w:tcW w:w="7229" w:type="dxa"/>
            <w:tcBorders>
              <w:top w:val="single" w:sz="18" w:space="0" w:color="7F7F7F" w:themeColor="text1" w:themeTint="80"/>
              <w:left w:val="nil"/>
              <w:bottom w:val="single" w:sz="18" w:space="0" w:color="7F7F7F" w:themeColor="text1" w:themeTint="80"/>
              <w:right w:val="nil"/>
            </w:tcBorders>
          </w:tcPr>
          <w:p w:rsidR="002F761E" w:rsidRPr="002F761E" w:rsidRDefault="002F761E" w:rsidP="002F761E">
            <w:pPr>
              <w:spacing w:before="0" w:line="240" w:lineRule="auto"/>
              <w:ind w:left="0"/>
              <w:rPr>
                <w:rFonts w:ascii="Times New Roman" w:hAnsi="Times New Roman"/>
                <w:b/>
                <w:sz w:val="18"/>
                <w:szCs w:val="18"/>
              </w:rPr>
            </w:pPr>
            <w:r w:rsidRPr="002F761E">
              <w:rPr>
                <w:rFonts w:ascii="Times New Roman" w:hAnsi="Times New Roman"/>
                <w:b/>
                <w:sz w:val="18"/>
                <w:szCs w:val="18"/>
              </w:rPr>
              <w:t>Description</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18" w:space="0" w:color="7F7F7F" w:themeColor="text1" w:themeTint="80"/>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31</w:t>
            </w:r>
          </w:p>
        </w:tc>
        <w:tc>
          <w:tcPr>
            <w:tcW w:w="709" w:type="dxa"/>
            <w:tcBorders>
              <w:top w:val="single" w:sz="18" w:space="0" w:color="7F7F7F" w:themeColor="text1" w:themeTint="80"/>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ppp</w:t>
            </w:r>
          </w:p>
        </w:tc>
        <w:tc>
          <w:tcPr>
            <w:tcW w:w="7229" w:type="dxa"/>
            <w:tcBorders>
              <w:top w:val="single" w:sz="18" w:space="0" w:color="7F7F7F" w:themeColor="text1" w:themeTint="80"/>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Paper &amp; Paper Products: includes publishing, printing and reproduction of recorded media</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32</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p_c</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Petroleum &amp; Coke: coke oven products, refined petroleum products, processing of nuclear fuel</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33</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crp</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Chemical Rubber Products: basic chemicals, other chemical products, rubber and plastics products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34</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nmm</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Non-Metallic Minerals: cement, plaster, lime, gravel, concrete</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35</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i_s</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Iron &amp; Steel: basic production and casting</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36</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nfm</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Non-Ferrous Metals: production and casting of copper, aluminium, zinc, lead, gold, and silver</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37</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fmp</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Fabricated Metal Products: Sheet metal products, but not machinery and equipment</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38</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mvh</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Motor Motor vehicles and parts: cars, lorries, trailers and semi-trailers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39</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otn</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Transport Equipment: Manufacture of other transport equipment</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40</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ele</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Electronic Equipment: office, accounting and computing machinery, radio, television and communication equipment and apparatus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41</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ome</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Machinery &amp; Equipment: electrical machinery and apparatus n.e.c., medical, precision and optical instruments, watches and clocks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42</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omf</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Manufacturing: includes recycling</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43</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ely</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Electricity: production, collection and distribution</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44</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gdt</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Gas Distribution: distribution of gaseous fuels through mains; steam and hot water supply</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45</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wtr</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Water: collection, purification and distribution</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46</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cns</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Construction: building houses factories offices and roads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47</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trd</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Trade: all retail sales; wholesale trade and commission trade; hotels and restaurants; repairs of motor vehicles and personal and household goods; retail sale of automotive fuel</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48</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otp</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Transport: road, rail ; pipelines, auxiliary transport activities; travel agencies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49</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wtp</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Water transport</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50</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atp</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Air transport</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51</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cmn</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Communications: post and telecommunications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52</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ofi</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Financial Intermediation: includes auxiliary activities but not insurance and pension funding (see next)</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53</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isr</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Insurance: includes pension funding, except compulsory social security</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54</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obs</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Business Services: real estate, renting and business activities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55</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ros</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Recreation &amp; Other Services: recreational, cultural and sporting activities, other service activities; private households with employed persons (servants)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56</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osg</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Other Services (Government): public administration and defense; compulsory social security, education, health and social work, sewage and refuse disposal, sanitation and similar activities, activities of membership organizations n.e.c., extra-territorial organizations and bodies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57</w:t>
            </w:r>
          </w:p>
        </w:tc>
        <w:tc>
          <w:tcPr>
            <w:tcW w:w="70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dwe</w:t>
            </w:r>
          </w:p>
        </w:tc>
        <w:tc>
          <w:tcPr>
            <w:tcW w:w="7229" w:type="dxa"/>
            <w:tcBorders>
              <w:top w:val="single" w:sz="4" w:space="0" w:color="000000" w:themeColor="text1"/>
              <w:bottom w:val="single" w:sz="4" w:space="0" w:color="000000" w:themeColor="text1"/>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Dwellings: ownership of dwellings (imputed rents of houses occupied by owners)</w:t>
            </w:r>
          </w:p>
        </w:tc>
      </w:tr>
      <w:tr w:rsidR="002F761E" w:rsidRPr="002F761E" w:rsidTr="00AE6313">
        <w:tblPrEx>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PrEx>
        <w:tc>
          <w:tcPr>
            <w:tcW w:w="562" w:type="dxa"/>
            <w:tcBorders>
              <w:top w:val="single" w:sz="4" w:space="0" w:color="000000" w:themeColor="text1"/>
              <w:bottom w:val="single" w:sz="18" w:space="0" w:color="7F7F7F" w:themeColor="text1" w:themeTint="80"/>
            </w:tcBorders>
          </w:tcPr>
          <w:p w:rsidR="002F761E" w:rsidRPr="002F761E" w:rsidRDefault="002F761E" w:rsidP="002F761E">
            <w:pPr>
              <w:spacing w:before="0" w:line="240" w:lineRule="auto"/>
              <w:ind w:left="-48"/>
              <w:rPr>
                <w:rFonts w:ascii="Times New Roman" w:hAnsi="Times New Roman"/>
                <w:color w:val="000000"/>
                <w:sz w:val="18"/>
                <w:szCs w:val="18"/>
              </w:rPr>
            </w:pPr>
            <w:r w:rsidRPr="002F761E">
              <w:rPr>
                <w:rFonts w:ascii="Times New Roman" w:hAnsi="Times New Roman"/>
                <w:color w:val="000000"/>
                <w:sz w:val="18"/>
                <w:szCs w:val="18"/>
              </w:rPr>
              <w:t>58</w:t>
            </w:r>
          </w:p>
        </w:tc>
        <w:tc>
          <w:tcPr>
            <w:tcW w:w="709" w:type="dxa"/>
            <w:tcBorders>
              <w:top w:val="single" w:sz="4" w:space="0" w:color="000000" w:themeColor="text1"/>
              <w:bottom w:val="single" w:sz="18" w:space="0" w:color="7F7F7F" w:themeColor="text1" w:themeTint="80"/>
            </w:tcBorders>
          </w:tcPr>
          <w:p w:rsidR="002F761E" w:rsidRPr="002F761E" w:rsidRDefault="002F761E" w:rsidP="002F761E">
            <w:pPr>
              <w:spacing w:before="0" w:line="240" w:lineRule="auto"/>
              <w:ind w:left="0"/>
              <w:rPr>
                <w:rFonts w:ascii="Times New Roman" w:hAnsi="Times New Roman"/>
                <w:sz w:val="18"/>
                <w:szCs w:val="18"/>
              </w:rPr>
            </w:pPr>
            <w:r w:rsidRPr="002F761E">
              <w:rPr>
                <w:rFonts w:ascii="Times New Roman" w:hAnsi="Times New Roman"/>
                <w:sz w:val="18"/>
                <w:szCs w:val="18"/>
              </w:rPr>
              <w:t>CGDS</w:t>
            </w:r>
          </w:p>
        </w:tc>
        <w:tc>
          <w:tcPr>
            <w:tcW w:w="7229" w:type="dxa"/>
            <w:tcBorders>
              <w:top w:val="single" w:sz="4" w:space="0" w:color="000000" w:themeColor="text1"/>
              <w:bottom w:val="single" w:sz="18" w:space="0" w:color="7F7F7F" w:themeColor="text1" w:themeTint="80"/>
            </w:tcBorders>
          </w:tcPr>
          <w:p w:rsidR="002F761E" w:rsidRPr="002F761E" w:rsidRDefault="002F761E" w:rsidP="002F761E">
            <w:pPr>
              <w:spacing w:before="0" w:line="240" w:lineRule="auto"/>
              <w:ind w:left="0"/>
              <w:rPr>
                <w:rFonts w:ascii="Times New Roman" w:hAnsi="Times New Roman"/>
                <w:sz w:val="18"/>
                <w:szCs w:val="18"/>
              </w:rPr>
            </w:pPr>
            <w:r w:rsidRPr="002F761E">
              <w:rPr>
                <w:rFonts w:ascii="Times New Roman" w:hAnsi="Times New Roman"/>
                <w:sz w:val="18"/>
                <w:szCs w:val="18"/>
              </w:rPr>
              <w:t>Capital goods:  this is an artificial industry that collects the inputs to capital creation</w:t>
            </w:r>
          </w:p>
        </w:tc>
      </w:tr>
    </w:tbl>
    <w:p w:rsidR="002F761E" w:rsidRPr="002F761E" w:rsidRDefault="002F761E" w:rsidP="002F761E">
      <w:pPr>
        <w:spacing w:before="0" w:line="240" w:lineRule="auto"/>
        <w:ind w:left="0"/>
        <w:rPr>
          <w:rFonts w:ascii="Times New Roman" w:hAnsi="Times New Roman"/>
          <w:sz w:val="18"/>
          <w:szCs w:val="18"/>
        </w:rPr>
      </w:pPr>
      <w:r w:rsidRPr="002F761E">
        <w:rPr>
          <w:rFonts w:ascii="Times New Roman" w:hAnsi="Times New Roman"/>
          <w:sz w:val="18"/>
          <w:szCs w:val="18"/>
          <w:vertAlign w:val="superscript"/>
        </w:rPr>
        <w:t>*</w:t>
      </w:r>
      <w:r w:rsidRPr="002F761E">
        <w:rPr>
          <w:rFonts w:ascii="Times New Roman" w:hAnsi="Times New Roman"/>
          <w:sz w:val="18"/>
          <w:szCs w:val="18"/>
        </w:rPr>
        <w:t xml:space="preserve">  </w:t>
      </w:r>
      <w:r w:rsidRPr="002F761E">
        <w:rPr>
          <w:rFonts w:ascii="Times New Roman" w:hAnsi="Times New Roman"/>
          <w:i/>
          <w:sz w:val="18"/>
          <w:szCs w:val="18"/>
        </w:rPr>
        <w:t xml:space="preserve">Source:  downloaded from </w:t>
      </w:r>
      <w:hyperlink r:id="rId167" w:history="1">
        <w:r w:rsidRPr="002F761E">
          <w:rPr>
            <w:rStyle w:val="Hyperlink"/>
            <w:rFonts w:ascii="Times New Roman" w:hAnsi="Times New Roman"/>
            <w:i/>
            <w:sz w:val="18"/>
            <w:szCs w:val="18"/>
          </w:rPr>
          <w:t>https://www.gtap.agecon.purdue.edu/databases/contribute/detailedsector57.asp</w:t>
        </w:r>
      </w:hyperlink>
      <w:r w:rsidRPr="002F761E">
        <w:rPr>
          <w:rFonts w:ascii="Times New Roman" w:hAnsi="Times New Roman"/>
          <w:i/>
          <w:sz w:val="18"/>
          <w:szCs w:val="18"/>
        </w:rPr>
        <w:t xml:space="preserve"> </w:t>
      </w:r>
    </w:p>
    <w:p w:rsidR="002F761E" w:rsidRDefault="002F761E" w:rsidP="002F761E">
      <w:pPr>
        <w:spacing w:before="0" w:line="240" w:lineRule="auto"/>
        <w:ind w:left="0"/>
        <w:rPr>
          <w:rFonts w:ascii="Times New Roman" w:hAnsi="Times New Roman"/>
          <w:sz w:val="18"/>
          <w:szCs w:val="18"/>
        </w:rPr>
      </w:pPr>
    </w:p>
    <w:p w:rsidR="001E5781" w:rsidRDefault="001E5781" w:rsidP="002F761E">
      <w:pPr>
        <w:spacing w:before="0" w:line="240" w:lineRule="auto"/>
        <w:ind w:left="0"/>
        <w:rPr>
          <w:rFonts w:ascii="Times New Roman" w:hAnsi="Times New Roman"/>
          <w:sz w:val="18"/>
          <w:szCs w:val="18"/>
        </w:rPr>
      </w:pPr>
    </w:p>
    <w:p w:rsidR="001E5781" w:rsidRDefault="001E5781" w:rsidP="002F761E">
      <w:pPr>
        <w:spacing w:before="0" w:line="240" w:lineRule="auto"/>
        <w:ind w:left="0"/>
        <w:rPr>
          <w:rFonts w:ascii="Times New Roman" w:hAnsi="Times New Roman"/>
          <w:sz w:val="18"/>
          <w:szCs w:val="18"/>
        </w:rPr>
      </w:pPr>
    </w:p>
    <w:p w:rsidR="001E5781" w:rsidRDefault="001E5781" w:rsidP="002F761E">
      <w:pPr>
        <w:spacing w:before="0" w:line="240" w:lineRule="auto"/>
        <w:ind w:left="0"/>
        <w:rPr>
          <w:rFonts w:ascii="Times New Roman" w:hAnsi="Times New Roman"/>
          <w:sz w:val="18"/>
          <w:szCs w:val="18"/>
        </w:rPr>
      </w:pPr>
    </w:p>
    <w:p w:rsidR="006B1CE7" w:rsidRDefault="006B1CE7">
      <w:pPr>
        <w:spacing w:before="0" w:line="240" w:lineRule="auto"/>
        <w:ind w:left="0"/>
        <w:rPr>
          <w:rFonts w:ascii="Times New Roman" w:hAnsi="Times New Roman"/>
          <w:sz w:val="24"/>
          <w:szCs w:val="24"/>
        </w:rPr>
      </w:pPr>
      <w:r>
        <w:rPr>
          <w:rFonts w:ascii="Times New Roman" w:hAnsi="Times New Roman"/>
          <w:sz w:val="24"/>
          <w:szCs w:val="24"/>
        </w:rPr>
        <w:br w:type="page"/>
      </w:r>
    </w:p>
    <w:p w:rsidR="001E5781" w:rsidRDefault="006B1CE7" w:rsidP="002F761E">
      <w:pPr>
        <w:spacing w:before="0" w:line="240" w:lineRule="auto"/>
        <w:ind w:left="0"/>
        <w:rPr>
          <w:rFonts w:ascii="Times New Roman" w:hAnsi="Times New Roman"/>
          <w:b/>
          <w:sz w:val="24"/>
          <w:szCs w:val="24"/>
        </w:rPr>
      </w:pPr>
      <w:r w:rsidRPr="006B1CE7">
        <w:rPr>
          <w:rFonts w:ascii="Times New Roman" w:hAnsi="Times New Roman"/>
          <w:b/>
          <w:sz w:val="24"/>
          <w:szCs w:val="24"/>
        </w:rPr>
        <w:lastRenderedPageBreak/>
        <w:t>Appendix 5:</w:t>
      </w:r>
      <w:r>
        <w:rPr>
          <w:rFonts w:ascii="Times New Roman" w:hAnsi="Times New Roman"/>
          <w:b/>
          <w:sz w:val="24"/>
          <w:szCs w:val="24"/>
        </w:rPr>
        <w:t xml:space="preserve">  Project storage</w:t>
      </w:r>
    </w:p>
    <w:p w:rsidR="006B1CE7" w:rsidRDefault="006B1CE7" w:rsidP="002F761E">
      <w:pPr>
        <w:spacing w:before="0" w:line="240" w:lineRule="auto"/>
        <w:ind w:left="0"/>
        <w:rPr>
          <w:rFonts w:ascii="Times New Roman" w:hAnsi="Times New Roman"/>
          <w:b/>
          <w:sz w:val="24"/>
          <w:szCs w:val="24"/>
        </w:rPr>
      </w:pP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Stored in:</w:t>
      </w:r>
      <w:r w:rsidRPr="006B1CE7">
        <w:rPr>
          <w:rFonts w:ascii="Times New Roman" w:eastAsiaTheme="minorHAnsi" w:hAnsi="Times New Roman"/>
          <w:lang w:val="en-US"/>
        </w:rPr>
        <w:tab/>
        <w:t xml:space="preserve"> C:\Dixon\Consult\ITC\2023\WTO\Shenjie\ZipsPaper\FinalZipsPaper</w:t>
      </w: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Simulations were run in:</w:t>
      </w:r>
      <w:r w:rsidRPr="006B1CE7">
        <w:rPr>
          <w:rFonts w:ascii="Times New Roman" w:eastAsiaTheme="minorHAnsi" w:hAnsi="Times New Roman"/>
          <w:lang w:val="en-US"/>
        </w:rPr>
        <w:tab/>
        <w:t xml:space="preserve"> C:\Dixon\Consult\ITC\2023\WTO\Shenjie</w:t>
      </w: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 xml:space="preserve">Main simulation : </w:t>
      </w:r>
      <w:r w:rsidRPr="006B1CE7">
        <w:rPr>
          <w:rFonts w:ascii="Times New Roman" w:eastAsiaTheme="minorHAnsi" w:hAnsi="Times New Roman"/>
          <w:lang w:val="en-US"/>
        </w:rPr>
        <w:tab/>
        <w:t>GTAP19A71-C72B-R01R-P01P.ZIP</w:t>
      </w:r>
    </w:p>
    <w:p w:rsidR="00065A3D" w:rsidRPr="00065A3D" w:rsidRDefault="00065A3D" w:rsidP="006B1CE7">
      <w:pPr>
        <w:ind w:left="0"/>
        <w:rPr>
          <w:rFonts w:ascii="Times New Roman" w:eastAsiaTheme="minorHAnsi" w:hAnsi="Times New Roman"/>
          <w:lang w:val="en-US"/>
        </w:rPr>
      </w:pP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Relevant files stored in this directory :</w:t>
      </w: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1</w:t>
      </w:r>
      <w:r w:rsidRPr="006B1CE7">
        <w:rPr>
          <w:rFonts w:ascii="Times New Roman" w:eastAsiaTheme="minorHAnsi" w:hAnsi="Times New Roman"/>
          <w:vertAlign w:val="superscript"/>
          <w:lang w:val="en-US"/>
        </w:rPr>
        <w:t>st</w:t>
      </w:r>
      <w:r w:rsidRPr="006B1CE7">
        <w:rPr>
          <w:rFonts w:ascii="Times New Roman" w:eastAsiaTheme="minorHAnsi" w:hAnsi="Times New Roman"/>
          <w:lang w:val="en-US"/>
        </w:rPr>
        <w:t xml:space="preserve"> step in forward-looking iteration</w:t>
      </w:r>
      <w:r w:rsidRPr="006B1CE7">
        <w:rPr>
          <w:rFonts w:ascii="Times New Roman" w:eastAsiaTheme="minorHAnsi" w:hAnsi="Times New Roman"/>
          <w:lang w:val="en-US"/>
        </w:rPr>
        <w:tab/>
      </w:r>
      <w:r w:rsidRPr="006B1CE7">
        <w:rPr>
          <w:rFonts w:ascii="Times New Roman" w:eastAsiaTheme="minorHAnsi" w:hAnsi="Times New Roman"/>
          <w:lang w:val="en-US"/>
        </w:rPr>
        <w:tab/>
        <w:t xml:space="preserve">GTAP19A71-C63B-R01R-P01P.ZIP </w:t>
      </w: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final step in forward-looking iteration</w:t>
      </w:r>
      <w:r w:rsidRPr="006B1CE7">
        <w:rPr>
          <w:rFonts w:ascii="Times New Roman" w:eastAsiaTheme="minorHAnsi" w:hAnsi="Times New Roman"/>
          <w:lang w:val="en-US"/>
        </w:rPr>
        <w:tab/>
      </w:r>
      <w:r w:rsidRPr="006B1CE7">
        <w:rPr>
          <w:rFonts w:ascii="Times New Roman" w:eastAsiaTheme="minorHAnsi" w:hAnsi="Times New Roman"/>
          <w:lang w:val="en-US"/>
        </w:rPr>
        <w:tab/>
        <w:t>GTAP19A71-C72B-R01R-P01P.ZIP</w:t>
      </w: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final forward-looking iteration part 1 only</w:t>
      </w:r>
      <w:r w:rsidRPr="006B1CE7">
        <w:rPr>
          <w:rFonts w:ascii="Times New Roman" w:eastAsiaTheme="minorHAnsi" w:hAnsi="Times New Roman"/>
          <w:lang w:val="en-US"/>
        </w:rPr>
        <w:tab/>
        <w:t>GTAP19A71-D72B-R01R-P01P.ZIP   (see Table4.3)</w:t>
      </w: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Static simulation:  used in Appendix 3</w:t>
      </w:r>
      <w:r w:rsidRPr="006B1CE7">
        <w:rPr>
          <w:rFonts w:ascii="Times New Roman" w:eastAsiaTheme="minorHAnsi" w:hAnsi="Times New Roman"/>
          <w:lang w:val="en-US"/>
        </w:rPr>
        <w:tab/>
      </w:r>
      <w:r w:rsidRPr="006B1CE7">
        <w:rPr>
          <w:rFonts w:ascii="Times New Roman" w:eastAsiaTheme="minorHAnsi" w:hAnsi="Times New Roman"/>
          <w:lang w:val="en-US"/>
        </w:rPr>
        <w:tab/>
        <w:t>GTAP19A71-C73B-R01R-P01P.ZIP</w:t>
      </w:r>
    </w:p>
    <w:p w:rsidR="006B1CE7" w:rsidRPr="006B1CE7" w:rsidRDefault="006B1CE7" w:rsidP="006B1CE7">
      <w:pPr>
        <w:ind w:left="0"/>
        <w:rPr>
          <w:rFonts w:ascii="Times New Roman" w:eastAsiaTheme="minorHAnsi" w:hAnsi="Times New Roman"/>
          <w:lang w:val="en-US"/>
        </w:rPr>
      </w:pP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 xml:space="preserve">Excel sheet </w:t>
      </w:r>
      <w:r w:rsidRPr="006B1CE7">
        <w:rPr>
          <w:rFonts w:ascii="Times New Roman" w:eastAsiaTheme="minorHAnsi" w:hAnsi="Times New Roman"/>
          <w:lang w:val="en-US"/>
        </w:rPr>
        <w:tab/>
      </w:r>
      <w:r w:rsidRPr="006B1CE7">
        <w:rPr>
          <w:rFonts w:ascii="Times New Roman" w:eastAsiaTheme="minorHAnsi" w:hAnsi="Times New Roman"/>
          <w:lang w:val="en-US"/>
        </w:rPr>
        <w:tab/>
      </w:r>
      <w:r w:rsidRPr="006B1CE7">
        <w:rPr>
          <w:rFonts w:ascii="Times New Roman" w:eastAsiaTheme="minorHAnsi" w:hAnsi="Times New Roman"/>
          <w:lang w:val="en-US"/>
        </w:rPr>
        <w:tab/>
      </w:r>
      <w:r w:rsidRPr="006B1CE7">
        <w:rPr>
          <w:rFonts w:ascii="Times New Roman" w:eastAsiaTheme="minorHAnsi" w:hAnsi="Times New Roman"/>
          <w:lang w:val="en-US"/>
        </w:rPr>
        <w:tab/>
      </w:r>
      <w:r w:rsidRPr="006B1CE7">
        <w:rPr>
          <w:rFonts w:ascii="Times New Roman" w:eastAsiaTheme="minorHAnsi" w:hAnsi="Times New Roman"/>
          <w:lang w:val="en-US"/>
        </w:rPr>
        <w:tab/>
        <w:t>ResultsC72Canada.xlsx</w:t>
      </w:r>
    </w:p>
    <w:p w:rsidR="006B1CE7" w:rsidRPr="006B1CE7" w:rsidRDefault="006B1CE7" w:rsidP="006B1CE7">
      <w:pPr>
        <w:ind w:left="0"/>
        <w:rPr>
          <w:rFonts w:ascii="Times New Roman" w:eastAsiaTheme="minorHAnsi" w:hAnsi="Times New Roman"/>
          <w:lang w:val="en-US"/>
        </w:rPr>
      </w:pPr>
      <w:r w:rsidRPr="006B1CE7">
        <w:rPr>
          <w:rFonts w:ascii="Times New Roman" w:eastAsiaTheme="minorHAnsi" w:hAnsi="Times New Roman"/>
          <w:lang w:val="en-US"/>
        </w:rPr>
        <w:t xml:space="preserve">Paper </w:t>
      </w:r>
      <w:r w:rsidRPr="006B1CE7">
        <w:rPr>
          <w:rFonts w:ascii="Times New Roman" w:eastAsiaTheme="minorHAnsi" w:hAnsi="Times New Roman"/>
          <w:lang w:val="en-US"/>
        </w:rPr>
        <w:tab/>
      </w:r>
      <w:r w:rsidRPr="006B1CE7">
        <w:rPr>
          <w:rFonts w:ascii="Times New Roman" w:eastAsiaTheme="minorHAnsi" w:hAnsi="Times New Roman"/>
          <w:lang w:val="en-US"/>
        </w:rPr>
        <w:tab/>
      </w:r>
      <w:r w:rsidRPr="006B1CE7">
        <w:rPr>
          <w:rFonts w:ascii="Times New Roman" w:eastAsiaTheme="minorHAnsi" w:hAnsi="Times New Roman"/>
          <w:lang w:val="en-US"/>
        </w:rPr>
        <w:tab/>
      </w:r>
      <w:r w:rsidRPr="006B1CE7">
        <w:rPr>
          <w:rFonts w:ascii="Times New Roman" w:eastAsiaTheme="minorHAnsi" w:hAnsi="Times New Roman"/>
          <w:lang w:val="en-US"/>
        </w:rPr>
        <w:tab/>
      </w:r>
      <w:r w:rsidRPr="006B1CE7">
        <w:rPr>
          <w:rFonts w:ascii="Times New Roman" w:eastAsiaTheme="minorHAnsi" w:hAnsi="Times New Roman"/>
          <w:lang w:val="en-US"/>
        </w:rPr>
        <w:tab/>
      </w:r>
      <w:r w:rsidRPr="006B1CE7">
        <w:rPr>
          <w:rFonts w:ascii="Times New Roman" w:eastAsiaTheme="minorHAnsi" w:hAnsi="Times New Roman"/>
          <w:lang w:val="en-US"/>
        </w:rPr>
        <w:tab/>
        <w:t>WTO_ITC_GAC_BaselinePaper141123.docx</w:t>
      </w:r>
    </w:p>
    <w:p w:rsidR="006B1CE7" w:rsidRPr="00065A3D" w:rsidRDefault="006B1CE7" w:rsidP="002F761E">
      <w:pPr>
        <w:spacing w:before="0" w:line="240" w:lineRule="auto"/>
        <w:ind w:left="0"/>
        <w:rPr>
          <w:rFonts w:ascii="Times New Roman" w:hAnsi="Times New Roman"/>
          <w:b/>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p w:rsidR="001E5781" w:rsidRDefault="001E5781" w:rsidP="002F761E">
      <w:pPr>
        <w:spacing w:before="0" w:line="240" w:lineRule="auto"/>
        <w:ind w:left="0"/>
        <w:rPr>
          <w:rFonts w:ascii="Times New Roman" w:hAnsi="Times New Roman"/>
          <w:sz w:val="24"/>
          <w:szCs w:val="24"/>
        </w:rPr>
      </w:pPr>
    </w:p>
    <w:sectPr w:rsidR="001E5781" w:rsidSect="00C720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829" w:rsidRDefault="004E1829" w:rsidP="002C6525">
      <w:pPr>
        <w:spacing w:before="0" w:line="240" w:lineRule="auto"/>
      </w:pPr>
      <w:r>
        <w:separator/>
      </w:r>
    </w:p>
  </w:endnote>
  <w:endnote w:type="continuationSeparator" w:id="0">
    <w:p w:rsidR="004E1829" w:rsidRDefault="004E1829" w:rsidP="002C652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Footer"/>
      <w:jc w:val="center"/>
    </w:pPr>
    <w:r>
      <w:fldChar w:fldCharType="begin"/>
    </w:r>
    <w:r>
      <w:instrText xml:space="preserve"> PAGE   \* MERGEFORMAT </w:instrText>
    </w:r>
    <w:r>
      <w:fldChar w:fldCharType="separate"/>
    </w:r>
    <w:r w:rsidR="001F455B">
      <w:rPr>
        <w:noProof/>
      </w:rPr>
      <w:t>59</w:t>
    </w:r>
    <w:r>
      <w:rPr>
        <w:noProof/>
      </w:rPr>
      <w:fldChar w:fldCharType="end"/>
    </w:r>
  </w:p>
  <w:p w:rsidR="0072488F" w:rsidRDefault="00724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Footer"/>
      <w:jc w:val="center"/>
    </w:pPr>
    <w:r>
      <w:fldChar w:fldCharType="begin"/>
    </w:r>
    <w:r>
      <w:instrText xml:space="preserve"> PAGE   \* MERGEFORMAT </w:instrText>
    </w:r>
    <w:r>
      <w:fldChar w:fldCharType="separate"/>
    </w:r>
    <w:r w:rsidR="001F455B">
      <w:rPr>
        <w:noProof/>
      </w:rPr>
      <w:t>69</w:t>
    </w:r>
    <w:r>
      <w:rPr>
        <w:noProof/>
      </w:rPr>
      <w:fldChar w:fldCharType="end"/>
    </w:r>
  </w:p>
  <w:p w:rsidR="0072488F" w:rsidRDefault="007248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829" w:rsidRDefault="004E1829" w:rsidP="002C6525">
      <w:pPr>
        <w:spacing w:before="0" w:line="240" w:lineRule="auto"/>
      </w:pPr>
      <w:r>
        <w:separator/>
      </w:r>
    </w:p>
  </w:footnote>
  <w:footnote w:type="continuationSeparator" w:id="0">
    <w:p w:rsidR="004E1829" w:rsidRDefault="004E1829" w:rsidP="002C6525">
      <w:pPr>
        <w:spacing w:before="0" w:line="240" w:lineRule="auto"/>
      </w:pPr>
      <w:r>
        <w:continuationSeparator/>
      </w:r>
    </w:p>
  </w:footnote>
  <w:footnote w:id="1">
    <w:p w:rsidR="0072488F" w:rsidRPr="00AE630B" w:rsidRDefault="0072488F">
      <w:pPr>
        <w:pStyle w:val="FootnoteText"/>
        <w:rPr>
          <w:rFonts w:ascii="Times New Roman" w:hAnsi="Times New Roman"/>
          <w:sz w:val="18"/>
          <w:szCs w:val="18"/>
        </w:rPr>
      </w:pPr>
      <w:r w:rsidRPr="00AE630B">
        <w:rPr>
          <w:rStyle w:val="FootnoteReference"/>
          <w:rFonts w:ascii="Times New Roman" w:hAnsi="Times New Roman"/>
          <w:sz w:val="18"/>
          <w:szCs w:val="18"/>
        </w:rPr>
        <w:footnoteRef/>
      </w:r>
      <w:r w:rsidRPr="00AE630B">
        <w:rPr>
          <w:rFonts w:ascii="Times New Roman" w:hAnsi="Times New Roman"/>
          <w:sz w:val="18"/>
          <w:szCs w:val="18"/>
        </w:rPr>
        <w:t xml:space="preserve"> </w:t>
      </w:r>
      <w:r>
        <w:rPr>
          <w:rFonts w:ascii="Times New Roman" w:hAnsi="Times New Roman"/>
          <w:sz w:val="18"/>
          <w:szCs w:val="18"/>
        </w:rPr>
        <w:t xml:space="preserve"> As explained in Dixon and Rimmer (2023b), we did a lot of work on the GTAP database for 2017 but decided that it wasn’t ready for use in the construction of a baseline.  We understand that the 2017 database has subsequently been revised</w:t>
      </w:r>
      <w:r w:rsidRPr="00AE5156">
        <w:rPr>
          <w:rFonts w:ascii="Times New Roman" w:hAnsi="Times New Roman"/>
          <w:sz w:val="18"/>
          <w:szCs w:val="18"/>
        </w:rPr>
        <w:t>.  The 2014 database we used as the starting point for our simulations is close to but not exactly the database supplied by GTAP.  Our 2014 database reflects the update simulation described in Dixon and Rimmer (2023a).  We have also made some revisions based on macro data.  For example, the data supplied by GTAP shows a substantial trade deficit in 2014 for Canada.  We revised and rebalanced so that  in our database for 2014, Canada has a small trade deficit in line with OECD data in Table A1.2a (see Appendix 1).</w:t>
      </w:r>
      <w:r>
        <w:rPr>
          <w:rFonts w:ascii="Times New Roman" w:hAnsi="Times New Roman"/>
          <w:sz w:val="18"/>
          <w:szCs w:val="18"/>
        </w:rPr>
        <w:t xml:space="preserve"> </w:t>
      </w:r>
    </w:p>
  </w:footnote>
  <w:footnote w:id="2">
    <w:p w:rsidR="0072488F" w:rsidRPr="00B4063D" w:rsidRDefault="0072488F">
      <w:pPr>
        <w:pStyle w:val="FootnoteText"/>
        <w:rPr>
          <w:rFonts w:ascii="Times New Roman" w:hAnsi="Times New Roman"/>
          <w:sz w:val="18"/>
          <w:szCs w:val="18"/>
          <w:lang w:val="en-US"/>
        </w:rPr>
      </w:pPr>
      <w:r w:rsidRPr="00B4063D">
        <w:rPr>
          <w:rStyle w:val="FootnoteReference"/>
          <w:rFonts w:ascii="Times New Roman" w:hAnsi="Times New Roman"/>
          <w:sz w:val="18"/>
          <w:szCs w:val="18"/>
        </w:rPr>
        <w:footnoteRef/>
      </w:r>
      <w:r w:rsidRPr="00B4063D">
        <w:rPr>
          <w:rFonts w:ascii="Times New Roman" w:hAnsi="Times New Roman"/>
          <w:sz w:val="18"/>
          <w:szCs w:val="18"/>
        </w:rPr>
        <w:t xml:space="preserve"> </w:t>
      </w:r>
      <w:r w:rsidRPr="00B4063D">
        <w:rPr>
          <w:rFonts w:ascii="Times New Roman" w:hAnsi="Times New Roman"/>
          <w:sz w:val="18"/>
          <w:szCs w:val="18"/>
          <w:lang w:val="en-US"/>
        </w:rPr>
        <w:t xml:space="preserve"> See Horridge </w:t>
      </w:r>
      <w:r w:rsidRPr="00B4063D">
        <w:rPr>
          <w:rFonts w:ascii="Times New Roman" w:hAnsi="Times New Roman"/>
          <w:i/>
          <w:sz w:val="18"/>
          <w:szCs w:val="18"/>
          <w:lang w:val="en-US"/>
        </w:rPr>
        <w:t xml:space="preserve">et al. </w:t>
      </w:r>
      <w:r w:rsidRPr="00B4063D">
        <w:rPr>
          <w:rFonts w:ascii="Times New Roman" w:hAnsi="Times New Roman"/>
          <w:sz w:val="18"/>
          <w:szCs w:val="18"/>
          <w:lang w:val="en-US"/>
        </w:rPr>
        <w:t>(2018).</w:t>
      </w:r>
    </w:p>
  </w:footnote>
  <w:footnote w:id="3">
    <w:p w:rsidR="0072488F" w:rsidRPr="007F3EDE" w:rsidRDefault="0072488F" w:rsidP="00362F93">
      <w:pPr>
        <w:pStyle w:val="FootnoteText"/>
        <w:ind w:left="0"/>
        <w:rPr>
          <w:rFonts w:ascii="Times New Roman" w:hAnsi="Times New Roman"/>
          <w:sz w:val="18"/>
          <w:szCs w:val="18"/>
        </w:rPr>
      </w:pPr>
      <w:r>
        <w:rPr>
          <w:rStyle w:val="FootnoteReference"/>
        </w:rPr>
        <w:footnoteRef/>
      </w:r>
      <w:r>
        <w:t xml:space="preserve"> </w:t>
      </w:r>
      <w:r>
        <w:rPr>
          <w:rFonts w:ascii="Times New Roman" w:hAnsi="Times New Roman"/>
          <w:sz w:val="18"/>
          <w:szCs w:val="18"/>
        </w:rPr>
        <w:t xml:space="preserve"> This is standard only in the context of this paper.  Variants of this closure have been used at the Centre of Policy Studies (CoPS) for many years in simulations that connect disjoint years but nevertheless account for accumulation processes, see for example Dixon and Rimmer (2002</w:t>
      </w:r>
      <w:r w:rsidRPr="0097390B">
        <w:rPr>
          <w:rFonts w:ascii="Times New Roman" w:hAnsi="Times New Roman"/>
          <w:sz w:val="18"/>
          <w:szCs w:val="18"/>
        </w:rPr>
        <w:t>)</w:t>
      </w:r>
      <w:r>
        <w:rPr>
          <w:rFonts w:ascii="Times New Roman" w:hAnsi="Times New Roman"/>
          <w:sz w:val="18"/>
          <w:szCs w:val="18"/>
        </w:rPr>
        <w:t xml:space="preserve">. </w:t>
      </w:r>
      <w:r w:rsidRPr="0097390B">
        <w:rPr>
          <w:rFonts w:ascii="Times New Roman" w:hAnsi="Times New Roman"/>
          <w:sz w:val="18"/>
          <w:szCs w:val="18"/>
        </w:rPr>
        <w:t xml:space="preserve"> </w:t>
      </w:r>
      <w:r>
        <w:rPr>
          <w:rFonts w:ascii="Times New Roman" w:hAnsi="Times New Roman"/>
          <w:sz w:val="18"/>
          <w:szCs w:val="18"/>
        </w:rPr>
        <w:t xml:space="preserve">Our method dates back to Evans (1972).   </w:t>
      </w:r>
    </w:p>
  </w:footnote>
  <w:footnote w:id="4">
    <w:p w:rsidR="0072488F" w:rsidRPr="00AC438D" w:rsidRDefault="0072488F" w:rsidP="00AC438D">
      <w:pPr>
        <w:pStyle w:val="FootnoteText"/>
        <w:ind w:left="0"/>
        <w:rPr>
          <w:rFonts w:ascii="Times New Roman" w:hAnsi="Times New Roman"/>
          <w:sz w:val="18"/>
          <w:szCs w:val="18"/>
        </w:rPr>
      </w:pPr>
      <w:r w:rsidRPr="00AE5156">
        <w:rPr>
          <w:rStyle w:val="FootnoteReference"/>
          <w:rFonts w:ascii="Times New Roman" w:hAnsi="Times New Roman"/>
          <w:sz w:val="18"/>
          <w:szCs w:val="18"/>
        </w:rPr>
        <w:footnoteRef/>
      </w:r>
      <w:r w:rsidRPr="00AE5156">
        <w:rPr>
          <w:rFonts w:ascii="Times New Roman" w:hAnsi="Times New Roman"/>
          <w:sz w:val="18"/>
          <w:szCs w:val="18"/>
        </w:rPr>
        <w:t xml:space="preserve">  We record </w:t>
      </w:r>
      <w:r>
        <w:rPr>
          <w:rFonts w:ascii="Times New Roman" w:hAnsi="Times New Roman"/>
          <w:sz w:val="18"/>
          <w:szCs w:val="18"/>
        </w:rPr>
        <w:t xml:space="preserve">storage details for project simulations in Appendix 5.   </w:t>
      </w:r>
    </w:p>
  </w:footnote>
  <w:footnote w:id="5">
    <w:p w:rsidR="0072488F" w:rsidRPr="002F4F00" w:rsidRDefault="0072488F">
      <w:pPr>
        <w:pStyle w:val="FootnoteText"/>
        <w:rPr>
          <w:rFonts w:ascii="Times New Roman" w:hAnsi="Times New Roman"/>
          <w:sz w:val="18"/>
          <w:szCs w:val="18"/>
        </w:rPr>
      </w:pPr>
      <w:r w:rsidRPr="002F4F00">
        <w:rPr>
          <w:rStyle w:val="FootnoteReference"/>
          <w:rFonts w:ascii="Times New Roman" w:hAnsi="Times New Roman"/>
          <w:sz w:val="18"/>
          <w:szCs w:val="18"/>
        </w:rPr>
        <w:footnoteRef/>
      </w:r>
      <w:r w:rsidRPr="002F4F00">
        <w:rPr>
          <w:rFonts w:ascii="Times New Roman" w:hAnsi="Times New Roman"/>
          <w:sz w:val="18"/>
          <w:szCs w:val="18"/>
        </w:rPr>
        <w:t xml:space="preserve"> </w:t>
      </w:r>
      <w:r>
        <w:rPr>
          <w:rFonts w:ascii="Times New Roman" w:hAnsi="Times New Roman"/>
          <w:sz w:val="18"/>
          <w:szCs w:val="18"/>
        </w:rPr>
        <w:t xml:space="preserve"> The database for 2019 created in the 2014-19 simulation includes non-zero values for the shift variables, SWQH_B(r), in (4.18).  These non-zero values indicate contributions to wealth from factors other than saving.  In the 2019-30 simulation, we assume that these other factors will contribute zero. Consequently, in the 2019-30 simulation, it is necessary to shock SWQH_B(r) back to zero.  This technicality is not included in Table 5.1.  </w:t>
      </w:r>
    </w:p>
  </w:footnote>
  <w:footnote w:id="6">
    <w:p w:rsidR="0072488F" w:rsidRPr="00D67320" w:rsidRDefault="0072488F">
      <w:pPr>
        <w:pStyle w:val="FootnoteText"/>
        <w:rPr>
          <w:rFonts w:ascii="Times New Roman" w:hAnsi="Times New Roman"/>
          <w:sz w:val="18"/>
          <w:szCs w:val="18"/>
          <w:lang w:val="en-US"/>
        </w:rPr>
      </w:pPr>
      <w:r w:rsidRPr="00D67320">
        <w:rPr>
          <w:rStyle w:val="FootnoteReference"/>
          <w:rFonts w:ascii="Times New Roman" w:hAnsi="Times New Roman"/>
          <w:sz w:val="18"/>
          <w:szCs w:val="18"/>
        </w:rPr>
        <w:footnoteRef/>
      </w:r>
      <w:r w:rsidRPr="00D67320">
        <w:rPr>
          <w:rFonts w:ascii="Times New Roman" w:hAnsi="Times New Roman"/>
          <w:sz w:val="18"/>
          <w:szCs w:val="18"/>
        </w:rPr>
        <w:t xml:space="preserve"> </w:t>
      </w:r>
      <w:r>
        <w:rPr>
          <w:rFonts w:ascii="Times New Roman" w:hAnsi="Times New Roman"/>
          <w:sz w:val="18"/>
          <w:szCs w:val="18"/>
        </w:rPr>
        <w:t xml:space="preserve"> This is an artificial industry supplying the services of the housing stock almost entirely to private consumption. </w:t>
      </w:r>
    </w:p>
  </w:footnote>
  <w:footnote w:id="7">
    <w:p w:rsidR="0072488F" w:rsidRPr="001C2DDC" w:rsidRDefault="0072488F">
      <w:pPr>
        <w:pStyle w:val="FootnoteText"/>
        <w:rPr>
          <w:rFonts w:ascii="Times New Roman" w:hAnsi="Times New Roman"/>
        </w:rPr>
      </w:pPr>
      <w:r w:rsidRPr="001C2DDC">
        <w:rPr>
          <w:rStyle w:val="FootnoteReference"/>
          <w:rFonts w:ascii="Times New Roman" w:hAnsi="Times New Roman"/>
        </w:rPr>
        <w:footnoteRef/>
      </w:r>
      <w:r w:rsidRPr="001C2DDC">
        <w:rPr>
          <w:rFonts w:ascii="Times New Roman" w:hAnsi="Times New Roman"/>
        </w:rPr>
        <w:t xml:space="preserve"> </w:t>
      </w:r>
      <w:r>
        <w:rPr>
          <w:rFonts w:ascii="Times New Roman" w:hAnsi="Times New Roman"/>
        </w:rPr>
        <w:t xml:space="preserve"> The third and fourth columns do not add precisely to the second column because we we do linear arithmetic rather than multiplicative arithmetic.     </w:t>
      </w:r>
    </w:p>
  </w:footnote>
  <w:footnote w:id="8">
    <w:p w:rsidR="0072488F" w:rsidRPr="00355E50" w:rsidRDefault="0072488F">
      <w:pPr>
        <w:pStyle w:val="FootnoteText"/>
        <w:rPr>
          <w:rFonts w:ascii="Times New Roman" w:hAnsi="Times New Roman"/>
          <w:sz w:val="18"/>
          <w:szCs w:val="18"/>
          <w:lang w:val="en-US"/>
        </w:rPr>
      </w:pPr>
    </w:p>
  </w:footnote>
  <w:footnote w:id="9">
    <w:p w:rsidR="0072488F" w:rsidRDefault="0072488F" w:rsidP="00122732">
      <w:pPr>
        <w:ind w:left="0"/>
        <w:rPr>
          <w:rFonts w:ascii="Times New Roman" w:hAnsi="Times New Roman"/>
          <w:sz w:val="24"/>
          <w:szCs w:val="24"/>
        </w:rPr>
      </w:pPr>
      <w:r>
        <w:rPr>
          <w:rStyle w:val="FootnoteReference"/>
        </w:rPr>
        <w:footnoteRef/>
      </w:r>
      <w:r>
        <w:t xml:space="preserve"> </w:t>
      </w:r>
      <w:r w:rsidRPr="00355E50">
        <w:rPr>
          <w:rFonts w:ascii="Times New Roman" w:hAnsi="Times New Roman"/>
          <w:sz w:val="18"/>
          <w:szCs w:val="18"/>
          <w:lang w:val="en-US"/>
        </w:rPr>
        <w:t xml:space="preserve">In our own files, these data are stored </w:t>
      </w:r>
      <w:r>
        <w:rPr>
          <w:rFonts w:ascii="Times New Roman" w:hAnsi="Times New Roman"/>
          <w:sz w:val="18"/>
          <w:szCs w:val="18"/>
          <w:lang w:val="en-US"/>
        </w:rPr>
        <w:t xml:space="preserve">at </w:t>
      </w:r>
      <w:r w:rsidRPr="00355E50">
        <w:rPr>
          <w:rFonts w:ascii="Times New Roman" w:hAnsi="Times New Roman"/>
          <w:sz w:val="18"/>
          <w:szCs w:val="18"/>
        </w:rPr>
        <w:t xml:space="preserve">C:\dixon\consult\ITC\2023\WTO\Shenjie\ JobsDataCanada171023.xlsx.  </w:t>
      </w:r>
    </w:p>
    <w:p w:rsidR="0072488F" w:rsidRPr="00D64ED8" w:rsidRDefault="0072488F" w:rsidP="00122732">
      <w:pPr>
        <w:pStyle w:val="FootnoteText"/>
        <w:rPr>
          <w:lang w:val="en-US"/>
        </w:rPr>
      </w:pPr>
    </w:p>
  </w:footnote>
  <w:footnote w:id="10">
    <w:p w:rsidR="0072488F" w:rsidRPr="00021ED3" w:rsidRDefault="0072488F" w:rsidP="007E2E37">
      <w:pPr>
        <w:pStyle w:val="FootnoteText"/>
        <w:rPr>
          <w:rFonts w:ascii="Times New Roman" w:hAnsi="Times New Roman"/>
          <w:sz w:val="18"/>
          <w:szCs w:val="18"/>
        </w:rPr>
      </w:pPr>
      <w:r w:rsidRPr="00021ED3">
        <w:rPr>
          <w:rStyle w:val="FootnoteReference"/>
          <w:rFonts w:ascii="Times New Roman" w:hAnsi="Times New Roman"/>
          <w:sz w:val="18"/>
          <w:szCs w:val="18"/>
        </w:rPr>
        <w:footnoteRef/>
      </w:r>
      <w:r w:rsidRPr="00021ED3">
        <w:rPr>
          <w:rFonts w:ascii="Times New Roman" w:hAnsi="Times New Roman"/>
          <w:sz w:val="18"/>
          <w:szCs w:val="18"/>
        </w:rPr>
        <w:t xml:space="preserve">  </w:t>
      </w:r>
      <w:r>
        <w:rPr>
          <w:rFonts w:ascii="Times New Roman" w:hAnsi="Times New Roman"/>
          <w:sz w:val="18"/>
          <w:szCs w:val="18"/>
        </w:rPr>
        <w:t xml:space="preserve">The homotopy idea was originally developed in the field of numerical analysis, see for example Zangwill and Garcia (1981). </w:t>
      </w:r>
    </w:p>
  </w:footnote>
  <w:footnote w:id="11">
    <w:p w:rsidR="0072488F" w:rsidRPr="00286C33" w:rsidRDefault="0072488F" w:rsidP="002C4FD6">
      <w:pPr>
        <w:ind w:left="0"/>
        <w:rPr>
          <w:rFonts w:ascii="Times New Roman" w:hAnsi="Times New Roman"/>
          <w:sz w:val="18"/>
          <w:szCs w:val="18"/>
        </w:rPr>
      </w:pPr>
      <w:r w:rsidRPr="00F61F84">
        <w:rPr>
          <w:rStyle w:val="FootnoteReference"/>
          <w:rFonts w:ascii="Times New Roman" w:hAnsi="Times New Roman"/>
          <w:sz w:val="18"/>
          <w:szCs w:val="18"/>
        </w:rPr>
        <w:footnoteRef/>
      </w:r>
      <w:r w:rsidRPr="00F61F84">
        <w:rPr>
          <w:rFonts w:ascii="Times New Roman" w:hAnsi="Times New Roman"/>
          <w:sz w:val="18"/>
          <w:szCs w:val="18"/>
        </w:rPr>
        <w:t xml:space="preserve">   </w:t>
      </w:r>
      <w:r w:rsidRPr="001C1232">
        <w:rPr>
          <w:rFonts w:ascii="Times New Roman" w:hAnsi="Times New Roman"/>
          <w:sz w:val="18"/>
          <w:szCs w:val="18"/>
        </w:rPr>
        <w:t>This specification of expected rates of return and investment</w:t>
      </w:r>
      <w:r>
        <w:rPr>
          <w:rFonts w:ascii="Times New Roman" w:hAnsi="Times New Roman"/>
          <w:sz w:val="18"/>
          <w:szCs w:val="18"/>
        </w:rPr>
        <w:t xml:space="preserve"> comes from Dixon </w:t>
      </w:r>
      <w:r>
        <w:rPr>
          <w:rFonts w:ascii="Times New Roman" w:hAnsi="Times New Roman"/>
          <w:i/>
          <w:sz w:val="18"/>
          <w:szCs w:val="18"/>
        </w:rPr>
        <w:t xml:space="preserve">et al. </w:t>
      </w:r>
      <w:r>
        <w:rPr>
          <w:rFonts w:ascii="Times New Roman" w:hAnsi="Times New Roman"/>
          <w:sz w:val="18"/>
          <w:szCs w:val="18"/>
        </w:rPr>
        <w:t xml:space="preserve">(1982).  </w:t>
      </w:r>
      <w:r w:rsidRPr="00286C33">
        <w:rPr>
          <w:rFonts w:ascii="Times New Roman" w:hAnsi="Times New Roman"/>
          <w:sz w:val="18"/>
          <w:szCs w:val="18"/>
        </w:rPr>
        <w:t>Readers familiar with GEMPACK representations of the GTAP model will recognize (</w:t>
      </w:r>
      <w:r w:rsidRPr="00F61F84">
        <w:rPr>
          <w:rFonts w:ascii="Times New Roman" w:hAnsi="Times New Roman"/>
          <w:sz w:val="18"/>
          <w:szCs w:val="18"/>
        </w:rPr>
        <w:t>A3</w:t>
      </w:r>
      <w:r w:rsidRPr="00286C33">
        <w:rPr>
          <w:rFonts w:ascii="Times New Roman" w:hAnsi="Times New Roman"/>
          <w:sz w:val="18"/>
          <w:szCs w:val="18"/>
        </w:rPr>
        <w:t>.</w:t>
      </w:r>
      <w:r>
        <w:rPr>
          <w:rFonts w:ascii="Times New Roman" w:hAnsi="Times New Roman"/>
          <w:sz w:val="18"/>
          <w:szCs w:val="18"/>
        </w:rPr>
        <w:t>10</w:t>
      </w:r>
      <w:r w:rsidRPr="00286C33">
        <w:rPr>
          <w:rFonts w:ascii="Times New Roman" w:hAnsi="Times New Roman"/>
          <w:sz w:val="18"/>
          <w:szCs w:val="18"/>
        </w:rPr>
        <w:t>) as a levels representation of a combination of the GTAP equations</w:t>
      </w:r>
      <w:r w:rsidRPr="00286C33">
        <w:rPr>
          <w:rFonts w:ascii="Times New Roman" w:hAnsi="Times New Roman"/>
          <w:b/>
          <w:bCs/>
          <w:color w:val="000000"/>
          <w:sz w:val="18"/>
          <w:szCs w:val="18"/>
        </w:rPr>
        <w:t xml:space="preserve"> </w:t>
      </w:r>
      <w:r w:rsidRPr="00286C33">
        <w:rPr>
          <w:rFonts w:ascii="Times New Roman" w:hAnsi="Times New Roman"/>
          <w:bCs/>
          <w:color w:val="000000"/>
          <w:sz w:val="18"/>
          <w:szCs w:val="18"/>
        </w:rPr>
        <w:t>ROREXPECTED</w:t>
      </w:r>
      <w:r w:rsidRPr="00286C33">
        <w:rPr>
          <w:rFonts w:ascii="Times New Roman" w:hAnsi="Times New Roman"/>
          <w:sz w:val="18"/>
          <w:szCs w:val="18"/>
        </w:rPr>
        <w:t xml:space="preserve"> and RORGLOBAL.  Also see equations (6) and (7) in Britz and Roson (2019).</w:t>
      </w:r>
      <w:r>
        <w:rPr>
          <w:rFonts w:ascii="Times New Roman" w:hAnsi="Times New Roman"/>
          <w:sz w:val="18"/>
          <w:szCs w:val="18"/>
        </w:rPr>
        <w:t xml:space="preserve"> </w:t>
      </w:r>
    </w:p>
    <w:p w:rsidR="0072488F" w:rsidRDefault="0072488F" w:rsidP="002C4FD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88F" w:rsidRDefault="00724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2723"/>
    <w:multiLevelType w:val="hybridMultilevel"/>
    <w:tmpl w:val="30E660F2"/>
    <w:lvl w:ilvl="0" w:tplc="CFC071CE">
      <w:start w:val="1"/>
      <w:numFmt w:val="lowerLetter"/>
      <w:lvlText w:val="(%1)"/>
      <w:lvlJc w:val="left"/>
      <w:pPr>
        <w:ind w:left="783" w:hanging="360"/>
      </w:pPr>
      <w:rPr>
        <w:rFonts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 w15:restartNumberingAfterBreak="0">
    <w:nsid w:val="0CAD7A87"/>
    <w:multiLevelType w:val="hybridMultilevel"/>
    <w:tmpl w:val="B6BCE91E"/>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 w15:restartNumberingAfterBreak="0">
    <w:nsid w:val="0D8D798D"/>
    <w:multiLevelType w:val="hybridMultilevel"/>
    <w:tmpl w:val="30E660F2"/>
    <w:lvl w:ilvl="0" w:tplc="CFC071CE">
      <w:start w:val="1"/>
      <w:numFmt w:val="lowerLetter"/>
      <w:lvlText w:val="(%1)"/>
      <w:lvlJc w:val="left"/>
      <w:pPr>
        <w:ind w:left="783" w:hanging="360"/>
      </w:pPr>
      <w:rPr>
        <w:rFonts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 w15:restartNumberingAfterBreak="0">
    <w:nsid w:val="1843081C"/>
    <w:multiLevelType w:val="hybridMultilevel"/>
    <w:tmpl w:val="967C7A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221FA6"/>
    <w:multiLevelType w:val="hybridMultilevel"/>
    <w:tmpl w:val="CA0A7F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0B4160"/>
    <w:multiLevelType w:val="hybridMultilevel"/>
    <w:tmpl w:val="6570F9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F7B64AB"/>
    <w:multiLevelType w:val="hybridMultilevel"/>
    <w:tmpl w:val="945AE2F2"/>
    <w:lvl w:ilvl="0" w:tplc="0C090001">
      <w:start w:val="1"/>
      <w:numFmt w:val="bullet"/>
      <w:lvlText w:val=""/>
      <w:lvlJc w:val="left"/>
      <w:pPr>
        <w:ind w:left="845" w:hanging="360"/>
      </w:pPr>
      <w:rPr>
        <w:rFonts w:ascii="Symbol" w:hAnsi="Symbol" w:hint="default"/>
      </w:rPr>
    </w:lvl>
    <w:lvl w:ilvl="1" w:tplc="0C090003" w:tentative="1">
      <w:start w:val="1"/>
      <w:numFmt w:val="bullet"/>
      <w:lvlText w:val="o"/>
      <w:lvlJc w:val="left"/>
      <w:pPr>
        <w:ind w:left="1565" w:hanging="360"/>
      </w:pPr>
      <w:rPr>
        <w:rFonts w:ascii="Courier New" w:hAnsi="Courier New" w:cs="Courier New" w:hint="default"/>
      </w:rPr>
    </w:lvl>
    <w:lvl w:ilvl="2" w:tplc="0C090005" w:tentative="1">
      <w:start w:val="1"/>
      <w:numFmt w:val="bullet"/>
      <w:lvlText w:val=""/>
      <w:lvlJc w:val="left"/>
      <w:pPr>
        <w:ind w:left="2285" w:hanging="360"/>
      </w:pPr>
      <w:rPr>
        <w:rFonts w:ascii="Wingdings" w:hAnsi="Wingdings" w:hint="default"/>
      </w:rPr>
    </w:lvl>
    <w:lvl w:ilvl="3" w:tplc="0C090001" w:tentative="1">
      <w:start w:val="1"/>
      <w:numFmt w:val="bullet"/>
      <w:lvlText w:val=""/>
      <w:lvlJc w:val="left"/>
      <w:pPr>
        <w:ind w:left="3005" w:hanging="360"/>
      </w:pPr>
      <w:rPr>
        <w:rFonts w:ascii="Symbol" w:hAnsi="Symbol" w:hint="default"/>
      </w:rPr>
    </w:lvl>
    <w:lvl w:ilvl="4" w:tplc="0C090003" w:tentative="1">
      <w:start w:val="1"/>
      <w:numFmt w:val="bullet"/>
      <w:lvlText w:val="o"/>
      <w:lvlJc w:val="left"/>
      <w:pPr>
        <w:ind w:left="3725" w:hanging="360"/>
      </w:pPr>
      <w:rPr>
        <w:rFonts w:ascii="Courier New" w:hAnsi="Courier New" w:cs="Courier New" w:hint="default"/>
      </w:rPr>
    </w:lvl>
    <w:lvl w:ilvl="5" w:tplc="0C090005" w:tentative="1">
      <w:start w:val="1"/>
      <w:numFmt w:val="bullet"/>
      <w:lvlText w:val=""/>
      <w:lvlJc w:val="left"/>
      <w:pPr>
        <w:ind w:left="4445" w:hanging="360"/>
      </w:pPr>
      <w:rPr>
        <w:rFonts w:ascii="Wingdings" w:hAnsi="Wingdings" w:hint="default"/>
      </w:rPr>
    </w:lvl>
    <w:lvl w:ilvl="6" w:tplc="0C090001" w:tentative="1">
      <w:start w:val="1"/>
      <w:numFmt w:val="bullet"/>
      <w:lvlText w:val=""/>
      <w:lvlJc w:val="left"/>
      <w:pPr>
        <w:ind w:left="5165" w:hanging="360"/>
      </w:pPr>
      <w:rPr>
        <w:rFonts w:ascii="Symbol" w:hAnsi="Symbol" w:hint="default"/>
      </w:rPr>
    </w:lvl>
    <w:lvl w:ilvl="7" w:tplc="0C090003" w:tentative="1">
      <w:start w:val="1"/>
      <w:numFmt w:val="bullet"/>
      <w:lvlText w:val="o"/>
      <w:lvlJc w:val="left"/>
      <w:pPr>
        <w:ind w:left="5885" w:hanging="360"/>
      </w:pPr>
      <w:rPr>
        <w:rFonts w:ascii="Courier New" w:hAnsi="Courier New" w:cs="Courier New" w:hint="default"/>
      </w:rPr>
    </w:lvl>
    <w:lvl w:ilvl="8" w:tplc="0C090005" w:tentative="1">
      <w:start w:val="1"/>
      <w:numFmt w:val="bullet"/>
      <w:lvlText w:val=""/>
      <w:lvlJc w:val="left"/>
      <w:pPr>
        <w:ind w:left="6605" w:hanging="360"/>
      </w:pPr>
      <w:rPr>
        <w:rFonts w:ascii="Wingdings" w:hAnsi="Wingdings" w:hint="default"/>
      </w:rPr>
    </w:lvl>
  </w:abstractNum>
  <w:abstractNum w:abstractNumId="7" w15:restartNumberingAfterBreak="0">
    <w:nsid w:val="343523EC"/>
    <w:multiLevelType w:val="hybridMultilevel"/>
    <w:tmpl w:val="BD4A523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41D672A7"/>
    <w:multiLevelType w:val="hybridMultilevel"/>
    <w:tmpl w:val="0D2A4B8C"/>
    <w:lvl w:ilvl="0" w:tplc="A3824C10">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816908"/>
    <w:multiLevelType w:val="hybridMultilevel"/>
    <w:tmpl w:val="0BAC069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2F079BC"/>
    <w:multiLevelType w:val="hybridMultilevel"/>
    <w:tmpl w:val="C42692C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511BD3"/>
    <w:multiLevelType w:val="hybridMultilevel"/>
    <w:tmpl w:val="225472EC"/>
    <w:lvl w:ilvl="0" w:tplc="0C09000F">
      <w:start w:val="1"/>
      <w:numFmt w:val="decimal"/>
      <w:lvlText w:val="%1."/>
      <w:lvlJc w:val="left"/>
      <w:pPr>
        <w:ind w:left="720" w:hanging="360"/>
      </w:pPr>
      <w:rPr>
        <w:rFonts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761981"/>
    <w:multiLevelType w:val="hybridMultilevel"/>
    <w:tmpl w:val="40A2DAE4"/>
    <w:lvl w:ilvl="0" w:tplc="A3824C10">
      <w:start w:val="1"/>
      <w:numFmt w:val="decimal"/>
      <w:lvlText w:val="(%1)"/>
      <w:lvlJc w:val="left"/>
      <w:pPr>
        <w:ind w:left="1713" w:hanging="360"/>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13" w15:restartNumberingAfterBreak="0">
    <w:nsid w:val="68B373F6"/>
    <w:multiLevelType w:val="hybridMultilevel"/>
    <w:tmpl w:val="F662C68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4" w15:restartNumberingAfterBreak="0">
    <w:nsid w:val="77251753"/>
    <w:multiLevelType w:val="hybridMultilevel"/>
    <w:tmpl w:val="3FB463CA"/>
    <w:lvl w:ilvl="0" w:tplc="6024C51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7948126A"/>
    <w:multiLevelType w:val="hybridMultilevel"/>
    <w:tmpl w:val="7682B7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9B3251A"/>
    <w:multiLevelType w:val="hybridMultilevel"/>
    <w:tmpl w:val="073A874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7B233094"/>
    <w:multiLevelType w:val="hybridMultilevel"/>
    <w:tmpl w:val="A44C65FA"/>
    <w:lvl w:ilvl="0" w:tplc="B478CFBA">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8" w15:restartNumberingAfterBreak="0">
    <w:nsid w:val="7C7A3113"/>
    <w:multiLevelType w:val="hybridMultilevel"/>
    <w:tmpl w:val="3EBAF3BE"/>
    <w:lvl w:ilvl="0" w:tplc="55E24A0C">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num w:numId="1">
    <w:abstractNumId w:val="17"/>
  </w:num>
  <w:num w:numId="2">
    <w:abstractNumId w:val="15"/>
  </w:num>
  <w:num w:numId="3">
    <w:abstractNumId w:val="18"/>
  </w:num>
  <w:num w:numId="4">
    <w:abstractNumId w:val="0"/>
  </w:num>
  <w:num w:numId="5">
    <w:abstractNumId w:val="5"/>
  </w:num>
  <w:num w:numId="6">
    <w:abstractNumId w:val="13"/>
  </w:num>
  <w:num w:numId="7">
    <w:abstractNumId w:val="2"/>
  </w:num>
  <w:num w:numId="8">
    <w:abstractNumId w:val="16"/>
  </w:num>
  <w:num w:numId="9">
    <w:abstractNumId w:val="6"/>
  </w:num>
  <w:num w:numId="10">
    <w:abstractNumId w:val="8"/>
  </w:num>
  <w:num w:numId="11">
    <w:abstractNumId w:val="3"/>
  </w:num>
  <w:num w:numId="12">
    <w:abstractNumId w:val="7"/>
  </w:num>
  <w:num w:numId="13">
    <w:abstractNumId w:val="12"/>
  </w:num>
  <w:num w:numId="14">
    <w:abstractNumId w:val="14"/>
  </w:num>
  <w:num w:numId="15">
    <w:abstractNumId w:val="9"/>
  </w:num>
  <w:num w:numId="16">
    <w:abstractNumId w:val="10"/>
  </w:num>
  <w:num w:numId="17">
    <w:abstractNumId w:val="1"/>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525"/>
    <w:rsid w:val="00003F95"/>
    <w:rsid w:val="00004013"/>
    <w:rsid w:val="000044DF"/>
    <w:rsid w:val="000055B3"/>
    <w:rsid w:val="00006B95"/>
    <w:rsid w:val="000072DB"/>
    <w:rsid w:val="00007303"/>
    <w:rsid w:val="00010757"/>
    <w:rsid w:val="00011150"/>
    <w:rsid w:val="00013ACC"/>
    <w:rsid w:val="00014671"/>
    <w:rsid w:val="00015998"/>
    <w:rsid w:val="00015EEE"/>
    <w:rsid w:val="00017433"/>
    <w:rsid w:val="00021522"/>
    <w:rsid w:val="00021A5F"/>
    <w:rsid w:val="00021ED3"/>
    <w:rsid w:val="00025394"/>
    <w:rsid w:val="0002601B"/>
    <w:rsid w:val="00026883"/>
    <w:rsid w:val="00027A1F"/>
    <w:rsid w:val="00031905"/>
    <w:rsid w:val="00031A0F"/>
    <w:rsid w:val="00033CDF"/>
    <w:rsid w:val="00034F8A"/>
    <w:rsid w:val="000378EC"/>
    <w:rsid w:val="00041B1D"/>
    <w:rsid w:val="0004492C"/>
    <w:rsid w:val="00044956"/>
    <w:rsid w:val="00047632"/>
    <w:rsid w:val="00047FEC"/>
    <w:rsid w:val="0005080C"/>
    <w:rsid w:val="00051CCC"/>
    <w:rsid w:val="0005225E"/>
    <w:rsid w:val="000524FC"/>
    <w:rsid w:val="000576DE"/>
    <w:rsid w:val="00061955"/>
    <w:rsid w:val="00062830"/>
    <w:rsid w:val="00065A3D"/>
    <w:rsid w:val="00065D1C"/>
    <w:rsid w:val="00065FC5"/>
    <w:rsid w:val="00066459"/>
    <w:rsid w:val="00066872"/>
    <w:rsid w:val="00067A42"/>
    <w:rsid w:val="0007083F"/>
    <w:rsid w:val="00071A11"/>
    <w:rsid w:val="00075EF6"/>
    <w:rsid w:val="000777F1"/>
    <w:rsid w:val="00081DA1"/>
    <w:rsid w:val="00082512"/>
    <w:rsid w:val="00083458"/>
    <w:rsid w:val="00085741"/>
    <w:rsid w:val="00086C08"/>
    <w:rsid w:val="00093ADD"/>
    <w:rsid w:val="00093BC5"/>
    <w:rsid w:val="00095098"/>
    <w:rsid w:val="000953C7"/>
    <w:rsid w:val="0009697F"/>
    <w:rsid w:val="000A10D0"/>
    <w:rsid w:val="000A75BA"/>
    <w:rsid w:val="000B09D3"/>
    <w:rsid w:val="000B2175"/>
    <w:rsid w:val="000B3E5A"/>
    <w:rsid w:val="000B694F"/>
    <w:rsid w:val="000B7439"/>
    <w:rsid w:val="000C459B"/>
    <w:rsid w:val="000D0775"/>
    <w:rsid w:val="000D0989"/>
    <w:rsid w:val="000D1CCF"/>
    <w:rsid w:val="000D23A9"/>
    <w:rsid w:val="000D4256"/>
    <w:rsid w:val="000D4D2C"/>
    <w:rsid w:val="000D6B40"/>
    <w:rsid w:val="000D6BF2"/>
    <w:rsid w:val="000D7A13"/>
    <w:rsid w:val="000D7ADF"/>
    <w:rsid w:val="000E35E9"/>
    <w:rsid w:val="000E465A"/>
    <w:rsid w:val="000E783C"/>
    <w:rsid w:val="001013F2"/>
    <w:rsid w:val="00102707"/>
    <w:rsid w:val="0010410A"/>
    <w:rsid w:val="00105143"/>
    <w:rsid w:val="0011044D"/>
    <w:rsid w:val="001142B5"/>
    <w:rsid w:val="001148D2"/>
    <w:rsid w:val="001170F0"/>
    <w:rsid w:val="001200CF"/>
    <w:rsid w:val="0012161E"/>
    <w:rsid w:val="00122732"/>
    <w:rsid w:val="00123B53"/>
    <w:rsid w:val="001302D0"/>
    <w:rsid w:val="00130F88"/>
    <w:rsid w:val="00131C3B"/>
    <w:rsid w:val="001325BF"/>
    <w:rsid w:val="00136095"/>
    <w:rsid w:val="00137D57"/>
    <w:rsid w:val="00140512"/>
    <w:rsid w:val="00144C49"/>
    <w:rsid w:val="001476BD"/>
    <w:rsid w:val="001476DA"/>
    <w:rsid w:val="00150DAC"/>
    <w:rsid w:val="0015184D"/>
    <w:rsid w:val="0015205D"/>
    <w:rsid w:val="00154143"/>
    <w:rsid w:val="00160757"/>
    <w:rsid w:val="001625DC"/>
    <w:rsid w:val="00162C7D"/>
    <w:rsid w:val="00163476"/>
    <w:rsid w:val="00170526"/>
    <w:rsid w:val="00173319"/>
    <w:rsid w:val="00180425"/>
    <w:rsid w:val="0018053B"/>
    <w:rsid w:val="00181726"/>
    <w:rsid w:val="00181A67"/>
    <w:rsid w:val="001847B3"/>
    <w:rsid w:val="001848AF"/>
    <w:rsid w:val="00186836"/>
    <w:rsid w:val="0019045A"/>
    <w:rsid w:val="0019174D"/>
    <w:rsid w:val="001930DF"/>
    <w:rsid w:val="00193CC9"/>
    <w:rsid w:val="00193E10"/>
    <w:rsid w:val="00197CDC"/>
    <w:rsid w:val="001A0A5C"/>
    <w:rsid w:val="001A31A2"/>
    <w:rsid w:val="001A3208"/>
    <w:rsid w:val="001A73E5"/>
    <w:rsid w:val="001B0A93"/>
    <w:rsid w:val="001B1CFA"/>
    <w:rsid w:val="001B1DC3"/>
    <w:rsid w:val="001B1DD0"/>
    <w:rsid w:val="001B3C15"/>
    <w:rsid w:val="001B5682"/>
    <w:rsid w:val="001B7D17"/>
    <w:rsid w:val="001B7D1E"/>
    <w:rsid w:val="001C0D81"/>
    <w:rsid w:val="001C2DDC"/>
    <w:rsid w:val="001D2D0A"/>
    <w:rsid w:val="001D2E1D"/>
    <w:rsid w:val="001D4B50"/>
    <w:rsid w:val="001D598F"/>
    <w:rsid w:val="001D6433"/>
    <w:rsid w:val="001E047A"/>
    <w:rsid w:val="001E1C39"/>
    <w:rsid w:val="001E5325"/>
    <w:rsid w:val="001E5781"/>
    <w:rsid w:val="001E57BB"/>
    <w:rsid w:val="001E5F5F"/>
    <w:rsid w:val="001E7569"/>
    <w:rsid w:val="001F08F8"/>
    <w:rsid w:val="001F3106"/>
    <w:rsid w:val="001F3191"/>
    <w:rsid w:val="001F3205"/>
    <w:rsid w:val="001F455B"/>
    <w:rsid w:val="001F4846"/>
    <w:rsid w:val="001F4B89"/>
    <w:rsid w:val="001F4DD5"/>
    <w:rsid w:val="001F554B"/>
    <w:rsid w:val="00205923"/>
    <w:rsid w:val="00205BFF"/>
    <w:rsid w:val="00206568"/>
    <w:rsid w:val="00207243"/>
    <w:rsid w:val="00207E09"/>
    <w:rsid w:val="00210364"/>
    <w:rsid w:val="002139BB"/>
    <w:rsid w:val="00213A14"/>
    <w:rsid w:val="00217E1F"/>
    <w:rsid w:val="00217E8E"/>
    <w:rsid w:val="00222076"/>
    <w:rsid w:val="002241AB"/>
    <w:rsid w:val="002309C4"/>
    <w:rsid w:val="00232BBC"/>
    <w:rsid w:val="0023442E"/>
    <w:rsid w:val="002356DF"/>
    <w:rsid w:val="00235F94"/>
    <w:rsid w:val="00237118"/>
    <w:rsid w:val="00237AAF"/>
    <w:rsid w:val="00242A6F"/>
    <w:rsid w:val="00247A90"/>
    <w:rsid w:val="002509D5"/>
    <w:rsid w:val="00256454"/>
    <w:rsid w:val="00262BC9"/>
    <w:rsid w:val="00262F30"/>
    <w:rsid w:val="002633D1"/>
    <w:rsid w:val="00263B18"/>
    <w:rsid w:val="00264FCF"/>
    <w:rsid w:val="0026524C"/>
    <w:rsid w:val="002656CC"/>
    <w:rsid w:val="00265850"/>
    <w:rsid w:val="002706DC"/>
    <w:rsid w:val="002731BD"/>
    <w:rsid w:val="002770E8"/>
    <w:rsid w:val="00277C7A"/>
    <w:rsid w:val="00281134"/>
    <w:rsid w:val="00282500"/>
    <w:rsid w:val="00282FAF"/>
    <w:rsid w:val="00283770"/>
    <w:rsid w:val="002843A3"/>
    <w:rsid w:val="00284D82"/>
    <w:rsid w:val="00286C33"/>
    <w:rsid w:val="002877CE"/>
    <w:rsid w:val="0029102E"/>
    <w:rsid w:val="00291428"/>
    <w:rsid w:val="00291AFB"/>
    <w:rsid w:val="00294BC3"/>
    <w:rsid w:val="00295829"/>
    <w:rsid w:val="002973FA"/>
    <w:rsid w:val="00297A09"/>
    <w:rsid w:val="002A0D03"/>
    <w:rsid w:val="002A32F4"/>
    <w:rsid w:val="002A33BE"/>
    <w:rsid w:val="002A632B"/>
    <w:rsid w:val="002A7B40"/>
    <w:rsid w:val="002B0B30"/>
    <w:rsid w:val="002B4DB5"/>
    <w:rsid w:val="002B7D49"/>
    <w:rsid w:val="002C14F8"/>
    <w:rsid w:val="002C2EB0"/>
    <w:rsid w:val="002C38F0"/>
    <w:rsid w:val="002C4EDB"/>
    <w:rsid w:val="002C4FD6"/>
    <w:rsid w:val="002C5497"/>
    <w:rsid w:val="002C5CEB"/>
    <w:rsid w:val="002C6525"/>
    <w:rsid w:val="002C7F67"/>
    <w:rsid w:val="002D0130"/>
    <w:rsid w:val="002D14A6"/>
    <w:rsid w:val="002D19AC"/>
    <w:rsid w:val="002D4161"/>
    <w:rsid w:val="002E27E4"/>
    <w:rsid w:val="002E2D1B"/>
    <w:rsid w:val="002E3DAF"/>
    <w:rsid w:val="002F0643"/>
    <w:rsid w:val="002F09C8"/>
    <w:rsid w:val="002F35F8"/>
    <w:rsid w:val="002F4F00"/>
    <w:rsid w:val="002F53FA"/>
    <w:rsid w:val="002F5E2E"/>
    <w:rsid w:val="002F733D"/>
    <w:rsid w:val="002F7380"/>
    <w:rsid w:val="002F761E"/>
    <w:rsid w:val="00300A60"/>
    <w:rsid w:val="00300AFC"/>
    <w:rsid w:val="00302FAD"/>
    <w:rsid w:val="00304F9A"/>
    <w:rsid w:val="00310554"/>
    <w:rsid w:val="00311254"/>
    <w:rsid w:val="00312579"/>
    <w:rsid w:val="003137E8"/>
    <w:rsid w:val="00313836"/>
    <w:rsid w:val="00314843"/>
    <w:rsid w:val="00315913"/>
    <w:rsid w:val="00315FA9"/>
    <w:rsid w:val="0031768F"/>
    <w:rsid w:val="00326C4E"/>
    <w:rsid w:val="00326ED2"/>
    <w:rsid w:val="003309E1"/>
    <w:rsid w:val="003339DC"/>
    <w:rsid w:val="00334AEC"/>
    <w:rsid w:val="0033537D"/>
    <w:rsid w:val="003353E9"/>
    <w:rsid w:val="00335CFD"/>
    <w:rsid w:val="00335F39"/>
    <w:rsid w:val="00337A81"/>
    <w:rsid w:val="003452D3"/>
    <w:rsid w:val="00345B19"/>
    <w:rsid w:val="00347AB7"/>
    <w:rsid w:val="00351BFA"/>
    <w:rsid w:val="00352179"/>
    <w:rsid w:val="00353B9F"/>
    <w:rsid w:val="00355BB5"/>
    <w:rsid w:val="00355E50"/>
    <w:rsid w:val="0035694F"/>
    <w:rsid w:val="003572EB"/>
    <w:rsid w:val="003602D5"/>
    <w:rsid w:val="00360BED"/>
    <w:rsid w:val="00362F93"/>
    <w:rsid w:val="00363BE7"/>
    <w:rsid w:val="0036643D"/>
    <w:rsid w:val="00366D56"/>
    <w:rsid w:val="0036723B"/>
    <w:rsid w:val="00371C11"/>
    <w:rsid w:val="00380549"/>
    <w:rsid w:val="00382F43"/>
    <w:rsid w:val="00384A4B"/>
    <w:rsid w:val="00385F88"/>
    <w:rsid w:val="00387E27"/>
    <w:rsid w:val="00390E2A"/>
    <w:rsid w:val="00391005"/>
    <w:rsid w:val="00395B49"/>
    <w:rsid w:val="00395E10"/>
    <w:rsid w:val="00396BC8"/>
    <w:rsid w:val="00397885"/>
    <w:rsid w:val="003A3C47"/>
    <w:rsid w:val="003A5E59"/>
    <w:rsid w:val="003A6919"/>
    <w:rsid w:val="003A7290"/>
    <w:rsid w:val="003A7468"/>
    <w:rsid w:val="003A7DA2"/>
    <w:rsid w:val="003B603E"/>
    <w:rsid w:val="003B61AA"/>
    <w:rsid w:val="003B658F"/>
    <w:rsid w:val="003B72E1"/>
    <w:rsid w:val="003C0ADD"/>
    <w:rsid w:val="003C1275"/>
    <w:rsid w:val="003C1732"/>
    <w:rsid w:val="003C1A03"/>
    <w:rsid w:val="003C34EB"/>
    <w:rsid w:val="003C47B6"/>
    <w:rsid w:val="003C72DA"/>
    <w:rsid w:val="003C7EAD"/>
    <w:rsid w:val="003D18DC"/>
    <w:rsid w:val="003D371E"/>
    <w:rsid w:val="003D50BB"/>
    <w:rsid w:val="003D65D0"/>
    <w:rsid w:val="003E6593"/>
    <w:rsid w:val="003F0099"/>
    <w:rsid w:val="003F1267"/>
    <w:rsid w:val="003F1805"/>
    <w:rsid w:val="003F38DF"/>
    <w:rsid w:val="003F7D45"/>
    <w:rsid w:val="004026E2"/>
    <w:rsid w:val="004027E5"/>
    <w:rsid w:val="00402F2E"/>
    <w:rsid w:val="00403B77"/>
    <w:rsid w:val="004048F7"/>
    <w:rsid w:val="004055C4"/>
    <w:rsid w:val="0041239B"/>
    <w:rsid w:val="004138FD"/>
    <w:rsid w:val="00413F0E"/>
    <w:rsid w:val="0041417F"/>
    <w:rsid w:val="00414C11"/>
    <w:rsid w:val="0041689B"/>
    <w:rsid w:val="004207FA"/>
    <w:rsid w:val="00422903"/>
    <w:rsid w:val="004232F8"/>
    <w:rsid w:val="00423744"/>
    <w:rsid w:val="00423C99"/>
    <w:rsid w:val="0043113F"/>
    <w:rsid w:val="00432F75"/>
    <w:rsid w:val="004358CB"/>
    <w:rsid w:val="0043766F"/>
    <w:rsid w:val="004402F6"/>
    <w:rsid w:val="004406E9"/>
    <w:rsid w:val="00441773"/>
    <w:rsid w:val="004507E0"/>
    <w:rsid w:val="0045514B"/>
    <w:rsid w:val="00461E5B"/>
    <w:rsid w:val="0046305F"/>
    <w:rsid w:val="004651FB"/>
    <w:rsid w:val="00467177"/>
    <w:rsid w:val="0047100B"/>
    <w:rsid w:val="00475E18"/>
    <w:rsid w:val="004764D4"/>
    <w:rsid w:val="00480277"/>
    <w:rsid w:val="0048056A"/>
    <w:rsid w:val="00480831"/>
    <w:rsid w:val="00480FFB"/>
    <w:rsid w:val="00481936"/>
    <w:rsid w:val="0048210E"/>
    <w:rsid w:val="004828FD"/>
    <w:rsid w:val="00484014"/>
    <w:rsid w:val="004851C1"/>
    <w:rsid w:val="004879B9"/>
    <w:rsid w:val="004901D0"/>
    <w:rsid w:val="004953F4"/>
    <w:rsid w:val="004A205A"/>
    <w:rsid w:val="004A2A56"/>
    <w:rsid w:val="004A3612"/>
    <w:rsid w:val="004A41CC"/>
    <w:rsid w:val="004B2B66"/>
    <w:rsid w:val="004B4721"/>
    <w:rsid w:val="004B4780"/>
    <w:rsid w:val="004B6CF8"/>
    <w:rsid w:val="004C036C"/>
    <w:rsid w:val="004C0583"/>
    <w:rsid w:val="004C12A3"/>
    <w:rsid w:val="004C3C20"/>
    <w:rsid w:val="004C465B"/>
    <w:rsid w:val="004C5198"/>
    <w:rsid w:val="004C64FE"/>
    <w:rsid w:val="004C65CC"/>
    <w:rsid w:val="004D3D52"/>
    <w:rsid w:val="004D68BE"/>
    <w:rsid w:val="004E1829"/>
    <w:rsid w:val="004E1D52"/>
    <w:rsid w:val="004E2A73"/>
    <w:rsid w:val="004E5043"/>
    <w:rsid w:val="004E60CB"/>
    <w:rsid w:val="004E6BB7"/>
    <w:rsid w:val="004F0550"/>
    <w:rsid w:val="004F1691"/>
    <w:rsid w:val="004F4108"/>
    <w:rsid w:val="004F4A6E"/>
    <w:rsid w:val="004F4E00"/>
    <w:rsid w:val="004F5E11"/>
    <w:rsid w:val="004F72FC"/>
    <w:rsid w:val="00500903"/>
    <w:rsid w:val="00504B36"/>
    <w:rsid w:val="0050595B"/>
    <w:rsid w:val="00505CF6"/>
    <w:rsid w:val="00510900"/>
    <w:rsid w:val="00512497"/>
    <w:rsid w:val="00512DA8"/>
    <w:rsid w:val="0051352F"/>
    <w:rsid w:val="00515D3B"/>
    <w:rsid w:val="00517D91"/>
    <w:rsid w:val="00520D40"/>
    <w:rsid w:val="00521FA2"/>
    <w:rsid w:val="00525BC0"/>
    <w:rsid w:val="00535695"/>
    <w:rsid w:val="00536189"/>
    <w:rsid w:val="00542FFD"/>
    <w:rsid w:val="00543510"/>
    <w:rsid w:val="00544E67"/>
    <w:rsid w:val="005506E7"/>
    <w:rsid w:val="005534FE"/>
    <w:rsid w:val="00554863"/>
    <w:rsid w:val="00554FE7"/>
    <w:rsid w:val="00556594"/>
    <w:rsid w:val="00557353"/>
    <w:rsid w:val="00561406"/>
    <w:rsid w:val="00561553"/>
    <w:rsid w:val="005622E1"/>
    <w:rsid w:val="005662C4"/>
    <w:rsid w:val="0056653E"/>
    <w:rsid w:val="00566C2A"/>
    <w:rsid w:val="00567350"/>
    <w:rsid w:val="00567696"/>
    <w:rsid w:val="00567E81"/>
    <w:rsid w:val="00570DDE"/>
    <w:rsid w:val="00571EEB"/>
    <w:rsid w:val="00572CC4"/>
    <w:rsid w:val="00573EE5"/>
    <w:rsid w:val="005745F4"/>
    <w:rsid w:val="00574767"/>
    <w:rsid w:val="00576002"/>
    <w:rsid w:val="00576FD7"/>
    <w:rsid w:val="00577181"/>
    <w:rsid w:val="00580978"/>
    <w:rsid w:val="005839C0"/>
    <w:rsid w:val="005874BE"/>
    <w:rsid w:val="00590FE4"/>
    <w:rsid w:val="0059134D"/>
    <w:rsid w:val="00594673"/>
    <w:rsid w:val="00595A93"/>
    <w:rsid w:val="00596B82"/>
    <w:rsid w:val="005A0691"/>
    <w:rsid w:val="005A0E15"/>
    <w:rsid w:val="005B00B9"/>
    <w:rsid w:val="005B5D25"/>
    <w:rsid w:val="005B61BC"/>
    <w:rsid w:val="005C0C7E"/>
    <w:rsid w:val="005C28A9"/>
    <w:rsid w:val="005C50D7"/>
    <w:rsid w:val="005C77AF"/>
    <w:rsid w:val="005C7999"/>
    <w:rsid w:val="005C7F9F"/>
    <w:rsid w:val="005D4ACF"/>
    <w:rsid w:val="005D4B54"/>
    <w:rsid w:val="005D6AC2"/>
    <w:rsid w:val="005D6B0F"/>
    <w:rsid w:val="005E36CE"/>
    <w:rsid w:val="005E3D45"/>
    <w:rsid w:val="005E3D58"/>
    <w:rsid w:val="005E46E0"/>
    <w:rsid w:val="005E4F2E"/>
    <w:rsid w:val="005E5B9D"/>
    <w:rsid w:val="005E6F25"/>
    <w:rsid w:val="005F0E17"/>
    <w:rsid w:val="005F2417"/>
    <w:rsid w:val="005F3A84"/>
    <w:rsid w:val="005F411D"/>
    <w:rsid w:val="005F49DB"/>
    <w:rsid w:val="005F56A2"/>
    <w:rsid w:val="005F73D5"/>
    <w:rsid w:val="005F77CB"/>
    <w:rsid w:val="005F7D84"/>
    <w:rsid w:val="00600964"/>
    <w:rsid w:val="00601CF0"/>
    <w:rsid w:val="00601CFC"/>
    <w:rsid w:val="00601D21"/>
    <w:rsid w:val="00602B0A"/>
    <w:rsid w:val="00603132"/>
    <w:rsid w:val="00604C60"/>
    <w:rsid w:val="00606C74"/>
    <w:rsid w:val="00610663"/>
    <w:rsid w:val="0061080C"/>
    <w:rsid w:val="00614276"/>
    <w:rsid w:val="00615792"/>
    <w:rsid w:val="0061783C"/>
    <w:rsid w:val="00617A0E"/>
    <w:rsid w:val="006202B8"/>
    <w:rsid w:val="00622CCE"/>
    <w:rsid w:val="00622E23"/>
    <w:rsid w:val="00623FAF"/>
    <w:rsid w:val="006307C6"/>
    <w:rsid w:val="00631117"/>
    <w:rsid w:val="00631FA4"/>
    <w:rsid w:val="00634662"/>
    <w:rsid w:val="006375D1"/>
    <w:rsid w:val="0064231E"/>
    <w:rsid w:val="00644BFF"/>
    <w:rsid w:val="006466FB"/>
    <w:rsid w:val="006471A9"/>
    <w:rsid w:val="006471AD"/>
    <w:rsid w:val="00652246"/>
    <w:rsid w:val="006526E6"/>
    <w:rsid w:val="00652D0B"/>
    <w:rsid w:val="0065325C"/>
    <w:rsid w:val="00654EF1"/>
    <w:rsid w:val="00656E6D"/>
    <w:rsid w:val="006573B9"/>
    <w:rsid w:val="00660103"/>
    <w:rsid w:val="00660A9E"/>
    <w:rsid w:val="006613AA"/>
    <w:rsid w:val="00661944"/>
    <w:rsid w:val="00662B99"/>
    <w:rsid w:val="0066339C"/>
    <w:rsid w:val="0066417B"/>
    <w:rsid w:val="00665AAF"/>
    <w:rsid w:val="0066753D"/>
    <w:rsid w:val="00670701"/>
    <w:rsid w:val="00671A65"/>
    <w:rsid w:val="00672B50"/>
    <w:rsid w:val="006744DB"/>
    <w:rsid w:val="006750D2"/>
    <w:rsid w:val="0068261D"/>
    <w:rsid w:val="00683C29"/>
    <w:rsid w:val="00684E4D"/>
    <w:rsid w:val="006871BE"/>
    <w:rsid w:val="00690758"/>
    <w:rsid w:val="00692356"/>
    <w:rsid w:val="006929F6"/>
    <w:rsid w:val="00694991"/>
    <w:rsid w:val="00694A4D"/>
    <w:rsid w:val="006950C4"/>
    <w:rsid w:val="00696E2C"/>
    <w:rsid w:val="00696FBD"/>
    <w:rsid w:val="006A00BC"/>
    <w:rsid w:val="006A08C9"/>
    <w:rsid w:val="006A1F30"/>
    <w:rsid w:val="006A3297"/>
    <w:rsid w:val="006A5006"/>
    <w:rsid w:val="006A5DFE"/>
    <w:rsid w:val="006A5E9D"/>
    <w:rsid w:val="006B1215"/>
    <w:rsid w:val="006B1CE7"/>
    <w:rsid w:val="006B1EE3"/>
    <w:rsid w:val="006B31CF"/>
    <w:rsid w:val="006B353C"/>
    <w:rsid w:val="006B425F"/>
    <w:rsid w:val="006B5B2A"/>
    <w:rsid w:val="006B5CA9"/>
    <w:rsid w:val="006B68F6"/>
    <w:rsid w:val="006B6F5F"/>
    <w:rsid w:val="006C487D"/>
    <w:rsid w:val="006D14DB"/>
    <w:rsid w:val="006D242D"/>
    <w:rsid w:val="006D2A88"/>
    <w:rsid w:val="006D2F97"/>
    <w:rsid w:val="006D7ACC"/>
    <w:rsid w:val="006E07BB"/>
    <w:rsid w:val="006E08FA"/>
    <w:rsid w:val="006F18C3"/>
    <w:rsid w:val="006F2558"/>
    <w:rsid w:val="006F32E6"/>
    <w:rsid w:val="006F4F52"/>
    <w:rsid w:val="006F61CE"/>
    <w:rsid w:val="0070069F"/>
    <w:rsid w:val="00703477"/>
    <w:rsid w:val="00703F2C"/>
    <w:rsid w:val="00704202"/>
    <w:rsid w:val="00706E22"/>
    <w:rsid w:val="007070D9"/>
    <w:rsid w:val="00712EE5"/>
    <w:rsid w:val="007131B2"/>
    <w:rsid w:val="00713A91"/>
    <w:rsid w:val="00713F61"/>
    <w:rsid w:val="00714726"/>
    <w:rsid w:val="00715DD9"/>
    <w:rsid w:val="007176EC"/>
    <w:rsid w:val="00717CF6"/>
    <w:rsid w:val="00717DFA"/>
    <w:rsid w:val="007201AD"/>
    <w:rsid w:val="00720BBB"/>
    <w:rsid w:val="007220F7"/>
    <w:rsid w:val="0072488F"/>
    <w:rsid w:val="00724ACD"/>
    <w:rsid w:val="00726259"/>
    <w:rsid w:val="00730058"/>
    <w:rsid w:val="007336A2"/>
    <w:rsid w:val="0073404E"/>
    <w:rsid w:val="007348CC"/>
    <w:rsid w:val="00737F8F"/>
    <w:rsid w:val="007416BB"/>
    <w:rsid w:val="00742CAF"/>
    <w:rsid w:val="00742DD6"/>
    <w:rsid w:val="0074355E"/>
    <w:rsid w:val="007456D8"/>
    <w:rsid w:val="007477E1"/>
    <w:rsid w:val="007510DC"/>
    <w:rsid w:val="007519B5"/>
    <w:rsid w:val="00754172"/>
    <w:rsid w:val="007557C8"/>
    <w:rsid w:val="00755973"/>
    <w:rsid w:val="00761236"/>
    <w:rsid w:val="00762FFD"/>
    <w:rsid w:val="00764943"/>
    <w:rsid w:val="0076495B"/>
    <w:rsid w:val="007654B9"/>
    <w:rsid w:val="00770658"/>
    <w:rsid w:val="00772DA3"/>
    <w:rsid w:val="00773F82"/>
    <w:rsid w:val="00775259"/>
    <w:rsid w:val="00776E1E"/>
    <w:rsid w:val="00776F30"/>
    <w:rsid w:val="007820F1"/>
    <w:rsid w:val="0078228D"/>
    <w:rsid w:val="00783643"/>
    <w:rsid w:val="0078570B"/>
    <w:rsid w:val="0078603F"/>
    <w:rsid w:val="007866A9"/>
    <w:rsid w:val="00791AA0"/>
    <w:rsid w:val="00791E92"/>
    <w:rsid w:val="00792147"/>
    <w:rsid w:val="00793C58"/>
    <w:rsid w:val="00793D44"/>
    <w:rsid w:val="00793EA3"/>
    <w:rsid w:val="007A041D"/>
    <w:rsid w:val="007A1031"/>
    <w:rsid w:val="007A1B0C"/>
    <w:rsid w:val="007A1C5C"/>
    <w:rsid w:val="007A2072"/>
    <w:rsid w:val="007A2EB9"/>
    <w:rsid w:val="007A4620"/>
    <w:rsid w:val="007A55D7"/>
    <w:rsid w:val="007A5C71"/>
    <w:rsid w:val="007A625E"/>
    <w:rsid w:val="007A780F"/>
    <w:rsid w:val="007A7E0D"/>
    <w:rsid w:val="007B3E37"/>
    <w:rsid w:val="007B4D55"/>
    <w:rsid w:val="007C017F"/>
    <w:rsid w:val="007C444D"/>
    <w:rsid w:val="007C578A"/>
    <w:rsid w:val="007C5953"/>
    <w:rsid w:val="007C64F3"/>
    <w:rsid w:val="007C778A"/>
    <w:rsid w:val="007C79BB"/>
    <w:rsid w:val="007D0ECB"/>
    <w:rsid w:val="007D20C0"/>
    <w:rsid w:val="007D266E"/>
    <w:rsid w:val="007D2BFC"/>
    <w:rsid w:val="007D55F2"/>
    <w:rsid w:val="007D577A"/>
    <w:rsid w:val="007D6114"/>
    <w:rsid w:val="007E18F8"/>
    <w:rsid w:val="007E2B59"/>
    <w:rsid w:val="007E2E37"/>
    <w:rsid w:val="007E5B96"/>
    <w:rsid w:val="007F08A0"/>
    <w:rsid w:val="007F15E5"/>
    <w:rsid w:val="007F1787"/>
    <w:rsid w:val="007F2E9D"/>
    <w:rsid w:val="007F6575"/>
    <w:rsid w:val="007F7ED4"/>
    <w:rsid w:val="0080047D"/>
    <w:rsid w:val="00801A2A"/>
    <w:rsid w:val="008022D8"/>
    <w:rsid w:val="0080388F"/>
    <w:rsid w:val="0080405C"/>
    <w:rsid w:val="008047EB"/>
    <w:rsid w:val="00805537"/>
    <w:rsid w:val="00810A57"/>
    <w:rsid w:val="008111AB"/>
    <w:rsid w:val="0081199E"/>
    <w:rsid w:val="00813132"/>
    <w:rsid w:val="0081337A"/>
    <w:rsid w:val="00814402"/>
    <w:rsid w:val="0081523C"/>
    <w:rsid w:val="00815850"/>
    <w:rsid w:val="00815C72"/>
    <w:rsid w:val="0081677A"/>
    <w:rsid w:val="0082039F"/>
    <w:rsid w:val="00820B2E"/>
    <w:rsid w:val="00822113"/>
    <w:rsid w:val="00822BD0"/>
    <w:rsid w:val="00824657"/>
    <w:rsid w:val="00833EEF"/>
    <w:rsid w:val="00835EC0"/>
    <w:rsid w:val="0083655D"/>
    <w:rsid w:val="00836F93"/>
    <w:rsid w:val="0083715C"/>
    <w:rsid w:val="0084323C"/>
    <w:rsid w:val="00843510"/>
    <w:rsid w:val="00844A2F"/>
    <w:rsid w:val="008464D3"/>
    <w:rsid w:val="00846D57"/>
    <w:rsid w:val="00847BEC"/>
    <w:rsid w:val="00850472"/>
    <w:rsid w:val="00854719"/>
    <w:rsid w:val="00857F13"/>
    <w:rsid w:val="00860924"/>
    <w:rsid w:val="0086198F"/>
    <w:rsid w:val="00862626"/>
    <w:rsid w:val="0086291B"/>
    <w:rsid w:val="00862F3A"/>
    <w:rsid w:val="00866980"/>
    <w:rsid w:val="00867787"/>
    <w:rsid w:val="0087286A"/>
    <w:rsid w:val="00875DC2"/>
    <w:rsid w:val="008767B2"/>
    <w:rsid w:val="008771CA"/>
    <w:rsid w:val="008801FD"/>
    <w:rsid w:val="00880A2E"/>
    <w:rsid w:val="00881113"/>
    <w:rsid w:val="0088437B"/>
    <w:rsid w:val="00884D51"/>
    <w:rsid w:val="008865EC"/>
    <w:rsid w:val="008900BA"/>
    <w:rsid w:val="00890B34"/>
    <w:rsid w:val="00890D5C"/>
    <w:rsid w:val="0089132E"/>
    <w:rsid w:val="0089331F"/>
    <w:rsid w:val="008937E1"/>
    <w:rsid w:val="00895ED4"/>
    <w:rsid w:val="00897DF8"/>
    <w:rsid w:val="00897E4E"/>
    <w:rsid w:val="008A169B"/>
    <w:rsid w:val="008A48F3"/>
    <w:rsid w:val="008A5D22"/>
    <w:rsid w:val="008A5F7B"/>
    <w:rsid w:val="008B25D8"/>
    <w:rsid w:val="008B587A"/>
    <w:rsid w:val="008B6078"/>
    <w:rsid w:val="008B69E5"/>
    <w:rsid w:val="008C3412"/>
    <w:rsid w:val="008C3DBC"/>
    <w:rsid w:val="008C45EA"/>
    <w:rsid w:val="008C4C64"/>
    <w:rsid w:val="008C62CA"/>
    <w:rsid w:val="008C7C45"/>
    <w:rsid w:val="008D0A02"/>
    <w:rsid w:val="008D19BE"/>
    <w:rsid w:val="008D6439"/>
    <w:rsid w:val="008E07F8"/>
    <w:rsid w:val="008E12FF"/>
    <w:rsid w:val="008E2EF7"/>
    <w:rsid w:val="008E502B"/>
    <w:rsid w:val="008E5129"/>
    <w:rsid w:val="008E5700"/>
    <w:rsid w:val="008F23C4"/>
    <w:rsid w:val="008F3058"/>
    <w:rsid w:val="008F45A8"/>
    <w:rsid w:val="008F5962"/>
    <w:rsid w:val="008F7195"/>
    <w:rsid w:val="009004A4"/>
    <w:rsid w:val="00902072"/>
    <w:rsid w:val="009023B4"/>
    <w:rsid w:val="0090586B"/>
    <w:rsid w:val="0090587F"/>
    <w:rsid w:val="00906998"/>
    <w:rsid w:val="00907E4D"/>
    <w:rsid w:val="00916CCB"/>
    <w:rsid w:val="00920811"/>
    <w:rsid w:val="00920BA9"/>
    <w:rsid w:val="00931856"/>
    <w:rsid w:val="009348EC"/>
    <w:rsid w:val="0094019F"/>
    <w:rsid w:val="009418AA"/>
    <w:rsid w:val="009432E2"/>
    <w:rsid w:val="00945BF1"/>
    <w:rsid w:val="00945E58"/>
    <w:rsid w:val="00951C91"/>
    <w:rsid w:val="00954A30"/>
    <w:rsid w:val="00954BD3"/>
    <w:rsid w:val="00955DE9"/>
    <w:rsid w:val="00961002"/>
    <w:rsid w:val="0096103A"/>
    <w:rsid w:val="00961920"/>
    <w:rsid w:val="00965FCD"/>
    <w:rsid w:val="00967B58"/>
    <w:rsid w:val="00970764"/>
    <w:rsid w:val="00971331"/>
    <w:rsid w:val="00972EFE"/>
    <w:rsid w:val="00972FFC"/>
    <w:rsid w:val="00973386"/>
    <w:rsid w:val="0097390B"/>
    <w:rsid w:val="009770D3"/>
    <w:rsid w:val="00977499"/>
    <w:rsid w:val="00977A7F"/>
    <w:rsid w:val="009804CD"/>
    <w:rsid w:val="00980BBF"/>
    <w:rsid w:val="00980D40"/>
    <w:rsid w:val="0098293D"/>
    <w:rsid w:val="00982C24"/>
    <w:rsid w:val="0098389E"/>
    <w:rsid w:val="0098401D"/>
    <w:rsid w:val="00984D6F"/>
    <w:rsid w:val="00986CF6"/>
    <w:rsid w:val="00987402"/>
    <w:rsid w:val="00990A76"/>
    <w:rsid w:val="00990D97"/>
    <w:rsid w:val="00992E65"/>
    <w:rsid w:val="00992EE1"/>
    <w:rsid w:val="00993478"/>
    <w:rsid w:val="0099733E"/>
    <w:rsid w:val="009A001E"/>
    <w:rsid w:val="009A0080"/>
    <w:rsid w:val="009A021B"/>
    <w:rsid w:val="009A3CFC"/>
    <w:rsid w:val="009A5DB3"/>
    <w:rsid w:val="009A666F"/>
    <w:rsid w:val="009A68CE"/>
    <w:rsid w:val="009A7BF9"/>
    <w:rsid w:val="009B2145"/>
    <w:rsid w:val="009B24A8"/>
    <w:rsid w:val="009B4C80"/>
    <w:rsid w:val="009C445A"/>
    <w:rsid w:val="009C631C"/>
    <w:rsid w:val="009C746B"/>
    <w:rsid w:val="009C7AD7"/>
    <w:rsid w:val="009D16CE"/>
    <w:rsid w:val="009D4B08"/>
    <w:rsid w:val="009D5073"/>
    <w:rsid w:val="009D6689"/>
    <w:rsid w:val="009E0F6C"/>
    <w:rsid w:val="009E1649"/>
    <w:rsid w:val="009E16F0"/>
    <w:rsid w:val="009E34E3"/>
    <w:rsid w:val="009E4B65"/>
    <w:rsid w:val="009E634E"/>
    <w:rsid w:val="009F0A38"/>
    <w:rsid w:val="009F21F0"/>
    <w:rsid w:val="009F2A28"/>
    <w:rsid w:val="009F5F2C"/>
    <w:rsid w:val="009F7673"/>
    <w:rsid w:val="00A00090"/>
    <w:rsid w:val="00A03188"/>
    <w:rsid w:val="00A05843"/>
    <w:rsid w:val="00A0601E"/>
    <w:rsid w:val="00A1088F"/>
    <w:rsid w:val="00A128F6"/>
    <w:rsid w:val="00A145BF"/>
    <w:rsid w:val="00A14D1F"/>
    <w:rsid w:val="00A21106"/>
    <w:rsid w:val="00A30DC5"/>
    <w:rsid w:val="00A41165"/>
    <w:rsid w:val="00A451B2"/>
    <w:rsid w:val="00A45422"/>
    <w:rsid w:val="00A4635D"/>
    <w:rsid w:val="00A46684"/>
    <w:rsid w:val="00A50883"/>
    <w:rsid w:val="00A52652"/>
    <w:rsid w:val="00A53FAF"/>
    <w:rsid w:val="00A56552"/>
    <w:rsid w:val="00A63915"/>
    <w:rsid w:val="00A6476D"/>
    <w:rsid w:val="00A70182"/>
    <w:rsid w:val="00A7085C"/>
    <w:rsid w:val="00A74E15"/>
    <w:rsid w:val="00A7547B"/>
    <w:rsid w:val="00A75D65"/>
    <w:rsid w:val="00A7765E"/>
    <w:rsid w:val="00A779D8"/>
    <w:rsid w:val="00A818FD"/>
    <w:rsid w:val="00A81B23"/>
    <w:rsid w:val="00A84FFC"/>
    <w:rsid w:val="00A86A91"/>
    <w:rsid w:val="00A91A6D"/>
    <w:rsid w:val="00A93584"/>
    <w:rsid w:val="00A95C26"/>
    <w:rsid w:val="00A971B8"/>
    <w:rsid w:val="00AA1002"/>
    <w:rsid w:val="00AA14DB"/>
    <w:rsid w:val="00AA1D18"/>
    <w:rsid w:val="00AB0D2D"/>
    <w:rsid w:val="00AB2ACA"/>
    <w:rsid w:val="00AB46B9"/>
    <w:rsid w:val="00AB5453"/>
    <w:rsid w:val="00AB606D"/>
    <w:rsid w:val="00AB64D5"/>
    <w:rsid w:val="00AC0E6D"/>
    <w:rsid w:val="00AC14CA"/>
    <w:rsid w:val="00AC3656"/>
    <w:rsid w:val="00AC377D"/>
    <w:rsid w:val="00AC40C7"/>
    <w:rsid w:val="00AC438D"/>
    <w:rsid w:val="00AC7A08"/>
    <w:rsid w:val="00AD0877"/>
    <w:rsid w:val="00AD116B"/>
    <w:rsid w:val="00AD7A35"/>
    <w:rsid w:val="00AE0FCD"/>
    <w:rsid w:val="00AE1E8D"/>
    <w:rsid w:val="00AE29DE"/>
    <w:rsid w:val="00AE2DE9"/>
    <w:rsid w:val="00AE32F4"/>
    <w:rsid w:val="00AE5156"/>
    <w:rsid w:val="00AE5ADC"/>
    <w:rsid w:val="00AE5F7A"/>
    <w:rsid w:val="00AE630B"/>
    <w:rsid w:val="00AE6313"/>
    <w:rsid w:val="00AF0BFE"/>
    <w:rsid w:val="00AF3229"/>
    <w:rsid w:val="00AF49FE"/>
    <w:rsid w:val="00AF64B4"/>
    <w:rsid w:val="00B0139E"/>
    <w:rsid w:val="00B013C3"/>
    <w:rsid w:val="00B025BD"/>
    <w:rsid w:val="00B02EA6"/>
    <w:rsid w:val="00B06C3B"/>
    <w:rsid w:val="00B0797C"/>
    <w:rsid w:val="00B11005"/>
    <w:rsid w:val="00B11262"/>
    <w:rsid w:val="00B11740"/>
    <w:rsid w:val="00B17C3F"/>
    <w:rsid w:val="00B20991"/>
    <w:rsid w:val="00B2106C"/>
    <w:rsid w:val="00B213EA"/>
    <w:rsid w:val="00B21C44"/>
    <w:rsid w:val="00B22313"/>
    <w:rsid w:val="00B23C89"/>
    <w:rsid w:val="00B26152"/>
    <w:rsid w:val="00B26992"/>
    <w:rsid w:val="00B278B9"/>
    <w:rsid w:val="00B30BDC"/>
    <w:rsid w:val="00B31400"/>
    <w:rsid w:val="00B31F91"/>
    <w:rsid w:val="00B32802"/>
    <w:rsid w:val="00B4063D"/>
    <w:rsid w:val="00B444CB"/>
    <w:rsid w:val="00B44ABA"/>
    <w:rsid w:val="00B45824"/>
    <w:rsid w:val="00B511F2"/>
    <w:rsid w:val="00B519E2"/>
    <w:rsid w:val="00B52009"/>
    <w:rsid w:val="00B52921"/>
    <w:rsid w:val="00B53D30"/>
    <w:rsid w:val="00B54D87"/>
    <w:rsid w:val="00B56DBE"/>
    <w:rsid w:val="00B61287"/>
    <w:rsid w:val="00B64E56"/>
    <w:rsid w:val="00B65C44"/>
    <w:rsid w:val="00B66E6A"/>
    <w:rsid w:val="00B67FA9"/>
    <w:rsid w:val="00B7165C"/>
    <w:rsid w:val="00B719CA"/>
    <w:rsid w:val="00B72417"/>
    <w:rsid w:val="00B73191"/>
    <w:rsid w:val="00B76FA6"/>
    <w:rsid w:val="00B77C34"/>
    <w:rsid w:val="00B82FEB"/>
    <w:rsid w:val="00B8301D"/>
    <w:rsid w:val="00B83529"/>
    <w:rsid w:val="00B87527"/>
    <w:rsid w:val="00B87B33"/>
    <w:rsid w:val="00B932FF"/>
    <w:rsid w:val="00B94B7D"/>
    <w:rsid w:val="00B95BCC"/>
    <w:rsid w:val="00B97C84"/>
    <w:rsid w:val="00BA175F"/>
    <w:rsid w:val="00BA345A"/>
    <w:rsid w:val="00BA4300"/>
    <w:rsid w:val="00BA4572"/>
    <w:rsid w:val="00BA6549"/>
    <w:rsid w:val="00BA6603"/>
    <w:rsid w:val="00BA789C"/>
    <w:rsid w:val="00BB3E3C"/>
    <w:rsid w:val="00BB4A6C"/>
    <w:rsid w:val="00BB5D01"/>
    <w:rsid w:val="00BB7A90"/>
    <w:rsid w:val="00BC013B"/>
    <w:rsid w:val="00BC0F05"/>
    <w:rsid w:val="00BC6597"/>
    <w:rsid w:val="00BD1634"/>
    <w:rsid w:val="00BD1EA1"/>
    <w:rsid w:val="00BD3766"/>
    <w:rsid w:val="00BD5B0B"/>
    <w:rsid w:val="00BE04E6"/>
    <w:rsid w:val="00BE2DA2"/>
    <w:rsid w:val="00BE4775"/>
    <w:rsid w:val="00BE4A77"/>
    <w:rsid w:val="00BE7E0D"/>
    <w:rsid w:val="00BF07D3"/>
    <w:rsid w:val="00BF4348"/>
    <w:rsid w:val="00BF5A68"/>
    <w:rsid w:val="00BF7B28"/>
    <w:rsid w:val="00C00B97"/>
    <w:rsid w:val="00C017B2"/>
    <w:rsid w:val="00C018A0"/>
    <w:rsid w:val="00C042EE"/>
    <w:rsid w:val="00C10C8B"/>
    <w:rsid w:val="00C13781"/>
    <w:rsid w:val="00C13BDC"/>
    <w:rsid w:val="00C13CD3"/>
    <w:rsid w:val="00C22204"/>
    <w:rsid w:val="00C22721"/>
    <w:rsid w:val="00C26712"/>
    <w:rsid w:val="00C26AA0"/>
    <w:rsid w:val="00C31C8F"/>
    <w:rsid w:val="00C325D9"/>
    <w:rsid w:val="00C331D8"/>
    <w:rsid w:val="00C357A8"/>
    <w:rsid w:val="00C37F33"/>
    <w:rsid w:val="00C42609"/>
    <w:rsid w:val="00C43B1A"/>
    <w:rsid w:val="00C45051"/>
    <w:rsid w:val="00C51377"/>
    <w:rsid w:val="00C52F73"/>
    <w:rsid w:val="00C56CAD"/>
    <w:rsid w:val="00C56E0D"/>
    <w:rsid w:val="00C56F08"/>
    <w:rsid w:val="00C57238"/>
    <w:rsid w:val="00C600BB"/>
    <w:rsid w:val="00C63D3A"/>
    <w:rsid w:val="00C63DA5"/>
    <w:rsid w:val="00C6477E"/>
    <w:rsid w:val="00C70559"/>
    <w:rsid w:val="00C71CB7"/>
    <w:rsid w:val="00C7203F"/>
    <w:rsid w:val="00C74AA0"/>
    <w:rsid w:val="00C75A08"/>
    <w:rsid w:val="00C75EF4"/>
    <w:rsid w:val="00C77661"/>
    <w:rsid w:val="00C87DB6"/>
    <w:rsid w:val="00C90231"/>
    <w:rsid w:val="00C91E4E"/>
    <w:rsid w:val="00C925F9"/>
    <w:rsid w:val="00C964AE"/>
    <w:rsid w:val="00CA0E18"/>
    <w:rsid w:val="00CA1595"/>
    <w:rsid w:val="00CA20BF"/>
    <w:rsid w:val="00CA2F39"/>
    <w:rsid w:val="00CA3A23"/>
    <w:rsid w:val="00CA5502"/>
    <w:rsid w:val="00CA751B"/>
    <w:rsid w:val="00CB0E37"/>
    <w:rsid w:val="00CB5068"/>
    <w:rsid w:val="00CC066F"/>
    <w:rsid w:val="00CC1407"/>
    <w:rsid w:val="00CC24C9"/>
    <w:rsid w:val="00CC680D"/>
    <w:rsid w:val="00CC73A3"/>
    <w:rsid w:val="00CC7F96"/>
    <w:rsid w:val="00CD1054"/>
    <w:rsid w:val="00CD148D"/>
    <w:rsid w:val="00CD3ED2"/>
    <w:rsid w:val="00CD4481"/>
    <w:rsid w:val="00CD5A39"/>
    <w:rsid w:val="00CE0E3E"/>
    <w:rsid w:val="00CE2906"/>
    <w:rsid w:val="00CE4E80"/>
    <w:rsid w:val="00CE6D69"/>
    <w:rsid w:val="00CF0210"/>
    <w:rsid w:val="00CF0CB3"/>
    <w:rsid w:val="00CF0D6B"/>
    <w:rsid w:val="00CF1BD5"/>
    <w:rsid w:val="00CF380A"/>
    <w:rsid w:val="00CF524B"/>
    <w:rsid w:val="00CF52C4"/>
    <w:rsid w:val="00CF582E"/>
    <w:rsid w:val="00CF61C0"/>
    <w:rsid w:val="00CF67BB"/>
    <w:rsid w:val="00CF69C7"/>
    <w:rsid w:val="00D13304"/>
    <w:rsid w:val="00D14427"/>
    <w:rsid w:val="00D1785E"/>
    <w:rsid w:val="00D262CA"/>
    <w:rsid w:val="00D33236"/>
    <w:rsid w:val="00D347B2"/>
    <w:rsid w:val="00D377B8"/>
    <w:rsid w:val="00D40C28"/>
    <w:rsid w:val="00D41C8F"/>
    <w:rsid w:val="00D433B6"/>
    <w:rsid w:val="00D43C7D"/>
    <w:rsid w:val="00D4465D"/>
    <w:rsid w:val="00D44A5D"/>
    <w:rsid w:val="00D46DA5"/>
    <w:rsid w:val="00D5056C"/>
    <w:rsid w:val="00D50932"/>
    <w:rsid w:val="00D50FD3"/>
    <w:rsid w:val="00D514CD"/>
    <w:rsid w:val="00D5160C"/>
    <w:rsid w:val="00D538EC"/>
    <w:rsid w:val="00D5595C"/>
    <w:rsid w:val="00D55F80"/>
    <w:rsid w:val="00D57042"/>
    <w:rsid w:val="00D632C9"/>
    <w:rsid w:val="00D640D8"/>
    <w:rsid w:val="00D64ED8"/>
    <w:rsid w:val="00D67320"/>
    <w:rsid w:val="00D7248C"/>
    <w:rsid w:val="00D725AF"/>
    <w:rsid w:val="00D734B8"/>
    <w:rsid w:val="00D75216"/>
    <w:rsid w:val="00D77877"/>
    <w:rsid w:val="00D77DE2"/>
    <w:rsid w:val="00D807F2"/>
    <w:rsid w:val="00D82C1B"/>
    <w:rsid w:val="00D82E6E"/>
    <w:rsid w:val="00D83547"/>
    <w:rsid w:val="00D85071"/>
    <w:rsid w:val="00D85844"/>
    <w:rsid w:val="00D8780C"/>
    <w:rsid w:val="00D9724C"/>
    <w:rsid w:val="00DA230C"/>
    <w:rsid w:val="00DA283D"/>
    <w:rsid w:val="00DA346D"/>
    <w:rsid w:val="00DA383E"/>
    <w:rsid w:val="00DA4940"/>
    <w:rsid w:val="00DA71F9"/>
    <w:rsid w:val="00DA7E8C"/>
    <w:rsid w:val="00DB0467"/>
    <w:rsid w:val="00DB4A0B"/>
    <w:rsid w:val="00DC0B85"/>
    <w:rsid w:val="00DC0EBD"/>
    <w:rsid w:val="00DC310F"/>
    <w:rsid w:val="00DC543A"/>
    <w:rsid w:val="00DC62CE"/>
    <w:rsid w:val="00DC7157"/>
    <w:rsid w:val="00DD12ED"/>
    <w:rsid w:val="00DD469E"/>
    <w:rsid w:val="00DD5888"/>
    <w:rsid w:val="00DD5F6B"/>
    <w:rsid w:val="00DD7CAE"/>
    <w:rsid w:val="00DE1056"/>
    <w:rsid w:val="00DE23FD"/>
    <w:rsid w:val="00DE6004"/>
    <w:rsid w:val="00DE6BEA"/>
    <w:rsid w:val="00DE7AB2"/>
    <w:rsid w:val="00DF11AC"/>
    <w:rsid w:val="00DF1239"/>
    <w:rsid w:val="00DF5970"/>
    <w:rsid w:val="00DF690E"/>
    <w:rsid w:val="00E00683"/>
    <w:rsid w:val="00E010FE"/>
    <w:rsid w:val="00E0351D"/>
    <w:rsid w:val="00E06850"/>
    <w:rsid w:val="00E12C69"/>
    <w:rsid w:val="00E12D2A"/>
    <w:rsid w:val="00E12E10"/>
    <w:rsid w:val="00E14E11"/>
    <w:rsid w:val="00E15496"/>
    <w:rsid w:val="00E16572"/>
    <w:rsid w:val="00E20474"/>
    <w:rsid w:val="00E20B12"/>
    <w:rsid w:val="00E20B9E"/>
    <w:rsid w:val="00E2100B"/>
    <w:rsid w:val="00E214BC"/>
    <w:rsid w:val="00E2240F"/>
    <w:rsid w:val="00E2590F"/>
    <w:rsid w:val="00E31734"/>
    <w:rsid w:val="00E36B65"/>
    <w:rsid w:val="00E36BF2"/>
    <w:rsid w:val="00E36C91"/>
    <w:rsid w:val="00E41F8A"/>
    <w:rsid w:val="00E4413A"/>
    <w:rsid w:val="00E4603E"/>
    <w:rsid w:val="00E51325"/>
    <w:rsid w:val="00E51577"/>
    <w:rsid w:val="00E518D3"/>
    <w:rsid w:val="00E538E0"/>
    <w:rsid w:val="00E53F5E"/>
    <w:rsid w:val="00E54E9C"/>
    <w:rsid w:val="00E57197"/>
    <w:rsid w:val="00E5720D"/>
    <w:rsid w:val="00E57559"/>
    <w:rsid w:val="00E62024"/>
    <w:rsid w:val="00E62745"/>
    <w:rsid w:val="00E63F3A"/>
    <w:rsid w:val="00E6470B"/>
    <w:rsid w:val="00E674A5"/>
    <w:rsid w:val="00E6785D"/>
    <w:rsid w:val="00E70E98"/>
    <w:rsid w:val="00E71393"/>
    <w:rsid w:val="00E7248B"/>
    <w:rsid w:val="00E749A6"/>
    <w:rsid w:val="00E74B75"/>
    <w:rsid w:val="00E74C72"/>
    <w:rsid w:val="00E77269"/>
    <w:rsid w:val="00E77EC3"/>
    <w:rsid w:val="00E8009E"/>
    <w:rsid w:val="00E808B4"/>
    <w:rsid w:val="00E84BBA"/>
    <w:rsid w:val="00E8610D"/>
    <w:rsid w:val="00E87316"/>
    <w:rsid w:val="00E87607"/>
    <w:rsid w:val="00E930FC"/>
    <w:rsid w:val="00E935F5"/>
    <w:rsid w:val="00E969F8"/>
    <w:rsid w:val="00E97855"/>
    <w:rsid w:val="00EA112D"/>
    <w:rsid w:val="00EA203B"/>
    <w:rsid w:val="00EA25E7"/>
    <w:rsid w:val="00EA2F02"/>
    <w:rsid w:val="00EA2F71"/>
    <w:rsid w:val="00EA6304"/>
    <w:rsid w:val="00EA7064"/>
    <w:rsid w:val="00EA7471"/>
    <w:rsid w:val="00EB1BF8"/>
    <w:rsid w:val="00EB32DA"/>
    <w:rsid w:val="00EB3D1F"/>
    <w:rsid w:val="00EB58CE"/>
    <w:rsid w:val="00EB5DFC"/>
    <w:rsid w:val="00EB7FA4"/>
    <w:rsid w:val="00EC0CF5"/>
    <w:rsid w:val="00EC4525"/>
    <w:rsid w:val="00EC4DE2"/>
    <w:rsid w:val="00EC56F3"/>
    <w:rsid w:val="00EC573A"/>
    <w:rsid w:val="00EC5B5D"/>
    <w:rsid w:val="00EC5E6E"/>
    <w:rsid w:val="00EC631B"/>
    <w:rsid w:val="00EC7BDA"/>
    <w:rsid w:val="00EC7DD9"/>
    <w:rsid w:val="00ED1FD7"/>
    <w:rsid w:val="00ED45E4"/>
    <w:rsid w:val="00ED4C0C"/>
    <w:rsid w:val="00EE4A29"/>
    <w:rsid w:val="00EE5940"/>
    <w:rsid w:val="00EE683B"/>
    <w:rsid w:val="00EE688A"/>
    <w:rsid w:val="00EF11D5"/>
    <w:rsid w:val="00EF4328"/>
    <w:rsid w:val="00EF4F0F"/>
    <w:rsid w:val="00EF60E0"/>
    <w:rsid w:val="00EF707F"/>
    <w:rsid w:val="00F074CF"/>
    <w:rsid w:val="00F10B45"/>
    <w:rsid w:val="00F10E12"/>
    <w:rsid w:val="00F14C1F"/>
    <w:rsid w:val="00F15755"/>
    <w:rsid w:val="00F17B83"/>
    <w:rsid w:val="00F20E3C"/>
    <w:rsid w:val="00F21638"/>
    <w:rsid w:val="00F24963"/>
    <w:rsid w:val="00F255BF"/>
    <w:rsid w:val="00F25AA9"/>
    <w:rsid w:val="00F27764"/>
    <w:rsid w:val="00F27F49"/>
    <w:rsid w:val="00F300B2"/>
    <w:rsid w:val="00F33938"/>
    <w:rsid w:val="00F341E1"/>
    <w:rsid w:val="00F34A8C"/>
    <w:rsid w:val="00F34C0C"/>
    <w:rsid w:val="00F34FA6"/>
    <w:rsid w:val="00F377CF"/>
    <w:rsid w:val="00F42FF6"/>
    <w:rsid w:val="00F43D80"/>
    <w:rsid w:val="00F5047E"/>
    <w:rsid w:val="00F5202F"/>
    <w:rsid w:val="00F533C5"/>
    <w:rsid w:val="00F56F28"/>
    <w:rsid w:val="00F61F84"/>
    <w:rsid w:val="00F64C8E"/>
    <w:rsid w:val="00F668D1"/>
    <w:rsid w:val="00F67049"/>
    <w:rsid w:val="00F7078F"/>
    <w:rsid w:val="00F71700"/>
    <w:rsid w:val="00F74F8C"/>
    <w:rsid w:val="00F76A15"/>
    <w:rsid w:val="00F76E77"/>
    <w:rsid w:val="00F82D4E"/>
    <w:rsid w:val="00F8309E"/>
    <w:rsid w:val="00F91036"/>
    <w:rsid w:val="00F911D0"/>
    <w:rsid w:val="00F94E20"/>
    <w:rsid w:val="00F9560C"/>
    <w:rsid w:val="00F971E7"/>
    <w:rsid w:val="00FA06E8"/>
    <w:rsid w:val="00FA2976"/>
    <w:rsid w:val="00FA3525"/>
    <w:rsid w:val="00FA5C85"/>
    <w:rsid w:val="00FA5FE4"/>
    <w:rsid w:val="00FA73A1"/>
    <w:rsid w:val="00FA7EEE"/>
    <w:rsid w:val="00FB0039"/>
    <w:rsid w:val="00FB0585"/>
    <w:rsid w:val="00FB322B"/>
    <w:rsid w:val="00FB4639"/>
    <w:rsid w:val="00FB4D23"/>
    <w:rsid w:val="00FB605B"/>
    <w:rsid w:val="00FB6C19"/>
    <w:rsid w:val="00FB7902"/>
    <w:rsid w:val="00FC535F"/>
    <w:rsid w:val="00FC555C"/>
    <w:rsid w:val="00FC5EF9"/>
    <w:rsid w:val="00FC6057"/>
    <w:rsid w:val="00FD047F"/>
    <w:rsid w:val="00FD1615"/>
    <w:rsid w:val="00FD3954"/>
    <w:rsid w:val="00FD5E40"/>
    <w:rsid w:val="00FD659A"/>
    <w:rsid w:val="00FE1D5B"/>
    <w:rsid w:val="00FE3FE2"/>
    <w:rsid w:val="00FE77C8"/>
    <w:rsid w:val="00FE7A27"/>
    <w:rsid w:val="00FF0621"/>
    <w:rsid w:val="00FF1393"/>
    <w:rsid w:val="00FF1563"/>
    <w:rsid w:val="00FF2B26"/>
    <w:rsid w:val="00FF3F96"/>
    <w:rsid w:val="00FF5575"/>
    <w:rsid w:val="00FF5C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92AF41B-15D5-4A2C-850E-0BBF45F9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line="259" w:lineRule="auto"/>
      <w:ind w:left="-142"/>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E688A"/>
    <w:rPr>
      <w:color w:val="0563C1"/>
      <w:u w:val="single"/>
    </w:rPr>
  </w:style>
  <w:style w:type="paragraph" w:styleId="Header">
    <w:name w:val="header"/>
    <w:basedOn w:val="Normal"/>
    <w:link w:val="HeaderChar"/>
    <w:uiPriority w:val="99"/>
    <w:unhideWhenUsed/>
    <w:rsid w:val="0094019F"/>
    <w:pPr>
      <w:tabs>
        <w:tab w:val="center" w:pos="4513"/>
        <w:tab w:val="right" w:pos="9026"/>
      </w:tabs>
      <w:spacing w:before="0" w:line="240" w:lineRule="auto"/>
    </w:pPr>
  </w:style>
  <w:style w:type="character" w:customStyle="1" w:styleId="HeaderChar">
    <w:name w:val="Header Char"/>
    <w:basedOn w:val="DefaultParagraphFont"/>
    <w:link w:val="Header"/>
    <w:uiPriority w:val="99"/>
    <w:rsid w:val="0094019F"/>
  </w:style>
  <w:style w:type="paragraph" w:styleId="Footer">
    <w:name w:val="footer"/>
    <w:basedOn w:val="Normal"/>
    <w:link w:val="FooterChar"/>
    <w:uiPriority w:val="99"/>
    <w:unhideWhenUsed/>
    <w:rsid w:val="0094019F"/>
    <w:pPr>
      <w:tabs>
        <w:tab w:val="center" w:pos="4513"/>
        <w:tab w:val="right" w:pos="9026"/>
      </w:tabs>
      <w:spacing w:before="0" w:line="240" w:lineRule="auto"/>
    </w:pPr>
  </w:style>
  <w:style w:type="character" w:customStyle="1" w:styleId="FooterChar">
    <w:name w:val="Footer Char"/>
    <w:basedOn w:val="DefaultParagraphFont"/>
    <w:link w:val="Footer"/>
    <w:uiPriority w:val="99"/>
    <w:rsid w:val="0094019F"/>
  </w:style>
  <w:style w:type="paragraph" w:styleId="BalloonText">
    <w:name w:val="Balloon Text"/>
    <w:basedOn w:val="Normal"/>
    <w:link w:val="BalloonTextChar"/>
    <w:uiPriority w:val="99"/>
    <w:semiHidden/>
    <w:unhideWhenUsed/>
    <w:rsid w:val="00EF11D5"/>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EF11D5"/>
    <w:rPr>
      <w:rFonts w:ascii="Segoe UI" w:hAnsi="Segoe UI" w:cs="Segoe UI"/>
      <w:sz w:val="18"/>
      <w:szCs w:val="18"/>
    </w:rPr>
  </w:style>
  <w:style w:type="paragraph" w:styleId="ListParagraph">
    <w:name w:val="List Paragraph"/>
    <w:basedOn w:val="Normal"/>
    <w:uiPriority w:val="34"/>
    <w:qFormat/>
    <w:rsid w:val="00033CDF"/>
    <w:pPr>
      <w:ind w:left="720"/>
      <w:contextualSpacing/>
    </w:pPr>
  </w:style>
  <w:style w:type="character" w:styleId="FollowedHyperlink">
    <w:name w:val="FollowedHyperlink"/>
    <w:uiPriority w:val="99"/>
    <w:semiHidden/>
    <w:unhideWhenUsed/>
    <w:rsid w:val="00F300B2"/>
    <w:rPr>
      <w:color w:val="954F72"/>
      <w:u w:val="single"/>
    </w:rPr>
  </w:style>
  <w:style w:type="paragraph" w:styleId="FootnoteText">
    <w:name w:val="footnote text"/>
    <w:basedOn w:val="Normal"/>
    <w:link w:val="FootnoteTextChar"/>
    <w:uiPriority w:val="99"/>
    <w:semiHidden/>
    <w:unhideWhenUsed/>
    <w:rsid w:val="007456D8"/>
    <w:pPr>
      <w:spacing w:before="0" w:line="240" w:lineRule="auto"/>
    </w:pPr>
    <w:rPr>
      <w:sz w:val="20"/>
      <w:szCs w:val="20"/>
    </w:rPr>
  </w:style>
  <w:style w:type="character" w:customStyle="1" w:styleId="FootnoteTextChar">
    <w:name w:val="Footnote Text Char"/>
    <w:link w:val="FootnoteText"/>
    <w:uiPriority w:val="99"/>
    <w:semiHidden/>
    <w:rsid w:val="007456D8"/>
    <w:rPr>
      <w:sz w:val="20"/>
      <w:szCs w:val="20"/>
    </w:rPr>
  </w:style>
  <w:style w:type="character" w:styleId="FootnoteReference">
    <w:name w:val="footnote reference"/>
    <w:uiPriority w:val="99"/>
    <w:semiHidden/>
    <w:unhideWhenUsed/>
    <w:rsid w:val="007456D8"/>
    <w:rPr>
      <w:vertAlign w:val="superscript"/>
    </w:rPr>
  </w:style>
  <w:style w:type="character" w:customStyle="1" w:styleId="nlmgiven-names">
    <w:name w:val="nlm_given-names"/>
    <w:basedOn w:val="DefaultParagraphFont"/>
    <w:rsid w:val="008F23C4"/>
  </w:style>
  <w:style w:type="character" w:customStyle="1" w:styleId="nlmyear">
    <w:name w:val="nlm_year"/>
    <w:basedOn w:val="DefaultParagraphFont"/>
    <w:rsid w:val="008F23C4"/>
  </w:style>
  <w:style w:type="character" w:customStyle="1" w:styleId="nlmpublisher-loc">
    <w:name w:val="nlm_publisher-loc"/>
    <w:basedOn w:val="DefaultParagraphFont"/>
    <w:rsid w:val="008F23C4"/>
  </w:style>
  <w:style w:type="character" w:customStyle="1" w:styleId="nlmpublisher-name">
    <w:name w:val="nlm_publisher-name"/>
    <w:basedOn w:val="DefaultParagraphFont"/>
    <w:rsid w:val="008F23C4"/>
  </w:style>
  <w:style w:type="character" w:customStyle="1" w:styleId="nlmfpage">
    <w:name w:val="nlm_fpage"/>
    <w:basedOn w:val="DefaultParagraphFont"/>
    <w:rsid w:val="008F23C4"/>
  </w:style>
  <w:style w:type="character" w:customStyle="1" w:styleId="reflink-block">
    <w:name w:val="reflink-block"/>
    <w:basedOn w:val="DefaultParagraphFont"/>
    <w:rsid w:val="008F23C4"/>
  </w:style>
  <w:style w:type="character" w:styleId="PlaceholderText">
    <w:name w:val="Placeholder Text"/>
    <w:uiPriority w:val="99"/>
    <w:semiHidden/>
    <w:rsid w:val="00854719"/>
    <w:rPr>
      <w:color w:val="808080"/>
    </w:rPr>
  </w:style>
  <w:style w:type="paragraph" w:styleId="Subtitle">
    <w:name w:val="Subtitle"/>
    <w:basedOn w:val="Normal"/>
    <w:next w:val="Normal"/>
    <w:link w:val="SubtitleChar"/>
    <w:uiPriority w:val="11"/>
    <w:qFormat/>
    <w:rsid w:val="00E84BBA"/>
    <w:pPr>
      <w:numPr>
        <w:ilvl w:val="1"/>
      </w:numPr>
      <w:spacing w:after="160"/>
      <w:ind w:left="-142"/>
    </w:pPr>
    <w:rPr>
      <w:rFonts w:eastAsia="Times New Roman"/>
      <w:color w:val="5A5A5A"/>
      <w:spacing w:val="15"/>
    </w:rPr>
  </w:style>
  <w:style w:type="character" w:customStyle="1" w:styleId="SubtitleChar">
    <w:name w:val="Subtitle Char"/>
    <w:link w:val="Subtitle"/>
    <w:uiPriority w:val="11"/>
    <w:rsid w:val="00E84BBA"/>
    <w:rPr>
      <w:rFonts w:eastAsia="Times New Roman"/>
      <w:color w:val="5A5A5A"/>
      <w:spacing w:val="15"/>
    </w:rPr>
  </w:style>
  <w:style w:type="table" w:customStyle="1" w:styleId="TableGrid1">
    <w:name w:val="Table Grid1"/>
    <w:basedOn w:val="TableNormal"/>
    <w:next w:val="TableGrid"/>
    <w:uiPriority w:val="39"/>
    <w:rsid w:val="00286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12512">
      <w:bodyDiv w:val="1"/>
      <w:marLeft w:val="0"/>
      <w:marRight w:val="0"/>
      <w:marTop w:val="0"/>
      <w:marBottom w:val="0"/>
      <w:divBdr>
        <w:top w:val="none" w:sz="0" w:space="0" w:color="auto"/>
        <w:left w:val="none" w:sz="0" w:space="0" w:color="auto"/>
        <w:bottom w:val="none" w:sz="0" w:space="0" w:color="auto"/>
        <w:right w:val="none" w:sz="0" w:space="0" w:color="auto"/>
      </w:divBdr>
    </w:div>
    <w:div w:id="252400395">
      <w:bodyDiv w:val="1"/>
      <w:marLeft w:val="0"/>
      <w:marRight w:val="0"/>
      <w:marTop w:val="0"/>
      <w:marBottom w:val="0"/>
      <w:divBdr>
        <w:top w:val="none" w:sz="0" w:space="0" w:color="auto"/>
        <w:left w:val="none" w:sz="0" w:space="0" w:color="auto"/>
        <w:bottom w:val="none" w:sz="0" w:space="0" w:color="auto"/>
        <w:right w:val="none" w:sz="0" w:space="0" w:color="auto"/>
      </w:divBdr>
    </w:div>
    <w:div w:id="463234209">
      <w:bodyDiv w:val="1"/>
      <w:marLeft w:val="0"/>
      <w:marRight w:val="0"/>
      <w:marTop w:val="0"/>
      <w:marBottom w:val="0"/>
      <w:divBdr>
        <w:top w:val="none" w:sz="0" w:space="0" w:color="auto"/>
        <w:left w:val="none" w:sz="0" w:space="0" w:color="auto"/>
        <w:bottom w:val="none" w:sz="0" w:space="0" w:color="auto"/>
        <w:right w:val="none" w:sz="0" w:space="0" w:color="auto"/>
      </w:divBdr>
    </w:div>
    <w:div w:id="575751824">
      <w:bodyDiv w:val="1"/>
      <w:marLeft w:val="0"/>
      <w:marRight w:val="0"/>
      <w:marTop w:val="0"/>
      <w:marBottom w:val="0"/>
      <w:divBdr>
        <w:top w:val="none" w:sz="0" w:space="0" w:color="auto"/>
        <w:left w:val="none" w:sz="0" w:space="0" w:color="auto"/>
        <w:bottom w:val="none" w:sz="0" w:space="0" w:color="auto"/>
        <w:right w:val="none" w:sz="0" w:space="0" w:color="auto"/>
      </w:divBdr>
    </w:div>
    <w:div w:id="768816250">
      <w:bodyDiv w:val="1"/>
      <w:marLeft w:val="0"/>
      <w:marRight w:val="0"/>
      <w:marTop w:val="0"/>
      <w:marBottom w:val="0"/>
      <w:divBdr>
        <w:top w:val="none" w:sz="0" w:space="0" w:color="auto"/>
        <w:left w:val="none" w:sz="0" w:space="0" w:color="auto"/>
        <w:bottom w:val="none" w:sz="0" w:space="0" w:color="auto"/>
        <w:right w:val="none" w:sz="0" w:space="0" w:color="auto"/>
      </w:divBdr>
    </w:div>
    <w:div w:id="848712408">
      <w:bodyDiv w:val="1"/>
      <w:marLeft w:val="0"/>
      <w:marRight w:val="0"/>
      <w:marTop w:val="0"/>
      <w:marBottom w:val="0"/>
      <w:divBdr>
        <w:top w:val="none" w:sz="0" w:space="0" w:color="auto"/>
        <w:left w:val="none" w:sz="0" w:space="0" w:color="auto"/>
        <w:bottom w:val="none" w:sz="0" w:space="0" w:color="auto"/>
        <w:right w:val="none" w:sz="0" w:space="0" w:color="auto"/>
      </w:divBdr>
    </w:div>
    <w:div w:id="1126658727">
      <w:bodyDiv w:val="1"/>
      <w:marLeft w:val="0"/>
      <w:marRight w:val="0"/>
      <w:marTop w:val="0"/>
      <w:marBottom w:val="0"/>
      <w:divBdr>
        <w:top w:val="none" w:sz="0" w:space="0" w:color="auto"/>
        <w:left w:val="none" w:sz="0" w:space="0" w:color="auto"/>
        <w:bottom w:val="none" w:sz="0" w:space="0" w:color="auto"/>
        <w:right w:val="none" w:sz="0" w:space="0" w:color="auto"/>
      </w:divBdr>
    </w:div>
    <w:div w:id="1128164566">
      <w:bodyDiv w:val="1"/>
      <w:marLeft w:val="0"/>
      <w:marRight w:val="0"/>
      <w:marTop w:val="0"/>
      <w:marBottom w:val="0"/>
      <w:divBdr>
        <w:top w:val="none" w:sz="0" w:space="0" w:color="auto"/>
        <w:left w:val="none" w:sz="0" w:space="0" w:color="auto"/>
        <w:bottom w:val="none" w:sz="0" w:space="0" w:color="auto"/>
        <w:right w:val="none" w:sz="0" w:space="0" w:color="auto"/>
      </w:divBdr>
    </w:div>
    <w:div w:id="1177774187">
      <w:bodyDiv w:val="1"/>
      <w:marLeft w:val="0"/>
      <w:marRight w:val="0"/>
      <w:marTop w:val="0"/>
      <w:marBottom w:val="0"/>
      <w:divBdr>
        <w:top w:val="none" w:sz="0" w:space="0" w:color="auto"/>
        <w:left w:val="none" w:sz="0" w:space="0" w:color="auto"/>
        <w:bottom w:val="none" w:sz="0" w:space="0" w:color="auto"/>
        <w:right w:val="none" w:sz="0" w:space="0" w:color="auto"/>
      </w:divBdr>
    </w:div>
    <w:div w:id="1231572662">
      <w:bodyDiv w:val="1"/>
      <w:marLeft w:val="0"/>
      <w:marRight w:val="0"/>
      <w:marTop w:val="0"/>
      <w:marBottom w:val="0"/>
      <w:divBdr>
        <w:top w:val="none" w:sz="0" w:space="0" w:color="auto"/>
        <w:left w:val="none" w:sz="0" w:space="0" w:color="auto"/>
        <w:bottom w:val="none" w:sz="0" w:space="0" w:color="auto"/>
        <w:right w:val="none" w:sz="0" w:space="0" w:color="auto"/>
      </w:divBdr>
    </w:div>
    <w:div w:id="1271858995">
      <w:bodyDiv w:val="1"/>
      <w:marLeft w:val="0"/>
      <w:marRight w:val="0"/>
      <w:marTop w:val="0"/>
      <w:marBottom w:val="0"/>
      <w:divBdr>
        <w:top w:val="none" w:sz="0" w:space="0" w:color="auto"/>
        <w:left w:val="none" w:sz="0" w:space="0" w:color="auto"/>
        <w:bottom w:val="none" w:sz="0" w:space="0" w:color="auto"/>
        <w:right w:val="none" w:sz="0" w:space="0" w:color="auto"/>
      </w:divBdr>
    </w:div>
    <w:div w:id="1498811039">
      <w:bodyDiv w:val="1"/>
      <w:marLeft w:val="0"/>
      <w:marRight w:val="0"/>
      <w:marTop w:val="0"/>
      <w:marBottom w:val="0"/>
      <w:divBdr>
        <w:top w:val="none" w:sz="0" w:space="0" w:color="auto"/>
        <w:left w:val="none" w:sz="0" w:space="0" w:color="auto"/>
        <w:bottom w:val="none" w:sz="0" w:space="0" w:color="auto"/>
        <w:right w:val="none" w:sz="0" w:space="0" w:color="auto"/>
      </w:divBdr>
    </w:div>
    <w:div w:id="1616214354">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42292111">
      <w:bodyDiv w:val="1"/>
      <w:marLeft w:val="0"/>
      <w:marRight w:val="0"/>
      <w:marTop w:val="0"/>
      <w:marBottom w:val="0"/>
      <w:divBdr>
        <w:top w:val="none" w:sz="0" w:space="0" w:color="auto"/>
        <w:left w:val="none" w:sz="0" w:space="0" w:color="auto"/>
        <w:bottom w:val="none" w:sz="0" w:space="0" w:color="auto"/>
        <w:right w:val="none" w:sz="0" w:space="0" w:color="auto"/>
      </w:divBdr>
    </w:div>
    <w:div w:id="1785882910">
      <w:bodyDiv w:val="1"/>
      <w:marLeft w:val="0"/>
      <w:marRight w:val="0"/>
      <w:marTop w:val="0"/>
      <w:marBottom w:val="0"/>
      <w:divBdr>
        <w:top w:val="none" w:sz="0" w:space="0" w:color="auto"/>
        <w:left w:val="none" w:sz="0" w:space="0" w:color="auto"/>
        <w:bottom w:val="none" w:sz="0" w:space="0" w:color="auto"/>
        <w:right w:val="none" w:sz="0" w:space="0" w:color="auto"/>
      </w:divBdr>
    </w:div>
    <w:div w:id="1877767760">
      <w:bodyDiv w:val="1"/>
      <w:marLeft w:val="0"/>
      <w:marRight w:val="0"/>
      <w:marTop w:val="0"/>
      <w:marBottom w:val="0"/>
      <w:divBdr>
        <w:top w:val="none" w:sz="0" w:space="0" w:color="auto"/>
        <w:left w:val="none" w:sz="0" w:space="0" w:color="auto"/>
        <w:bottom w:val="none" w:sz="0" w:space="0" w:color="auto"/>
        <w:right w:val="none" w:sz="0" w:space="0" w:color="auto"/>
      </w:divBdr>
    </w:div>
    <w:div w:id="1880630044">
      <w:bodyDiv w:val="1"/>
      <w:marLeft w:val="0"/>
      <w:marRight w:val="0"/>
      <w:marTop w:val="0"/>
      <w:marBottom w:val="0"/>
      <w:divBdr>
        <w:top w:val="none" w:sz="0" w:space="0" w:color="auto"/>
        <w:left w:val="none" w:sz="0" w:space="0" w:color="auto"/>
        <w:bottom w:val="none" w:sz="0" w:space="0" w:color="auto"/>
        <w:right w:val="none" w:sz="0" w:space="0" w:color="auto"/>
      </w:divBdr>
    </w:div>
    <w:div w:id="1885021699">
      <w:bodyDiv w:val="1"/>
      <w:marLeft w:val="0"/>
      <w:marRight w:val="0"/>
      <w:marTop w:val="0"/>
      <w:marBottom w:val="0"/>
      <w:divBdr>
        <w:top w:val="none" w:sz="0" w:space="0" w:color="auto"/>
        <w:left w:val="none" w:sz="0" w:space="0" w:color="auto"/>
        <w:bottom w:val="none" w:sz="0" w:space="0" w:color="auto"/>
        <w:right w:val="none" w:sz="0" w:space="0" w:color="auto"/>
      </w:divBdr>
    </w:div>
    <w:div w:id="1913076179">
      <w:bodyDiv w:val="1"/>
      <w:marLeft w:val="0"/>
      <w:marRight w:val="0"/>
      <w:marTop w:val="0"/>
      <w:marBottom w:val="0"/>
      <w:divBdr>
        <w:top w:val="none" w:sz="0" w:space="0" w:color="auto"/>
        <w:left w:val="none" w:sz="0" w:space="0" w:color="auto"/>
        <w:bottom w:val="none" w:sz="0" w:space="0" w:color="auto"/>
        <w:right w:val="none" w:sz="0" w:space="0" w:color="auto"/>
      </w:divBdr>
    </w:div>
    <w:div w:id="205638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44.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5.bin"/><Relationship Id="rId68" Type="http://schemas.openxmlformats.org/officeDocument/2006/relationships/image" Target="media/image28.wmf"/><Relationship Id="rId84" Type="http://schemas.openxmlformats.org/officeDocument/2006/relationships/image" Target="media/image36.wmf"/><Relationship Id="rId89" Type="http://schemas.openxmlformats.org/officeDocument/2006/relationships/oleObject" Target="embeddings/oleObject38.bin"/><Relationship Id="rId112" Type="http://schemas.openxmlformats.org/officeDocument/2006/relationships/hyperlink" Target="https://ourworldindata.org/grapher/coal-prices" TargetMode="External"/><Relationship Id="rId133" Type="http://schemas.openxmlformats.org/officeDocument/2006/relationships/image" Target="media/image52.wmf"/><Relationship Id="rId138" Type="http://schemas.openxmlformats.org/officeDocument/2006/relationships/oleObject" Target="embeddings/oleObject55.bin"/><Relationship Id="rId154" Type="http://schemas.openxmlformats.org/officeDocument/2006/relationships/oleObject" Target="embeddings/oleObject63.bin"/><Relationship Id="rId159" Type="http://schemas.openxmlformats.org/officeDocument/2006/relationships/image" Target="media/image65.wmf"/><Relationship Id="rId16" Type="http://schemas.openxmlformats.org/officeDocument/2006/relationships/image" Target="media/image5.wmf"/><Relationship Id="rId107" Type="http://schemas.openxmlformats.org/officeDocument/2006/relationships/header" Target="header6.xml"/><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footer" Target="footer3.xml"/><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33.bin"/><Relationship Id="rId102" Type="http://schemas.openxmlformats.org/officeDocument/2006/relationships/hyperlink" Target="https://stats.oecd.org/" TargetMode="External"/><Relationship Id="rId123" Type="http://schemas.openxmlformats.org/officeDocument/2006/relationships/oleObject" Target="embeddings/oleObject47.bin"/><Relationship Id="rId128" Type="http://schemas.openxmlformats.org/officeDocument/2006/relationships/image" Target="media/image50.wmf"/><Relationship Id="rId144" Type="http://schemas.openxmlformats.org/officeDocument/2006/relationships/oleObject" Target="embeddings/oleObject58.bin"/><Relationship Id="rId149" Type="http://schemas.openxmlformats.org/officeDocument/2006/relationships/image" Target="media/image60.wmf"/><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oleObject" Target="embeddings/oleObject41.bin"/><Relationship Id="rId160" Type="http://schemas.openxmlformats.org/officeDocument/2006/relationships/oleObject" Target="embeddings/oleObject66.bin"/><Relationship Id="rId165" Type="http://schemas.openxmlformats.org/officeDocument/2006/relationships/image" Target="media/image68.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header" Target="header1.xml"/><Relationship Id="rId64" Type="http://schemas.openxmlformats.org/officeDocument/2006/relationships/image" Target="media/image26.wmf"/><Relationship Id="rId69" Type="http://schemas.openxmlformats.org/officeDocument/2006/relationships/oleObject" Target="embeddings/oleObject28.bin"/><Relationship Id="rId113" Type="http://schemas.openxmlformats.org/officeDocument/2006/relationships/hyperlink" Target="https://data.imf.org/?sk=7a51304b-6426-40c0-83dd-ca473ca1fd52&amp;sid=1542633711584" TargetMode="External"/><Relationship Id="rId118" Type="http://schemas.openxmlformats.org/officeDocument/2006/relationships/image" Target="media/image45.wmf"/><Relationship Id="rId134" Type="http://schemas.openxmlformats.org/officeDocument/2006/relationships/oleObject" Target="embeddings/oleObject53.bin"/><Relationship Id="rId139" Type="http://schemas.openxmlformats.org/officeDocument/2006/relationships/image" Target="media/image55.wmf"/><Relationship Id="rId80" Type="http://schemas.openxmlformats.org/officeDocument/2006/relationships/image" Target="media/image34.wmf"/><Relationship Id="rId85" Type="http://schemas.openxmlformats.org/officeDocument/2006/relationships/oleObject" Target="embeddings/oleObject36.bin"/><Relationship Id="rId150" Type="http://schemas.openxmlformats.org/officeDocument/2006/relationships/oleObject" Target="embeddings/oleObject61.bin"/><Relationship Id="rId155" Type="http://schemas.openxmlformats.org/officeDocument/2006/relationships/image" Target="media/image63.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3.bin"/><Relationship Id="rId103" Type="http://schemas.openxmlformats.org/officeDocument/2006/relationships/header" Target="header4.xml"/><Relationship Id="rId108" Type="http://schemas.openxmlformats.org/officeDocument/2006/relationships/footer" Target="footer6.xml"/><Relationship Id="rId124" Type="http://schemas.openxmlformats.org/officeDocument/2006/relationships/image" Target="media/image48.wmf"/><Relationship Id="rId129" Type="http://schemas.openxmlformats.org/officeDocument/2006/relationships/oleObject" Target="embeddings/oleObject50.bin"/><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2.wmf"/><Relationship Id="rId140" Type="http://schemas.openxmlformats.org/officeDocument/2006/relationships/oleObject" Target="embeddings/oleObject56.bin"/><Relationship Id="rId145" Type="http://schemas.openxmlformats.org/officeDocument/2006/relationships/image" Target="media/image58.wmf"/><Relationship Id="rId161" Type="http://schemas.openxmlformats.org/officeDocument/2006/relationships/image" Target="media/image66.wmf"/><Relationship Id="rId166" Type="http://schemas.openxmlformats.org/officeDocument/2006/relationships/oleObject" Target="embeddings/oleObject69.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header" Target="header2.xml"/><Relationship Id="rId57" Type="http://schemas.openxmlformats.org/officeDocument/2006/relationships/oleObject" Target="embeddings/oleObject22.bin"/><Relationship Id="rId106" Type="http://schemas.openxmlformats.org/officeDocument/2006/relationships/footer" Target="footer5.xml"/><Relationship Id="rId114" Type="http://schemas.openxmlformats.org/officeDocument/2006/relationships/image" Target="media/image43.wmf"/><Relationship Id="rId119" Type="http://schemas.openxmlformats.org/officeDocument/2006/relationships/oleObject" Target="embeddings/oleObject45.bin"/><Relationship Id="rId127" Type="http://schemas.openxmlformats.org/officeDocument/2006/relationships/oleObject" Target="embeddings/oleObject49.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header" Target="header3.xml"/><Relationship Id="rId60" Type="http://schemas.openxmlformats.org/officeDocument/2006/relationships/image" Target="media/image24.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3.wmf"/><Relationship Id="rId81" Type="http://schemas.openxmlformats.org/officeDocument/2006/relationships/oleObject" Target="embeddings/oleObject34.bin"/><Relationship Id="rId86" Type="http://schemas.openxmlformats.org/officeDocument/2006/relationships/image" Target="media/image37.wmf"/><Relationship Id="rId94" Type="http://schemas.openxmlformats.org/officeDocument/2006/relationships/image" Target="media/image41.wmf"/><Relationship Id="rId99" Type="http://schemas.openxmlformats.org/officeDocument/2006/relationships/hyperlink" Target="https://www.copsmodels.com/ftp/workpapr/g-340.pdf" TargetMode="External"/><Relationship Id="rId101" Type="http://schemas.openxmlformats.org/officeDocument/2006/relationships/hyperlink" Target="https://stats.oecd.org/" TargetMode="External"/><Relationship Id="rId122" Type="http://schemas.openxmlformats.org/officeDocument/2006/relationships/image" Target="media/image47.wmf"/><Relationship Id="rId130" Type="http://schemas.openxmlformats.org/officeDocument/2006/relationships/image" Target="media/image51.wmf"/><Relationship Id="rId135" Type="http://schemas.openxmlformats.org/officeDocument/2006/relationships/image" Target="media/image53.wmf"/><Relationship Id="rId143" Type="http://schemas.openxmlformats.org/officeDocument/2006/relationships/image" Target="media/image57.wmf"/><Relationship Id="rId148" Type="http://schemas.openxmlformats.org/officeDocument/2006/relationships/oleObject" Target="embeddings/oleObject60.bin"/><Relationship Id="rId151" Type="http://schemas.openxmlformats.org/officeDocument/2006/relationships/image" Target="media/image61.wmf"/><Relationship Id="rId156" Type="http://schemas.openxmlformats.org/officeDocument/2006/relationships/oleObject" Target="embeddings/oleObject64.bin"/><Relationship Id="rId164" Type="http://schemas.openxmlformats.org/officeDocument/2006/relationships/oleObject" Target="embeddings/oleObject68.bin"/><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hyperlink" Target="https://www.iea.org/data-and-statistics/data-product/world-energy-outlook-2022-free-dataset" TargetMode="External"/><Relationship Id="rId34" Type="http://schemas.openxmlformats.org/officeDocument/2006/relationships/image" Target="media/image14.wmf"/><Relationship Id="rId50" Type="http://schemas.openxmlformats.org/officeDocument/2006/relationships/footer" Target="footer1.xml"/><Relationship Id="rId55" Type="http://schemas.openxmlformats.org/officeDocument/2006/relationships/oleObject" Target="embeddings/oleObject21.bin"/><Relationship Id="rId76" Type="http://schemas.openxmlformats.org/officeDocument/2006/relationships/image" Target="media/image32.wmf"/><Relationship Id="rId97" Type="http://schemas.openxmlformats.org/officeDocument/2006/relationships/oleObject" Target="embeddings/oleObject42.bin"/><Relationship Id="rId104" Type="http://schemas.openxmlformats.org/officeDocument/2006/relationships/header" Target="header5.xml"/><Relationship Id="rId120" Type="http://schemas.openxmlformats.org/officeDocument/2006/relationships/image" Target="media/image46.wmf"/><Relationship Id="rId125" Type="http://schemas.openxmlformats.org/officeDocument/2006/relationships/oleObject" Target="embeddings/oleObject48.bin"/><Relationship Id="rId141" Type="http://schemas.openxmlformats.org/officeDocument/2006/relationships/image" Target="media/image56.wmf"/><Relationship Id="rId146" Type="http://schemas.openxmlformats.org/officeDocument/2006/relationships/oleObject" Target="embeddings/oleObject59.bin"/><Relationship Id="rId167" Type="http://schemas.openxmlformats.org/officeDocument/2006/relationships/hyperlink" Target="https://www.gtap.agecon.purdue.edu/databases/contribute/detailedsector57.asp" TargetMode="External"/><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0.wmf"/><Relationship Id="rId162" Type="http://schemas.openxmlformats.org/officeDocument/2006/relationships/oleObject" Target="embeddings/oleObject67.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27.wmf"/><Relationship Id="rId87" Type="http://schemas.openxmlformats.org/officeDocument/2006/relationships/oleObject" Target="embeddings/oleObject37.bin"/><Relationship Id="rId110" Type="http://schemas.openxmlformats.org/officeDocument/2006/relationships/hyperlink" Target="https://tradingeconomics.com/commodity/coal" TargetMode="External"/><Relationship Id="rId115" Type="http://schemas.openxmlformats.org/officeDocument/2006/relationships/oleObject" Target="embeddings/oleObject43.bin"/><Relationship Id="rId131" Type="http://schemas.openxmlformats.org/officeDocument/2006/relationships/oleObject" Target="embeddings/oleObject51.bin"/><Relationship Id="rId136" Type="http://schemas.openxmlformats.org/officeDocument/2006/relationships/oleObject" Target="embeddings/oleObject54.bin"/><Relationship Id="rId157" Type="http://schemas.openxmlformats.org/officeDocument/2006/relationships/image" Target="media/image64.wmf"/><Relationship Id="rId61" Type="http://schemas.openxmlformats.org/officeDocument/2006/relationships/oleObject" Target="embeddings/oleObject24.bin"/><Relationship Id="rId82" Type="http://schemas.openxmlformats.org/officeDocument/2006/relationships/image" Target="media/image35.wmf"/><Relationship Id="rId152" Type="http://schemas.openxmlformats.org/officeDocument/2006/relationships/oleObject" Target="embeddings/oleObject62.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2.wmf"/><Relationship Id="rId77" Type="http://schemas.openxmlformats.org/officeDocument/2006/relationships/oleObject" Target="embeddings/oleObject32.bin"/><Relationship Id="rId100" Type="http://schemas.openxmlformats.org/officeDocument/2006/relationships/hyperlink" Target="https://www.rug.nl/ggdc/productivity/pwt/?lang=en" TargetMode="External"/><Relationship Id="rId105" Type="http://schemas.openxmlformats.org/officeDocument/2006/relationships/footer" Target="footer4.xml"/><Relationship Id="rId126" Type="http://schemas.openxmlformats.org/officeDocument/2006/relationships/image" Target="media/image49.wmf"/><Relationship Id="rId147" Type="http://schemas.openxmlformats.org/officeDocument/2006/relationships/image" Target="media/image59.wmf"/><Relationship Id="rId168"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footer" Target="footer2.xml"/><Relationship Id="rId72" Type="http://schemas.openxmlformats.org/officeDocument/2006/relationships/image" Target="media/image30.wmf"/><Relationship Id="rId93" Type="http://schemas.openxmlformats.org/officeDocument/2006/relationships/oleObject" Target="embeddings/oleObject40.bin"/><Relationship Id="rId98" Type="http://schemas.openxmlformats.org/officeDocument/2006/relationships/hyperlink" Target="https://www.bankofcanada.ca/wp-content/uploads/2017/06/fsr-june17-bruneau.pdf" TargetMode="External"/><Relationship Id="rId121" Type="http://schemas.openxmlformats.org/officeDocument/2006/relationships/oleObject" Target="embeddings/oleObject46.bin"/><Relationship Id="rId142" Type="http://schemas.openxmlformats.org/officeDocument/2006/relationships/oleObject" Target="embeddings/oleObject57.bin"/><Relationship Id="rId163" Type="http://schemas.openxmlformats.org/officeDocument/2006/relationships/image" Target="media/image67.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27.bin"/><Relationship Id="rId116" Type="http://schemas.openxmlformats.org/officeDocument/2006/relationships/image" Target="media/image44.wmf"/><Relationship Id="rId137" Type="http://schemas.openxmlformats.org/officeDocument/2006/relationships/image" Target="media/image54.wmf"/><Relationship Id="rId158"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5.wmf"/><Relationship Id="rId83" Type="http://schemas.openxmlformats.org/officeDocument/2006/relationships/oleObject" Target="embeddings/oleObject35.bin"/><Relationship Id="rId88" Type="http://schemas.openxmlformats.org/officeDocument/2006/relationships/image" Target="media/image38.wmf"/><Relationship Id="rId111" Type="http://schemas.openxmlformats.org/officeDocument/2006/relationships/hyperlink" Target="https://www.indexmundi.com/commodities/?commodity=coal-australian&amp;months=240" TargetMode="External"/><Relationship Id="rId132" Type="http://schemas.openxmlformats.org/officeDocument/2006/relationships/oleObject" Target="embeddings/oleObject52.bin"/><Relationship Id="rId153" Type="http://schemas.openxmlformats.org/officeDocument/2006/relationships/image" Target="media/image6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4E578-E3FE-46BB-B53E-BBAD728D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34566</Words>
  <Characters>197029</Characters>
  <Application>Microsoft Office Word</Application>
  <DocSecurity>0</DocSecurity>
  <Lines>1641</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Dixon</dc:creator>
  <cp:keywords/>
  <dc:description/>
  <cp:lastModifiedBy>Peter Dixon</cp:lastModifiedBy>
  <cp:revision>2</cp:revision>
  <cp:lastPrinted>2023-11-14T04:41:00Z</cp:lastPrinted>
  <dcterms:created xsi:type="dcterms:W3CDTF">2024-04-14T21:33:00Z</dcterms:created>
  <dcterms:modified xsi:type="dcterms:W3CDTF">2024-04-14T21:33:00Z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2023-07-03T02:31:50Z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8465e928-8e89-4299-a6ee-5ddee5d1bd07</vt:lpwstr>
  </property>
  <property fmtid="{D5CDD505-2E9C-101B-9397-08002B2CF9AE}" pid="8" name="MSIP_Label_d7dc88d9-fa17-47eb-a208-3e66f59d50e5_ContentBits">
    <vt:lpwstr>0</vt:lpwstr>
  </property>
  <property fmtid="{D5CDD505-2E9C-101B-9397-08002B2CF9AE}" pid="9" name="MTWinEqns">
    <vt:bool>true</vt:bool>
  </property>
</Properties>
</file>