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CF46B5" w14:textId="1483E746" w:rsidR="0011629D" w:rsidRPr="00FF417E" w:rsidRDefault="003005F0" w:rsidP="00FF417E">
      <w:pPr>
        <w:rPr>
          <w:rFonts w:asciiTheme="majorHAnsi" w:hAnsiTheme="majorHAnsi"/>
          <w:b/>
          <w:bCs/>
          <w:sz w:val="24"/>
          <w:szCs w:val="24"/>
        </w:rPr>
      </w:pPr>
      <w:r w:rsidRPr="00FF417E">
        <w:rPr>
          <w:rFonts w:asciiTheme="majorHAnsi" w:hAnsiTheme="majorHAnsi"/>
          <w:b/>
          <w:bCs/>
          <w:sz w:val="24"/>
          <w:szCs w:val="24"/>
        </w:rPr>
        <w:t xml:space="preserve">Title: </w:t>
      </w:r>
      <w:r w:rsidR="00AB5D1C" w:rsidRPr="00FF417E">
        <w:rPr>
          <w:rFonts w:asciiTheme="majorHAnsi" w:hAnsiTheme="majorHAnsi"/>
          <w:b/>
          <w:bCs/>
          <w:sz w:val="24"/>
          <w:szCs w:val="24"/>
        </w:rPr>
        <w:t>Non-tariff measures</w:t>
      </w:r>
      <w:r w:rsidR="001E3A03" w:rsidRPr="00FF417E">
        <w:rPr>
          <w:rFonts w:asciiTheme="majorHAnsi" w:hAnsiTheme="majorHAnsi"/>
          <w:b/>
          <w:bCs/>
          <w:sz w:val="24"/>
          <w:szCs w:val="24"/>
        </w:rPr>
        <w:t xml:space="preserve"> at the border, a GTAP level analysis</w:t>
      </w:r>
    </w:p>
    <w:p w14:paraId="6586F7F9" w14:textId="1B6F1AD4" w:rsidR="001E3A03" w:rsidRDefault="001E3A03" w:rsidP="00FF417E">
      <w:pPr>
        <w:rPr>
          <w:rFonts w:asciiTheme="majorHAnsi" w:hAnsiTheme="majorHAnsi"/>
          <w:b/>
          <w:bCs/>
          <w:sz w:val="24"/>
          <w:szCs w:val="24"/>
        </w:rPr>
      </w:pPr>
      <w:r w:rsidRPr="00FF417E">
        <w:rPr>
          <w:rFonts w:asciiTheme="majorHAnsi" w:hAnsiTheme="majorHAnsi"/>
          <w:b/>
          <w:bCs/>
          <w:sz w:val="24"/>
          <w:szCs w:val="24"/>
        </w:rPr>
        <w:t xml:space="preserve">Erwin Corong, </w:t>
      </w:r>
      <w:r w:rsidR="00AB5D1C" w:rsidRPr="00FF417E">
        <w:rPr>
          <w:rFonts w:asciiTheme="majorHAnsi" w:hAnsiTheme="majorHAnsi"/>
          <w:b/>
          <w:bCs/>
          <w:sz w:val="24"/>
          <w:szCs w:val="24"/>
        </w:rPr>
        <w:t xml:space="preserve">Ksenia Koloskova, </w:t>
      </w:r>
      <w:r w:rsidRPr="00FF417E">
        <w:rPr>
          <w:rFonts w:asciiTheme="majorHAnsi" w:hAnsiTheme="majorHAnsi"/>
          <w:b/>
          <w:bCs/>
          <w:sz w:val="24"/>
          <w:szCs w:val="24"/>
        </w:rPr>
        <w:t>Alessandro Nicita</w:t>
      </w:r>
      <w:r w:rsidR="00AB5D1C" w:rsidRPr="00FF417E">
        <w:rPr>
          <w:rFonts w:asciiTheme="majorHAnsi" w:hAnsiTheme="majorHAnsi"/>
          <w:b/>
          <w:bCs/>
          <w:sz w:val="24"/>
          <w:szCs w:val="24"/>
        </w:rPr>
        <w:t>.</w:t>
      </w:r>
    </w:p>
    <w:p w14:paraId="0EFD5497" w14:textId="4EBA818F" w:rsidR="00FF417E" w:rsidRDefault="00FF417E" w:rsidP="00FF417E">
      <w:pPr>
        <w:rPr>
          <w:rFonts w:asciiTheme="majorHAnsi" w:hAnsiTheme="majorHAnsi"/>
          <w:b/>
          <w:bCs/>
          <w:sz w:val="24"/>
          <w:szCs w:val="24"/>
        </w:rPr>
      </w:pPr>
      <w:r>
        <w:rPr>
          <w:rFonts w:asciiTheme="majorHAnsi" w:hAnsiTheme="majorHAnsi"/>
          <w:b/>
          <w:bCs/>
          <w:sz w:val="24"/>
          <w:szCs w:val="24"/>
        </w:rPr>
        <w:t>Abstract:</w:t>
      </w:r>
    </w:p>
    <w:p w14:paraId="4B7E4BE8" w14:textId="1CD75727" w:rsidR="0097077C" w:rsidRPr="00C67F47" w:rsidRDefault="0097077C" w:rsidP="0097077C">
      <w:pPr>
        <w:pStyle w:val="xmsonormal"/>
        <w:spacing w:after="200"/>
        <w:rPr>
          <w:rFonts w:asciiTheme="majorHAnsi" w:hAnsiTheme="majorHAnsi"/>
        </w:rPr>
      </w:pPr>
      <w:r w:rsidRPr="00C67F47">
        <w:rPr>
          <w:rFonts w:asciiTheme="majorHAnsi" w:hAnsiTheme="majorHAnsi"/>
          <w:color w:val="000000"/>
        </w:rPr>
        <w:t xml:space="preserve">Non-tariff measures, in the form of border procedures and customs' administrative requirements, can significantly increase trade costs. This study employs the GTAP model to analyze the impact of these non-tariff measures on trade and other economic indicators. The analysis makes use of ad-valorem equivalents of costs associated with compliance to border non-tariff measures, as provided in economic literature (Kee and Nicita, 2022), and assesses the general equilibrium effects of reducing these costs. The results of the paper </w:t>
      </w:r>
      <w:r w:rsidRPr="00C67F47">
        <w:rPr>
          <w:rFonts w:asciiTheme="majorHAnsi" w:hAnsiTheme="majorHAnsi"/>
          <w:color w:val="000000"/>
        </w:rPr>
        <w:t>inform</w:t>
      </w:r>
      <w:r w:rsidRPr="00C67F47">
        <w:rPr>
          <w:rFonts w:asciiTheme="majorHAnsi" w:hAnsiTheme="majorHAnsi"/>
          <w:color w:val="000000"/>
        </w:rPr>
        <w:t xml:space="preserve"> about the magnitude and effects of costs associated with border non-tariff measures across countries and sectors. </w:t>
      </w:r>
      <w:r w:rsidR="00656F4A" w:rsidRPr="00C67F47">
        <w:rPr>
          <w:rFonts w:asciiTheme="majorHAnsi" w:hAnsiTheme="majorHAnsi"/>
          <w:color w:val="000000"/>
        </w:rPr>
        <w:t>While</w:t>
      </w:r>
      <w:r w:rsidRPr="00C67F47">
        <w:rPr>
          <w:rFonts w:asciiTheme="majorHAnsi" w:hAnsiTheme="majorHAnsi"/>
          <w:color w:val="000000"/>
        </w:rPr>
        <w:t xml:space="preserve"> producing sectoral estimates for global trade, the paper will also delve into specific trade agreements </w:t>
      </w:r>
      <w:r w:rsidRPr="00C67F47">
        <w:rPr>
          <w:rFonts w:asciiTheme="majorHAnsi" w:hAnsiTheme="majorHAnsi"/>
          <w:color w:val="000000"/>
        </w:rPr>
        <w:t>(</w:t>
      </w:r>
      <w:r w:rsidRPr="00C67F47">
        <w:rPr>
          <w:rFonts w:asciiTheme="majorHAnsi" w:hAnsiTheme="majorHAnsi"/>
          <w:color w:val="000000"/>
        </w:rPr>
        <w:t>RCEP</w:t>
      </w:r>
      <w:r w:rsidRPr="00C67F47">
        <w:rPr>
          <w:rFonts w:asciiTheme="majorHAnsi" w:hAnsiTheme="majorHAnsi"/>
          <w:color w:val="000000"/>
        </w:rPr>
        <w:t>,</w:t>
      </w:r>
      <w:r w:rsidRPr="00C67F47">
        <w:rPr>
          <w:rFonts w:asciiTheme="majorHAnsi" w:hAnsiTheme="majorHAnsi"/>
          <w:color w:val="000000"/>
        </w:rPr>
        <w:t xml:space="preserve"> </w:t>
      </w:r>
      <w:proofErr w:type="spellStart"/>
      <w:r w:rsidRPr="00C67F47">
        <w:rPr>
          <w:rFonts w:asciiTheme="majorHAnsi" w:hAnsiTheme="majorHAnsi"/>
          <w:color w:val="000000"/>
        </w:rPr>
        <w:t>AfCFTA</w:t>
      </w:r>
      <w:proofErr w:type="spellEnd"/>
      <w:r w:rsidRPr="00C67F47">
        <w:rPr>
          <w:rFonts w:asciiTheme="majorHAnsi" w:hAnsiTheme="majorHAnsi"/>
          <w:color w:val="000000"/>
        </w:rPr>
        <w:t>, LATMA</w:t>
      </w:r>
      <w:r w:rsidR="00A80C3F" w:rsidRPr="00C67F47">
        <w:rPr>
          <w:rFonts w:asciiTheme="majorHAnsi" w:hAnsiTheme="majorHAnsi"/>
          <w:color w:val="000000"/>
        </w:rPr>
        <w:t>[?]</w:t>
      </w:r>
      <w:r w:rsidRPr="00C67F47">
        <w:rPr>
          <w:rFonts w:asciiTheme="majorHAnsi" w:hAnsiTheme="majorHAnsi"/>
          <w:color w:val="000000"/>
        </w:rPr>
        <w:t xml:space="preserve">) to inform targeted policy interventions </w:t>
      </w:r>
      <w:r w:rsidRPr="00C67F47">
        <w:rPr>
          <w:rFonts w:asciiTheme="majorHAnsi" w:hAnsiTheme="majorHAnsi"/>
        </w:rPr>
        <w:t xml:space="preserve">and enhance trade facilitation programs. As a further contribution, this paper </w:t>
      </w:r>
      <w:r w:rsidR="00CA6A1A" w:rsidRPr="00C67F47">
        <w:rPr>
          <w:rFonts w:asciiTheme="majorHAnsi" w:hAnsiTheme="majorHAnsi"/>
        </w:rPr>
        <w:t xml:space="preserve">provides some insights on the </w:t>
      </w:r>
      <w:r w:rsidRPr="00C67F47">
        <w:rPr>
          <w:rFonts w:asciiTheme="majorHAnsi" w:hAnsiTheme="majorHAnsi"/>
        </w:rPr>
        <w:t>use</w:t>
      </w:r>
      <w:r w:rsidR="00CA6A1A" w:rsidRPr="00C67F47">
        <w:rPr>
          <w:rFonts w:asciiTheme="majorHAnsi" w:hAnsiTheme="majorHAnsi"/>
        </w:rPr>
        <w:t xml:space="preserve"> of</w:t>
      </w:r>
      <w:r w:rsidRPr="00C67F47">
        <w:rPr>
          <w:rFonts w:asciiTheme="majorHAnsi" w:hAnsiTheme="majorHAnsi"/>
        </w:rPr>
        <w:t xml:space="preserve"> </w:t>
      </w:r>
      <w:r w:rsidR="00CA6A1A" w:rsidRPr="00C67F47">
        <w:rPr>
          <w:rFonts w:asciiTheme="majorHAnsi" w:hAnsiTheme="majorHAnsi"/>
        </w:rPr>
        <w:t xml:space="preserve">the </w:t>
      </w:r>
      <w:r w:rsidRPr="00C67F47">
        <w:rPr>
          <w:rFonts w:asciiTheme="majorHAnsi" w:hAnsiTheme="majorHAnsi"/>
        </w:rPr>
        <w:t xml:space="preserve">new GTAP 11 Satellite Data Base database on ad-valorem equivalents of border non-tariff measures </w:t>
      </w:r>
      <w:r w:rsidR="00CA6A1A" w:rsidRPr="00C67F47">
        <w:rPr>
          <w:rFonts w:asciiTheme="majorHAnsi" w:hAnsiTheme="majorHAnsi"/>
        </w:rPr>
        <w:t>in</w:t>
      </w:r>
      <w:r w:rsidRPr="00C67F47">
        <w:rPr>
          <w:rFonts w:asciiTheme="majorHAnsi" w:hAnsiTheme="majorHAnsi"/>
        </w:rPr>
        <w:t xml:space="preserve"> the GTAP model. </w:t>
      </w:r>
    </w:p>
    <w:p w14:paraId="5002D1F7" w14:textId="77777777" w:rsidR="00FF417E" w:rsidRPr="00FF417E" w:rsidRDefault="00FF417E" w:rsidP="00FF417E">
      <w:pPr>
        <w:rPr>
          <w:rFonts w:asciiTheme="majorHAnsi" w:hAnsiTheme="majorHAnsi"/>
          <w:b/>
          <w:bCs/>
          <w:sz w:val="24"/>
          <w:szCs w:val="24"/>
        </w:rPr>
      </w:pPr>
    </w:p>
    <w:p w14:paraId="3805D85F" w14:textId="40DBF837" w:rsidR="00FB691B" w:rsidRPr="00FF417E" w:rsidRDefault="005E68B2" w:rsidP="00FF417E">
      <w:pPr>
        <w:rPr>
          <w:rFonts w:asciiTheme="majorHAnsi" w:hAnsiTheme="majorHAnsi"/>
          <w:b/>
          <w:bCs/>
          <w:sz w:val="24"/>
          <w:szCs w:val="24"/>
        </w:rPr>
      </w:pPr>
      <w:r w:rsidRPr="00FF417E">
        <w:rPr>
          <w:rFonts w:asciiTheme="majorHAnsi" w:hAnsiTheme="majorHAnsi"/>
          <w:b/>
          <w:bCs/>
          <w:sz w:val="24"/>
          <w:szCs w:val="24"/>
        </w:rPr>
        <w:t>1.</w:t>
      </w:r>
      <w:r w:rsidR="001E3A03" w:rsidRPr="00FF417E">
        <w:rPr>
          <w:rFonts w:asciiTheme="majorHAnsi" w:hAnsiTheme="majorHAnsi"/>
          <w:b/>
          <w:bCs/>
          <w:sz w:val="24"/>
          <w:szCs w:val="24"/>
        </w:rPr>
        <w:t>Introduction</w:t>
      </w:r>
    </w:p>
    <w:p w14:paraId="59B09763" w14:textId="532B49BF" w:rsidR="00A841BB" w:rsidRPr="00FF417E" w:rsidRDefault="00A841BB" w:rsidP="00FF417E">
      <w:pPr>
        <w:rPr>
          <w:rFonts w:asciiTheme="majorHAnsi" w:hAnsiTheme="majorHAnsi"/>
          <w:sz w:val="24"/>
          <w:szCs w:val="24"/>
        </w:rPr>
      </w:pPr>
      <w:r w:rsidRPr="00FF417E">
        <w:rPr>
          <w:rFonts w:asciiTheme="majorHAnsi" w:hAnsiTheme="majorHAnsi" w:cstheme="minorHAnsi"/>
          <w:sz w:val="24"/>
          <w:szCs w:val="24"/>
        </w:rPr>
        <w:t>Extensive research has shown that from a development perspective, no matter what trade policies a country uses to pursue development objectives, it is in the national interest of all countries to minimize trade costs for firms (</w:t>
      </w:r>
      <w:proofErr w:type="spellStart"/>
      <w:r w:rsidRPr="00FF417E">
        <w:rPr>
          <w:rFonts w:asciiTheme="majorHAnsi" w:hAnsiTheme="majorHAnsi"/>
          <w:sz w:val="24"/>
          <w:szCs w:val="24"/>
        </w:rPr>
        <w:t>Moïs</w:t>
      </w:r>
      <w:r w:rsidRPr="00FF417E">
        <w:rPr>
          <w:rFonts w:asciiTheme="majorHAnsi" w:hAnsiTheme="majorHAnsi"/>
          <w:noProof/>
          <w:sz w:val="24"/>
          <w:szCs w:val="24"/>
        </w:rPr>
        <w:t>é</w:t>
      </w:r>
      <w:proofErr w:type="spellEnd"/>
      <w:r w:rsidRPr="00FF417E">
        <w:rPr>
          <w:rFonts w:asciiTheme="majorHAnsi" w:hAnsiTheme="majorHAnsi"/>
          <w:sz w:val="24"/>
          <w:szCs w:val="24"/>
        </w:rPr>
        <w:t xml:space="preserve"> and Le Bris, 2013). </w:t>
      </w:r>
      <w:r w:rsidRPr="00FF417E">
        <w:rPr>
          <w:rFonts w:asciiTheme="majorHAnsi" w:hAnsiTheme="majorHAnsi" w:cstheme="minorHAnsi"/>
          <w:sz w:val="24"/>
          <w:szCs w:val="24"/>
        </w:rPr>
        <w:t xml:space="preserve">Trade costs that reflect a lack of transparency of prevailing regulatory requirements, uncertainty and unpredictability regarding the way goods will be treated by customs officials, redundant or duplicative administrative procedures, corruption and so forth, all generate social waste – they do not and cannot promote economic development. </w:t>
      </w:r>
      <w:r w:rsidRPr="00FF417E">
        <w:rPr>
          <w:rFonts w:asciiTheme="majorHAnsi" w:hAnsiTheme="majorHAnsi"/>
          <w:sz w:val="24"/>
          <w:szCs w:val="24"/>
        </w:rPr>
        <w:t>Efforts to reduce trade costs, exemplified by the WTO Agreement on Trade Facilitation (TFA), aim to enhance trade efficiency and lower transaction costs for exporters, importers, and more generally on firms of developing nations (</w:t>
      </w:r>
      <w:proofErr w:type="spellStart"/>
      <w:r w:rsidRPr="00FF417E">
        <w:rPr>
          <w:rFonts w:asciiTheme="majorHAnsi" w:hAnsiTheme="majorHAnsi"/>
          <w:sz w:val="24"/>
          <w:szCs w:val="24"/>
        </w:rPr>
        <w:t>Saslavsky</w:t>
      </w:r>
      <w:proofErr w:type="spellEnd"/>
      <w:r w:rsidRPr="00FF417E">
        <w:rPr>
          <w:rFonts w:asciiTheme="majorHAnsi" w:hAnsiTheme="majorHAnsi"/>
          <w:sz w:val="24"/>
          <w:szCs w:val="24"/>
        </w:rPr>
        <w:t xml:space="preserve"> and Shepherd, 2014).</w:t>
      </w:r>
      <w:r w:rsidRPr="00FF417E">
        <w:rPr>
          <w:rFonts w:asciiTheme="majorHAnsi" w:hAnsiTheme="majorHAnsi" w:cstheme="minorHAnsi"/>
          <w:sz w:val="24"/>
          <w:szCs w:val="24"/>
        </w:rPr>
        <w:t xml:space="preserve"> </w:t>
      </w:r>
      <w:r w:rsidRPr="00FF417E">
        <w:rPr>
          <w:rFonts w:asciiTheme="majorHAnsi" w:hAnsiTheme="majorHAnsi"/>
          <w:sz w:val="24"/>
          <w:szCs w:val="24"/>
        </w:rPr>
        <w:t>Reducing trade costs has also been the focus of many of the new regional trade agreements, including some of the largest ones such as ACFTA and RCEP.</w:t>
      </w:r>
    </w:p>
    <w:p w14:paraId="4E4E9B1D" w14:textId="77777777" w:rsidR="00BD0A0D" w:rsidRPr="00FF417E" w:rsidRDefault="00A841BB" w:rsidP="00FF417E">
      <w:pPr>
        <w:spacing w:after="120"/>
        <w:rPr>
          <w:rFonts w:asciiTheme="majorHAnsi" w:hAnsiTheme="majorHAnsi" w:cstheme="minorHAnsi"/>
          <w:sz w:val="24"/>
          <w:szCs w:val="24"/>
        </w:rPr>
      </w:pPr>
      <w:r w:rsidRPr="00FF417E">
        <w:rPr>
          <w:rFonts w:asciiTheme="majorHAnsi" w:hAnsiTheme="majorHAnsi"/>
          <w:sz w:val="24"/>
          <w:szCs w:val="24"/>
        </w:rPr>
        <w:t xml:space="preserve">There are many reasons why trade costs may be higher than they need to be. Aside from factors that cannot be changed (such as geography), the trade policies of a country, those of trading partners, the quality of transport infrastructure, and weaknesses in economic governance will all </w:t>
      </w:r>
      <w:r w:rsidR="00191107" w:rsidRPr="00FF417E">
        <w:rPr>
          <w:rFonts w:asciiTheme="majorHAnsi" w:hAnsiTheme="majorHAnsi"/>
          <w:sz w:val="24"/>
          <w:szCs w:val="24"/>
        </w:rPr>
        <w:t>influence</w:t>
      </w:r>
      <w:r w:rsidRPr="00FF417E">
        <w:rPr>
          <w:rFonts w:asciiTheme="majorHAnsi" w:hAnsiTheme="majorHAnsi"/>
          <w:sz w:val="24"/>
          <w:szCs w:val="24"/>
        </w:rPr>
        <w:t xml:space="preserve"> the level of trade costs.  </w:t>
      </w:r>
      <w:r w:rsidRPr="00FF417E">
        <w:rPr>
          <w:rFonts w:asciiTheme="majorHAnsi" w:hAnsiTheme="majorHAnsi" w:cstheme="minorHAnsi"/>
          <w:sz w:val="24"/>
          <w:szCs w:val="24"/>
        </w:rPr>
        <w:t xml:space="preserve">An important challenge is to differentiate between trade cost-creating measures that generate social waste and those that do not. One key consideration in addressing trade costs is the role of non-tariff measures (NTMs). </w:t>
      </w:r>
      <w:r w:rsidR="00B33DB0" w:rsidRPr="00FF417E">
        <w:rPr>
          <w:rFonts w:asciiTheme="majorHAnsi" w:hAnsiTheme="majorHAnsi" w:cstheme="minorHAnsi"/>
          <w:sz w:val="24"/>
          <w:szCs w:val="24"/>
        </w:rPr>
        <w:t xml:space="preserve">Besides traditional </w:t>
      </w:r>
      <w:proofErr w:type="spellStart"/>
      <w:proofErr w:type="gramStart"/>
      <w:r w:rsidR="00B33DB0" w:rsidRPr="00FF417E">
        <w:rPr>
          <w:rFonts w:asciiTheme="majorHAnsi" w:hAnsiTheme="majorHAnsi" w:cstheme="minorHAnsi"/>
          <w:sz w:val="24"/>
          <w:szCs w:val="24"/>
        </w:rPr>
        <w:t>non tariff</w:t>
      </w:r>
      <w:proofErr w:type="spellEnd"/>
      <w:proofErr w:type="gramEnd"/>
      <w:r w:rsidR="00B33DB0" w:rsidRPr="00FF417E">
        <w:rPr>
          <w:rFonts w:asciiTheme="majorHAnsi" w:hAnsiTheme="majorHAnsi" w:cstheme="minorHAnsi"/>
          <w:sz w:val="24"/>
          <w:szCs w:val="24"/>
        </w:rPr>
        <w:t xml:space="preserve"> measures such as quotas and </w:t>
      </w:r>
      <w:r w:rsidR="0065513B" w:rsidRPr="00FF417E">
        <w:rPr>
          <w:rFonts w:asciiTheme="majorHAnsi" w:hAnsiTheme="majorHAnsi" w:cstheme="minorHAnsi"/>
          <w:sz w:val="24"/>
          <w:szCs w:val="24"/>
        </w:rPr>
        <w:t>custom fees, an increasing number of</w:t>
      </w:r>
      <w:r w:rsidRPr="00FF417E">
        <w:rPr>
          <w:rFonts w:asciiTheme="majorHAnsi" w:hAnsiTheme="majorHAnsi" w:cstheme="minorHAnsi"/>
          <w:sz w:val="24"/>
          <w:szCs w:val="24"/>
        </w:rPr>
        <w:t xml:space="preserve"> NTMs serve important social objectives such as assuring that imported products comply with quality, health and safety standards</w:t>
      </w:r>
      <w:r w:rsidR="007E1768" w:rsidRPr="00FF417E">
        <w:rPr>
          <w:rFonts w:asciiTheme="majorHAnsi" w:hAnsiTheme="majorHAnsi" w:cstheme="minorHAnsi"/>
          <w:sz w:val="24"/>
          <w:szCs w:val="24"/>
        </w:rPr>
        <w:t xml:space="preserve">. Many of these </w:t>
      </w:r>
      <w:r w:rsidR="00E27FBF" w:rsidRPr="00FF417E">
        <w:rPr>
          <w:rFonts w:asciiTheme="majorHAnsi" w:hAnsiTheme="majorHAnsi" w:cstheme="minorHAnsi"/>
          <w:sz w:val="24"/>
          <w:szCs w:val="24"/>
        </w:rPr>
        <w:t xml:space="preserve">NTMs </w:t>
      </w:r>
      <w:r w:rsidR="00B33DB0" w:rsidRPr="00FF417E">
        <w:rPr>
          <w:rFonts w:asciiTheme="majorHAnsi" w:hAnsiTheme="majorHAnsi" w:cstheme="minorHAnsi"/>
          <w:sz w:val="24"/>
          <w:szCs w:val="24"/>
        </w:rPr>
        <w:t>result</w:t>
      </w:r>
      <w:r w:rsidR="00E27FBF" w:rsidRPr="00FF417E">
        <w:rPr>
          <w:rFonts w:asciiTheme="majorHAnsi" w:hAnsiTheme="majorHAnsi" w:cstheme="minorHAnsi"/>
          <w:sz w:val="24"/>
          <w:szCs w:val="24"/>
        </w:rPr>
        <w:t xml:space="preserve"> in additional </w:t>
      </w:r>
      <w:r w:rsidR="007E1768" w:rsidRPr="00FF417E">
        <w:rPr>
          <w:rFonts w:asciiTheme="majorHAnsi" w:hAnsiTheme="majorHAnsi" w:cstheme="minorHAnsi"/>
          <w:sz w:val="24"/>
          <w:szCs w:val="24"/>
        </w:rPr>
        <w:t>import</w:t>
      </w:r>
      <w:r w:rsidR="00E27FBF" w:rsidRPr="00FF417E">
        <w:rPr>
          <w:rFonts w:asciiTheme="majorHAnsi" w:hAnsiTheme="majorHAnsi" w:cstheme="minorHAnsi"/>
          <w:sz w:val="24"/>
          <w:szCs w:val="24"/>
        </w:rPr>
        <w:t xml:space="preserve"> costs</w:t>
      </w:r>
      <w:r w:rsidR="007E1768" w:rsidRPr="00FF417E">
        <w:rPr>
          <w:rFonts w:asciiTheme="majorHAnsi" w:hAnsiTheme="majorHAnsi" w:cstheme="minorHAnsi"/>
          <w:sz w:val="24"/>
          <w:szCs w:val="24"/>
        </w:rPr>
        <w:t xml:space="preserve"> due to paperwork and </w:t>
      </w:r>
      <w:r w:rsidR="00BD0A0D" w:rsidRPr="00FF417E">
        <w:rPr>
          <w:rFonts w:asciiTheme="majorHAnsi" w:hAnsiTheme="majorHAnsi" w:cstheme="minorHAnsi"/>
          <w:sz w:val="24"/>
          <w:szCs w:val="24"/>
        </w:rPr>
        <w:t>border compliance mechanisms.</w:t>
      </w:r>
      <w:r w:rsidR="00E27FBF" w:rsidRPr="00FF417E">
        <w:rPr>
          <w:rFonts w:asciiTheme="majorHAnsi" w:hAnsiTheme="majorHAnsi" w:cstheme="minorHAnsi"/>
          <w:sz w:val="24"/>
          <w:szCs w:val="24"/>
        </w:rPr>
        <w:t xml:space="preserve"> </w:t>
      </w:r>
    </w:p>
    <w:p w14:paraId="5C08239F" w14:textId="48CF286C" w:rsidR="00FF4F77" w:rsidRPr="00FF417E" w:rsidRDefault="00FF4F77" w:rsidP="00FF417E">
      <w:pPr>
        <w:spacing w:after="120"/>
        <w:rPr>
          <w:rFonts w:asciiTheme="majorHAnsi" w:hAnsiTheme="majorHAnsi" w:cstheme="minorHAnsi"/>
          <w:sz w:val="24"/>
          <w:szCs w:val="24"/>
        </w:rPr>
      </w:pPr>
      <w:r w:rsidRPr="00FF417E">
        <w:rPr>
          <w:rFonts w:asciiTheme="majorHAnsi" w:hAnsiTheme="majorHAnsi" w:cstheme="minorHAnsi"/>
          <w:sz w:val="24"/>
          <w:szCs w:val="24"/>
        </w:rPr>
        <w:lastRenderedPageBreak/>
        <w:t>From a policy standpoint,</w:t>
      </w:r>
      <w:r w:rsidR="00E92BEA" w:rsidRPr="00FF417E">
        <w:rPr>
          <w:rFonts w:asciiTheme="majorHAnsi" w:hAnsiTheme="majorHAnsi" w:cstheme="minorHAnsi"/>
          <w:sz w:val="24"/>
          <w:szCs w:val="24"/>
        </w:rPr>
        <w:t xml:space="preserve"> NTMs that escalate expenses during border transactions present tangible targets for policy intervention.</w:t>
      </w:r>
      <w:r w:rsidRPr="00FF417E">
        <w:rPr>
          <w:rFonts w:asciiTheme="majorHAnsi" w:hAnsiTheme="majorHAnsi" w:cstheme="minorHAnsi"/>
          <w:sz w:val="24"/>
          <w:szCs w:val="24"/>
        </w:rPr>
        <w:t xml:space="preserve"> </w:t>
      </w:r>
      <w:r w:rsidR="00E92BEA" w:rsidRPr="00FF417E">
        <w:rPr>
          <w:rFonts w:asciiTheme="majorHAnsi" w:hAnsiTheme="majorHAnsi" w:cstheme="minorHAnsi"/>
          <w:sz w:val="24"/>
          <w:szCs w:val="24"/>
        </w:rPr>
        <w:t xml:space="preserve">By streamlining procedures and reducing bureaucratic hurdles associated with these measures, policymakers can effectively mitigate the financial burdens imposed on traders. This approach not only simplifies cross-border trade but also enhances the overall efficiency of the trading process, benefiting both domestic and foreign businesses. </w:t>
      </w:r>
      <w:r w:rsidRPr="00FF417E">
        <w:rPr>
          <w:rFonts w:asciiTheme="majorHAnsi" w:hAnsiTheme="majorHAnsi" w:cstheme="minorHAnsi"/>
          <w:sz w:val="24"/>
          <w:szCs w:val="24"/>
        </w:rPr>
        <w:t>Moreover, by leveling the playing field between domestic and foreign firms, efforts to minimize border-related costs uphold the foundational principle of non-discrimination enshrined within the WTO framework. Consequently, reducing these costs serves to promote a more open and competitive trading environment, conducive to fostering innovation, productivity, and sustainable economic growth on a global scale.</w:t>
      </w:r>
    </w:p>
    <w:p w14:paraId="03F585A2" w14:textId="6B606C29" w:rsidR="00AB5D1C" w:rsidRPr="00FF417E" w:rsidRDefault="00AB5D1C" w:rsidP="00FF417E">
      <w:pPr>
        <w:spacing w:after="120"/>
        <w:rPr>
          <w:rFonts w:asciiTheme="majorHAnsi" w:hAnsiTheme="majorHAnsi" w:cstheme="minorHAnsi"/>
          <w:sz w:val="24"/>
          <w:szCs w:val="24"/>
        </w:rPr>
      </w:pPr>
      <w:r w:rsidRPr="00FF417E">
        <w:rPr>
          <w:rFonts w:asciiTheme="majorHAnsi" w:hAnsiTheme="majorHAnsi" w:cstheme="minorHAnsi"/>
          <w:sz w:val="24"/>
          <w:szCs w:val="24"/>
        </w:rPr>
        <w:t>Literature review</w:t>
      </w:r>
      <w:r w:rsidR="00BD0A0D" w:rsidRPr="00FF417E">
        <w:rPr>
          <w:rFonts w:asciiTheme="majorHAnsi" w:hAnsiTheme="majorHAnsi" w:cstheme="minorHAnsi"/>
          <w:sz w:val="24"/>
          <w:szCs w:val="24"/>
        </w:rPr>
        <w:t xml:space="preserve"> [to be added]</w:t>
      </w:r>
    </w:p>
    <w:p w14:paraId="1BCED35F" w14:textId="77777777" w:rsidR="00BD0A0D" w:rsidRPr="00FF417E" w:rsidRDefault="00AB5D1C" w:rsidP="00FF417E">
      <w:pPr>
        <w:spacing w:after="120"/>
        <w:rPr>
          <w:rFonts w:asciiTheme="majorHAnsi" w:hAnsiTheme="majorHAnsi" w:cstheme="minorHAnsi"/>
          <w:sz w:val="24"/>
          <w:szCs w:val="24"/>
        </w:rPr>
      </w:pPr>
      <w:r w:rsidRPr="00FF417E">
        <w:rPr>
          <w:rFonts w:asciiTheme="majorHAnsi" w:hAnsiTheme="majorHAnsi" w:cstheme="minorHAnsi"/>
          <w:sz w:val="24"/>
          <w:szCs w:val="24"/>
        </w:rPr>
        <w:t>This paper</w:t>
      </w:r>
      <w:r w:rsidR="00BD0A0D" w:rsidRPr="00FF417E">
        <w:rPr>
          <w:rFonts w:asciiTheme="majorHAnsi" w:hAnsiTheme="majorHAnsi" w:cstheme="minorHAnsi"/>
          <w:sz w:val="24"/>
          <w:szCs w:val="24"/>
        </w:rPr>
        <w:t xml:space="preserve"> [to be added]</w:t>
      </w:r>
    </w:p>
    <w:p w14:paraId="6B93A1CC" w14:textId="574F647C" w:rsidR="00633E79" w:rsidRPr="00FF417E" w:rsidRDefault="00AB5D1C" w:rsidP="00FF417E">
      <w:pPr>
        <w:spacing w:after="120"/>
        <w:rPr>
          <w:rFonts w:asciiTheme="majorHAnsi" w:hAnsiTheme="majorHAnsi" w:cstheme="minorHAnsi"/>
          <w:sz w:val="24"/>
          <w:szCs w:val="24"/>
        </w:rPr>
      </w:pPr>
      <w:r w:rsidRPr="00FF417E">
        <w:rPr>
          <w:rFonts w:asciiTheme="majorHAnsi" w:hAnsiTheme="majorHAnsi" w:cstheme="minorHAnsi"/>
          <w:sz w:val="24"/>
          <w:szCs w:val="24"/>
        </w:rPr>
        <w:t xml:space="preserve">The remainder of this paper is organized as follows. Section 2 discussed border NTM, their use and pervasiveness, </w:t>
      </w:r>
      <w:proofErr w:type="gramStart"/>
      <w:r w:rsidRPr="00FF417E">
        <w:rPr>
          <w:rFonts w:asciiTheme="majorHAnsi" w:hAnsiTheme="majorHAnsi" w:cstheme="minorHAnsi"/>
          <w:sz w:val="24"/>
          <w:szCs w:val="24"/>
        </w:rPr>
        <w:t>and also</w:t>
      </w:r>
      <w:proofErr w:type="gramEnd"/>
      <w:r w:rsidRPr="00FF417E">
        <w:rPr>
          <w:rFonts w:asciiTheme="majorHAnsi" w:hAnsiTheme="majorHAnsi" w:cstheme="minorHAnsi"/>
          <w:sz w:val="24"/>
          <w:szCs w:val="24"/>
        </w:rPr>
        <w:t xml:space="preserve"> provides some estimates on their ad-valorem equivalents</w:t>
      </w:r>
      <w:r w:rsidR="00633E79" w:rsidRPr="00FF417E">
        <w:rPr>
          <w:rFonts w:asciiTheme="majorHAnsi" w:hAnsiTheme="majorHAnsi" w:cstheme="minorHAnsi"/>
          <w:sz w:val="24"/>
          <w:szCs w:val="24"/>
        </w:rPr>
        <w:t xml:space="preserve"> based on the existing literature. Section 3 </w:t>
      </w:r>
      <w:r w:rsidR="002F26B3" w:rsidRPr="00FF417E">
        <w:rPr>
          <w:rFonts w:asciiTheme="majorHAnsi" w:hAnsiTheme="majorHAnsi" w:cstheme="minorHAnsi"/>
          <w:sz w:val="24"/>
          <w:szCs w:val="24"/>
        </w:rPr>
        <w:t xml:space="preserve">illustrates a set of scenarios using the GTAP model where NTM at the border are </w:t>
      </w:r>
      <w:r w:rsidR="009F1490" w:rsidRPr="00FF417E">
        <w:rPr>
          <w:rFonts w:asciiTheme="majorHAnsi" w:hAnsiTheme="majorHAnsi" w:cstheme="minorHAnsi"/>
          <w:sz w:val="24"/>
          <w:szCs w:val="24"/>
        </w:rPr>
        <w:t>reduced and</w:t>
      </w:r>
      <w:r w:rsidR="002F26B3" w:rsidRPr="00FF417E">
        <w:rPr>
          <w:rFonts w:asciiTheme="majorHAnsi" w:hAnsiTheme="majorHAnsi" w:cstheme="minorHAnsi"/>
          <w:sz w:val="24"/>
          <w:szCs w:val="24"/>
        </w:rPr>
        <w:t xml:space="preserve"> compares the effects with these originating from tariff reductions. Section 4 provides policy recommendations and concludes.</w:t>
      </w:r>
    </w:p>
    <w:p w14:paraId="19FF9855" w14:textId="77777777" w:rsidR="00AB5D1C" w:rsidRPr="00FF417E" w:rsidRDefault="00AB5D1C" w:rsidP="00FF417E">
      <w:pPr>
        <w:rPr>
          <w:rFonts w:asciiTheme="majorHAnsi" w:hAnsiTheme="majorHAnsi"/>
          <w:b/>
          <w:bCs/>
          <w:sz w:val="24"/>
          <w:szCs w:val="24"/>
        </w:rPr>
      </w:pPr>
    </w:p>
    <w:p w14:paraId="64199ED1" w14:textId="3E03B7B3" w:rsidR="001E3A03" w:rsidRPr="00FF417E" w:rsidRDefault="001E3A03" w:rsidP="00FF417E">
      <w:pPr>
        <w:rPr>
          <w:rFonts w:asciiTheme="majorHAnsi" w:hAnsiTheme="majorHAnsi"/>
          <w:b/>
          <w:bCs/>
          <w:sz w:val="24"/>
          <w:szCs w:val="24"/>
        </w:rPr>
      </w:pPr>
      <w:r w:rsidRPr="00FF417E">
        <w:rPr>
          <w:rFonts w:asciiTheme="majorHAnsi" w:hAnsiTheme="majorHAnsi"/>
          <w:b/>
          <w:bCs/>
          <w:sz w:val="24"/>
          <w:szCs w:val="24"/>
        </w:rPr>
        <w:t xml:space="preserve">2. </w:t>
      </w:r>
      <w:proofErr w:type="gramStart"/>
      <w:r w:rsidR="00BD0A0D" w:rsidRPr="00FF417E">
        <w:rPr>
          <w:rFonts w:asciiTheme="majorHAnsi" w:hAnsiTheme="majorHAnsi"/>
          <w:b/>
          <w:bCs/>
          <w:sz w:val="24"/>
          <w:szCs w:val="24"/>
        </w:rPr>
        <w:t>Non-Tariff</w:t>
      </w:r>
      <w:proofErr w:type="gramEnd"/>
      <w:r w:rsidR="00BD0A0D" w:rsidRPr="00FF417E">
        <w:rPr>
          <w:rFonts w:asciiTheme="majorHAnsi" w:hAnsiTheme="majorHAnsi"/>
          <w:b/>
          <w:bCs/>
          <w:sz w:val="24"/>
          <w:szCs w:val="24"/>
        </w:rPr>
        <w:t xml:space="preserve"> measures </w:t>
      </w:r>
      <w:r w:rsidRPr="00FF417E">
        <w:rPr>
          <w:rFonts w:asciiTheme="majorHAnsi" w:hAnsiTheme="majorHAnsi"/>
          <w:b/>
          <w:bCs/>
          <w:sz w:val="24"/>
          <w:szCs w:val="24"/>
        </w:rPr>
        <w:t>at the border</w:t>
      </w:r>
    </w:p>
    <w:p w14:paraId="3924DD33" w14:textId="5008FB5B" w:rsidR="001E3A03" w:rsidRPr="00FF417E" w:rsidRDefault="001E3A03" w:rsidP="00FF417E">
      <w:pPr>
        <w:rPr>
          <w:rFonts w:asciiTheme="majorHAnsi" w:hAnsiTheme="majorHAnsi"/>
          <w:sz w:val="24"/>
          <w:szCs w:val="24"/>
        </w:rPr>
      </w:pPr>
      <w:r w:rsidRPr="00FF417E">
        <w:rPr>
          <w:rFonts w:asciiTheme="majorHAnsi" w:hAnsiTheme="majorHAnsi"/>
          <w:sz w:val="24"/>
          <w:szCs w:val="24"/>
        </w:rPr>
        <w:t xml:space="preserve">Discussion </w:t>
      </w:r>
      <w:r w:rsidR="005E2011" w:rsidRPr="00FF417E">
        <w:rPr>
          <w:rFonts w:asciiTheme="majorHAnsi" w:hAnsiTheme="majorHAnsi"/>
          <w:sz w:val="24"/>
          <w:szCs w:val="24"/>
        </w:rPr>
        <w:t>on border NTM</w:t>
      </w:r>
      <w:r w:rsidR="004A2AAB" w:rsidRPr="00FF417E">
        <w:rPr>
          <w:rFonts w:asciiTheme="majorHAnsi" w:hAnsiTheme="majorHAnsi"/>
          <w:sz w:val="24"/>
          <w:szCs w:val="24"/>
        </w:rPr>
        <w:t xml:space="preserve"> [to </w:t>
      </w:r>
      <w:r w:rsidR="005376B8">
        <w:rPr>
          <w:rFonts w:asciiTheme="majorHAnsi" w:hAnsiTheme="majorHAnsi"/>
          <w:sz w:val="24"/>
          <w:szCs w:val="24"/>
        </w:rPr>
        <w:t>expand</w:t>
      </w:r>
      <w:r w:rsidR="004A2AAB" w:rsidRPr="00FF417E">
        <w:rPr>
          <w:rFonts w:asciiTheme="majorHAnsi" w:hAnsiTheme="majorHAnsi"/>
          <w:sz w:val="24"/>
          <w:szCs w:val="24"/>
        </w:rPr>
        <w:t>]</w:t>
      </w:r>
    </w:p>
    <w:p w14:paraId="5138BAA0" w14:textId="2BACB2F9" w:rsidR="005C7E42" w:rsidRPr="00FF417E" w:rsidRDefault="00BD0A0D" w:rsidP="00FF417E">
      <w:pPr>
        <w:jc w:val="both"/>
        <w:rPr>
          <w:rFonts w:asciiTheme="majorHAnsi" w:hAnsiTheme="majorHAnsi"/>
          <w:sz w:val="24"/>
          <w:szCs w:val="24"/>
        </w:rPr>
      </w:pPr>
      <w:r w:rsidRPr="00FF417E">
        <w:rPr>
          <w:rFonts w:asciiTheme="majorHAnsi" w:hAnsiTheme="majorHAnsi" w:cstheme="majorBidi"/>
          <w:sz w:val="24"/>
          <w:szCs w:val="24"/>
        </w:rPr>
        <w:t>Border NTMs</w:t>
      </w:r>
      <w:r w:rsidR="004F2EF9" w:rsidRPr="00FF417E">
        <w:rPr>
          <w:rFonts w:asciiTheme="majorHAnsi" w:hAnsiTheme="majorHAnsi" w:cstheme="majorBidi"/>
          <w:sz w:val="24"/>
          <w:szCs w:val="24"/>
        </w:rPr>
        <w:t xml:space="preserve"> are customs regulations and include traditional quantitative </w:t>
      </w:r>
      <w:proofErr w:type="gramStart"/>
      <w:r w:rsidR="004F2EF9" w:rsidRPr="00FF417E">
        <w:rPr>
          <w:rFonts w:asciiTheme="majorHAnsi" w:hAnsiTheme="majorHAnsi" w:cstheme="majorBidi"/>
          <w:sz w:val="24"/>
          <w:szCs w:val="24"/>
        </w:rPr>
        <w:t>restrictions,  price</w:t>
      </w:r>
      <w:proofErr w:type="gramEnd"/>
      <w:r w:rsidR="004F2EF9" w:rsidRPr="00FF417E">
        <w:rPr>
          <w:rFonts w:asciiTheme="majorHAnsi" w:hAnsiTheme="majorHAnsi" w:cstheme="majorBidi"/>
          <w:sz w:val="24"/>
          <w:szCs w:val="24"/>
        </w:rPr>
        <w:t xml:space="preserve"> control measures as well as other NTMs such as traceability, licensing, processing and inspections. The definition of such measures follows the international classification of non-tariff measures at UNCTAD</w:t>
      </w:r>
      <w:r w:rsidRPr="00FF417E">
        <w:rPr>
          <w:rFonts w:asciiTheme="majorHAnsi" w:hAnsiTheme="majorHAnsi" w:cstheme="majorBidi"/>
          <w:sz w:val="24"/>
          <w:szCs w:val="24"/>
        </w:rPr>
        <w:t xml:space="preserve"> </w:t>
      </w:r>
      <w:r w:rsidR="00F025C1" w:rsidRPr="00FF417E">
        <w:rPr>
          <w:rFonts w:asciiTheme="majorHAnsi" w:hAnsiTheme="majorHAnsi" w:cstheme="majorBidi"/>
          <w:sz w:val="24"/>
          <w:szCs w:val="24"/>
        </w:rPr>
        <w:t>and are identified as those categorized under</w:t>
      </w:r>
      <w:r w:rsidR="005C7E42" w:rsidRPr="00FF417E">
        <w:rPr>
          <w:rFonts w:asciiTheme="majorHAnsi" w:hAnsiTheme="majorHAnsi" w:cstheme="majorBidi"/>
          <w:sz w:val="24"/>
          <w:szCs w:val="24"/>
        </w:rPr>
        <w:t xml:space="preserve"> “Customs regulations” in </w:t>
      </w:r>
      <w:proofErr w:type="spellStart"/>
      <w:r w:rsidR="005C7E42" w:rsidRPr="00FF417E">
        <w:rPr>
          <w:rFonts w:asciiTheme="majorHAnsi" w:hAnsiTheme="majorHAnsi" w:cstheme="majorBidi"/>
          <w:i/>
          <w:iCs/>
          <w:sz w:val="24"/>
          <w:szCs w:val="24"/>
        </w:rPr>
        <w:t>Ederington</w:t>
      </w:r>
      <w:proofErr w:type="spellEnd"/>
      <w:r w:rsidR="005C7E42" w:rsidRPr="00FF417E">
        <w:rPr>
          <w:rFonts w:asciiTheme="majorHAnsi" w:hAnsiTheme="majorHAnsi" w:cstheme="majorBidi"/>
          <w:i/>
          <w:iCs/>
          <w:sz w:val="24"/>
          <w:szCs w:val="24"/>
        </w:rPr>
        <w:t xml:space="preserve"> and Ruta (2016).</w:t>
      </w:r>
      <w:r w:rsidR="00F025C1" w:rsidRPr="00FF417E">
        <w:rPr>
          <w:rFonts w:asciiTheme="majorHAnsi" w:hAnsiTheme="majorHAnsi" w:cstheme="majorBidi"/>
          <w:i/>
          <w:iCs/>
          <w:sz w:val="24"/>
          <w:szCs w:val="24"/>
        </w:rPr>
        <w:t xml:space="preserve"> </w:t>
      </w:r>
      <w:r w:rsidR="00B472F0" w:rsidRPr="00FF417E">
        <w:rPr>
          <w:rFonts w:asciiTheme="majorHAnsi" w:hAnsiTheme="majorHAnsi" w:cstheme="majorBidi"/>
          <w:sz w:val="24"/>
          <w:szCs w:val="24"/>
        </w:rPr>
        <w:t xml:space="preserve">The codes of the measures utilized are described in </w:t>
      </w:r>
      <w:r w:rsidR="00B472F0" w:rsidRPr="00FF417E">
        <w:rPr>
          <w:rFonts w:asciiTheme="majorHAnsi" w:hAnsiTheme="majorHAnsi" w:cstheme="majorBidi"/>
          <w:i/>
          <w:iCs/>
          <w:sz w:val="24"/>
          <w:szCs w:val="24"/>
        </w:rPr>
        <w:t xml:space="preserve">Annex I. </w:t>
      </w:r>
      <w:r w:rsidR="00B472F0" w:rsidRPr="00FF417E">
        <w:rPr>
          <w:rFonts w:asciiTheme="majorHAnsi" w:hAnsiTheme="majorHAnsi"/>
          <w:sz w:val="24"/>
          <w:szCs w:val="24"/>
        </w:rPr>
        <w:t>In an analytical setting, c</w:t>
      </w:r>
      <w:r w:rsidR="005C7E42" w:rsidRPr="00FF417E">
        <w:rPr>
          <w:rFonts w:asciiTheme="majorHAnsi" w:hAnsiTheme="majorHAnsi"/>
          <w:sz w:val="24"/>
          <w:szCs w:val="24"/>
        </w:rPr>
        <w:t xml:space="preserve">ustoms regulations are to be intended similarly to transport costs or tariffs as they drive a wedge between world prices and domestic prices. </w:t>
      </w:r>
      <w:r w:rsidR="00F775E2" w:rsidRPr="00FF417E">
        <w:rPr>
          <w:rFonts w:asciiTheme="majorHAnsi" w:hAnsiTheme="majorHAnsi"/>
          <w:sz w:val="24"/>
          <w:szCs w:val="24"/>
        </w:rPr>
        <w:t xml:space="preserve">Where the world price of the good represents the international trading price outside of the importer’s borders (namely the free on board -f.o.b.- price). </w:t>
      </w:r>
      <w:r w:rsidR="005C7E42" w:rsidRPr="00FF417E">
        <w:rPr>
          <w:rFonts w:asciiTheme="majorHAnsi" w:hAnsiTheme="majorHAnsi"/>
          <w:sz w:val="24"/>
          <w:szCs w:val="24"/>
        </w:rPr>
        <w:t xml:space="preserve">The domestic price represents the tradeable price of the good right inside the country’s borders. </w:t>
      </w:r>
      <w:r w:rsidR="005C7E42" w:rsidRPr="00FF417E">
        <w:rPr>
          <w:rFonts w:asciiTheme="majorHAnsi" w:hAnsiTheme="majorHAnsi" w:cstheme="majorBidi"/>
          <w:sz w:val="24"/>
          <w:szCs w:val="24"/>
        </w:rPr>
        <w:t xml:space="preserve"> </w:t>
      </w:r>
    </w:p>
    <w:p w14:paraId="6527E608" w14:textId="77777777" w:rsidR="00D97DCE" w:rsidRDefault="001E3A03" w:rsidP="00FF417E">
      <w:pPr>
        <w:rPr>
          <w:rFonts w:asciiTheme="majorHAnsi" w:hAnsiTheme="majorHAnsi"/>
          <w:b/>
          <w:bCs/>
          <w:sz w:val="24"/>
          <w:szCs w:val="24"/>
        </w:rPr>
      </w:pPr>
      <w:r w:rsidRPr="00FF417E">
        <w:rPr>
          <w:rFonts w:asciiTheme="majorHAnsi" w:hAnsiTheme="majorHAnsi"/>
          <w:b/>
          <w:bCs/>
          <w:sz w:val="24"/>
          <w:szCs w:val="24"/>
        </w:rPr>
        <w:t>2.</w:t>
      </w:r>
      <w:r w:rsidR="0024687A" w:rsidRPr="00FF417E">
        <w:rPr>
          <w:rFonts w:asciiTheme="majorHAnsi" w:hAnsiTheme="majorHAnsi"/>
          <w:b/>
          <w:bCs/>
          <w:sz w:val="24"/>
          <w:szCs w:val="24"/>
        </w:rPr>
        <w:t>1</w:t>
      </w:r>
      <w:r w:rsidRPr="00FF417E">
        <w:rPr>
          <w:rFonts w:asciiTheme="majorHAnsi" w:hAnsiTheme="majorHAnsi"/>
          <w:b/>
          <w:bCs/>
          <w:sz w:val="24"/>
          <w:szCs w:val="24"/>
        </w:rPr>
        <w:t xml:space="preserve"> </w:t>
      </w:r>
      <w:r w:rsidR="005E68B2" w:rsidRPr="00FF417E">
        <w:rPr>
          <w:rFonts w:asciiTheme="majorHAnsi" w:hAnsiTheme="majorHAnsi"/>
          <w:b/>
          <w:bCs/>
          <w:sz w:val="24"/>
          <w:szCs w:val="24"/>
        </w:rPr>
        <w:t xml:space="preserve">Pervasiveness.  </w:t>
      </w:r>
      <w:r w:rsidR="002239D6" w:rsidRPr="00FF417E">
        <w:rPr>
          <w:rFonts w:asciiTheme="majorHAnsi" w:hAnsiTheme="majorHAnsi"/>
          <w:b/>
          <w:bCs/>
          <w:sz w:val="24"/>
          <w:szCs w:val="24"/>
        </w:rPr>
        <w:t>Descriptive statistics on border NTM, frequency and coverage, prevalence etc.</w:t>
      </w:r>
    </w:p>
    <w:p w14:paraId="215893CC" w14:textId="3682D632" w:rsidR="005376B8" w:rsidRPr="005376B8" w:rsidRDefault="005376B8" w:rsidP="00FF417E">
      <w:pPr>
        <w:rPr>
          <w:rFonts w:asciiTheme="majorHAnsi" w:hAnsiTheme="majorHAnsi"/>
          <w:sz w:val="24"/>
          <w:szCs w:val="24"/>
        </w:rPr>
      </w:pPr>
      <w:r w:rsidRPr="005376B8">
        <w:rPr>
          <w:rFonts w:asciiTheme="majorHAnsi" w:hAnsiTheme="majorHAnsi"/>
          <w:sz w:val="24"/>
          <w:szCs w:val="24"/>
        </w:rPr>
        <w:lastRenderedPageBreak/>
        <w:t>[to be added]</w:t>
      </w:r>
    </w:p>
    <w:p w14:paraId="46B0BC77" w14:textId="711317CD" w:rsidR="00D97DCE" w:rsidRPr="00FF417E" w:rsidRDefault="00D97DCE" w:rsidP="00FF417E">
      <w:pPr>
        <w:jc w:val="both"/>
        <w:rPr>
          <w:rFonts w:asciiTheme="majorHAnsi" w:hAnsiTheme="majorHAnsi" w:cs="Arial"/>
          <w:color w:val="222222"/>
          <w:sz w:val="24"/>
          <w:szCs w:val="24"/>
          <w:shd w:val="clear" w:color="auto" w:fill="FFFFFF"/>
        </w:rPr>
      </w:pPr>
      <w:proofErr w:type="gramStart"/>
      <w:r w:rsidRPr="00FF417E">
        <w:rPr>
          <w:rFonts w:asciiTheme="majorHAnsi" w:hAnsiTheme="majorHAnsi" w:cs="Arial"/>
          <w:color w:val="222222"/>
          <w:sz w:val="24"/>
          <w:szCs w:val="24"/>
          <w:shd w:val="clear" w:color="auto" w:fill="FFFFFF"/>
        </w:rPr>
        <w:t>Table :</w:t>
      </w:r>
      <w:proofErr w:type="gramEnd"/>
      <w:r w:rsidRPr="00FF417E">
        <w:rPr>
          <w:rFonts w:asciiTheme="majorHAnsi" w:hAnsiTheme="majorHAnsi" w:cs="Arial"/>
          <w:color w:val="222222"/>
          <w:sz w:val="24"/>
          <w:szCs w:val="24"/>
          <w:shd w:val="clear" w:color="auto" w:fill="FFFFFF"/>
        </w:rPr>
        <w:t xml:space="preserve"> average coverage ratio of NTM by GTAP sector. [to be added]</w:t>
      </w:r>
    </w:p>
    <w:p w14:paraId="053AE8DE" w14:textId="0484FA47" w:rsidR="00D97DCE" w:rsidRPr="00FF417E" w:rsidRDefault="00D97DCE" w:rsidP="00FF417E">
      <w:pPr>
        <w:jc w:val="both"/>
        <w:rPr>
          <w:rFonts w:asciiTheme="majorHAnsi" w:hAnsiTheme="majorHAnsi" w:cs="Arial"/>
          <w:color w:val="222222"/>
          <w:sz w:val="24"/>
          <w:szCs w:val="24"/>
          <w:shd w:val="clear" w:color="auto" w:fill="FFFFFF"/>
        </w:rPr>
      </w:pPr>
      <w:proofErr w:type="gramStart"/>
      <w:r w:rsidRPr="00FF417E">
        <w:rPr>
          <w:rFonts w:asciiTheme="majorHAnsi" w:hAnsiTheme="majorHAnsi" w:cs="Arial"/>
          <w:color w:val="222222"/>
          <w:sz w:val="24"/>
          <w:szCs w:val="24"/>
          <w:shd w:val="clear" w:color="auto" w:fill="FFFFFF"/>
        </w:rPr>
        <w:t>Table :</w:t>
      </w:r>
      <w:proofErr w:type="gramEnd"/>
      <w:r w:rsidRPr="00FF417E">
        <w:rPr>
          <w:rFonts w:asciiTheme="majorHAnsi" w:hAnsiTheme="majorHAnsi" w:cs="Arial"/>
          <w:color w:val="222222"/>
          <w:sz w:val="24"/>
          <w:szCs w:val="24"/>
          <w:shd w:val="clear" w:color="auto" w:fill="FFFFFF"/>
        </w:rPr>
        <w:t xml:space="preserve"> average coverage ratio by country [to be added]</w:t>
      </w:r>
    </w:p>
    <w:p w14:paraId="15584149" w14:textId="280F11BA" w:rsidR="00FB691B" w:rsidRPr="00FF417E" w:rsidRDefault="00FB691B" w:rsidP="00FF417E">
      <w:pPr>
        <w:rPr>
          <w:rFonts w:asciiTheme="majorHAnsi" w:hAnsiTheme="majorHAnsi"/>
          <w:sz w:val="24"/>
          <w:szCs w:val="24"/>
        </w:rPr>
      </w:pPr>
      <w:r w:rsidRPr="00FF417E">
        <w:rPr>
          <w:rFonts w:asciiTheme="majorHAnsi" w:hAnsiTheme="majorHAnsi"/>
          <w:sz w:val="24"/>
          <w:szCs w:val="24"/>
        </w:rPr>
        <w:tab/>
      </w:r>
    </w:p>
    <w:p w14:paraId="49CAC72B" w14:textId="05ADCC52" w:rsidR="001E3A03" w:rsidRPr="00FF417E" w:rsidRDefault="001E3A03" w:rsidP="00FF417E">
      <w:pPr>
        <w:rPr>
          <w:rFonts w:asciiTheme="majorHAnsi" w:hAnsiTheme="majorHAnsi"/>
          <w:b/>
          <w:bCs/>
          <w:sz w:val="24"/>
          <w:szCs w:val="24"/>
        </w:rPr>
      </w:pPr>
      <w:r w:rsidRPr="00FF417E">
        <w:rPr>
          <w:rFonts w:asciiTheme="majorHAnsi" w:hAnsiTheme="majorHAnsi"/>
          <w:b/>
          <w:bCs/>
          <w:sz w:val="24"/>
          <w:szCs w:val="24"/>
        </w:rPr>
        <w:t>2.</w:t>
      </w:r>
      <w:r w:rsidR="00FB691B" w:rsidRPr="00FF417E">
        <w:rPr>
          <w:rFonts w:asciiTheme="majorHAnsi" w:hAnsiTheme="majorHAnsi"/>
          <w:b/>
          <w:bCs/>
          <w:sz w:val="24"/>
          <w:szCs w:val="24"/>
        </w:rPr>
        <w:t>2</w:t>
      </w:r>
      <w:r w:rsidRPr="00FF417E">
        <w:rPr>
          <w:rFonts w:asciiTheme="majorHAnsi" w:hAnsiTheme="majorHAnsi"/>
          <w:b/>
          <w:bCs/>
          <w:sz w:val="24"/>
          <w:szCs w:val="24"/>
        </w:rPr>
        <w:t xml:space="preserve"> Cost estimates of border NTM</w:t>
      </w:r>
    </w:p>
    <w:p w14:paraId="42B9F9FE" w14:textId="5BA6B225" w:rsidR="00FE0082" w:rsidRPr="00FF417E" w:rsidRDefault="00E535D2" w:rsidP="00FF417E">
      <w:pPr>
        <w:jc w:val="both"/>
        <w:rPr>
          <w:rFonts w:asciiTheme="majorHAnsi" w:hAnsiTheme="majorHAnsi" w:cstheme="majorBidi"/>
          <w:sz w:val="24"/>
          <w:szCs w:val="24"/>
        </w:rPr>
      </w:pPr>
      <w:r w:rsidRPr="00FF417E">
        <w:rPr>
          <w:rFonts w:asciiTheme="majorHAnsi" w:hAnsiTheme="majorHAnsi" w:cs="Arial"/>
          <w:color w:val="222222"/>
          <w:sz w:val="24"/>
          <w:szCs w:val="24"/>
          <w:shd w:val="clear" w:color="auto" w:fill="FFFFFF"/>
        </w:rPr>
        <w:t xml:space="preserve">Cost estimates of border NTM are measured by </w:t>
      </w:r>
      <w:r w:rsidR="008A35A9" w:rsidRPr="00FF417E">
        <w:rPr>
          <w:rFonts w:asciiTheme="majorHAnsi" w:hAnsiTheme="majorHAnsi" w:cs="Arial"/>
          <w:color w:val="222222"/>
          <w:sz w:val="24"/>
          <w:szCs w:val="24"/>
          <w:shd w:val="clear" w:color="auto" w:fill="FFFFFF"/>
        </w:rPr>
        <w:t>ad-valorem equivalents. T</w:t>
      </w:r>
      <w:r w:rsidRPr="00FF417E">
        <w:rPr>
          <w:rFonts w:asciiTheme="majorHAnsi" w:hAnsiTheme="majorHAnsi" w:cs="Arial"/>
          <w:color w:val="222222"/>
          <w:sz w:val="24"/>
          <w:szCs w:val="24"/>
          <w:shd w:val="clear" w:color="auto" w:fill="FFFFFF"/>
        </w:rPr>
        <w:t xml:space="preserve">he ad-valorem equivalent of a non-tariff measure is the uniform tariff that will result in the same trade impacts on the import of a product due to the presence of the NTM. </w:t>
      </w:r>
      <w:r w:rsidR="00FE0082" w:rsidRPr="00FF417E">
        <w:rPr>
          <w:rFonts w:asciiTheme="majorHAnsi" w:hAnsiTheme="majorHAnsi" w:cstheme="majorBidi"/>
          <w:sz w:val="24"/>
          <w:szCs w:val="24"/>
        </w:rPr>
        <w:t xml:space="preserve">Ad-valorem equivalents (AVEs) of border non-tariff measures (NTMs) </w:t>
      </w:r>
      <w:r w:rsidR="00CF2D83" w:rsidRPr="00FF417E">
        <w:rPr>
          <w:rFonts w:asciiTheme="majorHAnsi" w:hAnsiTheme="majorHAnsi" w:cstheme="majorBidi"/>
          <w:sz w:val="24"/>
          <w:szCs w:val="24"/>
        </w:rPr>
        <w:t xml:space="preserve">are </w:t>
      </w:r>
      <w:r w:rsidR="00FE0082" w:rsidRPr="00FF417E">
        <w:rPr>
          <w:rFonts w:asciiTheme="majorHAnsi" w:hAnsiTheme="majorHAnsi" w:cstheme="majorBidi"/>
          <w:sz w:val="24"/>
          <w:szCs w:val="24"/>
        </w:rPr>
        <w:t>base</w:t>
      </w:r>
      <w:r w:rsidR="00CF2D83" w:rsidRPr="00FF417E">
        <w:rPr>
          <w:rFonts w:asciiTheme="majorHAnsi" w:hAnsiTheme="majorHAnsi" w:cstheme="majorBidi"/>
          <w:sz w:val="24"/>
          <w:szCs w:val="24"/>
        </w:rPr>
        <w:t>d</w:t>
      </w:r>
      <w:r w:rsidR="00FE0082" w:rsidRPr="00FF417E">
        <w:rPr>
          <w:rFonts w:asciiTheme="majorHAnsi" w:hAnsiTheme="majorHAnsi" w:cstheme="majorBidi"/>
          <w:sz w:val="24"/>
          <w:szCs w:val="24"/>
        </w:rPr>
        <w:t xml:space="preserve"> on Kee and Nicita (2022</w:t>
      </w:r>
      <w:r w:rsidR="003639BD" w:rsidRPr="00FF417E">
        <w:rPr>
          <w:rFonts w:asciiTheme="majorHAnsi" w:hAnsiTheme="majorHAnsi" w:cstheme="majorBidi"/>
          <w:sz w:val="24"/>
          <w:szCs w:val="24"/>
        </w:rPr>
        <w:t>) and</w:t>
      </w:r>
      <w:r w:rsidR="000A5071" w:rsidRPr="00FF417E">
        <w:rPr>
          <w:rFonts w:asciiTheme="majorHAnsi" w:hAnsiTheme="majorHAnsi" w:cstheme="majorBidi"/>
          <w:sz w:val="24"/>
          <w:szCs w:val="24"/>
        </w:rPr>
        <w:t xml:space="preserve"> </w:t>
      </w:r>
      <w:r w:rsidR="00FE0082" w:rsidRPr="00FF417E">
        <w:rPr>
          <w:rFonts w:asciiTheme="majorHAnsi" w:hAnsiTheme="majorHAnsi" w:cstheme="majorBidi"/>
          <w:sz w:val="24"/>
          <w:szCs w:val="24"/>
        </w:rPr>
        <w:t xml:space="preserve">made consistent with the GTAP version 11 Data Base (Aguiar et al., 2022) which can directly be used within the GTAP model (Corong et al., 2017). </w:t>
      </w:r>
    </w:p>
    <w:p w14:paraId="73B850A6" w14:textId="04FD8581" w:rsidR="00FE0082" w:rsidRPr="00FF417E" w:rsidRDefault="000A5071" w:rsidP="00FF417E">
      <w:pPr>
        <w:jc w:val="both"/>
        <w:rPr>
          <w:rFonts w:asciiTheme="majorHAnsi" w:hAnsiTheme="majorHAnsi" w:cs="Arial"/>
          <w:color w:val="222222"/>
          <w:sz w:val="24"/>
          <w:szCs w:val="24"/>
          <w:shd w:val="clear" w:color="auto" w:fill="FFFFFF"/>
        </w:rPr>
      </w:pPr>
      <w:r w:rsidRPr="00FF417E">
        <w:rPr>
          <w:rFonts w:asciiTheme="majorHAnsi" w:hAnsiTheme="majorHAnsi" w:cstheme="majorBidi"/>
          <w:sz w:val="24"/>
          <w:szCs w:val="24"/>
        </w:rPr>
        <w:t xml:space="preserve">From an analytical standpoint, the </w:t>
      </w:r>
      <w:r w:rsidR="00FE0082" w:rsidRPr="00FF417E">
        <w:rPr>
          <w:rFonts w:asciiTheme="majorHAnsi" w:hAnsiTheme="majorHAnsi" w:cstheme="majorBidi"/>
          <w:sz w:val="24"/>
          <w:szCs w:val="24"/>
        </w:rPr>
        <w:t xml:space="preserve">AVEs represent compliance costs with NTMs imposed at the border and/or customs. Overall, the AVE are to be interpreted as the cost associated with the compliance of </w:t>
      </w:r>
      <w:r w:rsidR="003639BD" w:rsidRPr="00FF417E">
        <w:rPr>
          <w:rFonts w:asciiTheme="majorHAnsi" w:hAnsiTheme="majorHAnsi" w:cstheme="majorBidi"/>
          <w:sz w:val="24"/>
          <w:szCs w:val="24"/>
        </w:rPr>
        <w:t xml:space="preserve">border </w:t>
      </w:r>
      <w:r w:rsidR="00FE0082" w:rsidRPr="00FF417E">
        <w:rPr>
          <w:rFonts w:asciiTheme="majorHAnsi" w:hAnsiTheme="majorHAnsi" w:cstheme="majorBidi"/>
          <w:sz w:val="24"/>
          <w:szCs w:val="24"/>
        </w:rPr>
        <w:t>NTMs, given the existing level of trade as of 2017.</w:t>
      </w:r>
      <w:r w:rsidR="00251FD3" w:rsidRPr="00FF417E">
        <w:rPr>
          <w:rFonts w:asciiTheme="majorHAnsi" w:hAnsiTheme="majorHAnsi" w:cstheme="majorBidi"/>
          <w:sz w:val="24"/>
          <w:szCs w:val="24"/>
        </w:rPr>
        <w:t xml:space="preserve"> AVE are estimated at the 6 digits of the HS classification revision 5 using the methods of Kee and Nicita (2022) and then aggregated at the GTAP level. Products are matched from HS to GTAP as in the concordance table available at:</w:t>
      </w:r>
      <w:r w:rsidR="00251FD3" w:rsidRPr="00FF417E">
        <w:rPr>
          <w:rFonts w:asciiTheme="majorHAnsi" w:hAnsiTheme="majorHAnsi"/>
          <w:sz w:val="24"/>
          <w:szCs w:val="24"/>
        </w:rPr>
        <w:t xml:space="preserve"> </w:t>
      </w:r>
      <w:hyperlink r:id="rId8" w:history="1">
        <w:r w:rsidR="00251FD3" w:rsidRPr="00FF417E">
          <w:rPr>
            <w:rStyle w:val="Hyperlink"/>
            <w:rFonts w:asciiTheme="majorHAnsi" w:hAnsiTheme="majorHAnsi"/>
            <w:sz w:val="24"/>
            <w:szCs w:val="24"/>
          </w:rPr>
          <w:t>https://www.gtap.agecon.purdue.edu/resources/res_display.asp?RecordID=5111</w:t>
        </w:r>
      </w:hyperlink>
      <w:r w:rsidR="00251FD3" w:rsidRPr="00FF417E">
        <w:rPr>
          <w:rFonts w:asciiTheme="majorHAnsi" w:hAnsiTheme="majorHAnsi" w:cstheme="majorBidi"/>
          <w:sz w:val="24"/>
          <w:szCs w:val="24"/>
        </w:rPr>
        <w:t xml:space="preserve"> The aggregation employs trade weights based on 2017 import flows. To maximize country coverage AVEs</w:t>
      </w:r>
      <w:r w:rsidR="00AB247E" w:rsidRPr="00FF417E">
        <w:rPr>
          <w:rFonts w:asciiTheme="majorHAnsi" w:hAnsiTheme="majorHAnsi" w:cstheme="majorBidi"/>
          <w:sz w:val="24"/>
          <w:szCs w:val="24"/>
        </w:rPr>
        <w:t xml:space="preserve"> estimation</w:t>
      </w:r>
      <w:r w:rsidR="00251FD3" w:rsidRPr="00FF417E">
        <w:rPr>
          <w:rFonts w:asciiTheme="majorHAnsi" w:hAnsiTheme="majorHAnsi" w:cstheme="majorBidi"/>
          <w:sz w:val="24"/>
          <w:szCs w:val="24"/>
        </w:rPr>
        <w:t xml:space="preserve"> are based on NTM data collected between 2015 and 2021, under the assumption that these measures were in effect also in 2017.  </w:t>
      </w:r>
      <w:r w:rsidR="006B2C88" w:rsidRPr="00FF417E">
        <w:rPr>
          <w:rFonts w:asciiTheme="majorHAnsi" w:hAnsiTheme="majorHAnsi" w:cstheme="majorBidi"/>
          <w:sz w:val="24"/>
          <w:szCs w:val="24"/>
        </w:rPr>
        <w:t>Still, data for NTM is not available for all countries in the GTAP database. Anne</w:t>
      </w:r>
      <w:r w:rsidR="008C22C6" w:rsidRPr="00FF417E">
        <w:rPr>
          <w:rFonts w:asciiTheme="majorHAnsi" w:hAnsiTheme="majorHAnsi" w:cstheme="majorBidi"/>
          <w:sz w:val="24"/>
          <w:szCs w:val="24"/>
        </w:rPr>
        <w:t>x</w:t>
      </w:r>
      <w:r w:rsidR="006B2C88" w:rsidRPr="00FF417E">
        <w:rPr>
          <w:rFonts w:asciiTheme="majorHAnsi" w:hAnsiTheme="majorHAnsi" w:cstheme="majorBidi"/>
          <w:sz w:val="24"/>
          <w:szCs w:val="24"/>
        </w:rPr>
        <w:t xml:space="preserve"> II provides a list of countries for which</w:t>
      </w:r>
      <w:r w:rsidR="008C22C6" w:rsidRPr="00FF417E">
        <w:rPr>
          <w:rFonts w:asciiTheme="majorHAnsi" w:hAnsiTheme="majorHAnsi" w:cstheme="majorBidi"/>
          <w:sz w:val="24"/>
          <w:szCs w:val="24"/>
        </w:rPr>
        <w:t xml:space="preserve"> AVE</w:t>
      </w:r>
      <w:r w:rsidR="00AB247E" w:rsidRPr="00FF417E">
        <w:rPr>
          <w:rFonts w:asciiTheme="majorHAnsi" w:hAnsiTheme="majorHAnsi" w:cstheme="majorBidi"/>
          <w:sz w:val="24"/>
          <w:szCs w:val="24"/>
        </w:rPr>
        <w:t>s</w:t>
      </w:r>
      <w:r w:rsidR="008C22C6" w:rsidRPr="00FF417E">
        <w:rPr>
          <w:rFonts w:asciiTheme="majorHAnsi" w:hAnsiTheme="majorHAnsi" w:cstheme="majorBidi"/>
          <w:sz w:val="24"/>
          <w:szCs w:val="24"/>
        </w:rPr>
        <w:t xml:space="preserve"> </w:t>
      </w:r>
      <w:r w:rsidR="00AB247E" w:rsidRPr="00FF417E">
        <w:rPr>
          <w:rFonts w:asciiTheme="majorHAnsi" w:hAnsiTheme="majorHAnsi" w:cstheme="majorBidi"/>
          <w:sz w:val="24"/>
          <w:szCs w:val="24"/>
        </w:rPr>
        <w:t>are</w:t>
      </w:r>
      <w:r w:rsidR="008C22C6" w:rsidRPr="00FF417E">
        <w:rPr>
          <w:rFonts w:asciiTheme="majorHAnsi" w:hAnsiTheme="majorHAnsi" w:cstheme="majorBidi"/>
          <w:sz w:val="24"/>
          <w:szCs w:val="24"/>
        </w:rPr>
        <w:t xml:space="preserve"> available.</w:t>
      </w:r>
    </w:p>
    <w:p w14:paraId="4AF561E9" w14:textId="09FCA22F" w:rsidR="00FE0082" w:rsidRPr="00FF417E" w:rsidRDefault="000025B3" w:rsidP="00FF417E">
      <w:pPr>
        <w:jc w:val="both"/>
        <w:rPr>
          <w:rFonts w:asciiTheme="majorHAnsi" w:hAnsiTheme="majorHAnsi" w:cs="Arial"/>
          <w:color w:val="222222"/>
          <w:sz w:val="24"/>
          <w:szCs w:val="24"/>
          <w:shd w:val="clear" w:color="auto" w:fill="FFFFFF"/>
        </w:rPr>
      </w:pPr>
      <w:proofErr w:type="gramStart"/>
      <w:r>
        <w:rPr>
          <w:rFonts w:asciiTheme="majorHAnsi" w:hAnsiTheme="majorHAnsi" w:cs="Arial"/>
          <w:color w:val="222222"/>
          <w:sz w:val="24"/>
          <w:szCs w:val="24"/>
          <w:shd w:val="clear" w:color="auto" w:fill="FFFFFF"/>
        </w:rPr>
        <w:t>Overall</w:t>
      </w:r>
      <w:proofErr w:type="gramEnd"/>
      <w:r>
        <w:rPr>
          <w:rFonts w:asciiTheme="majorHAnsi" w:hAnsiTheme="majorHAnsi" w:cs="Arial"/>
          <w:color w:val="222222"/>
          <w:sz w:val="24"/>
          <w:szCs w:val="24"/>
          <w:shd w:val="clear" w:color="auto" w:fill="FFFFFF"/>
        </w:rPr>
        <w:t xml:space="preserve"> t</w:t>
      </w:r>
      <w:r w:rsidR="002E0AA8" w:rsidRPr="00FF417E">
        <w:rPr>
          <w:rFonts w:asciiTheme="majorHAnsi" w:hAnsiTheme="majorHAnsi" w:cs="Arial"/>
          <w:color w:val="222222"/>
          <w:sz w:val="24"/>
          <w:szCs w:val="24"/>
          <w:shd w:val="clear" w:color="auto" w:fill="FFFFFF"/>
        </w:rPr>
        <w:t xml:space="preserve">he AVEs </w:t>
      </w:r>
      <w:r>
        <w:rPr>
          <w:rFonts w:asciiTheme="majorHAnsi" w:hAnsiTheme="majorHAnsi" w:cs="Arial"/>
          <w:color w:val="222222"/>
          <w:sz w:val="24"/>
          <w:szCs w:val="24"/>
          <w:shd w:val="clear" w:color="auto" w:fill="FFFFFF"/>
        </w:rPr>
        <w:t xml:space="preserve">used </w:t>
      </w:r>
      <w:r w:rsidR="002E0AA8" w:rsidRPr="00FF417E">
        <w:rPr>
          <w:rFonts w:asciiTheme="majorHAnsi" w:hAnsiTheme="majorHAnsi" w:cs="Arial"/>
          <w:color w:val="222222"/>
          <w:sz w:val="24"/>
          <w:szCs w:val="24"/>
          <w:shd w:val="clear" w:color="auto" w:fill="FFFFFF"/>
        </w:rPr>
        <w:t xml:space="preserve">in </w:t>
      </w:r>
      <w:r w:rsidR="000B7EE9">
        <w:rPr>
          <w:rFonts w:asciiTheme="majorHAnsi" w:hAnsiTheme="majorHAnsi" w:cs="Arial"/>
          <w:color w:val="222222"/>
          <w:sz w:val="24"/>
          <w:szCs w:val="24"/>
          <w:shd w:val="clear" w:color="auto" w:fill="FFFFFF"/>
        </w:rPr>
        <w:t xml:space="preserve">this paper cover </w:t>
      </w:r>
      <w:r w:rsidR="00AA2671" w:rsidRPr="00FF417E">
        <w:rPr>
          <w:rFonts w:asciiTheme="majorHAnsi" w:hAnsiTheme="majorHAnsi" w:cs="Arial"/>
          <w:color w:val="222222"/>
          <w:sz w:val="24"/>
          <w:szCs w:val="24"/>
          <w:shd w:val="clear" w:color="auto" w:fill="FFFFFF"/>
        </w:rPr>
        <w:t>all</w:t>
      </w:r>
      <w:r w:rsidR="000B7EE9">
        <w:rPr>
          <w:rFonts w:asciiTheme="majorHAnsi" w:hAnsiTheme="majorHAnsi" w:cs="Arial"/>
          <w:color w:val="222222"/>
          <w:sz w:val="24"/>
          <w:szCs w:val="24"/>
          <w:shd w:val="clear" w:color="auto" w:fill="FFFFFF"/>
        </w:rPr>
        <w:t>[?]</w:t>
      </w:r>
      <w:r w:rsidR="00AA2671" w:rsidRPr="00FF417E">
        <w:rPr>
          <w:rFonts w:asciiTheme="majorHAnsi" w:hAnsiTheme="majorHAnsi" w:cs="Arial"/>
          <w:color w:val="222222"/>
          <w:sz w:val="24"/>
          <w:szCs w:val="24"/>
          <w:shd w:val="clear" w:color="auto" w:fill="FFFFFF"/>
        </w:rPr>
        <w:t xml:space="preserve"> GTAP </w:t>
      </w:r>
      <w:r w:rsidR="0075191E" w:rsidRPr="00FF417E">
        <w:rPr>
          <w:rFonts w:asciiTheme="majorHAnsi" w:hAnsiTheme="majorHAnsi" w:cs="Arial"/>
          <w:color w:val="222222"/>
          <w:sz w:val="24"/>
          <w:szCs w:val="24"/>
          <w:shd w:val="clear" w:color="auto" w:fill="FFFFFF"/>
        </w:rPr>
        <w:t>sectors and</w:t>
      </w:r>
      <w:r w:rsidR="00AA2671" w:rsidRPr="00FF417E">
        <w:rPr>
          <w:rFonts w:asciiTheme="majorHAnsi" w:hAnsiTheme="majorHAnsi" w:cs="Arial"/>
          <w:color w:val="222222"/>
          <w:sz w:val="24"/>
          <w:szCs w:val="24"/>
          <w:shd w:val="clear" w:color="auto" w:fill="FFFFFF"/>
        </w:rPr>
        <w:t xml:space="preserve"> </w:t>
      </w:r>
      <w:r w:rsidR="000B7EE9">
        <w:rPr>
          <w:rFonts w:asciiTheme="majorHAnsi" w:hAnsiTheme="majorHAnsi" w:cs="Arial"/>
          <w:color w:val="222222"/>
          <w:sz w:val="24"/>
          <w:szCs w:val="24"/>
          <w:shd w:val="clear" w:color="auto" w:fill="FFFFFF"/>
        </w:rPr>
        <w:t>include [</w:t>
      </w:r>
      <w:r w:rsidR="00AA2671" w:rsidRPr="00FF417E">
        <w:rPr>
          <w:rFonts w:asciiTheme="majorHAnsi" w:hAnsiTheme="majorHAnsi" w:cs="Arial"/>
          <w:color w:val="222222"/>
          <w:sz w:val="24"/>
          <w:szCs w:val="24"/>
          <w:shd w:val="clear" w:color="auto" w:fill="FFFFFF"/>
        </w:rPr>
        <w:t>XXX</w:t>
      </w:r>
      <w:r w:rsidR="000B7EE9">
        <w:rPr>
          <w:rFonts w:asciiTheme="majorHAnsi" w:hAnsiTheme="majorHAnsi" w:cs="Arial"/>
          <w:color w:val="222222"/>
          <w:sz w:val="24"/>
          <w:szCs w:val="24"/>
          <w:shd w:val="clear" w:color="auto" w:fill="FFFFFF"/>
        </w:rPr>
        <w:t>]</w:t>
      </w:r>
      <w:r w:rsidR="00AA2671" w:rsidRPr="00FF417E">
        <w:rPr>
          <w:rFonts w:asciiTheme="majorHAnsi" w:hAnsiTheme="majorHAnsi" w:cs="Arial"/>
          <w:color w:val="222222"/>
          <w:sz w:val="24"/>
          <w:szCs w:val="24"/>
          <w:shd w:val="clear" w:color="auto" w:fill="FFFFFF"/>
        </w:rPr>
        <w:t xml:space="preserve"> </w:t>
      </w:r>
      <w:r w:rsidR="0075191E" w:rsidRPr="00FF417E">
        <w:rPr>
          <w:rFonts w:asciiTheme="majorHAnsi" w:hAnsiTheme="majorHAnsi" w:cs="Arial"/>
          <w:color w:val="222222"/>
          <w:sz w:val="24"/>
          <w:szCs w:val="24"/>
          <w:shd w:val="clear" w:color="auto" w:fill="FFFFFF"/>
        </w:rPr>
        <w:t xml:space="preserve">GTAP </w:t>
      </w:r>
      <w:r w:rsidR="00AA2671" w:rsidRPr="00FF417E">
        <w:rPr>
          <w:rFonts w:asciiTheme="majorHAnsi" w:hAnsiTheme="majorHAnsi" w:cs="Arial"/>
          <w:color w:val="222222"/>
          <w:sz w:val="24"/>
          <w:szCs w:val="24"/>
          <w:shd w:val="clear" w:color="auto" w:fill="FFFFFF"/>
        </w:rPr>
        <w:t>importer</w:t>
      </w:r>
      <w:r w:rsidR="0075191E" w:rsidRPr="00FF417E">
        <w:rPr>
          <w:rFonts w:asciiTheme="majorHAnsi" w:hAnsiTheme="majorHAnsi" w:cs="Arial"/>
          <w:color w:val="222222"/>
          <w:sz w:val="24"/>
          <w:szCs w:val="24"/>
          <w:shd w:val="clear" w:color="auto" w:fill="FFFFFF"/>
        </w:rPr>
        <w:t>s</w:t>
      </w:r>
      <w:r w:rsidR="00AA2671" w:rsidRPr="00FF417E">
        <w:rPr>
          <w:rFonts w:asciiTheme="majorHAnsi" w:hAnsiTheme="majorHAnsi" w:cs="Arial"/>
          <w:color w:val="222222"/>
          <w:sz w:val="24"/>
          <w:szCs w:val="24"/>
          <w:shd w:val="clear" w:color="auto" w:fill="FFFFFF"/>
        </w:rPr>
        <w:t xml:space="preserve"> and </w:t>
      </w:r>
      <w:r w:rsidR="000B7EE9">
        <w:rPr>
          <w:rFonts w:asciiTheme="majorHAnsi" w:hAnsiTheme="majorHAnsi" w:cs="Arial"/>
          <w:color w:val="222222"/>
          <w:sz w:val="24"/>
          <w:szCs w:val="24"/>
          <w:shd w:val="clear" w:color="auto" w:fill="FFFFFF"/>
        </w:rPr>
        <w:t>[</w:t>
      </w:r>
      <w:r w:rsidR="00AA2671" w:rsidRPr="00FF417E">
        <w:rPr>
          <w:rFonts w:asciiTheme="majorHAnsi" w:hAnsiTheme="majorHAnsi" w:cs="Arial"/>
          <w:color w:val="222222"/>
          <w:sz w:val="24"/>
          <w:szCs w:val="24"/>
          <w:shd w:val="clear" w:color="auto" w:fill="FFFFFF"/>
        </w:rPr>
        <w:t>XXX</w:t>
      </w:r>
      <w:r w:rsidR="000B7EE9">
        <w:rPr>
          <w:rFonts w:asciiTheme="majorHAnsi" w:hAnsiTheme="majorHAnsi" w:cs="Arial"/>
          <w:color w:val="222222"/>
          <w:sz w:val="24"/>
          <w:szCs w:val="24"/>
          <w:shd w:val="clear" w:color="auto" w:fill="FFFFFF"/>
        </w:rPr>
        <w:t>]</w:t>
      </w:r>
      <w:r w:rsidR="00AA2671" w:rsidRPr="00FF417E">
        <w:rPr>
          <w:rFonts w:asciiTheme="majorHAnsi" w:hAnsiTheme="majorHAnsi" w:cs="Arial"/>
          <w:color w:val="222222"/>
          <w:sz w:val="24"/>
          <w:szCs w:val="24"/>
          <w:shd w:val="clear" w:color="auto" w:fill="FFFFFF"/>
        </w:rPr>
        <w:t xml:space="preserve"> exporters</w:t>
      </w:r>
      <w:r w:rsidR="000B7EE9">
        <w:rPr>
          <w:rFonts w:asciiTheme="majorHAnsi" w:hAnsiTheme="majorHAnsi" w:cs="Arial"/>
          <w:color w:val="222222"/>
          <w:sz w:val="24"/>
          <w:szCs w:val="24"/>
          <w:shd w:val="clear" w:color="auto" w:fill="FFFFFF"/>
        </w:rPr>
        <w:t xml:space="preserve"> groupings</w:t>
      </w:r>
      <w:r w:rsidR="00AA2671" w:rsidRPr="00FF417E">
        <w:rPr>
          <w:rFonts w:asciiTheme="majorHAnsi" w:hAnsiTheme="majorHAnsi" w:cs="Arial"/>
          <w:color w:val="222222"/>
          <w:sz w:val="24"/>
          <w:szCs w:val="24"/>
          <w:shd w:val="clear" w:color="auto" w:fill="FFFFFF"/>
        </w:rPr>
        <w:t xml:space="preserve">. </w:t>
      </w:r>
      <w:r w:rsidR="00E65654" w:rsidRPr="00FF417E">
        <w:rPr>
          <w:rFonts w:asciiTheme="majorHAnsi" w:hAnsiTheme="majorHAnsi" w:cs="Arial"/>
          <w:color w:val="222222"/>
          <w:sz w:val="24"/>
          <w:szCs w:val="24"/>
          <w:shd w:val="clear" w:color="auto" w:fill="FFFFFF"/>
        </w:rPr>
        <w:t>The AVEs used in this paper are at</w:t>
      </w:r>
      <w:r w:rsidR="00AA2671" w:rsidRPr="00FF417E">
        <w:rPr>
          <w:rFonts w:asciiTheme="majorHAnsi" w:hAnsiTheme="majorHAnsi" w:cs="Arial"/>
          <w:color w:val="222222"/>
          <w:sz w:val="24"/>
          <w:szCs w:val="24"/>
          <w:shd w:val="clear" w:color="auto" w:fill="FFFFFF"/>
        </w:rPr>
        <w:t xml:space="preserve"> the bilateral level</w:t>
      </w:r>
      <w:r w:rsidR="00E65654" w:rsidRPr="00FF417E">
        <w:rPr>
          <w:rFonts w:asciiTheme="majorHAnsi" w:hAnsiTheme="majorHAnsi" w:cs="Arial"/>
          <w:color w:val="222222"/>
          <w:sz w:val="24"/>
          <w:szCs w:val="24"/>
          <w:shd w:val="clear" w:color="auto" w:fill="FFFFFF"/>
        </w:rPr>
        <w:t xml:space="preserve">, therefore capture the </w:t>
      </w:r>
      <w:r w:rsidR="00577D2A" w:rsidRPr="00FF417E">
        <w:rPr>
          <w:rFonts w:asciiTheme="majorHAnsi" w:hAnsiTheme="majorHAnsi" w:cs="Arial"/>
          <w:color w:val="222222"/>
          <w:sz w:val="24"/>
          <w:szCs w:val="24"/>
          <w:shd w:val="clear" w:color="auto" w:fill="FFFFFF"/>
        </w:rPr>
        <w:t xml:space="preserve">bilateral </w:t>
      </w:r>
      <w:r w:rsidR="00E65654" w:rsidRPr="00FF417E">
        <w:rPr>
          <w:rFonts w:asciiTheme="majorHAnsi" w:hAnsiTheme="majorHAnsi" w:cs="Arial"/>
          <w:color w:val="222222"/>
          <w:sz w:val="24"/>
          <w:szCs w:val="24"/>
          <w:shd w:val="clear" w:color="auto" w:fill="FFFFFF"/>
        </w:rPr>
        <w:t>average border costs associated wit</w:t>
      </w:r>
      <w:r w:rsidR="00577D2A" w:rsidRPr="00FF417E">
        <w:rPr>
          <w:rFonts w:asciiTheme="majorHAnsi" w:hAnsiTheme="majorHAnsi" w:cs="Arial"/>
          <w:color w:val="222222"/>
          <w:sz w:val="24"/>
          <w:szCs w:val="24"/>
          <w:shd w:val="clear" w:color="auto" w:fill="FFFFFF"/>
        </w:rPr>
        <w:t xml:space="preserve">h </w:t>
      </w:r>
      <w:r w:rsidR="00E65654" w:rsidRPr="00FF417E">
        <w:rPr>
          <w:rFonts w:asciiTheme="majorHAnsi" w:hAnsiTheme="majorHAnsi" w:cs="Arial"/>
          <w:color w:val="222222"/>
          <w:sz w:val="24"/>
          <w:szCs w:val="24"/>
          <w:shd w:val="clear" w:color="auto" w:fill="FFFFFF"/>
        </w:rPr>
        <w:t>NTM</w:t>
      </w:r>
      <w:r w:rsidR="00577D2A" w:rsidRPr="00FF417E">
        <w:rPr>
          <w:rFonts w:asciiTheme="majorHAnsi" w:hAnsiTheme="majorHAnsi" w:cs="Arial"/>
          <w:color w:val="222222"/>
          <w:sz w:val="24"/>
          <w:szCs w:val="24"/>
          <w:shd w:val="clear" w:color="auto" w:fill="FFFFFF"/>
        </w:rPr>
        <w:t xml:space="preserve"> for each of the GTAP sectors. </w:t>
      </w:r>
    </w:p>
    <w:p w14:paraId="46C040BF" w14:textId="3AEBAF30" w:rsidR="00577D2A" w:rsidRPr="00FF417E" w:rsidRDefault="00E53432" w:rsidP="00FF417E">
      <w:pPr>
        <w:jc w:val="both"/>
        <w:rPr>
          <w:rFonts w:asciiTheme="majorHAnsi" w:hAnsiTheme="majorHAnsi" w:cs="Arial"/>
          <w:color w:val="222222"/>
          <w:sz w:val="24"/>
          <w:szCs w:val="24"/>
          <w:shd w:val="clear" w:color="auto" w:fill="FFFFFF"/>
        </w:rPr>
      </w:pPr>
      <w:r w:rsidRPr="00FF417E">
        <w:rPr>
          <w:rFonts w:asciiTheme="majorHAnsi" w:hAnsiTheme="majorHAnsi" w:cs="Arial"/>
          <w:color w:val="222222"/>
          <w:sz w:val="24"/>
          <w:szCs w:val="24"/>
          <w:shd w:val="clear" w:color="auto" w:fill="FFFFFF"/>
        </w:rPr>
        <w:t xml:space="preserve">On average, the AVEs of border NTM vary substantially across sectors. On </w:t>
      </w:r>
      <w:proofErr w:type="gramStart"/>
      <w:r w:rsidRPr="00FF417E">
        <w:rPr>
          <w:rFonts w:asciiTheme="majorHAnsi" w:hAnsiTheme="majorHAnsi" w:cs="Arial"/>
          <w:color w:val="222222"/>
          <w:sz w:val="24"/>
          <w:szCs w:val="24"/>
          <w:shd w:val="clear" w:color="auto" w:fill="FFFFFF"/>
        </w:rPr>
        <w:t>one</w:t>
      </w:r>
      <w:proofErr w:type="gramEnd"/>
      <w:r w:rsidRPr="00FF417E">
        <w:rPr>
          <w:rFonts w:asciiTheme="majorHAnsi" w:hAnsiTheme="majorHAnsi" w:cs="Arial"/>
          <w:color w:val="222222"/>
          <w:sz w:val="24"/>
          <w:szCs w:val="24"/>
          <w:shd w:val="clear" w:color="auto" w:fill="FFFFFF"/>
        </w:rPr>
        <w:t xml:space="preserve"> hand</w:t>
      </w:r>
      <w:r w:rsidR="000B7EE9">
        <w:rPr>
          <w:rFonts w:asciiTheme="majorHAnsi" w:hAnsiTheme="majorHAnsi" w:cs="Arial"/>
          <w:color w:val="222222"/>
          <w:sz w:val="24"/>
          <w:szCs w:val="24"/>
          <w:shd w:val="clear" w:color="auto" w:fill="FFFFFF"/>
        </w:rPr>
        <w:t>,</w:t>
      </w:r>
      <w:r w:rsidRPr="00FF417E">
        <w:rPr>
          <w:rFonts w:asciiTheme="majorHAnsi" w:hAnsiTheme="majorHAnsi" w:cs="Arial"/>
          <w:color w:val="222222"/>
          <w:sz w:val="24"/>
          <w:szCs w:val="24"/>
          <w:shd w:val="clear" w:color="auto" w:fill="FFFFFF"/>
        </w:rPr>
        <w:t xml:space="preserve"> we have most of the natural resource commodities (e.g. oil</w:t>
      </w:r>
      <w:r w:rsidR="004D5338" w:rsidRPr="00FF417E">
        <w:rPr>
          <w:rFonts w:asciiTheme="majorHAnsi" w:hAnsiTheme="majorHAnsi" w:cs="Arial"/>
          <w:color w:val="222222"/>
          <w:sz w:val="24"/>
          <w:szCs w:val="24"/>
          <w:shd w:val="clear" w:color="auto" w:fill="FFFFFF"/>
        </w:rPr>
        <w:t xml:space="preserve">, gas, petroleum products) </w:t>
      </w:r>
      <w:r w:rsidR="00397AAA" w:rsidRPr="00FF417E">
        <w:rPr>
          <w:rFonts w:asciiTheme="majorHAnsi" w:hAnsiTheme="majorHAnsi" w:cs="Arial"/>
          <w:color w:val="222222"/>
          <w:sz w:val="24"/>
          <w:szCs w:val="24"/>
          <w:shd w:val="clear" w:color="auto" w:fill="FFFFFF"/>
        </w:rPr>
        <w:t>with small</w:t>
      </w:r>
      <w:r w:rsidRPr="00FF417E">
        <w:rPr>
          <w:rFonts w:asciiTheme="majorHAnsi" w:hAnsiTheme="majorHAnsi" w:cs="Arial"/>
          <w:color w:val="222222"/>
          <w:sz w:val="24"/>
          <w:szCs w:val="24"/>
          <w:shd w:val="clear" w:color="auto" w:fill="FFFFFF"/>
        </w:rPr>
        <w:t xml:space="preserve"> border costs</w:t>
      </w:r>
      <w:r w:rsidR="00EE38A8" w:rsidRPr="00FF417E">
        <w:rPr>
          <w:rFonts w:asciiTheme="majorHAnsi" w:hAnsiTheme="majorHAnsi" w:cs="Arial"/>
          <w:color w:val="222222"/>
          <w:sz w:val="24"/>
          <w:szCs w:val="24"/>
          <w:shd w:val="clear" w:color="auto" w:fill="FFFFFF"/>
        </w:rPr>
        <w:t>. On the other hand</w:t>
      </w:r>
      <w:r w:rsidR="000B7EE9">
        <w:rPr>
          <w:rFonts w:asciiTheme="majorHAnsi" w:hAnsiTheme="majorHAnsi" w:cs="Arial"/>
          <w:color w:val="222222"/>
          <w:sz w:val="24"/>
          <w:szCs w:val="24"/>
          <w:shd w:val="clear" w:color="auto" w:fill="FFFFFF"/>
        </w:rPr>
        <w:t>,</w:t>
      </w:r>
      <w:r w:rsidR="00EE38A8" w:rsidRPr="00FF417E">
        <w:rPr>
          <w:rFonts w:asciiTheme="majorHAnsi" w:hAnsiTheme="majorHAnsi" w:cs="Arial"/>
          <w:color w:val="222222"/>
          <w:sz w:val="24"/>
          <w:szCs w:val="24"/>
          <w:shd w:val="clear" w:color="auto" w:fill="FFFFFF"/>
        </w:rPr>
        <w:t xml:space="preserve"> larger border costs are for</w:t>
      </w:r>
      <w:r w:rsidR="0029518B" w:rsidRPr="00FF417E">
        <w:rPr>
          <w:rFonts w:asciiTheme="majorHAnsi" w:hAnsiTheme="majorHAnsi" w:cs="Arial"/>
          <w:color w:val="222222"/>
          <w:sz w:val="24"/>
          <w:szCs w:val="24"/>
          <w:shd w:val="clear" w:color="auto" w:fill="FFFFFF"/>
        </w:rPr>
        <w:t xml:space="preserve"> many of the </w:t>
      </w:r>
      <w:r w:rsidR="00EE38A8" w:rsidRPr="00FF417E">
        <w:rPr>
          <w:rFonts w:asciiTheme="majorHAnsi" w:hAnsiTheme="majorHAnsi" w:cs="Arial"/>
          <w:color w:val="222222"/>
          <w:sz w:val="24"/>
          <w:szCs w:val="24"/>
          <w:shd w:val="clear" w:color="auto" w:fill="FFFFFF"/>
        </w:rPr>
        <w:t>agricultural commodities (</w:t>
      </w:r>
      <w:proofErr w:type="spellStart"/>
      <w:r w:rsidR="00EE38A8" w:rsidRPr="00FF417E">
        <w:rPr>
          <w:rFonts w:asciiTheme="majorHAnsi" w:hAnsiTheme="majorHAnsi" w:cs="Arial"/>
          <w:color w:val="222222"/>
          <w:sz w:val="24"/>
          <w:szCs w:val="24"/>
          <w:shd w:val="clear" w:color="auto" w:fill="FFFFFF"/>
        </w:rPr>
        <w:t>e.g</w:t>
      </w:r>
      <w:proofErr w:type="spellEnd"/>
      <w:r w:rsidR="00EE38A8" w:rsidRPr="00FF417E">
        <w:rPr>
          <w:rFonts w:asciiTheme="majorHAnsi" w:hAnsiTheme="majorHAnsi" w:cs="Arial"/>
          <w:color w:val="222222"/>
          <w:sz w:val="24"/>
          <w:szCs w:val="24"/>
          <w:shd w:val="clear" w:color="auto" w:fill="FFFFFF"/>
        </w:rPr>
        <w:t xml:space="preserve"> rice, meats, milk</w:t>
      </w:r>
      <w:r w:rsidR="0029518B" w:rsidRPr="00FF417E">
        <w:rPr>
          <w:rFonts w:asciiTheme="majorHAnsi" w:hAnsiTheme="majorHAnsi" w:cs="Arial"/>
          <w:color w:val="222222"/>
          <w:sz w:val="24"/>
          <w:szCs w:val="24"/>
          <w:shd w:val="clear" w:color="auto" w:fill="FFFFFF"/>
        </w:rPr>
        <w:t>,</w:t>
      </w:r>
      <w:r w:rsidR="00EE38A8" w:rsidRPr="00FF417E">
        <w:rPr>
          <w:rFonts w:asciiTheme="majorHAnsi" w:hAnsiTheme="majorHAnsi" w:cs="Arial"/>
          <w:color w:val="222222"/>
          <w:sz w:val="24"/>
          <w:szCs w:val="24"/>
          <w:shd w:val="clear" w:color="auto" w:fill="FFFFFF"/>
        </w:rPr>
        <w:t xml:space="preserve"> sugar).</w:t>
      </w:r>
      <w:r w:rsidR="00B7574F" w:rsidRPr="00FF417E">
        <w:rPr>
          <w:rFonts w:asciiTheme="majorHAnsi" w:hAnsiTheme="majorHAnsi" w:cs="Arial"/>
          <w:color w:val="222222"/>
          <w:sz w:val="24"/>
          <w:szCs w:val="24"/>
          <w:shd w:val="clear" w:color="auto" w:fill="FFFFFF"/>
        </w:rPr>
        <w:t xml:space="preserve"> Table XXX reports average AVEs for each of the GTAP sector.</w:t>
      </w:r>
    </w:p>
    <w:p w14:paraId="29AC7FC6" w14:textId="34A5DE06" w:rsidR="00D97DCE" w:rsidRPr="00FF417E" w:rsidRDefault="00D97DCE" w:rsidP="00FF417E">
      <w:pPr>
        <w:jc w:val="both"/>
        <w:rPr>
          <w:rFonts w:asciiTheme="majorHAnsi" w:hAnsiTheme="majorHAnsi" w:cs="Arial"/>
          <w:color w:val="222222"/>
          <w:sz w:val="24"/>
          <w:szCs w:val="24"/>
          <w:shd w:val="clear" w:color="auto" w:fill="FFFFFF"/>
        </w:rPr>
      </w:pPr>
      <w:r w:rsidRPr="00FF417E">
        <w:rPr>
          <w:rFonts w:asciiTheme="majorHAnsi" w:hAnsiTheme="majorHAnsi" w:cs="Arial"/>
          <w:color w:val="222222"/>
          <w:sz w:val="24"/>
          <w:szCs w:val="24"/>
          <w:shd w:val="clear" w:color="auto" w:fill="FFFFFF"/>
        </w:rPr>
        <w:t>Table: AVE</w:t>
      </w:r>
      <w:r w:rsidR="000D0DDE" w:rsidRPr="00FF417E">
        <w:rPr>
          <w:rFonts w:asciiTheme="majorHAnsi" w:hAnsiTheme="majorHAnsi" w:cs="Arial"/>
          <w:color w:val="222222"/>
          <w:sz w:val="24"/>
          <w:szCs w:val="24"/>
          <w:shd w:val="clear" w:color="auto" w:fill="FFFFFF"/>
        </w:rPr>
        <w:t xml:space="preserve"> by GTAP sector</w:t>
      </w:r>
      <w:r w:rsidR="00EA7DB7" w:rsidRPr="00FF417E">
        <w:rPr>
          <w:rFonts w:asciiTheme="majorHAnsi" w:hAnsiTheme="majorHAnsi" w:cs="Arial"/>
          <w:color w:val="222222"/>
          <w:sz w:val="24"/>
          <w:szCs w:val="24"/>
          <w:shd w:val="clear" w:color="auto" w:fill="FFFFFF"/>
        </w:rPr>
        <w:t xml:space="preserve"> [to update]</w:t>
      </w:r>
    </w:p>
    <w:p w14:paraId="1C1F42F6" w14:textId="64222022" w:rsidR="00705ECD" w:rsidRPr="00FF417E" w:rsidRDefault="00705ECD" w:rsidP="00FF417E">
      <w:pPr>
        <w:jc w:val="both"/>
        <w:rPr>
          <w:rFonts w:asciiTheme="majorHAnsi" w:hAnsiTheme="majorHAnsi" w:cs="Arial"/>
          <w:color w:val="222222"/>
          <w:sz w:val="24"/>
          <w:szCs w:val="24"/>
          <w:shd w:val="clear" w:color="auto" w:fill="FFFFFF"/>
        </w:rPr>
      </w:pPr>
      <w:r w:rsidRPr="00FF417E">
        <w:rPr>
          <w:rFonts w:asciiTheme="majorHAnsi" w:hAnsiTheme="majorHAnsi"/>
          <w:noProof/>
          <w:sz w:val="24"/>
          <w:szCs w:val="24"/>
        </w:rPr>
        <w:lastRenderedPageBreak/>
        <w:drawing>
          <wp:inline distT="0" distB="0" distL="0" distR="0" wp14:anchorId="0C3796D7" wp14:editId="0DFBF3C5">
            <wp:extent cx="6543675" cy="2473960"/>
            <wp:effectExtent l="0" t="0" r="9525" b="2540"/>
            <wp:docPr id="2099049370" name="Chart 1">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FBBCC11" w14:textId="2DC04B91" w:rsidR="000D0DDE" w:rsidRPr="00FF417E" w:rsidRDefault="000D0DDE" w:rsidP="00FF417E">
      <w:pPr>
        <w:jc w:val="both"/>
        <w:rPr>
          <w:rFonts w:asciiTheme="majorHAnsi" w:hAnsiTheme="majorHAnsi" w:cs="Arial"/>
          <w:color w:val="222222"/>
          <w:sz w:val="24"/>
          <w:szCs w:val="24"/>
          <w:shd w:val="clear" w:color="auto" w:fill="FFFFFF"/>
        </w:rPr>
      </w:pPr>
      <w:r w:rsidRPr="00FF417E">
        <w:rPr>
          <w:rFonts w:asciiTheme="majorHAnsi" w:hAnsiTheme="majorHAnsi" w:cs="Arial"/>
          <w:color w:val="222222"/>
          <w:sz w:val="24"/>
          <w:szCs w:val="24"/>
          <w:shd w:val="clear" w:color="auto" w:fill="FFFFFF"/>
        </w:rPr>
        <w:t xml:space="preserve">Table: AVE by GTAP </w:t>
      </w:r>
      <w:r w:rsidR="001C0D91" w:rsidRPr="00FF417E">
        <w:rPr>
          <w:rFonts w:asciiTheme="majorHAnsi" w:hAnsiTheme="majorHAnsi" w:cs="Arial"/>
          <w:color w:val="222222"/>
          <w:sz w:val="24"/>
          <w:szCs w:val="24"/>
          <w:shd w:val="clear" w:color="auto" w:fill="FFFFFF"/>
        </w:rPr>
        <w:t>region bilateral</w:t>
      </w:r>
      <w:r w:rsidR="00EA7DB7" w:rsidRPr="00FF417E">
        <w:rPr>
          <w:rFonts w:asciiTheme="majorHAnsi" w:hAnsiTheme="majorHAnsi" w:cs="Arial"/>
          <w:color w:val="222222"/>
          <w:sz w:val="24"/>
          <w:szCs w:val="24"/>
          <w:shd w:val="clear" w:color="auto" w:fill="FFFFFF"/>
        </w:rPr>
        <w:t xml:space="preserve"> [to update with what is relevant for the simulations]</w:t>
      </w:r>
    </w:p>
    <w:p w14:paraId="723F5ABA" w14:textId="77777777" w:rsidR="00505BDD" w:rsidRPr="00FF417E" w:rsidRDefault="00505BDD" w:rsidP="00FF417E">
      <w:pPr>
        <w:jc w:val="both"/>
        <w:rPr>
          <w:rFonts w:asciiTheme="majorHAnsi" w:hAnsiTheme="majorHAnsi" w:cs="Arial"/>
          <w:color w:val="222222"/>
          <w:sz w:val="24"/>
          <w:szCs w:val="24"/>
          <w:shd w:val="clear" w:color="auto" w:fill="FFFFFF"/>
        </w:rPr>
      </w:pPr>
    </w:p>
    <w:tbl>
      <w:tblPr>
        <w:tblW w:w="9660" w:type="dxa"/>
        <w:tblInd w:w="108" w:type="dxa"/>
        <w:tblLook w:val="04A0" w:firstRow="1" w:lastRow="0" w:firstColumn="1" w:lastColumn="0" w:noHBand="0" w:noVBand="1"/>
      </w:tblPr>
      <w:tblGrid>
        <w:gridCol w:w="1260"/>
        <w:gridCol w:w="1107"/>
        <w:gridCol w:w="840"/>
        <w:gridCol w:w="878"/>
        <w:gridCol w:w="1072"/>
        <w:gridCol w:w="1031"/>
        <w:gridCol w:w="863"/>
        <w:gridCol w:w="840"/>
        <w:gridCol w:w="840"/>
        <w:gridCol w:w="840"/>
        <w:gridCol w:w="964"/>
      </w:tblGrid>
      <w:tr w:rsidR="00EA7DB7" w:rsidRPr="00FF417E" w14:paraId="076FD032" w14:textId="77777777" w:rsidTr="00EA7DB7">
        <w:trPr>
          <w:trHeight w:val="285"/>
        </w:trPr>
        <w:tc>
          <w:tcPr>
            <w:tcW w:w="1260" w:type="dxa"/>
            <w:tcBorders>
              <w:top w:val="nil"/>
              <w:left w:val="nil"/>
              <w:bottom w:val="nil"/>
              <w:right w:val="nil"/>
            </w:tcBorders>
            <w:shd w:val="clear" w:color="auto" w:fill="auto"/>
            <w:noWrap/>
            <w:vAlign w:val="bottom"/>
            <w:hideMark/>
          </w:tcPr>
          <w:p w14:paraId="184FF44C" w14:textId="77777777" w:rsidR="00EA7DB7" w:rsidRPr="00FF417E" w:rsidRDefault="00EA7DB7" w:rsidP="00FF417E">
            <w:pPr>
              <w:spacing w:after="0"/>
              <w:rPr>
                <w:rFonts w:asciiTheme="majorHAnsi" w:eastAsia="Times New Roman" w:hAnsiTheme="majorHAnsi" w:cs="Times New Roman"/>
                <w:kern w:val="0"/>
                <w:sz w:val="24"/>
                <w:szCs w:val="24"/>
                <w14:ligatures w14:val="none"/>
              </w:rPr>
            </w:pPr>
          </w:p>
        </w:tc>
        <w:tc>
          <w:tcPr>
            <w:tcW w:w="840" w:type="dxa"/>
            <w:tcBorders>
              <w:top w:val="nil"/>
              <w:left w:val="nil"/>
              <w:bottom w:val="nil"/>
              <w:right w:val="nil"/>
            </w:tcBorders>
            <w:shd w:val="clear" w:color="auto" w:fill="auto"/>
            <w:noWrap/>
            <w:vAlign w:val="center"/>
            <w:hideMark/>
          </w:tcPr>
          <w:p w14:paraId="4E5BC7F9"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exporter</w:t>
            </w:r>
          </w:p>
        </w:tc>
        <w:tc>
          <w:tcPr>
            <w:tcW w:w="840" w:type="dxa"/>
            <w:tcBorders>
              <w:top w:val="nil"/>
              <w:left w:val="nil"/>
              <w:bottom w:val="nil"/>
              <w:right w:val="nil"/>
            </w:tcBorders>
            <w:shd w:val="clear" w:color="auto" w:fill="auto"/>
            <w:noWrap/>
            <w:vAlign w:val="center"/>
            <w:hideMark/>
          </w:tcPr>
          <w:p w14:paraId="3213766C"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p>
        </w:tc>
        <w:tc>
          <w:tcPr>
            <w:tcW w:w="840" w:type="dxa"/>
            <w:tcBorders>
              <w:top w:val="nil"/>
              <w:left w:val="nil"/>
              <w:bottom w:val="nil"/>
              <w:right w:val="nil"/>
            </w:tcBorders>
            <w:shd w:val="clear" w:color="auto" w:fill="auto"/>
            <w:noWrap/>
            <w:vAlign w:val="center"/>
            <w:hideMark/>
          </w:tcPr>
          <w:p w14:paraId="2FB2D458" w14:textId="77777777" w:rsidR="00EA7DB7" w:rsidRPr="00FF417E" w:rsidRDefault="00EA7DB7" w:rsidP="00FF417E">
            <w:pPr>
              <w:spacing w:after="0"/>
              <w:jc w:val="center"/>
              <w:rPr>
                <w:rFonts w:asciiTheme="majorHAnsi" w:eastAsia="Times New Roman" w:hAnsiTheme="majorHAnsi" w:cs="Times New Roman"/>
                <w:kern w:val="0"/>
                <w:sz w:val="24"/>
                <w:szCs w:val="24"/>
                <w14:ligatures w14:val="none"/>
              </w:rPr>
            </w:pPr>
          </w:p>
        </w:tc>
        <w:tc>
          <w:tcPr>
            <w:tcW w:w="840" w:type="dxa"/>
            <w:tcBorders>
              <w:top w:val="nil"/>
              <w:left w:val="nil"/>
              <w:bottom w:val="nil"/>
              <w:right w:val="nil"/>
            </w:tcBorders>
            <w:shd w:val="clear" w:color="auto" w:fill="auto"/>
            <w:noWrap/>
            <w:vAlign w:val="center"/>
            <w:hideMark/>
          </w:tcPr>
          <w:p w14:paraId="7A88F5E7" w14:textId="77777777" w:rsidR="00EA7DB7" w:rsidRPr="00FF417E" w:rsidRDefault="00EA7DB7" w:rsidP="00FF417E">
            <w:pPr>
              <w:spacing w:after="0"/>
              <w:jc w:val="center"/>
              <w:rPr>
                <w:rFonts w:asciiTheme="majorHAnsi" w:eastAsia="Times New Roman" w:hAnsiTheme="majorHAnsi" w:cs="Times New Roman"/>
                <w:kern w:val="0"/>
                <w:sz w:val="24"/>
                <w:szCs w:val="24"/>
                <w14:ligatures w14:val="none"/>
              </w:rPr>
            </w:pPr>
          </w:p>
        </w:tc>
        <w:tc>
          <w:tcPr>
            <w:tcW w:w="840" w:type="dxa"/>
            <w:tcBorders>
              <w:top w:val="nil"/>
              <w:left w:val="nil"/>
              <w:bottom w:val="nil"/>
              <w:right w:val="nil"/>
            </w:tcBorders>
            <w:shd w:val="clear" w:color="auto" w:fill="auto"/>
            <w:noWrap/>
            <w:vAlign w:val="center"/>
            <w:hideMark/>
          </w:tcPr>
          <w:p w14:paraId="734E9920" w14:textId="77777777" w:rsidR="00EA7DB7" w:rsidRPr="00FF417E" w:rsidRDefault="00EA7DB7" w:rsidP="00FF417E">
            <w:pPr>
              <w:spacing w:after="0"/>
              <w:jc w:val="center"/>
              <w:rPr>
                <w:rFonts w:asciiTheme="majorHAnsi" w:eastAsia="Times New Roman" w:hAnsiTheme="majorHAnsi" w:cs="Times New Roman"/>
                <w:kern w:val="0"/>
                <w:sz w:val="24"/>
                <w:szCs w:val="24"/>
                <w14:ligatures w14:val="none"/>
              </w:rPr>
            </w:pPr>
          </w:p>
        </w:tc>
        <w:tc>
          <w:tcPr>
            <w:tcW w:w="840" w:type="dxa"/>
            <w:tcBorders>
              <w:top w:val="nil"/>
              <w:left w:val="nil"/>
              <w:bottom w:val="nil"/>
              <w:right w:val="nil"/>
            </w:tcBorders>
            <w:shd w:val="clear" w:color="auto" w:fill="auto"/>
            <w:noWrap/>
            <w:vAlign w:val="center"/>
            <w:hideMark/>
          </w:tcPr>
          <w:p w14:paraId="2955445B" w14:textId="77777777" w:rsidR="00EA7DB7" w:rsidRPr="00FF417E" w:rsidRDefault="00EA7DB7" w:rsidP="00FF417E">
            <w:pPr>
              <w:spacing w:after="0"/>
              <w:jc w:val="center"/>
              <w:rPr>
                <w:rFonts w:asciiTheme="majorHAnsi" w:eastAsia="Times New Roman" w:hAnsiTheme="majorHAnsi" w:cs="Times New Roman"/>
                <w:kern w:val="0"/>
                <w:sz w:val="24"/>
                <w:szCs w:val="24"/>
                <w14:ligatures w14:val="none"/>
              </w:rPr>
            </w:pPr>
          </w:p>
        </w:tc>
        <w:tc>
          <w:tcPr>
            <w:tcW w:w="840" w:type="dxa"/>
            <w:tcBorders>
              <w:top w:val="nil"/>
              <w:left w:val="nil"/>
              <w:bottom w:val="nil"/>
              <w:right w:val="nil"/>
            </w:tcBorders>
            <w:shd w:val="clear" w:color="auto" w:fill="auto"/>
            <w:noWrap/>
            <w:vAlign w:val="center"/>
            <w:hideMark/>
          </w:tcPr>
          <w:p w14:paraId="472C27E8" w14:textId="77777777" w:rsidR="00EA7DB7" w:rsidRPr="00FF417E" w:rsidRDefault="00EA7DB7" w:rsidP="00FF417E">
            <w:pPr>
              <w:spacing w:after="0"/>
              <w:jc w:val="center"/>
              <w:rPr>
                <w:rFonts w:asciiTheme="majorHAnsi" w:eastAsia="Times New Roman" w:hAnsiTheme="majorHAnsi" w:cs="Times New Roman"/>
                <w:kern w:val="0"/>
                <w:sz w:val="24"/>
                <w:szCs w:val="24"/>
                <w14:ligatures w14:val="none"/>
              </w:rPr>
            </w:pPr>
          </w:p>
        </w:tc>
        <w:tc>
          <w:tcPr>
            <w:tcW w:w="840" w:type="dxa"/>
            <w:tcBorders>
              <w:top w:val="nil"/>
              <w:left w:val="nil"/>
              <w:bottom w:val="nil"/>
              <w:right w:val="nil"/>
            </w:tcBorders>
            <w:shd w:val="clear" w:color="auto" w:fill="auto"/>
            <w:noWrap/>
            <w:vAlign w:val="center"/>
            <w:hideMark/>
          </w:tcPr>
          <w:p w14:paraId="0403C8C0" w14:textId="77777777" w:rsidR="00EA7DB7" w:rsidRPr="00FF417E" w:rsidRDefault="00EA7DB7" w:rsidP="00FF417E">
            <w:pPr>
              <w:spacing w:after="0"/>
              <w:jc w:val="center"/>
              <w:rPr>
                <w:rFonts w:asciiTheme="majorHAnsi" w:eastAsia="Times New Roman" w:hAnsiTheme="majorHAnsi" w:cs="Times New Roman"/>
                <w:kern w:val="0"/>
                <w:sz w:val="24"/>
                <w:szCs w:val="24"/>
                <w14:ligatures w14:val="none"/>
              </w:rPr>
            </w:pPr>
          </w:p>
        </w:tc>
        <w:tc>
          <w:tcPr>
            <w:tcW w:w="840" w:type="dxa"/>
            <w:tcBorders>
              <w:top w:val="nil"/>
              <w:left w:val="nil"/>
              <w:bottom w:val="nil"/>
              <w:right w:val="nil"/>
            </w:tcBorders>
            <w:shd w:val="clear" w:color="auto" w:fill="auto"/>
            <w:noWrap/>
            <w:vAlign w:val="center"/>
            <w:hideMark/>
          </w:tcPr>
          <w:p w14:paraId="20391C95" w14:textId="77777777" w:rsidR="00EA7DB7" w:rsidRPr="00FF417E" w:rsidRDefault="00EA7DB7" w:rsidP="00FF417E">
            <w:pPr>
              <w:spacing w:after="0"/>
              <w:jc w:val="center"/>
              <w:rPr>
                <w:rFonts w:asciiTheme="majorHAnsi" w:eastAsia="Times New Roman" w:hAnsiTheme="majorHAnsi" w:cs="Times New Roman"/>
                <w:kern w:val="0"/>
                <w:sz w:val="24"/>
                <w:szCs w:val="24"/>
                <w14:ligatures w14:val="none"/>
              </w:rPr>
            </w:pPr>
          </w:p>
        </w:tc>
        <w:tc>
          <w:tcPr>
            <w:tcW w:w="840" w:type="dxa"/>
            <w:tcBorders>
              <w:top w:val="nil"/>
              <w:left w:val="nil"/>
              <w:bottom w:val="nil"/>
              <w:right w:val="nil"/>
            </w:tcBorders>
            <w:shd w:val="clear" w:color="auto" w:fill="auto"/>
            <w:noWrap/>
            <w:vAlign w:val="center"/>
            <w:hideMark/>
          </w:tcPr>
          <w:p w14:paraId="4A0A47C3" w14:textId="77777777" w:rsidR="00EA7DB7" w:rsidRPr="00FF417E" w:rsidRDefault="00EA7DB7" w:rsidP="00FF417E">
            <w:pPr>
              <w:spacing w:after="0"/>
              <w:jc w:val="center"/>
              <w:rPr>
                <w:rFonts w:asciiTheme="majorHAnsi" w:eastAsia="Times New Roman" w:hAnsiTheme="majorHAnsi" w:cs="Times New Roman"/>
                <w:kern w:val="0"/>
                <w:sz w:val="24"/>
                <w:szCs w:val="24"/>
                <w14:ligatures w14:val="none"/>
              </w:rPr>
            </w:pPr>
          </w:p>
        </w:tc>
      </w:tr>
      <w:tr w:rsidR="00EA7DB7" w:rsidRPr="00FF417E" w14:paraId="03BB16E4" w14:textId="77777777" w:rsidTr="00EA7DB7">
        <w:trPr>
          <w:trHeight w:val="720"/>
        </w:trPr>
        <w:tc>
          <w:tcPr>
            <w:tcW w:w="1260" w:type="dxa"/>
            <w:tcBorders>
              <w:top w:val="nil"/>
              <w:left w:val="nil"/>
              <w:bottom w:val="nil"/>
              <w:right w:val="nil"/>
            </w:tcBorders>
            <w:shd w:val="clear" w:color="auto" w:fill="auto"/>
            <w:noWrap/>
            <w:vAlign w:val="bottom"/>
            <w:hideMark/>
          </w:tcPr>
          <w:p w14:paraId="6792C529"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importer</w:t>
            </w:r>
          </w:p>
        </w:tc>
        <w:tc>
          <w:tcPr>
            <w:tcW w:w="840" w:type="dxa"/>
            <w:tcBorders>
              <w:top w:val="nil"/>
              <w:left w:val="nil"/>
              <w:bottom w:val="nil"/>
              <w:right w:val="nil"/>
            </w:tcBorders>
            <w:shd w:val="clear" w:color="auto" w:fill="auto"/>
            <w:vAlign w:val="center"/>
            <w:hideMark/>
          </w:tcPr>
          <w:p w14:paraId="04A29C2D"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East Asia</w:t>
            </w:r>
          </w:p>
        </w:tc>
        <w:tc>
          <w:tcPr>
            <w:tcW w:w="840" w:type="dxa"/>
            <w:tcBorders>
              <w:top w:val="nil"/>
              <w:left w:val="nil"/>
              <w:bottom w:val="nil"/>
              <w:right w:val="nil"/>
            </w:tcBorders>
            <w:shd w:val="clear" w:color="auto" w:fill="auto"/>
            <w:vAlign w:val="center"/>
            <w:hideMark/>
          </w:tcPr>
          <w:p w14:paraId="6D4E1B80"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Latin Amer</w:t>
            </w:r>
          </w:p>
        </w:tc>
        <w:tc>
          <w:tcPr>
            <w:tcW w:w="840" w:type="dxa"/>
            <w:tcBorders>
              <w:top w:val="nil"/>
              <w:left w:val="nil"/>
              <w:bottom w:val="nil"/>
              <w:right w:val="nil"/>
            </w:tcBorders>
            <w:shd w:val="clear" w:color="auto" w:fill="auto"/>
            <w:vAlign w:val="center"/>
            <w:hideMark/>
          </w:tcPr>
          <w:p w14:paraId="6881DD55"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MENA</w:t>
            </w:r>
          </w:p>
        </w:tc>
        <w:tc>
          <w:tcPr>
            <w:tcW w:w="840" w:type="dxa"/>
            <w:tcBorders>
              <w:top w:val="nil"/>
              <w:left w:val="nil"/>
              <w:bottom w:val="nil"/>
              <w:right w:val="nil"/>
            </w:tcBorders>
            <w:shd w:val="clear" w:color="auto" w:fill="auto"/>
            <w:vAlign w:val="center"/>
            <w:hideMark/>
          </w:tcPr>
          <w:p w14:paraId="5914EC01"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North America</w:t>
            </w:r>
          </w:p>
        </w:tc>
        <w:tc>
          <w:tcPr>
            <w:tcW w:w="840" w:type="dxa"/>
            <w:tcBorders>
              <w:top w:val="nil"/>
              <w:left w:val="nil"/>
              <w:bottom w:val="nil"/>
              <w:right w:val="nil"/>
            </w:tcBorders>
            <w:shd w:val="clear" w:color="auto" w:fill="auto"/>
            <w:vAlign w:val="center"/>
            <w:hideMark/>
          </w:tcPr>
          <w:p w14:paraId="12AED24F"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Oceania</w:t>
            </w:r>
          </w:p>
        </w:tc>
        <w:tc>
          <w:tcPr>
            <w:tcW w:w="840" w:type="dxa"/>
            <w:tcBorders>
              <w:top w:val="nil"/>
              <w:left w:val="nil"/>
              <w:bottom w:val="nil"/>
              <w:right w:val="nil"/>
            </w:tcBorders>
            <w:shd w:val="clear" w:color="auto" w:fill="auto"/>
            <w:vAlign w:val="center"/>
            <w:hideMark/>
          </w:tcPr>
          <w:p w14:paraId="57C6E269"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Rest World</w:t>
            </w:r>
          </w:p>
        </w:tc>
        <w:tc>
          <w:tcPr>
            <w:tcW w:w="840" w:type="dxa"/>
            <w:tcBorders>
              <w:top w:val="nil"/>
              <w:left w:val="nil"/>
              <w:bottom w:val="nil"/>
              <w:right w:val="nil"/>
            </w:tcBorders>
            <w:shd w:val="clear" w:color="auto" w:fill="auto"/>
            <w:vAlign w:val="center"/>
            <w:hideMark/>
          </w:tcPr>
          <w:p w14:paraId="03E8BB74"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SE Asia</w:t>
            </w:r>
          </w:p>
        </w:tc>
        <w:tc>
          <w:tcPr>
            <w:tcW w:w="840" w:type="dxa"/>
            <w:tcBorders>
              <w:top w:val="nil"/>
              <w:left w:val="nil"/>
              <w:bottom w:val="nil"/>
              <w:right w:val="nil"/>
            </w:tcBorders>
            <w:shd w:val="clear" w:color="auto" w:fill="auto"/>
            <w:vAlign w:val="center"/>
            <w:hideMark/>
          </w:tcPr>
          <w:p w14:paraId="126BF46F"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SS Africa</w:t>
            </w:r>
          </w:p>
        </w:tc>
        <w:tc>
          <w:tcPr>
            <w:tcW w:w="840" w:type="dxa"/>
            <w:tcBorders>
              <w:top w:val="nil"/>
              <w:left w:val="nil"/>
              <w:bottom w:val="nil"/>
              <w:right w:val="nil"/>
            </w:tcBorders>
            <w:shd w:val="clear" w:color="auto" w:fill="auto"/>
            <w:vAlign w:val="center"/>
            <w:hideMark/>
          </w:tcPr>
          <w:p w14:paraId="528D0F01"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South Asia</w:t>
            </w:r>
          </w:p>
        </w:tc>
        <w:tc>
          <w:tcPr>
            <w:tcW w:w="840" w:type="dxa"/>
            <w:tcBorders>
              <w:top w:val="nil"/>
              <w:left w:val="nil"/>
              <w:bottom w:val="nil"/>
              <w:right w:val="nil"/>
            </w:tcBorders>
            <w:shd w:val="clear" w:color="auto" w:fill="auto"/>
            <w:vAlign w:val="center"/>
            <w:hideMark/>
          </w:tcPr>
          <w:p w14:paraId="08857A8D" w14:textId="77777777" w:rsidR="00EA7DB7" w:rsidRPr="00FF417E" w:rsidRDefault="00EA7DB7" w:rsidP="00FF417E">
            <w:pPr>
              <w:spacing w:after="0"/>
              <w:jc w:val="center"/>
              <w:rPr>
                <w:rFonts w:asciiTheme="majorHAnsi" w:eastAsia="Times New Roman" w:hAnsiTheme="majorHAnsi" w:cs="Calibri"/>
                <w:color w:val="2F75B5"/>
                <w:kern w:val="0"/>
                <w:sz w:val="24"/>
                <w:szCs w:val="24"/>
                <w14:ligatures w14:val="none"/>
              </w:rPr>
            </w:pPr>
            <w:r w:rsidRPr="00FF417E">
              <w:rPr>
                <w:rFonts w:asciiTheme="majorHAnsi" w:eastAsia="Times New Roman" w:hAnsiTheme="majorHAnsi" w:cs="Calibri"/>
                <w:color w:val="2F75B5"/>
                <w:kern w:val="0"/>
                <w:sz w:val="24"/>
                <w:szCs w:val="24"/>
                <w14:ligatures w14:val="none"/>
              </w:rPr>
              <w:t>West Europe</w:t>
            </w:r>
          </w:p>
        </w:tc>
      </w:tr>
      <w:tr w:rsidR="00EA7DB7" w:rsidRPr="00FF417E" w14:paraId="2CEF4BA8" w14:textId="77777777" w:rsidTr="00EA7DB7">
        <w:trPr>
          <w:trHeight w:val="285"/>
        </w:trPr>
        <w:tc>
          <w:tcPr>
            <w:tcW w:w="1260" w:type="dxa"/>
            <w:tcBorders>
              <w:top w:val="nil"/>
              <w:left w:val="nil"/>
              <w:bottom w:val="nil"/>
              <w:right w:val="nil"/>
            </w:tcBorders>
            <w:shd w:val="clear" w:color="auto" w:fill="auto"/>
            <w:noWrap/>
            <w:vAlign w:val="center"/>
            <w:hideMark/>
          </w:tcPr>
          <w:p w14:paraId="3B69EDFD"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East Asia</w:t>
            </w:r>
          </w:p>
        </w:tc>
        <w:tc>
          <w:tcPr>
            <w:tcW w:w="840" w:type="dxa"/>
            <w:tcBorders>
              <w:top w:val="nil"/>
              <w:left w:val="nil"/>
              <w:bottom w:val="nil"/>
              <w:right w:val="nil"/>
            </w:tcBorders>
            <w:shd w:val="clear" w:color="auto" w:fill="auto"/>
            <w:noWrap/>
            <w:vAlign w:val="center"/>
            <w:hideMark/>
          </w:tcPr>
          <w:p w14:paraId="69DBCF7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4.4%</w:t>
            </w:r>
          </w:p>
        </w:tc>
        <w:tc>
          <w:tcPr>
            <w:tcW w:w="840" w:type="dxa"/>
            <w:tcBorders>
              <w:top w:val="nil"/>
              <w:left w:val="nil"/>
              <w:bottom w:val="nil"/>
              <w:right w:val="nil"/>
            </w:tcBorders>
            <w:shd w:val="clear" w:color="auto" w:fill="auto"/>
            <w:noWrap/>
            <w:vAlign w:val="center"/>
            <w:hideMark/>
          </w:tcPr>
          <w:p w14:paraId="30B3BA5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5.2%</w:t>
            </w:r>
          </w:p>
        </w:tc>
        <w:tc>
          <w:tcPr>
            <w:tcW w:w="840" w:type="dxa"/>
            <w:tcBorders>
              <w:top w:val="nil"/>
              <w:left w:val="nil"/>
              <w:bottom w:val="nil"/>
              <w:right w:val="nil"/>
            </w:tcBorders>
            <w:shd w:val="clear" w:color="auto" w:fill="auto"/>
            <w:noWrap/>
            <w:vAlign w:val="center"/>
            <w:hideMark/>
          </w:tcPr>
          <w:p w14:paraId="79FF68F9"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2.7%</w:t>
            </w:r>
          </w:p>
        </w:tc>
        <w:tc>
          <w:tcPr>
            <w:tcW w:w="840" w:type="dxa"/>
            <w:tcBorders>
              <w:top w:val="nil"/>
              <w:left w:val="nil"/>
              <w:bottom w:val="nil"/>
              <w:right w:val="nil"/>
            </w:tcBorders>
            <w:shd w:val="clear" w:color="auto" w:fill="auto"/>
            <w:noWrap/>
            <w:vAlign w:val="center"/>
            <w:hideMark/>
          </w:tcPr>
          <w:p w14:paraId="566B1776"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5.0%</w:t>
            </w:r>
          </w:p>
        </w:tc>
        <w:tc>
          <w:tcPr>
            <w:tcW w:w="840" w:type="dxa"/>
            <w:tcBorders>
              <w:top w:val="nil"/>
              <w:left w:val="nil"/>
              <w:bottom w:val="nil"/>
              <w:right w:val="nil"/>
            </w:tcBorders>
            <w:shd w:val="clear" w:color="auto" w:fill="auto"/>
            <w:noWrap/>
            <w:vAlign w:val="center"/>
            <w:hideMark/>
          </w:tcPr>
          <w:p w14:paraId="656FDF35"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8.8%</w:t>
            </w:r>
          </w:p>
        </w:tc>
        <w:tc>
          <w:tcPr>
            <w:tcW w:w="840" w:type="dxa"/>
            <w:tcBorders>
              <w:top w:val="nil"/>
              <w:left w:val="nil"/>
              <w:bottom w:val="nil"/>
              <w:right w:val="nil"/>
            </w:tcBorders>
            <w:shd w:val="clear" w:color="auto" w:fill="auto"/>
            <w:noWrap/>
            <w:vAlign w:val="center"/>
            <w:hideMark/>
          </w:tcPr>
          <w:p w14:paraId="0FD2F03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2.4%</w:t>
            </w:r>
          </w:p>
        </w:tc>
        <w:tc>
          <w:tcPr>
            <w:tcW w:w="840" w:type="dxa"/>
            <w:tcBorders>
              <w:top w:val="nil"/>
              <w:left w:val="nil"/>
              <w:bottom w:val="nil"/>
              <w:right w:val="nil"/>
            </w:tcBorders>
            <w:shd w:val="clear" w:color="auto" w:fill="auto"/>
            <w:noWrap/>
            <w:vAlign w:val="center"/>
            <w:hideMark/>
          </w:tcPr>
          <w:p w14:paraId="2A55258D"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3.5%</w:t>
            </w:r>
          </w:p>
        </w:tc>
        <w:tc>
          <w:tcPr>
            <w:tcW w:w="840" w:type="dxa"/>
            <w:tcBorders>
              <w:top w:val="nil"/>
              <w:left w:val="nil"/>
              <w:bottom w:val="nil"/>
              <w:right w:val="nil"/>
            </w:tcBorders>
            <w:shd w:val="clear" w:color="auto" w:fill="auto"/>
            <w:noWrap/>
            <w:vAlign w:val="center"/>
            <w:hideMark/>
          </w:tcPr>
          <w:p w14:paraId="1F8E49F9"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5.1%</w:t>
            </w:r>
          </w:p>
        </w:tc>
        <w:tc>
          <w:tcPr>
            <w:tcW w:w="840" w:type="dxa"/>
            <w:tcBorders>
              <w:top w:val="nil"/>
              <w:left w:val="nil"/>
              <w:bottom w:val="nil"/>
              <w:right w:val="nil"/>
            </w:tcBorders>
            <w:shd w:val="clear" w:color="auto" w:fill="auto"/>
            <w:noWrap/>
            <w:vAlign w:val="center"/>
            <w:hideMark/>
          </w:tcPr>
          <w:p w14:paraId="30B88E54"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3.1%</w:t>
            </w:r>
          </w:p>
        </w:tc>
        <w:tc>
          <w:tcPr>
            <w:tcW w:w="840" w:type="dxa"/>
            <w:tcBorders>
              <w:top w:val="nil"/>
              <w:left w:val="nil"/>
              <w:bottom w:val="nil"/>
              <w:right w:val="nil"/>
            </w:tcBorders>
            <w:shd w:val="clear" w:color="auto" w:fill="auto"/>
            <w:noWrap/>
            <w:vAlign w:val="center"/>
            <w:hideMark/>
          </w:tcPr>
          <w:p w14:paraId="3339013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5.6%</w:t>
            </w:r>
          </w:p>
        </w:tc>
      </w:tr>
      <w:tr w:rsidR="00EA7DB7" w:rsidRPr="00FF417E" w14:paraId="403DD16B" w14:textId="77777777" w:rsidTr="00EA7DB7">
        <w:trPr>
          <w:trHeight w:val="285"/>
        </w:trPr>
        <w:tc>
          <w:tcPr>
            <w:tcW w:w="1260" w:type="dxa"/>
            <w:tcBorders>
              <w:top w:val="nil"/>
              <w:left w:val="nil"/>
              <w:bottom w:val="nil"/>
              <w:right w:val="nil"/>
            </w:tcBorders>
            <w:shd w:val="clear" w:color="auto" w:fill="auto"/>
            <w:noWrap/>
            <w:vAlign w:val="center"/>
            <w:hideMark/>
          </w:tcPr>
          <w:p w14:paraId="73362EDD"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Latin Amer</w:t>
            </w:r>
          </w:p>
        </w:tc>
        <w:tc>
          <w:tcPr>
            <w:tcW w:w="840" w:type="dxa"/>
            <w:tcBorders>
              <w:top w:val="nil"/>
              <w:left w:val="nil"/>
              <w:bottom w:val="nil"/>
              <w:right w:val="nil"/>
            </w:tcBorders>
            <w:shd w:val="clear" w:color="auto" w:fill="auto"/>
            <w:noWrap/>
            <w:vAlign w:val="center"/>
            <w:hideMark/>
          </w:tcPr>
          <w:p w14:paraId="00B0D564"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3.2%</w:t>
            </w:r>
          </w:p>
        </w:tc>
        <w:tc>
          <w:tcPr>
            <w:tcW w:w="840" w:type="dxa"/>
            <w:tcBorders>
              <w:top w:val="nil"/>
              <w:left w:val="nil"/>
              <w:bottom w:val="nil"/>
              <w:right w:val="nil"/>
            </w:tcBorders>
            <w:shd w:val="clear" w:color="auto" w:fill="auto"/>
            <w:noWrap/>
            <w:vAlign w:val="center"/>
            <w:hideMark/>
          </w:tcPr>
          <w:p w14:paraId="1AF70F9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7.4%</w:t>
            </w:r>
          </w:p>
        </w:tc>
        <w:tc>
          <w:tcPr>
            <w:tcW w:w="840" w:type="dxa"/>
            <w:tcBorders>
              <w:top w:val="nil"/>
              <w:left w:val="nil"/>
              <w:bottom w:val="nil"/>
              <w:right w:val="nil"/>
            </w:tcBorders>
            <w:shd w:val="clear" w:color="auto" w:fill="auto"/>
            <w:noWrap/>
            <w:vAlign w:val="center"/>
            <w:hideMark/>
          </w:tcPr>
          <w:p w14:paraId="131E8295"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2.7%</w:t>
            </w:r>
          </w:p>
        </w:tc>
        <w:tc>
          <w:tcPr>
            <w:tcW w:w="840" w:type="dxa"/>
            <w:tcBorders>
              <w:top w:val="nil"/>
              <w:left w:val="nil"/>
              <w:bottom w:val="nil"/>
              <w:right w:val="nil"/>
            </w:tcBorders>
            <w:shd w:val="clear" w:color="auto" w:fill="auto"/>
            <w:noWrap/>
            <w:vAlign w:val="center"/>
            <w:hideMark/>
          </w:tcPr>
          <w:p w14:paraId="148441DF"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3.4%</w:t>
            </w:r>
          </w:p>
        </w:tc>
        <w:tc>
          <w:tcPr>
            <w:tcW w:w="840" w:type="dxa"/>
            <w:tcBorders>
              <w:top w:val="nil"/>
              <w:left w:val="nil"/>
              <w:bottom w:val="nil"/>
              <w:right w:val="nil"/>
            </w:tcBorders>
            <w:shd w:val="clear" w:color="auto" w:fill="auto"/>
            <w:noWrap/>
            <w:vAlign w:val="center"/>
            <w:hideMark/>
          </w:tcPr>
          <w:p w14:paraId="30DFB887"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3.3%</w:t>
            </w:r>
          </w:p>
        </w:tc>
        <w:tc>
          <w:tcPr>
            <w:tcW w:w="840" w:type="dxa"/>
            <w:tcBorders>
              <w:top w:val="nil"/>
              <w:left w:val="nil"/>
              <w:bottom w:val="nil"/>
              <w:right w:val="nil"/>
            </w:tcBorders>
            <w:shd w:val="clear" w:color="auto" w:fill="auto"/>
            <w:noWrap/>
            <w:vAlign w:val="center"/>
            <w:hideMark/>
          </w:tcPr>
          <w:p w14:paraId="11B6F13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1.3%</w:t>
            </w:r>
          </w:p>
        </w:tc>
        <w:tc>
          <w:tcPr>
            <w:tcW w:w="840" w:type="dxa"/>
            <w:tcBorders>
              <w:top w:val="nil"/>
              <w:left w:val="nil"/>
              <w:bottom w:val="nil"/>
              <w:right w:val="nil"/>
            </w:tcBorders>
            <w:shd w:val="clear" w:color="auto" w:fill="auto"/>
            <w:noWrap/>
            <w:vAlign w:val="center"/>
            <w:hideMark/>
          </w:tcPr>
          <w:p w14:paraId="324FB457"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3.0%</w:t>
            </w:r>
          </w:p>
        </w:tc>
        <w:tc>
          <w:tcPr>
            <w:tcW w:w="840" w:type="dxa"/>
            <w:tcBorders>
              <w:top w:val="nil"/>
              <w:left w:val="nil"/>
              <w:bottom w:val="nil"/>
              <w:right w:val="nil"/>
            </w:tcBorders>
            <w:shd w:val="clear" w:color="auto" w:fill="auto"/>
            <w:noWrap/>
            <w:vAlign w:val="center"/>
            <w:hideMark/>
          </w:tcPr>
          <w:p w14:paraId="36C62D08"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4.0%</w:t>
            </w:r>
          </w:p>
        </w:tc>
        <w:tc>
          <w:tcPr>
            <w:tcW w:w="840" w:type="dxa"/>
            <w:tcBorders>
              <w:top w:val="nil"/>
              <w:left w:val="nil"/>
              <w:bottom w:val="nil"/>
              <w:right w:val="nil"/>
            </w:tcBorders>
            <w:shd w:val="clear" w:color="auto" w:fill="auto"/>
            <w:noWrap/>
            <w:vAlign w:val="center"/>
            <w:hideMark/>
          </w:tcPr>
          <w:p w14:paraId="6BBA6FA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4.6%</w:t>
            </w:r>
          </w:p>
        </w:tc>
        <w:tc>
          <w:tcPr>
            <w:tcW w:w="840" w:type="dxa"/>
            <w:tcBorders>
              <w:top w:val="nil"/>
              <w:left w:val="nil"/>
              <w:bottom w:val="nil"/>
              <w:right w:val="nil"/>
            </w:tcBorders>
            <w:shd w:val="clear" w:color="auto" w:fill="auto"/>
            <w:noWrap/>
            <w:vAlign w:val="center"/>
            <w:hideMark/>
          </w:tcPr>
          <w:p w14:paraId="6A5B00E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3.8%</w:t>
            </w:r>
          </w:p>
        </w:tc>
      </w:tr>
      <w:tr w:rsidR="00EA7DB7" w:rsidRPr="00FF417E" w14:paraId="210A07F0" w14:textId="77777777" w:rsidTr="00EA7DB7">
        <w:trPr>
          <w:trHeight w:val="285"/>
        </w:trPr>
        <w:tc>
          <w:tcPr>
            <w:tcW w:w="1260" w:type="dxa"/>
            <w:tcBorders>
              <w:top w:val="nil"/>
              <w:left w:val="nil"/>
              <w:bottom w:val="nil"/>
              <w:right w:val="nil"/>
            </w:tcBorders>
            <w:shd w:val="clear" w:color="auto" w:fill="auto"/>
            <w:noWrap/>
            <w:vAlign w:val="center"/>
            <w:hideMark/>
          </w:tcPr>
          <w:p w14:paraId="1E97BE41"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MENA</w:t>
            </w:r>
          </w:p>
        </w:tc>
        <w:tc>
          <w:tcPr>
            <w:tcW w:w="840" w:type="dxa"/>
            <w:tcBorders>
              <w:top w:val="nil"/>
              <w:left w:val="nil"/>
              <w:bottom w:val="nil"/>
              <w:right w:val="nil"/>
            </w:tcBorders>
            <w:shd w:val="clear" w:color="auto" w:fill="auto"/>
            <w:noWrap/>
            <w:vAlign w:val="center"/>
            <w:hideMark/>
          </w:tcPr>
          <w:p w14:paraId="3E6A88E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4.4%</w:t>
            </w:r>
          </w:p>
        </w:tc>
        <w:tc>
          <w:tcPr>
            <w:tcW w:w="840" w:type="dxa"/>
            <w:tcBorders>
              <w:top w:val="nil"/>
              <w:left w:val="nil"/>
              <w:bottom w:val="nil"/>
              <w:right w:val="nil"/>
            </w:tcBorders>
            <w:shd w:val="clear" w:color="auto" w:fill="auto"/>
            <w:noWrap/>
            <w:vAlign w:val="center"/>
            <w:hideMark/>
          </w:tcPr>
          <w:p w14:paraId="1813A04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6.3%</w:t>
            </w:r>
          </w:p>
        </w:tc>
        <w:tc>
          <w:tcPr>
            <w:tcW w:w="840" w:type="dxa"/>
            <w:tcBorders>
              <w:top w:val="nil"/>
              <w:left w:val="nil"/>
              <w:bottom w:val="nil"/>
              <w:right w:val="nil"/>
            </w:tcBorders>
            <w:shd w:val="clear" w:color="auto" w:fill="auto"/>
            <w:noWrap/>
            <w:vAlign w:val="center"/>
            <w:hideMark/>
          </w:tcPr>
          <w:p w14:paraId="43F77AE9"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3.3%</w:t>
            </w:r>
          </w:p>
        </w:tc>
        <w:tc>
          <w:tcPr>
            <w:tcW w:w="840" w:type="dxa"/>
            <w:tcBorders>
              <w:top w:val="nil"/>
              <w:left w:val="nil"/>
              <w:bottom w:val="nil"/>
              <w:right w:val="nil"/>
            </w:tcBorders>
            <w:shd w:val="clear" w:color="auto" w:fill="auto"/>
            <w:noWrap/>
            <w:vAlign w:val="center"/>
            <w:hideMark/>
          </w:tcPr>
          <w:p w14:paraId="0833175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4.5%</w:t>
            </w:r>
          </w:p>
        </w:tc>
        <w:tc>
          <w:tcPr>
            <w:tcW w:w="840" w:type="dxa"/>
            <w:tcBorders>
              <w:top w:val="nil"/>
              <w:left w:val="nil"/>
              <w:bottom w:val="nil"/>
              <w:right w:val="nil"/>
            </w:tcBorders>
            <w:shd w:val="clear" w:color="auto" w:fill="auto"/>
            <w:noWrap/>
            <w:vAlign w:val="center"/>
            <w:hideMark/>
          </w:tcPr>
          <w:p w14:paraId="2B12034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7.1%</w:t>
            </w:r>
          </w:p>
        </w:tc>
        <w:tc>
          <w:tcPr>
            <w:tcW w:w="840" w:type="dxa"/>
            <w:tcBorders>
              <w:top w:val="nil"/>
              <w:left w:val="nil"/>
              <w:bottom w:val="nil"/>
              <w:right w:val="nil"/>
            </w:tcBorders>
            <w:shd w:val="clear" w:color="auto" w:fill="auto"/>
            <w:noWrap/>
            <w:vAlign w:val="center"/>
            <w:hideMark/>
          </w:tcPr>
          <w:p w14:paraId="6D154D07"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2.4%</w:t>
            </w:r>
          </w:p>
        </w:tc>
        <w:tc>
          <w:tcPr>
            <w:tcW w:w="840" w:type="dxa"/>
            <w:tcBorders>
              <w:top w:val="nil"/>
              <w:left w:val="nil"/>
              <w:bottom w:val="nil"/>
              <w:right w:val="nil"/>
            </w:tcBorders>
            <w:shd w:val="clear" w:color="auto" w:fill="auto"/>
            <w:noWrap/>
            <w:vAlign w:val="center"/>
            <w:hideMark/>
          </w:tcPr>
          <w:p w14:paraId="6538FE4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6.1%</w:t>
            </w:r>
          </w:p>
        </w:tc>
        <w:tc>
          <w:tcPr>
            <w:tcW w:w="840" w:type="dxa"/>
            <w:tcBorders>
              <w:top w:val="nil"/>
              <w:left w:val="nil"/>
              <w:bottom w:val="nil"/>
              <w:right w:val="nil"/>
            </w:tcBorders>
            <w:shd w:val="clear" w:color="auto" w:fill="auto"/>
            <w:noWrap/>
            <w:vAlign w:val="center"/>
            <w:hideMark/>
          </w:tcPr>
          <w:p w14:paraId="567ECF1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2.3%</w:t>
            </w:r>
          </w:p>
        </w:tc>
        <w:tc>
          <w:tcPr>
            <w:tcW w:w="840" w:type="dxa"/>
            <w:tcBorders>
              <w:top w:val="nil"/>
              <w:left w:val="nil"/>
              <w:bottom w:val="nil"/>
              <w:right w:val="nil"/>
            </w:tcBorders>
            <w:shd w:val="clear" w:color="auto" w:fill="auto"/>
            <w:noWrap/>
            <w:vAlign w:val="center"/>
            <w:hideMark/>
          </w:tcPr>
          <w:p w14:paraId="59DA95A4"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2.5%</w:t>
            </w:r>
          </w:p>
        </w:tc>
        <w:tc>
          <w:tcPr>
            <w:tcW w:w="840" w:type="dxa"/>
            <w:tcBorders>
              <w:top w:val="nil"/>
              <w:left w:val="nil"/>
              <w:bottom w:val="nil"/>
              <w:right w:val="nil"/>
            </w:tcBorders>
            <w:shd w:val="clear" w:color="auto" w:fill="auto"/>
            <w:noWrap/>
            <w:vAlign w:val="center"/>
            <w:hideMark/>
          </w:tcPr>
          <w:p w14:paraId="31ABA5F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3.8%</w:t>
            </w:r>
          </w:p>
        </w:tc>
      </w:tr>
      <w:tr w:rsidR="00EA7DB7" w:rsidRPr="00FF417E" w14:paraId="23D180CD" w14:textId="77777777" w:rsidTr="00EA7DB7">
        <w:trPr>
          <w:trHeight w:val="285"/>
        </w:trPr>
        <w:tc>
          <w:tcPr>
            <w:tcW w:w="1260" w:type="dxa"/>
            <w:tcBorders>
              <w:top w:val="nil"/>
              <w:left w:val="nil"/>
              <w:bottom w:val="nil"/>
              <w:right w:val="nil"/>
            </w:tcBorders>
            <w:shd w:val="clear" w:color="auto" w:fill="auto"/>
            <w:noWrap/>
            <w:vAlign w:val="center"/>
            <w:hideMark/>
          </w:tcPr>
          <w:p w14:paraId="18DF3F8E"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N America</w:t>
            </w:r>
          </w:p>
        </w:tc>
        <w:tc>
          <w:tcPr>
            <w:tcW w:w="840" w:type="dxa"/>
            <w:tcBorders>
              <w:top w:val="nil"/>
              <w:left w:val="nil"/>
              <w:bottom w:val="nil"/>
              <w:right w:val="nil"/>
            </w:tcBorders>
            <w:shd w:val="clear" w:color="auto" w:fill="auto"/>
            <w:noWrap/>
            <w:vAlign w:val="center"/>
            <w:hideMark/>
          </w:tcPr>
          <w:p w14:paraId="4795FB5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4.8%</w:t>
            </w:r>
          </w:p>
        </w:tc>
        <w:tc>
          <w:tcPr>
            <w:tcW w:w="840" w:type="dxa"/>
            <w:tcBorders>
              <w:top w:val="nil"/>
              <w:left w:val="nil"/>
              <w:bottom w:val="nil"/>
              <w:right w:val="nil"/>
            </w:tcBorders>
            <w:shd w:val="clear" w:color="auto" w:fill="auto"/>
            <w:noWrap/>
            <w:vAlign w:val="center"/>
            <w:hideMark/>
          </w:tcPr>
          <w:p w14:paraId="5FD8CAEB"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5.5%</w:t>
            </w:r>
          </w:p>
        </w:tc>
        <w:tc>
          <w:tcPr>
            <w:tcW w:w="840" w:type="dxa"/>
            <w:tcBorders>
              <w:top w:val="nil"/>
              <w:left w:val="nil"/>
              <w:bottom w:val="nil"/>
              <w:right w:val="nil"/>
            </w:tcBorders>
            <w:shd w:val="clear" w:color="auto" w:fill="auto"/>
            <w:noWrap/>
            <w:vAlign w:val="center"/>
            <w:hideMark/>
          </w:tcPr>
          <w:p w14:paraId="1AED72B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1.9%</w:t>
            </w:r>
          </w:p>
        </w:tc>
        <w:tc>
          <w:tcPr>
            <w:tcW w:w="840" w:type="dxa"/>
            <w:tcBorders>
              <w:top w:val="nil"/>
              <w:left w:val="nil"/>
              <w:bottom w:val="nil"/>
              <w:right w:val="nil"/>
            </w:tcBorders>
            <w:shd w:val="clear" w:color="auto" w:fill="auto"/>
            <w:noWrap/>
            <w:vAlign w:val="center"/>
            <w:hideMark/>
          </w:tcPr>
          <w:p w14:paraId="2255913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1.8%</w:t>
            </w:r>
          </w:p>
        </w:tc>
        <w:tc>
          <w:tcPr>
            <w:tcW w:w="840" w:type="dxa"/>
            <w:tcBorders>
              <w:top w:val="nil"/>
              <w:left w:val="nil"/>
              <w:bottom w:val="nil"/>
              <w:right w:val="nil"/>
            </w:tcBorders>
            <w:shd w:val="clear" w:color="auto" w:fill="auto"/>
            <w:noWrap/>
            <w:vAlign w:val="center"/>
            <w:hideMark/>
          </w:tcPr>
          <w:p w14:paraId="47AFFB0A"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9.3%</w:t>
            </w:r>
          </w:p>
        </w:tc>
        <w:tc>
          <w:tcPr>
            <w:tcW w:w="840" w:type="dxa"/>
            <w:tcBorders>
              <w:top w:val="nil"/>
              <w:left w:val="nil"/>
              <w:bottom w:val="nil"/>
              <w:right w:val="nil"/>
            </w:tcBorders>
            <w:shd w:val="clear" w:color="auto" w:fill="auto"/>
            <w:noWrap/>
            <w:vAlign w:val="center"/>
            <w:hideMark/>
          </w:tcPr>
          <w:p w14:paraId="453E7A3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2.1%</w:t>
            </w:r>
          </w:p>
        </w:tc>
        <w:tc>
          <w:tcPr>
            <w:tcW w:w="840" w:type="dxa"/>
            <w:tcBorders>
              <w:top w:val="nil"/>
              <w:left w:val="nil"/>
              <w:bottom w:val="nil"/>
              <w:right w:val="nil"/>
            </w:tcBorders>
            <w:shd w:val="clear" w:color="auto" w:fill="auto"/>
            <w:noWrap/>
            <w:vAlign w:val="center"/>
            <w:hideMark/>
          </w:tcPr>
          <w:p w14:paraId="08E43434"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3.2%</w:t>
            </w:r>
          </w:p>
        </w:tc>
        <w:tc>
          <w:tcPr>
            <w:tcW w:w="840" w:type="dxa"/>
            <w:tcBorders>
              <w:top w:val="nil"/>
              <w:left w:val="nil"/>
              <w:bottom w:val="nil"/>
              <w:right w:val="nil"/>
            </w:tcBorders>
            <w:shd w:val="clear" w:color="auto" w:fill="auto"/>
            <w:noWrap/>
            <w:vAlign w:val="center"/>
            <w:hideMark/>
          </w:tcPr>
          <w:p w14:paraId="35B371A7"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3.0%</w:t>
            </w:r>
          </w:p>
        </w:tc>
        <w:tc>
          <w:tcPr>
            <w:tcW w:w="840" w:type="dxa"/>
            <w:tcBorders>
              <w:top w:val="nil"/>
              <w:left w:val="nil"/>
              <w:bottom w:val="nil"/>
              <w:right w:val="nil"/>
            </w:tcBorders>
            <w:shd w:val="clear" w:color="auto" w:fill="auto"/>
            <w:noWrap/>
            <w:vAlign w:val="center"/>
            <w:hideMark/>
          </w:tcPr>
          <w:p w14:paraId="401BE77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5.4%</w:t>
            </w:r>
          </w:p>
        </w:tc>
        <w:tc>
          <w:tcPr>
            <w:tcW w:w="840" w:type="dxa"/>
            <w:tcBorders>
              <w:top w:val="nil"/>
              <w:left w:val="nil"/>
              <w:bottom w:val="nil"/>
              <w:right w:val="nil"/>
            </w:tcBorders>
            <w:shd w:val="clear" w:color="auto" w:fill="auto"/>
            <w:noWrap/>
            <w:vAlign w:val="center"/>
            <w:hideMark/>
          </w:tcPr>
          <w:p w14:paraId="098A906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4.5%</w:t>
            </w:r>
          </w:p>
        </w:tc>
      </w:tr>
      <w:tr w:rsidR="00EA7DB7" w:rsidRPr="00FF417E" w14:paraId="3F7C6C10" w14:textId="77777777" w:rsidTr="00EA7DB7">
        <w:trPr>
          <w:trHeight w:val="285"/>
        </w:trPr>
        <w:tc>
          <w:tcPr>
            <w:tcW w:w="1260" w:type="dxa"/>
            <w:tcBorders>
              <w:top w:val="nil"/>
              <w:left w:val="nil"/>
              <w:bottom w:val="nil"/>
              <w:right w:val="nil"/>
            </w:tcBorders>
            <w:shd w:val="clear" w:color="auto" w:fill="auto"/>
            <w:noWrap/>
            <w:vAlign w:val="center"/>
            <w:hideMark/>
          </w:tcPr>
          <w:p w14:paraId="37470EB7"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Oceania</w:t>
            </w:r>
          </w:p>
        </w:tc>
        <w:tc>
          <w:tcPr>
            <w:tcW w:w="840" w:type="dxa"/>
            <w:tcBorders>
              <w:top w:val="nil"/>
              <w:left w:val="nil"/>
              <w:bottom w:val="nil"/>
              <w:right w:val="nil"/>
            </w:tcBorders>
            <w:shd w:val="clear" w:color="auto" w:fill="auto"/>
            <w:noWrap/>
            <w:vAlign w:val="center"/>
            <w:hideMark/>
          </w:tcPr>
          <w:p w14:paraId="3C0C5EF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2.8%</w:t>
            </w:r>
          </w:p>
        </w:tc>
        <w:tc>
          <w:tcPr>
            <w:tcW w:w="840" w:type="dxa"/>
            <w:tcBorders>
              <w:top w:val="nil"/>
              <w:left w:val="nil"/>
              <w:bottom w:val="nil"/>
              <w:right w:val="nil"/>
            </w:tcBorders>
            <w:shd w:val="clear" w:color="auto" w:fill="auto"/>
            <w:noWrap/>
            <w:vAlign w:val="center"/>
            <w:hideMark/>
          </w:tcPr>
          <w:p w14:paraId="41A322EF"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5.8%</w:t>
            </w:r>
          </w:p>
        </w:tc>
        <w:tc>
          <w:tcPr>
            <w:tcW w:w="840" w:type="dxa"/>
            <w:tcBorders>
              <w:top w:val="nil"/>
              <w:left w:val="nil"/>
              <w:bottom w:val="nil"/>
              <w:right w:val="nil"/>
            </w:tcBorders>
            <w:shd w:val="clear" w:color="auto" w:fill="auto"/>
            <w:noWrap/>
            <w:vAlign w:val="center"/>
            <w:hideMark/>
          </w:tcPr>
          <w:p w14:paraId="2A800D6E"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3.8%</w:t>
            </w:r>
          </w:p>
        </w:tc>
        <w:tc>
          <w:tcPr>
            <w:tcW w:w="840" w:type="dxa"/>
            <w:tcBorders>
              <w:top w:val="nil"/>
              <w:left w:val="nil"/>
              <w:bottom w:val="nil"/>
              <w:right w:val="nil"/>
            </w:tcBorders>
            <w:shd w:val="clear" w:color="auto" w:fill="auto"/>
            <w:noWrap/>
            <w:vAlign w:val="center"/>
            <w:hideMark/>
          </w:tcPr>
          <w:p w14:paraId="0D90104D"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4.8%</w:t>
            </w:r>
          </w:p>
        </w:tc>
        <w:tc>
          <w:tcPr>
            <w:tcW w:w="840" w:type="dxa"/>
            <w:tcBorders>
              <w:top w:val="nil"/>
              <w:left w:val="nil"/>
              <w:bottom w:val="nil"/>
              <w:right w:val="nil"/>
            </w:tcBorders>
            <w:shd w:val="clear" w:color="auto" w:fill="auto"/>
            <w:noWrap/>
            <w:vAlign w:val="center"/>
            <w:hideMark/>
          </w:tcPr>
          <w:p w14:paraId="6ACE1D8E"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7.0%</w:t>
            </w:r>
          </w:p>
        </w:tc>
        <w:tc>
          <w:tcPr>
            <w:tcW w:w="840" w:type="dxa"/>
            <w:tcBorders>
              <w:top w:val="nil"/>
              <w:left w:val="nil"/>
              <w:bottom w:val="nil"/>
              <w:right w:val="nil"/>
            </w:tcBorders>
            <w:shd w:val="clear" w:color="auto" w:fill="auto"/>
            <w:noWrap/>
            <w:vAlign w:val="center"/>
            <w:hideMark/>
          </w:tcPr>
          <w:p w14:paraId="0050CAA6"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4.0%</w:t>
            </w:r>
          </w:p>
        </w:tc>
        <w:tc>
          <w:tcPr>
            <w:tcW w:w="840" w:type="dxa"/>
            <w:tcBorders>
              <w:top w:val="nil"/>
              <w:left w:val="nil"/>
              <w:bottom w:val="nil"/>
              <w:right w:val="nil"/>
            </w:tcBorders>
            <w:shd w:val="clear" w:color="auto" w:fill="auto"/>
            <w:noWrap/>
            <w:vAlign w:val="center"/>
            <w:hideMark/>
          </w:tcPr>
          <w:p w14:paraId="367AF1B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4.3%</w:t>
            </w:r>
          </w:p>
        </w:tc>
        <w:tc>
          <w:tcPr>
            <w:tcW w:w="840" w:type="dxa"/>
            <w:tcBorders>
              <w:top w:val="nil"/>
              <w:left w:val="nil"/>
              <w:bottom w:val="nil"/>
              <w:right w:val="nil"/>
            </w:tcBorders>
            <w:shd w:val="clear" w:color="auto" w:fill="auto"/>
            <w:noWrap/>
            <w:vAlign w:val="center"/>
            <w:hideMark/>
          </w:tcPr>
          <w:p w14:paraId="2598925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8.3%</w:t>
            </w:r>
          </w:p>
        </w:tc>
        <w:tc>
          <w:tcPr>
            <w:tcW w:w="840" w:type="dxa"/>
            <w:tcBorders>
              <w:top w:val="nil"/>
              <w:left w:val="nil"/>
              <w:bottom w:val="nil"/>
              <w:right w:val="nil"/>
            </w:tcBorders>
            <w:shd w:val="clear" w:color="auto" w:fill="auto"/>
            <w:noWrap/>
            <w:vAlign w:val="center"/>
            <w:hideMark/>
          </w:tcPr>
          <w:p w14:paraId="6931E73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2.1%</w:t>
            </w:r>
          </w:p>
        </w:tc>
        <w:tc>
          <w:tcPr>
            <w:tcW w:w="840" w:type="dxa"/>
            <w:tcBorders>
              <w:top w:val="nil"/>
              <w:left w:val="nil"/>
              <w:bottom w:val="nil"/>
              <w:right w:val="nil"/>
            </w:tcBorders>
            <w:shd w:val="clear" w:color="auto" w:fill="auto"/>
            <w:noWrap/>
            <w:vAlign w:val="center"/>
            <w:hideMark/>
          </w:tcPr>
          <w:p w14:paraId="3A7F44BA"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5.1%</w:t>
            </w:r>
          </w:p>
        </w:tc>
      </w:tr>
      <w:tr w:rsidR="00EA7DB7" w:rsidRPr="00FF417E" w14:paraId="4A6EEA84" w14:textId="77777777" w:rsidTr="00EA7DB7">
        <w:trPr>
          <w:trHeight w:val="285"/>
        </w:trPr>
        <w:tc>
          <w:tcPr>
            <w:tcW w:w="1260" w:type="dxa"/>
            <w:tcBorders>
              <w:top w:val="nil"/>
              <w:left w:val="nil"/>
              <w:bottom w:val="nil"/>
              <w:right w:val="nil"/>
            </w:tcBorders>
            <w:shd w:val="clear" w:color="auto" w:fill="auto"/>
            <w:noWrap/>
            <w:vAlign w:val="center"/>
            <w:hideMark/>
          </w:tcPr>
          <w:p w14:paraId="234A6925"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Rest World</w:t>
            </w:r>
          </w:p>
        </w:tc>
        <w:tc>
          <w:tcPr>
            <w:tcW w:w="840" w:type="dxa"/>
            <w:tcBorders>
              <w:top w:val="nil"/>
              <w:left w:val="nil"/>
              <w:bottom w:val="nil"/>
              <w:right w:val="nil"/>
            </w:tcBorders>
            <w:shd w:val="clear" w:color="auto" w:fill="auto"/>
            <w:noWrap/>
            <w:vAlign w:val="center"/>
            <w:hideMark/>
          </w:tcPr>
          <w:p w14:paraId="78B08748"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5.6%</w:t>
            </w:r>
          </w:p>
        </w:tc>
        <w:tc>
          <w:tcPr>
            <w:tcW w:w="840" w:type="dxa"/>
            <w:tcBorders>
              <w:top w:val="nil"/>
              <w:left w:val="nil"/>
              <w:bottom w:val="nil"/>
              <w:right w:val="nil"/>
            </w:tcBorders>
            <w:shd w:val="clear" w:color="auto" w:fill="auto"/>
            <w:noWrap/>
            <w:vAlign w:val="center"/>
            <w:hideMark/>
          </w:tcPr>
          <w:p w14:paraId="2742C30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8.9%</w:t>
            </w:r>
          </w:p>
        </w:tc>
        <w:tc>
          <w:tcPr>
            <w:tcW w:w="840" w:type="dxa"/>
            <w:tcBorders>
              <w:top w:val="nil"/>
              <w:left w:val="nil"/>
              <w:bottom w:val="nil"/>
              <w:right w:val="nil"/>
            </w:tcBorders>
            <w:shd w:val="clear" w:color="auto" w:fill="auto"/>
            <w:noWrap/>
            <w:vAlign w:val="center"/>
            <w:hideMark/>
          </w:tcPr>
          <w:p w14:paraId="473FBBEE"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10.1%</w:t>
            </w:r>
          </w:p>
        </w:tc>
        <w:tc>
          <w:tcPr>
            <w:tcW w:w="840" w:type="dxa"/>
            <w:tcBorders>
              <w:top w:val="nil"/>
              <w:left w:val="nil"/>
              <w:bottom w:val="nil"/>
              <w:right w:val="nil"/>
            </w:tcBorders>
            <w:shd w:val="clear" w:color="auto" w:fill="auto"/>
            <w:noWrap/>
            <w:vAlign w:val="center"/>
            <w:hideMark/>
          </w:tcPr>
          <w:p w14:paraId="731966A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4.4%</w:t>
            </w:r>
          </w:p>
        </w:tc>
        <w:tc>
          <w:tcPr>
            <w:tcW w:w="840" w:type="dxa"/>
            <w:tcBorders>
              <w:top w:val="nil"/>
              <w:left w:val="nil"/>
              <w:bottom w:val="nil"/>
              <w:right w:val="nil"/>
            </w:tcBorders>
            <w:shd w:val="clear" w:color="auto" w:fill="auto"/>
            <w:noWrap/>
            <w:vAlign w:val="center"/>
            <w:hideMark/>
          </w:tcPr>
          <w:p w14:paraId="3083588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2.0%</w:t>
            </w:r>
          </w:p>
        </w:tc>
        <w:tc>
          <w:tcPr>
            <w:tcW w:w="840" w:type="dxa"/>
            <w:tcBorders>
              <w:top w:val="nil"/>
              <w:left w:val="nil"/>
              <w:bottom w:val="nil"/>
              <w:right w:val="nil"/>
            </w:tcBorders>
            <w:shd w:val="clear" w:color="auto" w:fill="auto"/>
            <w:noWrap/>
            <w:vAlign w:val="center"/>
            <w:hideMark/>
          </w:tcPr>
          <w:p w14:paraId="39E705E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7.1%</w:t>
            </w:r>
          </w:p>
        </w:tc>
        <w:tc>
          <w:tcPr>
            <w:tcW w:w="840" w:type="dxa"/>
            <w:tcBorders>
              <w:top w:val="nil"/>
              <w:left w:val="nil"/>
              <w:bottom w:val="nil"/>
              <w:right w:val="nil"/>
            </w:tcBorders>
            <w:shd w:val="clear" w:color="auto" w:fill="auto"/>
            <w:noWrap/>
            <w:vAlign w:val="center"/>
            <w:hideMark/>
          </w:tcPr>
          <w:p w14:paraId="6ED991B4"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4.7%</w:t>
            </w:r>
          </w:p>
        </w:tc>
        <w:tc>
          <w:tcPr>
            <w:tcW w:w="840" w:type="dxa"/>
            <w:tcBorders>
              <w:top w:val="nil"/>
              <w:left w:val="nil"/>
              <w:bottom w:val="nil"/>
              <w:right w:val="nil"/>
            </w:tcBorders>
            <w:shd w:val="clear" w:color="auto" w:fill="auto"/>
            <w:noWrap/>
            <w:vAlign w:val="center"/>
            <w:hideMark/>
          </w:tcPr>
          <w:p w14:paraId="2BB7A818"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8.2%</w:t>
            </w:r>
          </w:p>
        </w:tc>
        <w:tc>
          <w:tcPr>
            <w:tcW w:w="840" w:type="dxa"/>
            <w:tcBorders>
              <w:top w:val="nil"/>
              <w:left w:val="nil"/>
              <w:bottom w:val="nil"/>
              <w:right w:val="nil"/>
            </w:tcBorders>
            <w:shd w:val="clear" w:color="auto" w:fill="auto"/>
            <w:noWrap/>
            <w:vAlign w:val="center"/>
            <w:hideMark/>
          </w:tcPr>
          <w:p w14:paraId="3FB8646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5.6%</w:t>
            </w:r>
          </w:p>
        </w:tc>
        <w:tc>
          <w:tcPr>
            <w:tcW w:w="840" w:type="dxa"/>
            <w:tcBorders>
              <w:top w:val="nil"/>
              <w:left w:val="nil"/>
              <w:bottom w:val="nil"/>
              <w:right w:val="nil"/>
            </w:tcBorders>
            <w:shd w:val="clear" w:color="auto" w:fill="auto"/>
            <w:noWrap/>
            <w:vAlign w:val="center"/>
            <w:hideMark/>
          </w:tcPr>
          <w:p w14:paraId="1FEFB7E7"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4.9%</w:t>
            </w:r>
          </w:p>
        </w:tc>
      </w:tr>
      <w:tr w:rsidR="00EA7DB7" w:rsidRPr="00FF417E" w14:paraId="6397AE47" w14:textId="77777777" w:rsidTr="00EA7DB7">
        <w:trPr>
          <w:trHeight w:val="285"/>
        </w:trPr>
        <w:tc>
          <w:tcPr>
            <w:tcW w:w="1260" w:type="dxa"/>
            <w:tcBorders>
              <w:top w:val="nil"/>
              <w:left w:val="nil"/>
              <w:bottom w:val="nil"/>
              <w:right w:val="nil"/>
            </w:tcBorders>
            <w:shd w:val="clear" w:color="auto" w:fill="auto"/>
            <w:noWrap/>
            <w:vAlign w:val="center"/>
            <w:hideMark/>
          </w:tcPr>
          <w:p w14:paraId="1C279C60"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SE Asia</w:t>
            </w:r>
          </w:p>
        </w:tc>
        <w:tc>
          <w:tcPr>
            <w:tcW w:w="840" w:type="dxa"/>
            <w:tcBorders>
              <w:top w:val="nil"/>
              <w:left w:val="nil"/>
              <w:bottom w:val="nil"/>
              <w:right w:val="nil"/>
            </w:tcBorders>
            <w:shd w:val="clear" w:color="auto" w:fill="auto"/>
            <w:noWrap/>
            <w:vAlign w:val="center"/>
            <w:hideMark/>
          </w:tcPr>
          <w:p w14:paraId="36A6E139"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3.3%</w:t>
            </w:r>
          </w:p>
        </w:tc>
        <w:tc>
          <w:tcPr>
            <w:tcW w:w="840" w:type="dxa"/>
            <w:tcBorders>
              <w:top w:val="nil"/>
              <w:left w:val="nil"/>
              <w:bottom w:val="nil"/>
              <w:right w:val="nil"/>
            </w:tcBorders>
            <w:shd w:val="clear" w:color="auto" w:fill="auto"/>
            <w:noWrap/>
            <w:vAlign w:val="center"/>
            <w:hideMark/>
          </w:tcPr>
          <w:p w14:paraId="3B1B1316"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8.4%</w:t>
            </w:r>
          </w:p>
        </w:tc>
        <w:tc>
          <w:tcPr>
            <w:tcW w:w="840" w:type="dxa"/>
            <w:tcBorders>
              <w:top w:val="nil"/>
              <w:left w:val="nil"/>
              <w:bottom w:val="nil"/>
              <w:right w:val="nil"/>
            </w:tcBorders>
            <w:shd w:val="clear" w:color="auto" w:fill="auto"/>
            <w:noWrap/>
            <w:vAlign w:val="center"/>
            <w:hideMark/>
          </w:tcPr>
          <w:p w14:paraId="18B8027E"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2.5%</w:t>
            </w:r>
          </w:p>
        </w:tc>
        <w:tc>
          <w:tcPr>
            <w:tcW w:w="840" w:type="dxa"/>
            <w:tcBorders>
              <w:top w:val="nil"/>
              <w:left w:val="nil"/>
              <w:bottom w:val="nil"/>
              <w:right w:val="nil"/>
            </w:tcBorders>
            <w:shd w:val="clear" w:color="auto" w:fill="auto"/>
            <w:noWrap/>
            <w:vAlign w:val="center"/>
            <w:hideMark/>
          </w:tcPr>
          <w:p w14:paraId="66446AE5"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2.1%</w:t>
            </w:r>
          </w:p>
        </w:tc>
        <w:tc>
          <w:tcPr>
            <w:tcW w:w="840" w:type="dxa"/>
            <w:tcBorders>
              <w:top w:val="nil"/>
              <w:left w:val="nil"/>
              <w:bottom w:val="nil"/>
              <w:right w:val="nil"/>
            </w:tcBorders>
            <w:shd w:val="clear" w:color="auto" w:fill="auto"/>
            <w:noWrap/>
            <w:vAlign w:val="center"/>
            <w:hideMark/>
          </w:tcPr>
          <w:p w14:paraId="69C5CC33"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5.3%</w:t>
            </w:r>
          </w:p>
        </w:tc>
        <w:tc>
          <w:tcPr>
            <w:tcW w:w="840" w:type="dxa"/>
            <w:tcBorders>
              <w:top w:val="nil"/>
              <w:left w:val="nil"/>
              <w:bottom w:val="nil"/>
              <w:right w:val="nil"/>
            </w:tcBorders>
            <w:shd w:val="clear" w:color="auto" w:fill="auto"/>
            <w:noWrap/>
            <w:vAlign w:val="center"/>
            <w:hideMark/>
          </w:tcPr>
          <w:p w14:paraId="6437A7C7"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2.0%</w:t>
            </w:r>
          </w:p>
        </w:tc>
        <w:tc>
          <w:tcPr>
            <w:tcW w:w="840" w:type="dxa"/>
            <w:tcBorders>
              <w:top w:val="nil"/>
              <w:left w:val="nil"/>
              <w:bottom w:val="nil"/>
              <w:right w:val="nil"/>
            </w:tcBorders>
            <w:shd w:val="clear" w:color="auto" w:fill="auto"/>
            <w:noWrap/>
            <w:vAlign w:val="center"/>
            <w:hideMark/>
          </w:tcPr>
          <w:p w14:paraId="462C62A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3.5%</w:t>
            </w:r>
          </w:p>
        </w:tc>
        <w:tc>
          <w:tcPr>
            <w:tcW w:w="840" w:type="dxa"/>
            <w:tcBorders>
              <w:top w:val="nil"/>
              <w:left w:val="nil"/>
              <w:bottom w:val="nil"/>
              <w:right w:val="nil"/>
            </w:tcBorders>
            <w:shd w:val="clear" w:color="auto" w:fill="auto"/>
            <w:noWrap/>
            <w:vAlign w:val="center"/>
            <w:hideMark/>
          </w:tcPr>
          <w:p w14:paraId="2FD2311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3.4%</w:t>
            </w:r>
          </w:p>
        </w:tc>
        <w:tc>
          <w:tcPr>
            <w:tcW w:w="840" w:type="dxa"/>
            <w:tcBorders>
              <w:top w:val="nil"/>
              <w:left w:val="nil"/>
              <w:bottom w:val="nil"/>
              <w:right w:val="nil"/>
            </w:tcBorders>
            <w:shd w:val="clear" w:color="auto" w:fill="auto"/>
            <w:noWrap/>
            <w:vAlign w:val="center"/>
            <w:hideMark/>
          </w:tcPr>
          <w:p w14:paraId="2DB2C3BC"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8.5%</w:t>
            </w:r>
          </w:p>
        </w:tc>
        <w:tc>
          <w:tcPr>
            <w:tcW w:w="840" w:type="dxa"/>
            <w:tcBorders>
              <w:top w:val="nil"/>
              <w:left w:val="nil"/>
              <w:bottom w:val="nil"/>
              <w:right w:val="nil"/>
            </w:tcBorders>
            <w:shd w:val="clear" w:color="auto" w:fill="auto"/>
            <w:noWrap/>
            <w:vAlign w:val="center"/>
            <w:hideMark/>
          </w:tcPr>
          <w:p w14:paraId="3E0BBE7E"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2.6%</w:t>
            </w:r>
          </w:p>
        </w:tc>
      </w:tr>
      <w:tr w:rsidR="00EA7DB7" w:rsidRPr="00FF417E" w14:paraId="05A6C191" w14:textId="77777777" w:rsidTr="00EA7DB7">
        <w:trPr>
          <w:trHeight w:val="285"/>
        </w:trPr>
        <w:tc>
          <w:tcPr>
            <w:tcW w:w="1260" w:type="dxa"/>
            <w:tcBorders>
              <w:top w:val="nil"/>
              <w:left w:val="nil"/>
              <w:bottom w:val="nil"/>
              <w:right w:val="nil"/>
            </w:tcBorders>
            <w:shd w:val="clear" w:color="auto" w:fill="auto"/>
            <w:noWrap/>
            <w:vAlign w:val="center"/>
            <w:hideMark/>
          </w:tcPr>
          <w:p w14:paraId="4D05D713"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SS Africa</w:t>
            </w:r>
          </w:p>
        </w:tc>
        <w:tc>
          <w:tcPr>
            <w:tcW w:w="840" w:type="dxa"/>
            <w:tcBorders>
              <w:top w:val="nil"/>
              <w:left w:val="nil"/>
              <w:bottom w:val="nil"/>
              <w:right w:val="nil"/>
            </w:tcBorders>
            <w:shd w:val="clear" w:color="auto" w:fill="auto"/>
            <w:noWrap/>
            <w:vAlign w:val="center"/>
            <w:hideMark/>
          </w:tcPr>
          <w:p w14:paraId="7418C259"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2.6%</w:t>
            </w:r>
          </w:p>
        </w:tc>
        <w:tc>
          <w:tcPr>
            <w:tcW w:w="840" w:type="dxa"/>
            <w:tcBorders>
              <w:top w:val="nil"/>
              <w:left w:val="nil"/>
              <w:bottom w:val="nil"/>
              <w:right w:val="nil"/>
            </w:tcBorders>
            <w:shd w:val="clear" w:color="auto" w:fill="auto"/>
            <w:noWrap/>
            <w:vAlign w:val="center"/>
            <w:hideMark/>
          </w:tcPr>
          <w:p w14:paraId="74E4D75A"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3.3%</w:t>
            </w:r>
          </w:p>
        </w:tc>
        <w:tc>
          <w:tcPr>
            <w:tcW w:w="840" w:type="dxa"/>
            <w:tcBorders>
              <w:top w:val="nil"/>
              <w:left w:val="nil"/>
              <w:bottom w:val="nil"/>
              <w:right w:val="nil"/>
            </w:tcBorders>
            <w:shd w:val="clear" w:color="auto" w:fill="auto"/>
            <w:noWrap/>
            <w:vAlign w:val="center"/>
            <w:hideMark/>
          </w:tcPr>
          <w:p w14:paraId="0A267DD4"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1.6%</w:t>
            </w:r>
          </w:p>
        </w:tc>
        <w:tc>
          <w:tcPr>
            <w:tcW w:w="840" w:type="dxa"/>
            <w:tcBorders>
              <w:top w:val="nil"/>
              <w:left w:val="nil"/>
              <w:bottom w:val="nil"/>
              <w:right w:val="nil"/>
            </w:tcBorders>
            <w:shd w:val="clear" w:color="auto" w:fill="auto"/>
            <w:noWrap/>
            <w:vAlign w:val="center"/>
            <w:hideMark/>
          </w:tcPr>
          <w:p w14:paraId="01B5D15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3.3%</w:t>
            </w:r>
          </w:p>
        </w:tc>
        <w:tc>
          <w:tcPr>
            <w:tcW w:w="840" w:type="dxa"/>
            <w:tcBorders>
              <w:top w:val="nil"/>
              <w:left w:val="nil"/>
              <w:bottom w:val="nil"/>
              <w:right w:val="nil"/>
            </w:tcBorders>
            <w:shd w:val="clear" w:color="auto" w:fill="auto"/>
            <w:noWrap/>
            <w:vAlign w:val="center"/>
            <w:hideMark/>
          </w:tcPr>
          <w:p w14:paraId="372B8C6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1.3%</w:t>
            </w:r>
          </w:p>
        </w:tc>
        <w:tc>
          <w:tcPr>
            <w:tcW w:w="840" w:type="dxa"/>
            <w:tcBorders>
              <w:top w:val="nil"/>
              <w:left w:val="nil"/>
              <w:bottom w:val="nil"/>
              <w:right w:val="nil"/>
            </w:tcBorders>
            <w:shd w:val="clear" w:color="auto" w:fill="auto"/>
            <w:noWrap/>
            <w:vAlign w:val="center"/>
            <w:hideMark/>
          </w:tcPr>
          <w:p w14:paraId="1CB5466D"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2.6%</w:t>
            </w:r>
          </w:p>
        </w:tc>
        <w:tc>
          <w:tcPr>
            <w:tcW w:w="840" w:type="dxa"/>
            <w:tcBorders>
              <w:top w:val="nil"/>
              <w:left w:val="nil"/>
              <w:bottom w:val="nil"/>
              <w:right w:val="nil"/>
            </w:tcBorders>
            <w:shd w:val="clear" w:color="auto" w:fill="auto"/>
            <w:noWrap/>
            <w:vAlign w:val="center"/>
            <w:hideMark/>
          </w:tcPr>
          <w:p w14:paraId="715B7E44"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4.0%</w:t>
            </w:r>
          </w:p>
        </w:tc>
        <w:tc>
          <w:tcPr>
            <w:tcW w:w="840" w:type="dxa"/>
            <w:tcBorders>
              <w:top w:val="nil"/>
              <w:left w:val="nil"/>
              <w:bottom w:val="nil"/>
              <w:right w:val="nil"/>
            </w:tcBorders>
            <w:shd w:val="clear" w:color="auto" w:fill="auto"/>
            <w:noWrap/>
            <w:vAlign w:val="center"/>
            <w:hideMark/>
          </w:tcPr>
          <w:p w14:paraId="5E07D928"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4.1%</w:t>
            </w:r>
          </w:p>
        </w:tc>
        <w:tc>
          <w:tcPr>
            <w:tcW w:w="840" w:type="dxa"/>
            <w:tcBorders>
              <w:top w:val="nil"/>
              <w:left w:val="nil"/>
              <w:bottom w:val="nil"/>
              <w:right w:val="nil"/>
            </w:tcBorders>
            <w:shd w:val="clear" w:color="auto" w:fill="auto"/>
            <w:noWrap/>
            <w:vAlign w:val="center"/>
            <w:hideMark/>
          </w:tcPr>
          <w:p w14:paraId="6E22C77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3.4%</w:t>
            </w:r>
          </w:p>
        </w:tc>
        <w:tc>
          <w:tcPr>
            <w:tcW w:w="840" w:type="dxa"/>
            <w:tcBorders>
              <w:top w:val="nil"/>
              <w:left w:val="nil"/>
              <w:bottom w:val="nil"/>
              <w:right w:val="nil"/>
            </w:tcBorders>
            <w:shd w:val="clear" w:color="auto" w:fill="auto"/>
            <w:noWrap/>
            <w:vAlign w:val="center"/>
            <w:hideMark/>
          </w:tcPr>
          <w:p w14:paraId="474A3A2E"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3.9%</w:t>
            </w:r>
          </w:p>
        </w:tc>
      </w:tr>
      <w:tr w:rsidR="00EA7DB7" w:rsidRPr="00FF417E" w14:paraId="186FC6FB" w14:textId="77777777" w:rsidTr="00EA7DB7">
        <w:trPr>
          <w:trHeight w:val="285"/>
        </w:trPr>
        <w:tc>
          <w:tcPr>
            <w:tcW w:w="1260" w:type="dxa"/>
            <w:tcBorders>
              <w:top w:val="nil"/>
              <w:left w:val="nil"/>
              <w:bottom w:val="nil"/>
              <w:right w:val="nil"/>
            </w:tcBorders>
            <w:shd w:val="clear" w:color="auto" w:fill="auto"/>
            <w:noWrap/>
            <w:vAlign w:val="center"/>
            <w:hideMark/>
          </w:tcPr>
          <w:p w14:paraId="695C9CC2"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South Asia</w:t>
            </w:r>
          </w:p>
        </w:tc>
        <w:tc>
          <w:tcPr>
            <w:tcW w:w="840" w:type="dxa"/>
            <w:tcBorders>
              <w:top w:val="nil"/>
              <w:left w:val="nil"/>
              <w:bottom w:val="nil"/>
              <w:right w:val="nil"/>
            </w:tcBorders>
            <w:shd w:val="clear" w:color="auto" w:fill="auto"/>
            <w:noWrap/>
            <w:vAlign w:val="center"/>
            <w:hideMark/>
          </w:tcPr>
          <w:p w14:paraId="20F6AA73"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1.9%</w:t>
            </w:r>
          </w:p>
        </w:tc>
        <w:tc>
          <w:tcPr>
            <w:tcW w:w="840" w:type="dxa"/>
            <w:tcBorders>
              <w:top w:val="nil"/>
              <w:left w:val="nil"/>
              <w:bottom w:val="nil"/>
              <w:right w:val="nil"/>
            </w:tcBorders>
            <w:shd w:val="clear" w:color="auto" w:fill="auto"/>
            <w:noWrap/>
            <w:vAlign w:val="center"/>
            <w:hideMark/>
          </w:tcPr>
          <w:p w14:paraId="31F5CDCD"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3.6%</w:t>
            </w:r>
          </w:p>
        </w:tc>
        <w:tc>
          <w:tcPr>
            <w:tcW w:w="840" w:type="dxa"/>
            <w:tcBorders>
              <w:top w:val="nil"/>
              <w:left w:val="nil"/>
              <w:bottom w:val="nil"/>
              <w:right w:val="nil"/>
            </w:tcBorders>
            <w:shd w:val="clear" w:color="auto" w:fill="auto"/>
            <w:noWrap/>
            <w:vAlign w:val="center"/>
            <w:hideMark/>
          </w:tcPr>
          <w:p w14:paraId="3DE50B03"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2.4%</w:t>
            </w:r>
          </w:p>
        </w:tc>
        <w:tc>
          <w:tcPr>
            <w:tcW w:w="840" w:type="dxa"/>
            <w:tcBorders>
              <w:top w:val="nil"/>
              <w:left w:val="nil"/>
              <w:bottom w:val="nil"/>
              <w:right w:val="nil"/>
            </w:tcBorders>
            <w:shd w:val="clear" w:color="auto" w:fill="auto"/>
            <w:noWrap/>
            <w:vAlign w:val="center"/>
            <w:hideMark/>
          </w:tcPr>
          <w:p w14:paraId="16E44E4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2.3%</w:t>
            </w:r>
          </w:p>
        </w:tc>
        <w:tc>
          <w:tcPr>
            <w:tcW w:w="840" w:type="dxa"/>
            <w:tcBorders>
              <w:top w:val="nil"/>
              <w:left w:val="nil"/>
              <w:bottom w:val="nil"/>
              <w:right w:val="nil"/>
            </w:tcBorders>
            <w:shd w:val="clear" w:color="auto" w:fill="auto"/>
            <w:noWrap/>
            <w:vAlign w:val="center"/>
            <w:hideMark/>
          </w:tcPr>
          <w:p w14:paraId="4F9AD720"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1.1%</w:t>
            </w:r>
          </w:p>
        </w:tc>
        <w:tc>
          <w:tcPr>
            <w:tcW w:w="840" w:type="dxa"/>
            <w:tcBorders>
              <w:top w:val="nil"/>
              <w:left w:val="nil"/>
              <w:bottom w:val="nil"/>
              <w:right w:val="nil"/>
            </w:tcBorders>
            <w:shd w:val="clear" w:color="auto" w:fill="auto"/>
            <w:noWrap/>
            <w:vAlign w:val="center"/>
            <w:hideMark/>
          </w:tcPr>
          <w:p w14:paraId="023BB35B"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1.3%</w:t>
            </w:r>
          </w:p>
        </w:tc>
        <w:tc>
          <w:tcPr>
            <w:tcW w:w="840" w:type="dxa"/>
            <w:tcBorders>
              <w:top w:val="nil"/>
              <w:left w:val="nil"/>
              <w:bottom w:val="nil"/>
              <w:right w:val="nil"/>
            </w:tcBorders>
            <w:shd w:val="clear" w:color="auto" w:fill="auto"/>
            <w:noWrap/>
            <w:vAlign w:val="center"/>
            <w:hideMark/>
          </w:tcPr>
          <w:p w14:paraId="475C5D89"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3.0%</w:t>
            </w:r>
          </w:p>
        </w:tc>
        <w:tc>
          <w:tcPr>
            <w:tcW w:w="840" w:type="dxa"/>
            <w:tcBorders>
              <w:top w:val="nil"/>
              <w:left w:val="nil"/>
              <w:bottom w:val="nil"/>
              <w:right w:val="nil"/>
            </w:tcBorders>
            <w:shd w:val="clear" w:color="auto" w:fill="auto"/>
            <w:noWrap/>
            <w:vAlign w:val="center"/>
            <w:hideMark/>
          </w:tcPr>
          <w:p w14:paraId="3D7D227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0.7%</w:t>
            </w:r>
          </w:p>
        </w:tc>
        <w:tc>
          <w:tcPr>
            <w:tcW w:w="840" w:type="dxa"/>
            <w:tcBorders>
              <w:top w:val="nil"/>
              <w:left w:val="nil"/>
              <w:bottom w:val="nil"/>
              <w:right w:val="nil"/>
            </w:tcBorders>
            <w:shd w:val="clear" w:color="auto" w:fill="auto"/>
            <w:noWrap/>
            <w:vAlign w:val="center"/>
            <w:hideMark/>
          </w:tcPr>
          <w:p w14:paraId="049F397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1.7%</w:t>
            </w:r>
          </w:p>
        </w:tc>
        <w:tc>
          <w:tcPr>
            <w:tcW w:w="840" w:type="dxa"/>
            <w:tcBorders>
              <w:top w:val="nil"/>
              <w:left w:val="nil"/>
              <w:bottom w:val="nil"/>
              <w:right w:val="nil"/>
            </w:tcBorders>
            <w:shd w:val="clear" w:color="auto" w:fill="auto"/>
            <w:noWrap/>
            <w:vAlign w:val="center"/>
            <w:hideMark/>
          </w:tcPr>
          <w:p w14:paraId="6B6B8F92"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1.7%</w:t>
            </w:r>
          </w:p>
        </w:tc>
      </w:tr>
      <w:tr w:rsidR="00EA7DB7" w:rsidRPr="00FF417E" w14:paraId="3B1A1D33" w14:textId="77777777" w:rsidTr="00EA7DB7">
        <w:trPr>
          <w:trHeight w:val="285"/>
        </w:trPr>
        <w:tc>
          <w:tcPr>
            <w:tcW w:w="1260" w:type="dxa"/>
            <w:tcBorders>
              <w:top w:val="nil"/>
              <w:left w:val="nil"/>
              <w:bottom w:val="nil"/>
              <w:right w:val="nil"/>
            </w:tcBorders>
            <w:shd w:val="clear" w:color="auto" w:fill="auto"/>
            <w:noWrap/>
            <w:vAlign w:val="center"/>
            <w:hideMark/>
          </w:tcPr>
          <w:p w14:paraId="1331573D" w14:textId="77777777" w:rsidR="00EA7DB7" w:rsidRPr="00FF417E" w:rsidRDefault="00EA7DB7" w:rsidP="00FF417E">
            <w:pPr>
              <w:spacing w:after="0"/>
              <w:rPr>
                <w:rFonts w:asciiTheme="majorHAnsi" w:eastAsia="Times New Roman" w:hAnsiTheme="majorHAnsi" w:cs="Calibri"/>
                <w:kern w:val="0"/>
                <w:sz w:val="24"/>
                <w:szCs w:val="24"/>
                <w14:ligatures w14:val="none"/>
              </w:rPr>
            </w:pPr>
            <w:r w:rsidRPr="00FF417E">
              <w:rPr>
                <w:rFonts w:asciiTheme="majorHAnsi" w:eastAsia="Times New Roman" w:hAnsiTheme="majorHAnsi" w:cs="Calibri"/>
                <w:kern w:val="0"/>
                <w:sz w:val="24"/>
                <w:szCs w:val="24"/>
                <w14:ligatures w14:val="none"/>
              </w:rPr>
              <w:t>West Europe</w:t>
            </w:r>
          </w:p>
        </w:tc>
        <w:tc>
          <w:tcPr>
            <w:tcW w:w="840" w:type="dxa"/>
            <w:tcBorders>
              <w:top w:val="nil"/>
              <w:left w:val="nil"/>
              <w:bottom w:val="nil"/>
              <w:right w:val="nil"/>
            </w:tcBorders>
            <w:shd w:val="clear" w:color="auto" w:fill="auto"/>
            <w:noWrap/>
            <w:vAlign w:val="center"/>
            <w:hideMark/>
          </w:tcPr>
          <w:p w14:paraId="66EC80A5"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3.7%</w:t>
            </w:r>
          </w:p>
        </w:tc>
        <w:tc>
          <w:tcPr>
            <w:tcW w:w="840" w:type="dxa"/>
            <w:tcBorders>
              <w:top w:val="nil"/>
              <w:left w:val="nil"/>
              <w:bottom w:val="nil"/>
              <w:right w:val="nil"/>
            </w:tcBorders>
            <w:shd w:val="clear" w:color="auto" w:fill="auto"/>
            <w:noWrap/>
            <w:vAlign w:val="center"/>
            <w:hideMark/>
          </w:tcPr>
          <w:p w14:paraId="1A1030B5"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3.9%</w:t>
            </w:r>
          </w:p>
        </w:tc>
        <w:tc>
          <w:tcPr>
            <w:tcW w:w="840" w:type="dxa"/>
            <w:tcBorders>
              <w:top w:val="nil"/>
              <w:left w:val="nil"/>
              <w:bottom w:val="nil"/>
              <w:right w:val="nil"/>
            </w:tcBorders>
            <w:shd w:val="clear" w:color="auto" w:fill="auto"/>
            <w:noWrap/>
            <w:vAlign w:val="center"/>
            <w:hideMark/>
          </w:tcPr>
          <w:p w14:paraId="7A293F68"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2.0%</w:t>
            </w:r>
          </w:p>
        </w:tc>
        <w:tc>
          <w:tcPr>
            <w:tcW w:w="840" w:type="dxa"/>
            <w:tcBorders>
              <w:top w:val="nil"/>
              <w:left w:val="nil"/>
              <w:bottom w:val="nil"/>
              <w:right w:val="nil"/>
            </w:tcBorders>
            <w:shd w:val="clear" w:color="auto" w:fill="auto"/>
            <w:noWrap/>
            <w:vAlign w:val="center"/>
            <w:hideMark/>
          </w:tcPr>
          <w:p w14:paraId="1B7266B4"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2.8%</w:t>
            </w:r>
          </w:p>
        </w:tc>
        <w:tc>
          <w:tcPr>
            <w:tcW w:w="840" w:type="dxa"/>
            <w:tcBorders>
              <w:top w:val="nil"/>
              <w:left w:val="nil"/>
              <w:bottom w:val="nil"/>
              <w:right w:val="nil"/>
            </w:tcBorders>
            <w:shd w:val="clear" w:color="auto" w:fill="auto"/>
            <w:noWrap/>
            <w:vAlign w:val="center"/>
            <w:hideMark/>
          </w:tcPr>
          <w:p w14:paraId="0EDACCDA"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4.3%</w:t>
            </w:r>
          </w:p>
        </w:tc>
        <w:tc>
          <w:tcPr>
            <w:tcW w:w="840" w:type="dxa"/>
            <w:tcBorders>
              <w:top w:val="nil"/>
              <w:left w:val="nil"/>
              <w:bottom w:val="nil"/>
              <w:right w:val="nil"/>
            </w:tcBorders>
            <w:shd w:val="clear" w:color="auto" w:fill="auto"/>
            <w:noWrap/>
            <w:vAlign w:val="center"/>
            <w:hideMark/>
          </w:tcPr>
          <w:p w14:paraId="7AF18947"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2.0%</w:t>
            </w:r>
          </w:p>
        </w:tc>
        <w:tc>
          <w:tcPr>
            <w:tcW w:w="840" w:type="dxa"/>
            <w:tcBorders>
              <w:top w:val="nil"/>
              <w:left w:val="nil"/>
              <w:bottom w:val="nil"/>
              <w:right w:val="nil"/>
            </w:tcBorders>
            <w:shd w:val="clear" w:color="auto" w:fill="auto"/>
            <w:noWrap/>
            <w:vAlign w:val="center"/>
            <w:hideMark/>
          </w:tcPr>
          <w:p w14:paraId="1F2C70F1"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5.0%</w:t>
            </w:r>
          </w:p>
        </w:tc>
        <w:tc>
          <w:tcPr>
            <w:tcW w:w="840" w:type="dxa"/>
            <w:tcBorders>
              <w:top w:val="nil"/>
              <w:left w:val="nil"/>
              <w:bottom w:val="nil"/>
              <w:right w:val="nil"/>
            </w:tcBorders>
            <w:shd w:val="clear" w:color="auto" w:fill="auto"/>
            <w:noWrap/>
            <w:vAlign w:val="center"/>
            <w:hideMark/>
          </w:tcPr>
          <w:p w14:paraId="06F582AE"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2.6%</w:t>
            </w:r>
          </w:p>
        </w:tc>
        <w:tc>
          <w:tcPr>
            <w:tcW w:w="840" w:type="dxa"/>
            <w:tcBorders>
              <w:top w:val="nil"/>
              <w:left w:val="nil"/>
              <w:bottom w:val="nil"/>
              <w:right w:val="nil"/>
            </w:tcBorders>
            <w:shd w:val="clear" w:color="auto" w:fill="auto"/>
            <w:noWrap/>
            <w:vAlign w:val="center"/>
            <w:hideMark/>
          </w:tcPr>
          <w:p w14:paraId="13A2F85F"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2.7%</w:t>
            </w:r>
          </w:p>
        </w:tc>
        <w:tc>
          <w:tcPr>
            <w:tcW w:w="840" w:type="dxa"/>
            <w:tcBorders>
              <w:top w:val="nil"/>
              <w:left w:val="nil"/>
              <w:bottom w:val="nil"/>
              <w:right w:val="nil"/>
            </w:tcBorders>
            <w:shd w:val="clear" w:color="auto" w:fill="auto"/>
            <w:noWrap/>
            <w:vAlign w:val="center"/>
            <w:hideMark/>
          </w:tcPr>
          <w:p w14:paraId="6E1F1FF6" w14:textId="77777777" w:rsidR="00EA7DB7" w:rsidRPr="00FF417E" w:rsidRDefault="00EA7DB7" w:rsidP="00FF417E">
            <w:pPr>
              <w:spacing w:after="0"/>
              <w:jc w:val="center"/>
              <w:rPr>
                <w:rFonts w:asciiTheme="majorHAnsi" w:eastAsia="Times New Roman" w:hAnsiTheme="majorHAnsi" w:cs="Calibri"/>
                <w:color w:val="000000"/>
                <w:kern w:val="0"/>
                <w:sz w:val="24"/>
                <w:szCs w:val="24"/>
                <w14:ligatures w14:val="none"/>
              </w:rPr>
            </w:pPr>
            <w:r w:rsidRPr="00FF417E">
              <w:rPr>
                <w:rFonts w:asciiTheme="majorHAnsi" w:eastAsia="Times New Roman" w:hAnsiTheme="majorHAnsi" w:cs="Calibri"/>
                <w:color w:val="000000"/>
                <w:kern w:val="0"/>
                <w:sz w:val="24"/>
                <w:szCs w:val="24"/>
                <w14:ligatures w14:val="none"/>
              </w:rPr>
              <w:t>2.0%</w:t>
            </w:r>
          </w:p>
        </w:tc>
      </w:tr>
    </w:tbl>
    <w:p w14:paraId="0E13A073" w14:textId="77777777" w:rsidR="001C0D91" w:rsidRPr="00FF417E" w:rsidRDefault="001C0D91" w:rsidP="00FF417E">
      <w:pPr>
        <w:jc w:val="both"/>
        <w:rPr>
          <w:rFonts w:asciiTheme="majorHAnsi" w:hAnsiTheme="majorHAnsi" w:cs="Arial"/>
          <w:color w:val="222222"/>
          <w:sz w:val="24"/>
          <w:szCs w:val="24"/>
          <w:shd w:val="clear" w:color="auto" w:fill="FFFFFF"/>
        </w:rPr>
      </w:pPr>
    </w:p>
    <w:p w14:paraId="2A361527" w14:textId="7EAC9FFF" w:rsidR="00B7574F" w:rsidRPr="00FF417E" w:rsidRDefault="00AF096A" w:rsidP="00FF417E">
      <w:pPr>
        <w:jc w:val="both"/>
        <w:rPr>
          <w:rFonts w:asciiTheme="majorHAnsi" w:hAnsiTheme="majorHAnsi" w:cs="Arial"/>
          <w:color w:val="222222"/>
          <w:sz w:val="24"/>
          <w:szCs w:val="24"/>
          <w:shd w:val="clear" w:color="auto" w:fill="FFFFFF"/>
        </w:rPr>
      </w:pPr>
      <w:r w:rsidRPr="00FF417E">
        <w:rPr>
          <w:rFonts w:asciiTheme="majorHAnsi" w:hAnsiTheme="majorHAnsi" w:cs="Arial"/>
          <w:color w:val="222222"/>
          <w:sz w:val="24"/>
          <w:szCs w:val="24"/>
          <w:shd w:val="clear" w:color="auto" w:fill="FFFFFF"/>
        </w:rPr>
        <w:t>D</w:t>
      </w:r>
      <w:r w:rsidR="00B7574F" w:rsidRPr="00FF417E">
        <w:rPr>
          <w:rFonts w:asciiTheme="majorHAnsi" w:hAnsiTheme="majorHAnsi" w:cs="Arial"/>
          <w:color w:val="222222"/>
          <w:sz w:val="24"/>
          <w:szCs w:val="24"/>
          <w:shd w:val="clear" w:color="auto" w:fill="FFFFFF"/>
        </w:rPr>
        <w:t xml:space="preserve">etailed bilateral statistics on AVE for each of the products are provided in </w:t>
      </w:r>
      <w:proofErr w:type="gramStart"/>
      <w:r w:rsidR="00B7574F" w:rsidRPr="00FF417E">
        <w:rPr>
          <w:rFonts w:asciiTheme="majorHAnsi" w:hAnsiTheme="majorHAnsi" w:cs="Arial"/>
          <w:color w:val="222222"/>
          <w:sz w:val="24"/>
          <w:szCs w:val="24"/>
          <w:shd w:val="clear" w:color="auto" w:fill="FFFFFF"/>
        </w:rPr>
        <w:t>the Annex</w:t>
      </w:r>
      <w:proofErr w:type="gramEnd"/>
      <w:r w:rsidRPr="00FF417E">
        <w:rPr>
          <w:rFonts w:asciiTheme="majorHAnsi" w:hAnsiTheme="majorHAnsi" w:cs="Arial"/>
          <w:color w:val="222222"/>
          <w:sz w:val="24"/>
          <w:szCs w:val="24"/>
          <w:shd w:val="clear" w:color="auto" w:fill="FFFFFF"/>
        </w:rPr>
        <w:t xml:space="preserve"> III.</w:t>
      </w:r>
    </w:p>
    <w:p w14:paraId="2A080742" w14:textId="2EF951A5" w:rsidR="001E3A03" w:rsidRPr="00FF417E" w:rsidRDefault="001E3A03" w:rsidP="00FF417E">
      <w:pPr>
        <w:ind w:firstLine="720"/>
        <w:rPr>
          <w:rFonts w:asciiTheme="majorHAnsi" w:hAnsiTheme="majorHAnsi"/>
          <w:b/>
          <w:bCs/>
          <w:sz w:val="24"/>
          <w:szCs w:val="24"/>
        </w:rPr>
      </w:pPr>
      <w:r w:rsidRPr="00FF417E">
        <w:rPr>
          <w:rFonts w:asciiTheme="majorHAnsi" w:hAnsiTheme="majorHAnsi"/>
          <w:b/>
          <w:bCs/>
          <w:sz w:val="24"/>
          <w:szCs w:val="24"/>
        </w:rPr>
        <w:t>2.</w:t>
      </w:r>
      <w:r w:rsidR="00FB691B" w:rsidRPr="00FF417E">
        <w:rPr>
          <w:rFonts w:asciiTheme="majorHAnsi" w:hAnsiTheme="majorHAnsi"/>
          <w:b/>
          <w:bCs/>
          <w:sz w:val="24"/>
          <w:szCs w:val="24"/>
        </w:rPr>
        <w:t>2</w:t>
      </w:r>
      <w:r w:rsidRPr="00FF417E">
        <w:rPr>
          <w:rFonts w:asciiTheme="majorHAnsi" w:hAnsiTheme="majorHAnsi"/>
          <w:b/>
          <w:bCs/>
          <w:sz w:val="24"/>
          <w:szCs w:val="24"/>
        </w:rPr>
        <w:t xml:space="preserve">.1 </w:t>
      </w:r>
      <w:r w:rsidR="00E37DD1" w:rsidRPr="00FF417E">
        <w:rPr>
          <w:rFonts w:asciiTheme="majorHAnsi" w:hAnsiTheme="majorHAnsi"/>
          <w:b/>
          <w:bCs/>
          <w:sz w:val="24"/>
          <w:szCs w:val="24"/>
        </w:rPr>
        <w:t>Brief overview on t</w:t>
      </w:r>
      <w:r w:rsidR="00FB691B" w:rsidRPr="00FF417E">
        <w:rPr>
          <w:rFonts w:asciiTheme="majorHAnsi" w:hAnsiTheme="majorHAnsi"/>
          <w:b/>
          <w:bCs/>
          <w:sz w:val="24"/>
          <w:szCs w:val="24"/>
        </w:rPr>
        <w:t xml:space="preserve">he </w:t>
      </w:r>
      <w:r w:rsidRPr="00FF417E">
        <w:rPr>
          <w:rFonts w:asciiTheme="majorHAnsi" w:hAnsiTheme="majorHAnsi"/>
          <w:b/>
          <w:bCs/>
          <w:sz w:val="24"/>
          <w:szCs w:val="24"/>
        </w:rPr>
        <w:t>estimation</w:t>
      </w:r>
      <w:r w:rsidR="0007560D" w:rsidRPr="00FF417E">
        <w:rPr>
          <w:rFonts w:asciiTheme="majorHAnsi" w:hAnsiTheme="majorHAnsi"/>
          <w:b/>
          <w:bCs/>
          <w:sz w:val="24"/>
          <w:szCs w:val="24"/>
        </w:rPr>
        <w:t xml:space="preserve"> </w:t>
      </w:r>
      <w:r w:rsidR="00E37DD1" w:rsidRPr="00FF417E">
        <w:rPr>
          <w:rFonts w:asciiTheme="majorHAnsi" w:hAnsiTheme="majorHAnsi"/>
          <w:b/>
          <w:bCs/>
          <w:sz w:val="24"/>
          <w:szCs w:val="24"/>
        </w:rPr>
        <w:t>of AVEs</w:t>
      </w:r>
      <w:r w:rsidR="008F737B">
        <w:rPr>
          <w:rFonts w:asciiTheme="majorHAnsi" w:hAnsiTheme="majorHAnsi"/>
          <w:b/>
          <w:bCs/>
          <w:sz w:val="24"/>
          <w:szCs w:val="24"/>
        </w:rPr>
        <w:t xml:space="preserve"> [or move to annex]</w:t>
      </w:r>
    </w:p>
    <w:p w14:paraId="4BBD4AF5" w14:textId="2D6BD53E" w:rsidR="00500B7C" w:rsidRPr="00FF417E" w:rsidRDefault="00500B7C" w:rsidP="00FF417E">
      <w:pPr>
        <w:jc w:val="both"/>
        <w:rPr>
          <w:rFonts w:asciiTheme="majorHAnsi" w:hAnsiTheme="majorHAnsi" w:cstheme="majorBidi"/>
          <w:sz w:val="24"/>
          <w:szCs w:val="24"/>
        </w:rPr>
      </w:pPr>
      <w:r w:rsidRPr="00FF417E">
        <w:rPr>
          <w:rFonts w:asciiTheme="majorHAnsi" w:hAnsiTheme="majorHAnsi" w:cstheme="majorBidi"/>
          <w:sz w:val="24"/>
          <w:szCs w:val="24"/>
        </w:rPr>
        <w:lastRenderedPageBreak/>
        <w:t>The ad-valorem equivalents of NTMs provided in this database are based on the estimation method detailed in Kee and Nicita (2022), which in turn, builds on the seminal work of Kee, Nicita and Olarreaga (2009). As with most of the econometric literature estimating AVEs, the effects of NTMs on international trade are isolated using incidence measures of NTMs as explanatory variables.</w:t>
      </w:r>
      <w:r w:rsidR="00AF096A" w:rsidRPr="00FF417E">
        <w:rPr>
          <w:rFonts w:asciiTheme="majorHAnsi" w:hAnsiTheme="majorHAnsi" w:cstheme="majorBidi"/>
          <w:sz w:val="24"/>
          <w:szCs w:val="24"/>
        </w:rPr>
        <w:t xml:space="preserve"> </w:t>
      </w:r>
      <w:r w:rsidR="00E14BCB" w:rsidRPr="00FF417E">
        <w:rPr>
          <w:rFonts w:asciiTheme="majorHAnsi" w:hAnsiTheme="majorHAnsi" w:cstheme="majorBidi"/>
          <w:sz w:val="24"/>
          <w:szCs w:val="24"/>
        </w:rPr>
        <w:t xml:space="preserve">Following </w:t>
      </w:r>
      <w:r w:rsidRPr="00FF417E">
        <w:rPr>
          <w:rFonts w:asciiTheme="majorHAnsi" w:hAnsiTheme="majorHAnsi" w:cstheme="majorBidi"/>
          <w:sz w:val="24"/>
          <w:szCs w:val="24"/>
        </w:rPr>
        <w:t>Kee and Nicita (2022)</w:t>
      </w:r>
      <w:r w:rsidR="00E14BCB" w:rsidRPr="00FF417E">
        <w:rPr>
          <w:rFonts w:asciiTheme="majorHAnsi" w:hAnsiTheme="majorHAnsi" w:cstheme="majorBidi"/>
          <w:sz w:val="24"/>
          <w:szCs w:val="24"/>
        </w:rPr>
        <w:t>,</w:t>
      </w:r>
      <w:r w:rsidRPr="00FF417E">
        <w:rPr>
          <w:rFonts w:asciiTheme="majorHAnsi" w:hAnsiTheme="majorHAnsi" w:cstheme="majorBidi"/>
          <w:sz w:val="24"/>
          <w:szCs w:val="24"/>
        </w:rPr>
        <w:t xml:space="preserve"> the AVEs are computed as the equivalent tariff that would be necessary to impose </w:t>
      </w:r>
      <w:proofErr w:type="gramStart"/>
      <w:r w:rsidRPr="00FF417E">
        <w:rPr>
          <w:rFonts w:asciiTheme="majorHAnsi" w:hAnsiTheme="majorHAnsi" w:cstheme="majorBidi"/>
          <w:sz w:val="24"/>
          <w:szCs w:val="24"/>
        </w:rPr>
        <w:t>in order to</w:t>
      </w:r>
      <w:proofErr w:type="gramEnd"/>
      <w:r w:rsidRPr="00FF417E">
        <w:rPr>
          <w:rFonts w:asciiTheme="majorHAnsi" w:hAnsiTheme="majorHAnsi" w:cstheme="majorBidi"/>
          <w:sz w:val="24"/>
          <w:szCs w:val="24"/>
        </w:rPr>
        <w:t xml:space="preserve"> obtain the same proportionate change in quantity imported due to the presence of NTMs. In short, the estimation method seeks to identify the instantaneous semi-elasticity of trade with respect to differences in the observed tariffs and apply this elasticity to the estimated effects of NTMs on the quantity of trade. Bilateral variations in the AVEs estimates are calculated on the assumption that the trade costs associated with NTMs are a function of importers' and exporters' market power. </w:t>
      </w:r>
      <w:r w:rsidR="00672073" w:rsidRPr="00FF417E">
        <w:rPr>
          <w:rFonts w:asciiTheme="majorHAnsi" w:hAnsiTheme="majorHAnsi" w:cstheme="majorBidi"/>
          <w:sz w:val="24"/>
          <w:szCs w:val="24"/>
        </w:rPr>
        <w:t>While d</w:t>
      </w:r>
      <w:r w:rsidR="00C70E11" w:rsidRPr="00FF417E">
        <w:rPr>
          <w:rFonts w:asciiTheme="majorHAnsi" w:hAnsiTheme="majorHAnsi" w:cstheme="majorBidi"/>
          <w:sz w:val="24"/>
          <w:szCs w:val="24"/>
        </w:rPr>
        <w:t xml:space="preserve">etails on the estimation are </w:t>
      </w:r>
      <w:r w:rsidR="00672073" w:rsidRPr="00FF417E">
        <w:rPr>
          <w:rFonts w:asciiTheme="majorHAnsi" w:hAnsiTheme="majorHAnsi" w:cstheme="majorBidi"/>
          <w:sz w:val="24"/>
          <w:szCs w:val="24"/>
        </w:rPr>
        <w:t>to be found in</w:t>
      </w:r>
      <w:r w:rsidR="00C70E11" w:rsidRPr="00FF417E">
        <w:rPr>
          <w:rFonts w:asciiTheme="majorHAnsi" w:hAnsiTheme="majorHAnsi" w:cstheme="majorBidi"/>
          <w:sz w:val="24"/>
          <w:szCs w:val="24"/>
        </w:rPr>
        <w:t xml:space="preserve"> Kee and Nicita (2022), </w:t>
      </w:r>
      <w:r w:rsidRPr="00FF417E">
        <w:rPr>
          <w:rFonts w:asciiTheme="majorHAnsi" w:hAnsiTheme="majorHAnsi" w:cstheme="majorBidi"/>
          <w:sz w:val="24"/>
          <w:szCs w:val="24"/>
        </w:rPr>
        <w:t xml:space="preserve">the </w:t>
      </w:r>
      <w:r w:rsidR="00672073" w:rsidRPr="00FF417E">
        <w:rPr>
          <w:rFonts w:asciiTheme="majorHAnsi" w:hAnsiTheme="majorHAnsi" w:cstheme="majorBidi"/>
          <w:sz w:val="24"/>
          <w:szCs w:val="24"/>
        </w:rPr>
        <w:t xml:space="preserve">general </w:t>
      </w:r>
      <w:r w:rsidRPr="00FF417E">
        <w:rPr>
          <w:rFonts w:asciiTheme="majorHAnsi" w:hAnsiTheme="majorHAnsi" w:cstheme="majorBidi"/>
          <w:sz w:val="24"/>
          <w:szCs w:val="24"/>
        </w:rPr>
        <w:t>estimati</w:t>
      </w:r>
      <w:r w:rsidR="00672073" w:rsidRPr="00FF417E">
        <w:rPr>
          <w:rFonts w:asciiTheme="majorHAnsi" w:hAnsiTheme="majorHAnsi" w:cstheme="majorBidi"/>
          <w:sz w:val="24"/>
          <w:szCs w:val="24"/>
        </w:rPr>
        <w:t>ng</w:t>
      </w:r>
      <w:r w:rsidRPr="00FF417E">
        <w:rPr>
          <w:rFonts w:asciiTheme="majorHAnsi" w:hAnsiTheme="majorHAnsi" w:cstheme="majorBidi"/>
          <w:sz w:val="24"/>
          <w:szCs w:val="24"/>
        </w:rPr>
        <w:t xml:space="preserve"> equation takes the form:</w:t>
      </w:r>
    </w:p>
    <w:p w14:paraId="37F16C8D" w14:textId="0AE18D1E" w:rsidR="00500B7C" w:rsidRPr="00FF417E" w:rsidRDefault="00C67F47" w:rsidP="00FF417E">
      <w:pPr>
        <w:autoSpaceDE w:val="0"/>
        <w:autoSpaceDN w:val="0"/>
        <w:adjustRightInd w:val="0"/>
        <w:spacing w:after="0"/>
        <w:jc w:val="both"/>
        <w:rPr>
          <w:rFonts w:asciiTheme="majorHAnsi" w:hAnsiTheme="majorHAnsi" w:cstheme="majorBidi"/>
          <w:sz w:val="24"/>
          <w:szCs w:val="24"/>
        </w:rPr>
      </w:pPr>
      <m:oMathPara>
        <m:oMath>
          <m:func>
            <m:funcPr>
              <m:ctrlPr>
                <w:rPr>
                  <w:rFonts w:ascii="Cambria Math" w:hAnsi="Cambria Math" w:cstheme="majorBidi"/>
                  <w:i/>
                  <w:sz w:val="24"/>
                  <w:szCs w:val="24"/>
                </w:rPr>
              </m:ctrlPr>
            </m:funcPr>
            <m:fName>
              <m:r>
                <m:rPr>
                  <m:sty m:val="p"/>
                </m:rPr>
                <w:rPr>
                  <w:rFonts w:ascii="Cambria Math" w:hAnsi="Cambria Math" w:cstheme="majorBidi"/>
                  <w:sz w:val="24"/>
                  <w:szCs w:val="24"/>
                </w:rPr>
                <m:t>ln</m:t>
              </m:r>
            </m:fName>
            <m:e>
              <m:r>
                <w:rPr>
                  <w:rFonts w:ascii="Cambria Math" w:hAnsi="Cambria Math" w:cstheme="majorBidi"/>
                  <w:sz w:val="24"/>
                  <w:szCs w:val="24"/>
                </w:rPr>
                <m:t>E</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nij</m:t>
                      </m:r>
                    </m:sub>
                  </m:sSub>
                  <m:r>
                    <w:rPr>
                      <w:rFonts w:ascii="Cambria Math" w:hAnsi="Cambria Math" w:cstheme="majorBidi"/>
                      <w:sz w:val="24"/>
                      <w:szCs w:val="24"/>
                    </w:rPr>
                    <m:t>|X</m:t>
                  </m:r>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n</m:t>
                  </m:r>
                </m:sub>
              </m:sSub>
              <m:r>
                <w:rPr>
                  <w:rFonts w:ascii="Cambria Math" w:hAnsi="Cambria Math" w:cstheme="majorBidi"/>
                  <w:sz w:val="24"/>
                  <w:szCs w:val="24"/>
                </w:rPr>
                <m:t>+</m:t>
              </m:r>
              <m:sSubSup>
                <m:sSubSupPr>
                  <m:ctrlPr>
                    <w:rPr>
                      <w:rFonts w:ascii="Cambria Math" w:hAnsi="Cambria Math" w:cstheme="majorBidi"/>
                      <w:i/>
                      <w:sz w:val="24"/>
                      <w:szCs w:val="24"/>
                    </w:rPr>
                  </m:ctrlPr>
                </m:sSubSupPr>
                <m:e>
                  <m:r>
                    <w:rPr>
                      <w:rFonts w:ascii="Cambria Math" w:hAnsi="Cambria Math" w:cstheme="majorBidi"/>
                      <w:sz w:val="24"/>
                      <w:szCs w:val="24"/>
                    </w:rPr>
                    <m:t>β</m:t>
                  </m:r>
                </m:e>
                <m:sub>
                  <m:r>
                    <w:rPr>
                      <w:rFonts w:ascii="Cambria Math" w:hAnsi="Cambria Math" w:cstheme="majorBidi"/>
                      <w:sz w:val="24"/>
                      <w:szCs w:val="24"/>
                    </w:rPr>
                    <m:t>nij</m:t>
                  </m:r>
                </m:sub>
                <m:sup>
                  <m:r>
                    <w:rPr>
                      <w:rFonts w:ascii="Cambria Math" w:hAnsi="Cambria Math" w:cstheme="majorBidi"/>
                      <w:sz w:val="24"/>
                      <w:szCs w:val="24"/>
                    </w:rPr>
                    <m:t>t</m:t>
                  </m:r>
                </m:sup>
              </m:sSubSup>
              <m:sSub>
                <m:sSubPr>
                  <m:ctrlPr>
                    <w:rPr>
                      <w:rFonts w:ascii="Cambria Math" w:hAnsi="Cambria Math" w:cstheme="majorBidi"/>
                      <w:i/>
                      <w:sz w:val="24"/>
                      <w:szCs w:val="24"/>
                    </w:rPr>
                  </m:ctrlPr>
                </m:sSubPr>
                <m:e>
                  <m:acc>
                    <m:accPr>
                      <m:ctrlPr>
                        <w:rPr>
                          <w:rFonts w:ascii="Cambria Math" w:hAnsi="Cambria Math" w:cstheme="majorBidi"/>
                          <w:i/>
                          <w:sz w:val="24"/>
                          <w:szCs w:val="24"/>
                        </w:rPr>
                      </m:ctrlPr>
                    </m:accPr>
                    <m:e>
                      <m:r>
                        <w:rPr>
                          <w:rFonts w:ascii="Cambria Math" w:hAnsi="Cambria Math" w:cstheme="majorBidi"/>
                          <w:sz w:val="24"/>
                          <w:szCs w:val="24"/>
                        </w:rPr>
                        <m:t>t</m:t>
                      </m:r>
                    </m:e>
                  </m:acc>
                </m:e>
                <m:sub>
                  <m:r>
                    <w:rPr>
                      <w:rFonts w:ascii="Cambria Math" w:hAnsi="Cambria Math" w:cstheme="majorBidi"/>
                      <w:sz w:val="24"/>
                      <w:szCs w:val="24"/>
                    </w:rPr>
                    <m:t>nij</m:t>
                  </m:r>
                </m:sub>
              </m:sSub>
              <m:r>
                <w:rPr>
                  <w:rFonts w:ascii="Cambria Math" w:hAnsi="Cambria Math" w:cstheme="majorBidi"/>
                  <w:sz w:val="24"/>
                  <w:szCs w:val="24"/>
                </w:rPr>
                <m:t>+</m:t>
              </m:r>
              <m:sSubSup>
                <m:sSubSupPr>
                  <m:ctrlPr>
                    <w:rPr>
                      <w:rFonts w:ascii="Cambria Math" w:hAnsi="Cambria Math" w:cstheme="majorBidi"/>
                      <w:i/>
                      <w:sz w:val="24"/>
                      <w:szCs w:val="24"/>
                    </w:rPr>
                  </m:ctrlPr>
                </m:sSubSupPr>
                <m:e>
                  <m:r>
                    <w:rPr>
                      <w:rFonts w:ascii="Cambria Math" w:hAnsi="Cambria Math" w:cstheme="majorBidi"/>
                      <w:sz w:val="24"/>
                      <w:szCs w:val="24"/>
                    </w:rPr>
                    <m:t>β</m:t>
                  </m:r>
                </m:e>
                <m:sub>
                  <m:r>
                    <w:rPr>
                      <w:rFonts w:ascii="Cambria Math" w:hAnsi="Cambria Math" w:cstheme="majorBidi"/>
                      <w:sz w:val="24"/>
                      <w:szCs w:val="24"/>
                    </w:rPr>
                    <m:t>nij</m:t>
                  </m:r>
                </m:sub>
                <m:sup>
                  <m:r>
                    <w:rPr>
                      <w:rFonts w:ascii="Cambria Math" w:hAnsi="Cambria Math" w:cstheme="majorBidi"/>
                      <w:sz w:val="24"/>
                      <w:szCs w:val="24"/>
                    </w:rPr>
                    <m:t>NTM</m:t>
                  </m:r>
                </m:sup>
              </m:sSubSup>
              <m:sSub>
                <m:sSubPr>
                  <m:ctrlPr>
                    <w:rPr>
                      <w:rFonts w:ascii="Cambria Math" w:hAnsi="Cambria Math" w:cstheme="majorBidi"/>
                      <w:i/>
                      <w:sz w:val="24"/>
                      <w:szCs w:val="24"/>
                    </w:rPr>
                  </m:ctrlPr>
                </m:sSubPr>
                <m:e>
                  <m:r>
                    <w:rPr>
                      <w:rFonts w:ascii="Cambria Math" w:hAnsi="Cambria Math" w:cstheme="majorBidi"/>
                      <w:sz w:val="24"/>
                      <w:szCs w:val="24"/>
                    </w:rPr>
                    <m:t>NTM</m:t>
                  </m:r>
                </m:e>
                <m:sub>
                  <m:r>
                    <w:rPr>
                      <w:rFonts w:ascii="Cambria Math" w:hAnsi="Cambria Math" w:cstheme="majorBidi"/>
                      <w:sz w:val="24"/>
                      <w:szCs w:val="24"/>
                    </w:rPr>
                    <m:t>nij</m:t>
                  </m:r>
                </m:sub>
              </m:sSub>
              <m:r>
                <w:rPr>
                  <w:rFonts w:ascii="Cambria Math" w:hAnsi="Cambria Math" w:cstheme="majorBidi"/>
                  <w:sz w:val="24"/>
                  <w:szCs w:val="24"/>
                </w:rPr>
                <m:t>+γ</m:t>
              </m:r>
              <m:sSub>
                <m:sSubPr>
                  <m:ctrlPr>
                    <w:rPr>
                      <w:rFonts w:ascii="Cambria Math" w:hAnsi="Cambria Math" w:cstheme="majorBidi"/>
                      <w:i/>
                      <w:sz w:val="24"/>
                      <w:szCs w:val="24"/>
                    </w:rPr>
                  </m:ctrlPr>
                </m:sSubPr>
                <m:e>
                  <m:r>
                    <w:rPr>
                      <w:rFonts w:ascii="Cambria Math" w:hAnsi="Cambria Math" w:cstheme="majorBidi"/>
                      <w:sz w:val="24"/>
                      <w:szCs w:val="24"/>
                    </w:rPr>
                    <m:t>Z</m:t>
                  </m:r>
                </m:e>
                <m:sub>
                  <m:r>
                    <w:rPr>
                      <w:rFonts w:ascii="Cambria Math" w:hAnsi="Cambria Math" w:cstheme="majorBidi"/>
                      <w:sz w:val="24"/>
                      <w:szCs w:val="24"/>
                    </w:rPr>
                    <m:t>ij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nji</m:t>
                  </m:r>
                </m:sub>
              </m:sSub>
            </m:e>
          </m:func>
        </m:oMath>
      </m:oMathPara>
    </w:p>
    <w:p w14:paraId="43DE2501" w14:textId="77777777" w:rsidR="00500B7C" w:rsidRPr="00FF417E" w:rsidRDefault="00500B7C" w:rsidP="00FF417E">
      <w:pPr>
        <w:autoSpaceDE w:val="0"/>
        <w:autoSpaceDN w:val="0"/>
        <w:adjustRightInd w:val="0"/>
        <w:spacing w:after="0"/>
        <w:jc w:val="both"/>
        <w:rPr>
          <w:rFonts w:asciiTheme="majorHAnsi" w:hAnsiTheme="majorHAnsi" w:cstheme="majorBidi"/>
          <w:sz w:val="24"/>
          <w:szCs w:val="24"/>
        </w:rPr>
      </w:pPr>
    </w:p>
    <w:p w14:paraId="3C3E71A7" w14:textId="77777777" w:rsidR="00500B7C" w:rsidRPr="00FF417E" w:rsidRDefault="00500B7C" w:rsidP="00FF417E">
      <w:pPr>
        <w:ind w:left="720"/>
        <w:jc w:val="both"/>
        <w:rPr>
          <w:rFonts w:asciiTheme="majorHAnsi" w:hAnsiTheme="majorHAnsi" w:cstheme="majorBidi"/>
          <w:sz w:val="24"/>
          <w:szCs w:val="24"/>
        </w:rPr>
      </w:pPr>
      <w:r w:rsidRPr="00FF417E">
        <w:rPr>
          <w:rFonts w:asciiTheme="majorHAnsi" w:hAnsiTheme="majorHAnsi" w:cstheme="majorBidi"/>
          <w:sz w:val="24"/>
          <w:szCs w:val="24"/>
        </w:rPr>
        <w:t>where</w:t>
      </w:r>
      <w:r w:rsidRPr="00FF417E">
        <w:rPr>
          <w:rFonts w:asciiTheme="majorHAnsi" w:hAnsiTheme="majorHAnsi" w:cstheme="majorBidi"/>
          <w:sz w:val="24"/>
          <w:szCs w:val="24"/>
        </w:rPr>
        <w:tab/>
      </w:r>
      <w:r w:rsidRPr="00FF417E">
        <w:rPr>
          <w:rFonts w:asciiTheme="majorHAnsi" w:hAnsiTheme="majorHAnsi" w:cstheme="majorBidi"/>
          <w:sz w:val="24"/>
          <w:szCs w:val="24"/>
        </w:rPr>
        <w:tab/>
      </w:r>
      <m:oMath>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nij</m:t>
            </m:r>
          </m:sub>
          <m:sup>
            <m:r>
              <w:rPr>
                <w:rFonts w:ascii="Cambria Math" w:hAnsi="Cambria Math" w:cstheme="majorBidi"/>
                <w:sz w:val="24"/>
                <w:szCs w:val="24"/>
              </w:rPr>
              <m:t>t</m:t>
            </m:r>
          </m:sup>
        </m:sSubSup>
        <m:r>
          <w:rPr>
            <w:rFonts w:ascii="Cambria Math" w:hAnsi="Cambria Math" w:cstheme="majorBidi"/>
            <w:sz w:val="24"/>
            <w:szCs w:val="24"/>
          </w:rPr>
          <m:t>=</m:t>
        </m:r>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n</m:t>
            </m:r>
          </m:sub>
          <m:sup>
            <m:r>
              <w:rPr>
                <w:rFonts w:ascii="Cambria Math" w:hAnsi="Cambria Math" w:cstheme="majorBidi"/>
                <w:sz w:val="24"/>
                <w:szCs w:val="24"/>
              </w:rPr>
              <m:t>t</m:t>
            </m:r>
          </m:sup>
        </m:sSubSup>
        <m:r>
          <w:rPr>
            <w:rFonts w:ascii="Cambria Math" w:hAnsi="Cambria Math" w:cstheme="majorBidi"/>
            <w:sz w:val="24"/>
            <w:szCs w:val="24"/>
          </w:rPr>
          <m:t>+</m:t>
        </m:r>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1</m:t>
            </m:r>
          </m:sub>
          <m:sup>
            <m:r>
              <w:rPr>
                <w:rFonts w:ascii="Cambria Math" w:hAnsi="Cambria Math" w:cstheme="majorBidi"/>
                <w:sz w:val="24"/>
                <w:szCs w:val="24"/>
              </w:rPr>
              <m:t>t</m:t>
            </m:r>
          </m:sup>
        </m:sSubSup>
        <m:sSub>
          <m:sSubPr>
            <m:ctrlPr>
              <w:rPr>
                <w:rFonts w:ascii="Cambria Math" w:hAnsi="Cambria Math" w:cstheme="majorBidi"/>
                <w:i/>
                <w:iCs/>
                <w:sz w:val="24"/>
                <w:szCs w:val="24"/>
                <w:lang w:val="fr-CH"/>
              </w:rPr>
            </m:ctrlPr>
          </m:sSubPr>
          <m:e>
            <m:r>
              <w:rPr>
                <w:rFonts w:ascii="Cambria Math" w:hAnsi="Cambria Math" w:cstheme="majorBidi"/>
                <w:sz w:val="24"/>
                <w:szCs w:val="24"/>
              </w:rPr>
              <m:t>share</m:t>
            </m:r>
          </m:e>
          <m:sub>
            <m:r>
              <w:rPr>
                <w:rFonts w:ascii="Cambria Math" w:hAnsi="Cambria Math" w:cstheme="majorBidi"/>
                <w:sz w:val="24"/>
                <w:szCs w:val="24"/>
              </w:rPr>
              <m:t>nj</m:t>
            </m:r>
          </m:sub>
        </m:sSub>
        <m:r>
          <w:rPr>
            <w:rFonts w:ascii="Cambria Math" w:hAnsi="Cambria Math" w:cstheme="majorBidi"/>
            <w:sz w:val="24"/>
            <w:szCs w:val="24"/>
          </w:rPr>
          <m:t>+</m:t>
        </m:r>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2</m:t>
            </m:r>
          </m:sub>
          <m:sup>
            <m:r>
              <w:rPr>
                <w:rFonts w:ascii="Cambria Math" w:hAnsi="Cambria Math" w:cstheme="majorBidi"/>
                <w:sz w:val="24"/>
                <w:szCs w:val="24"/>
              </w:rPr>
              <m:t>t</m:t>
            </m:r>
          </m:sup>
        </m:sSubSup>
        <m:sSub>
          <m:sSubPr>
            <m:ctrlPr>
              <w:rPr>
                <w:rFonts w:ascii="Cambria Math" w:hAnsi="Cambria Math" w:cstheme="majorBidi"/>
                <w:i/>
                <w:iCs/>
                <w:sz w:val="24"/>
                <w:szCs w:val="24"/>
                <w:lang w:val="fr-CH"/>
              </w:rPr>
            </m:ctrlPr>
          </m:sSubPr>
          <m:e>
            <m:r>
              <w:rPr>
                <w:rFonts w:ascii="Cambria Math" w:hAnsi="Cambria Math" w:cstheme="majorBidi"/>
                <w:sz w:val="24"/>
                <w:szCs w:val="24"/>
              </w:rPr>
              <m:t>share</m:t>
            </m:r>
          </m:e>
          <m:sub>
            <m:r>
              <w:rPr>
                <w:rFonts w:ascii="Cambria Math" w:hAnsi="Cambria Math" w:cstheme="majorBidi"/>
                <w:sz w:val="24"/>
                <w:szCs w:val="24"/>
              </w:rPr>
              <m:t>nij</m:t>
            </m:r>
          </m:sub>
        </m:sSub>
      </m:oMath>
      <w:r w:rsidRPr="00FF417E">
        <w:rPr>
          <w:rFonts w:asciiTheme="majorHAnsi" w:hAnsiTheme="majorHAnsi" w:cstheme="majorBidi"/>
          <w:sz w:val="24"/>
          <w:szCs w:val="24"/>
        </w:rPr>
        <w:t xml:space="preserve"> </w:t>
      </w:r>
      <m:oMath>
        <m:r>
          <w:rPr>
            <w:rFonts w:ascii="Cambria Math" w:hAnsi="Cambria Math" w:cstheme="majorBidi"/>
            <w:sz w:val="24"/>
            <w:szCs w:val="24"/>
          </w:rPr>
          <m:t>+</m:t>
        </m:r>
      </m:oMath>
      <w:r w:rsidRPr="00FF417E">
        <w:rPr>
          <w:rFonts w:asciiTheme="majorHAnsi" w:hAnsiTheme="majorHAnsi" w:cstheme="majorBidi"/>
          <w:sz w:val="24"/>
          <w:szCs w:val="24"/>
        </w:rPr>
        <w:t xml:space="preserve"> </w:t>
      </w:r>
      <m:oMath>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3</m:t>
            </m:r>
          </m:sub>
          <m:sup>
            <m:r>
              <w:rPr>
                <w:rFonts w:ascii="Cambria Math" w:hAnsi="Cambria Math" w:cstheme="majorBidi"/>
                <w:sz w:val="24"/>
                <w:szCs w:val="24"/>
              </w:rPr>
              <m:t>t</m:t>
            </m:r>
          </m:sup>
        </m:sSubSup>
        <m:sSub>
          <m:sSubPr>
            <m:ctrlPr>
              <w:rPr>
                <w:rFonts w:ascii="Cambria Math" w:hAnsi="Cambria Math" w:cstheme="majorBidi"/>
                <w:i/>
                <w:iCs/>
                <w:sz w:val="24"/>
                <w:szCs w:val="24"/>
                <w:lang w:val="fr-CH"/>
              </w:rPr>
            </m:ctrlPr>
          </m:sSubPr>
          <m:e>
            <m:r>
              <w:rPr>
                <w:rFonts w:ascii="Cambria Math" w:hAnsi="Cambria Math" w:cstheme="majorBidi"/>
                <w:sz w:val="24"/>
                <w:szCs w:val="24"/>
              </w:rPr>
              <m:t>share</m:t>
            </m:r>
          </m:e>
          <m:sub>
            <m:r>
              <w:rPr>
                <w:rFonts w:ascii="Cambria Math" w:hAnsi="Cambria Math" w:cstheme="majorBidi"/>
                <w:sz w:val="24"/>
                <w:szCs w:val="24"/>
              </w:rPr>
              <m:t>ni</m:t>
            </m:r>
          </m:sub>
        </m:sSub>
      </m:oMath>
      <w:r w:rsidRPr="00FF417E">
        <w:rPr>
          <w:rFonts w:asciiTheme="majorHAnsi" w:hAnsiTheme="majorHAnsi" w:cstheme="majorBidi"/>
          <w:sz w:val="24"/>
          <w:szCs w:val="24"/>
        </w:rPr>
        <w:t xml:space="preserve"> </w:t>
      </w:r>
    </w:p>
    <w:p w14:paraId="429AE8C9" w14:textId="77777777" w:rsidR="00500B7C" w:rsidRPr="00FF417E" w:rsidRDefault="00500B7C" w:rsidP="00FF417E">
      <w:pPr>
        <w:ind w:left="720"/>
        <w:jc w:val="both"/>
        <w:rPr>
          <w:rFonts w:asciiTheme="majorHAnsi" w:hAnsiTheme="majorHAnsi" w:cstheme="majorBidi"/>
          <w:sz w:val="24"/>
          <w:szCs w:val="24"/>
        </w:rPr>
      </w:pPr>
      <w:r w:rsidRPr="00FF417E">
        <w:rPr>
          <w:rFonts w:asciiTheme="majorHAnsi" w:hAnsiTheme="majorHAnsi" w:cstheme="majorBidi"/>
          <w:sz w:val="24"/>
          <w:szCs w:val="24"/>
        </w:rPr>
        <w:t xml:space="preserve">and              </w:t>
      </w:r>
      <m:oMath>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nij</m:t>
            </m:r>
          </m:sub>
          <m:sup>
            <m:r>
              <w:rPr>
                <w:rFonts w:ascii="Cambria Math" w:hAnsi="Cambria Math" w:cstheme="majorBidi"/>
                <w:sz w:val="24"/>
                <w:szCs w:val="24"/>
              </w:rPr>
              <m:t>NTM</m:t>
            </m:r>
          </m:sup>
        </m:sSubSup>
        <m:r>
          <w:rPr>
            <w:rFonts w:ascii="Cambria Math" w:hAnsi="Cambria Math" w:cstheme="majorBidi"/>
            <w:sz w:val="24"/>
            <w:szCs w:val="24"/>
          </w:rPr>
          <m:t>=</m:t>
        </m:r>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n</m:t>
            </m:r>
          </m:sub>
          <m:sup>
            <m:r>
              <w:rPr>
                <w:rFonts w:ascii="Cambria Math" w:hAnsi="Cambria Math" w:cstheme="majorBidi"/>
                <w:sz w:val="24"/>
                <w:szCs w:val="24"/>
              </w:rPr>
              <m:t>NTM</m:t>
            </m:r>
          </m:sup>
        </m:sSubSup>
        <m:r>
          <w:rPr>
            <w:rFonts w:ascii="Cambria Math" w:hAnsi="Cambria Math" w:cstheme="majorBidi"/>
            <w:sz w:val="24"/>
            <w:szCs w:val="24"/>
          </w:rPr>
          <m:t>+</m:t>
        </m:r>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1</m:t>
            </m:r>
          </m:sub>
          <m:sup>
            <m:r>
              <w:rPr>
                <w:rFonts w:ascii="Cambria Math" w:hAnsi="Cambria Math" w:cstheme="majorBidi"/>
                <w:sz w:val="24"/>
                <w:szCs w:val="24"/>
              </w:rPr>
              <m:t>NTM</m:t>
            </m:r>
          </m:sup>
        </m:sSubSup>
        <m:sSub>
          <m:sSubPr>
            <m:ctrlPr>
              <w:rPr>
                <w:rFonts w:ascii="Cambria Math" w:hAnsi="Cambria Math" w:cstheme="majorBidi"/>
                <w:i/>
                <w:iCs/>
                <w:sz w:val="24"/>
                <w:szCs w:val="24"/>
                <w:lang w:val="fr-CH"/>
              </w:rPr>
            </m:ctrlPr>
          </m:sSubPr>
          <m:e>
            <m:r>
              <w:rPr>
                <w:rFonts w:ascii="Cambria Math" w:hAnsi="Cambria Math" w:cstheme="majorBidi"/>
                <w:sz w:val="24"/>
                <w:szCs w:val="24"/>
              </w:rPr>
              <m:t>share</m:t>
            </m:r>
          </m:e>
          <m:sub>
            <m:r>
              <w:rPr>
                <w:rFonts w:ascii="Cambria Math" w:hAnsi="Cambria Math" w:cstheme="majorBidi"/>
                <w:sz w:val="24"/>
                <w:szCs w:val="24"/>
              </w:rPr>
              <m:t>nj</m:t>
            </m:r>
          </m:sub>
        </m:sSub>
        <m:r>
          <w:rPr>
            <w:rFonts w:ascii="Cambria Math" w:hAnsi="Cambria Math" w:cstheme="majorBidi"/>
            <w:sz w:val="24"/>
            <w:szCs w:val="24"/>
          </w:rPr>
          <m:t>+</m:t>
        </m:r>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2</m:t>
            </m:r>
          </m:sub>
          <m:sup>
            <m:r>
              <w:rPr>
                <w:rFonts w:ascii="Cambria Math" w:hAnsi="Cambria Math" w:cstheme="majorBidi"/>
                <w:sz w:val="24"/>
                <w:szCs w:val="24"/>
              </w:rPr>
              <m:t>NTM</m:t>
            </m:r>
          </m:sup>
        </m:sSubSup>
        <m:sSub>
          <m:sSubPr>
            <m:ctrlPr>
              <w:rPr>
                <w:rFonts w:ascii="Cambria Math" w:hAnsi="Cambria Math" w:cstheme="majorBidi"/>
                <w:i/>
                <w:iCs/>
                <w:sz w:val="24"/>
                <w:szCs w:val="24"/>
                <w:lang w:val="fr-CH"/>
              </w:rPr>
            </m:ctrlPr>
          </m:sSubPr>
          <m:e>
            <m:r>
              <w:rPr>
                <w:rFonts w:ascii="Cambria Math" w:hAnsi="Cambria Math" w:cstheme="majorBidi"/>
                <w:sz w:val="24"/>
                <w:szCs w:val="24"/>
              </w:rPr>
              <m:t>share</m:t>
            </m:r>
          </m:e>
          <m:sub>
            <m:r>
              <w:rPr>
                <w:rFonts w:ascii="Cambria Math" w:hAnsi="Cambria Math" w:cstheme="majorBidi"/>
                <w:sz w:val="24"/>
                <w:szCs w:val="24"/>
              </w:rPr>
              <m:t>nij</m:t>
            </m:r>
          </m:sub>
        </m:sSub>
      </m:oMath>
      <w:r w:rsidRPr="00FF417E">
        <w:rPr>
          <w:rFonts w:asciiTheme="majorHAnsi" w:hAnsiTheme="majorHAnsi" w:cstheme="majorBidi"/>
          <w:sz w:val="24"/>
          <w:szCs w:val="24"/>
        </w:rPr>
        <w:t xml:space="preserve"> </w:t>
      </w:r>
      <m:oMath>
        <m:r>
          <w:rPr>
            <w:rFonts w:ascii="Cambria Math" w:hAnsi="Cambria Math" w:cstheme="majorBidi"/>
            <w:sz w:val="24"/>
            <w:szCs w:val="24"/>
          </w:rPr>
          <m:t>+</m:t>
        </m:r>
        <m:sSubSup>
          <m:sSubSupPr>
            <m:ctrlPr>
              <w:rPr>
                <w:rFonts w:ascii="Cambria Math" w:hAnsi="Cambria Math" w:cstheme="majorBidi"/>
                <w:i/>
                <w:iCs/>
                <w:sz w:val="24"/>
                <w:szCs w:val="24"/>
                <w:lang w:val="fr-CH"/>
              </w:rPr>
            </m:ctrlPr>
          </m:sSubSupPr>
          <m:e>
            <m:r>
              <w:rPr>
                <w:rFonts w:ascii="Cambria Math" w:hAnsi="Cambria Math" w:cstheme="majorBidi"/>
                <w:sz w:val="24"/>
                <w:szCs w:val="24"/>
              </w:rPr>
              <m:t>β</m:t>
            </m:r>
          </m:e>
          <m:sub>
            <m:r>
              <w:rPr>
                <w:rFonts w:ascii="Cambria Math" w:hAnsi="Cambria Math" w:cstheme="majorBidi"/>
                <w:sz w:val="24"/>
                <w:szCs w:val="24"/>
              </w:rPr>
              <m:t>3</m:t>
            </m:r>
          </m:sub>
          <m:sup>
            <m:r>
              <w:rPr>
                <w:rFonts w:ascii="Cambria Math" w:hAnsi="Cambria Math" w:cstheme="majorBidi"/>
                <w:sz w:val="24"/>
                <w:szCs w:val="24"/>
              </w:rPr>
              <m:t>NTM</m:t>
            </m:r>
          </m:sup>
        </m:sSubSup>
        <m:sSub>
          <m:sSubPr>
            <m:ctrlPr>
              <w:rPr>
                <w:rFonts w:ascii="Cambria Math" w:hAnsi="Cambria Math" w:cstheme="majorBidi"/>
                <w:i/>
                <w:iCs/>
                <w:sz w:val="24"/>
                <w:szCs w:val="24"/>
                <w:lang w:val="fr-CH"/>
              </w:rPr>
            </m:ctrlPr>
          </m:sSubPr>
          <m:e>
            <m:r>
              <w:rPr>
                <w:rFonts w:ascii="Cambria Math" w:hAnsi="Cambria Math" w:cstheme="majorBidi"/>
                <w:sz w:val="24"/>
                <w:szCs w:val="24"/>
              </w:rPr>
              <m:t>share</m:t>
            </m:r>
          </m:e>
          <m:sub>
            <m:r>
              <w:rPr>
                <w:rFonts w:ascii="Cambria Math" w:hAnsi="Cambria Math" w:cstheme="majorBidi"/>
                <w:sz w:val="24"/>
                <w:szCs w:val="24"/>
              </w:rPr>
              <m:t>ni</m:t>
            </m:r>
          </m:sub>
        </m:sSub>
      </m:oMath>
    </w:p>
    <w:p w14:paraId="1D7BF2D6" w14:textId="3344EE30" w:rsidR="00500B7C" w:rsidRPr="00FF417E" w:rsidRDefault="00500B7C" w:rsidP="00FF417E">
      <w:pPr>
        <w:tabs>
          <w:tab w:val="num" w:pos="720"/>
          <w:tab w:val="num" w:pos="1440"/>
        </w:tabs>
        <w:jc w:val="both"/>
        <w:rPr>
          <w:rFonts w:asciiTheme="majorHAnsi" w:hAnsiTheme="majorHAnsi" w:cstheme="majorBidi"/>
          <w:sz w:val="24"/>
          <w:szCs w:val="24"/>
        </w:rPr>
      </w:pPr>
      <w:r w:rsidRPr="00FF417E">
        <w:rPr>
          <w:rFonts w:asciiTheme="majorHAnsi" w:hAnsiTheme="majorHAnsi" w:cstheme="majorBidi"/>
          <w:sz w:val="24"/>
          <w:szCs w:val="24"/>
        </w:rPr>
        <w:t xml:space="preserve">where </w:t>
      </w:r>
      <w:r w:rsidRPr="00FF417E">
        <w:rPr>
          <w:rFonts w:asciiTheme="majorHAnsi" w:hAnsiTheme="majorHAnsi" w:cstheme="majorBidi"/>
          <w:i/>
          <w:iCs/>
          <w:sz w:val="24"/>
          <w:szCs w:val="24"/>
        </w:rPr>
        <w:t>Q</w:t>
      </w:r>
      <w:r w:rsidRPr="00FF417E">
        <w:rPr>
          <w:rFonts w:asciiTheme="majorHAnsi" w:hAnsiTheme="majorHAnsi" w:cstheme="majorBidi"/>
          <w:sz w:val="24"/>
          <w:szCs w:val="24"/>
        </w:rPr>
        <w:t xml:space="preserve"> denotes quantities, </w:t>
      </w:r>
      <w:r w:rsidRPr="00FF417E">
        <w:rPr>
          <w:rFonts w:asciiTheme="majorHAnsi" w:hAnsiTheme="majorHAnsi" w:cstheme="majorBidi"/>
          <w:i/>
          <w:iCs/>
          <w:sz w:val="24"/>
          <w:szCs w:val="24"/>
        </w:rPr>
        <w:t>t</w:t>
      </w:r>
      <w:r w:rsidRPr="00FF417E">
        <w:rPr>
          <w:rFonts w:asciiTheme="majorHAnsi" w:hAnsiTheme="majorHAnsi" w:cstheme="majorBidi"/>
          <w:sz w:val="24"/>
          <w:szCs w:val="24"/>
        </w:rPr>
        <w:t xml:space="preserve"> tariffs, and </w:t>
      </w:r>
      <w:r w:rsidRPr="00FF417E">
        <w:rPr>
          <w:rFonts w:asciiTheme="majorHAnsi" w:hAnsiTheme="majorHAnsi" w:cstheme="majorBidi"/>
          <w:i/>
          <w:iCs/>
          <w:sz w:val="24"/>
          <w:szCs w:val="24"/>
        </w:rPr>
        <w:t>NTM</w:t>
      </w:r>
      <w:r w:rsidRPr="00FF417E">
        <w:rPr>
          <w:rFonts w:asciiTheme="majorHAnsi" w:hAnsiTheme="majorHAnsi" w:cstheme="majorBidi"/>
          <w:sz w:val="24"/>
          <w:szCs w:val="24"/>
        </w:rPr>
        <w:t xml:space="preserve"> the presence of an NTM</w:t>
      </w:r>
      <w:r w:rsidR="00791FCE" w:rsidRPr="00FF417E">
        <w:rPr>
          <w:rFonts w:asciiTheme="majorHAnsi" w:hAnsiTheme="majorHAnsi" w:cstheme="majorBidi"/>
          <w:sz w:val="24"/>
          <w:szCs w:val="24"/>
        </w:rPr>
        <w:t>, and</w:t>
      </w:r>
      <w:r w:rsidRPr="00FF417E">
        <w:rPr>
          <w:rFonts w:asciiTheme="majorHAnsi" w:hAnsiTheme="majorHAnsi" w:cstheme="majorBidi"/>
          <w:sz w:val="24"/>
          <w:szCs w:val="24"/>
        </w:rPr>
        <w:t xml:space="preserve"> where </w:t>
      </w:r>
      <w:r w:rsidRPr="00FF417E">
        <w:rPr>
          <w:rFonts w:asciiTheme="majorHAnsi" w:hAnsiTheme="majorHAnsi" w:cstheme="majorBidi"/>
          <w:i/>
          <w:iCs/>
          <w:sz w:val="24"/>
          <w:szCs w:val="24"/>
        </w:rPr>
        <w:t>n</w:t>
      </w:r>
      <w:r w:rsidRPr="00FF417E">
        <w:rPr>
          <w:rFonts w:asciiTheme="majorHAnsi" w:hAnsiTheme="majorHAnsi" w:cstheme="majorBidi"/>
          <w:sz w:val="24"/>
          <w:szCs w:val="24"/>
        </w:rPr>
        <w:t xml:space="preserve"> denotes products, </w:t>
      </w:r>
      <w:proofErr w:type="spellStart"/>
      <w:r w:rsidRPr="00FF417E">
        <w:rPr>
          <w:rFonts w:asciiTheme="majorHAnsi" w:hAnsiTheme="majorHAnsi" w:cstheme="majorBidi"/>
          <w:i/>
          <w:iCs/>
          <w:sz w:val="24"/>
          <w:szCs w:val="24"/>
        </w:rPr>
        <w:t>i</w:t>
      </w:r>
      <w:proofErr w:type="spellEnd"/>
      <w:r w:rsidRPr="00FF417E">
        <w:rPr>
          <w:rFonts w:asciiTheme="majorHAnsi" w:hAnsiTheme="majorHAnsi" w:cstheme="majorBidi"/>
          <w:sz w:val="24"/>
          <w:szCs w:val="24"/>
        </w:rPr>
        <w:t xml:space="preserve"> importing country and </w:t>
      </w:r>
      <w:r w:rsidRPr="00FF417E">
        <w:rPr>
          <w:rFonts w:asciiTheme="majorHAnsi" w:hAnsiTheme="majorHAnsi" w:cstheme="majorBidi"/>
          <w:i/>
          <w:iCs/>
          <w:sz w:val="24"/>
          <w:szCs w:val="24"/>
        </w:rPr>
        <w:t>j</w:t>
      </w:r>
      <w:r w:rsidRPr="00FF417E">
        <w:rPr>
          <w:rFonts w:asciiTheme="majorHAnsi" w:hAnsiTheme="majorHAnsi" w:cstheme="majorBidi"/>
          <w:sz w:val="24"/>
          <w:szCs w:val="24"/>
        </w:rPr>
        <w:t xml:space="preserve"> exporting country. Bilateral variation of AVEs is provided by interaction terms (shares) and consists of three terms: absolute market power of the exporter (</w:t>
      </w:r>
      <m:oMath>
        <m:f>
          <m:fPr>
            <m:type m:val="lin"/>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export</m:t>
                </m:r>
              </m:e>
              <m:sub>
                <m:r>
                  <w:rPr>
                    <w:rFonts w:ascii="Cambria Math" w:hAnsi="Cambria Math" w:cstheme="majorBidi"/>
                    <w:sz w:val="24"/>
                    <w:szCs w:val="24"/>
                  </w:rPr>
                  <m:t>jK</m:t>
                </m:r>
              </m:sub>
            </m:sSub>
          </m:num>
          <m:den>
            <m:sSub>
              <m:sSubPr>
                <m:ctrlPr>
                  <w:rPr>
                    <w:rFonts w:ascii="Cambria Math" w:hAnsi="Cambria Math" w:cstheme="majorBidi"/>
                    <w:i/>
                    <w:sz w:val="24"/>
                    <w:szCs w:val="24"/>
                  </w:rPr>
                </m:ctrlPr>
              </m:sSubPr>
              <m:e>
                <m:r>
                  <w:rPr>
                    <w:rFonts w:ascii="Cambria Math" w:hAnsi="Cambria Math" w:cstheme="majorBidi"/>
                    <w:sz w:val="24"/>
                    <w:szCs w:val="24"/>
                  </w:rPr>
                  <m:t>wld_trade</m:t>
                </m:r>
              </m:e>
              <m:sub>
                <m:r>
                  <w:rPr>
                    <w:rFonts w:ascii="Cambria Math" w:hAnsi="Cambria Math" w:cstheme="majorBidi"/>
                    <w:sz w:val="24"/>
                    <w:szCs w:val="24"/>
                  </w:rPr>
                  <m:t>K</m:t>
                </m:r>
              </m:sub>
            </m:sSub>
          </m:den>
        </m:f>
      </m:oMath>
      <w:r w:rsidRPr="00FF417E">
        <w:rPr>
          <w:rFonts w:asciiTheme="majorHAnsi" w:hAnsiTheme="majorHAnsi" w:cstheme="majorBidi"/>
          <w:sz w:val="24"/>
          <w:szCs w:val="24"/>
        </w:rPr>
        <w:t>); relative market power of the exporter in the importer market (</w:t>
      </w:r>
      <m:oMath>
        <m:f>
          <m:fPr>
            <m:type m:val="lin"/>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import</m:t>
                </m:r>
              </m:e>
              <m:sub>
                <m:r>
                  <w:rPr>
                    <w:rFonts w:ascii="Cambria Math" w:hAnsi="Cambria Math" w:cstheme="majorBidi"/>
                    <w:sz w:val="24"/>
                    <w:szCs w:val="24"/>
                  </w:rPr>
                  <m:t>ijK</m:t>
                </m:r>
              </m:sub>
            </m:sSub>
          </m:num>
          <m:den>
            <m:sSub>
              <m:sSubPr>
                <m:ctrlPr>
                  <w:rPr>
                    <w:rFonts w:ascii="Cambria Math" w:hAnsi="Cambria Math" w:cstheme="majorBidi"/>
                    <w:i/>
                    <w:sz w:val="24"/>
                    <w:szCs w:val="24"/>
                  </w:rPr>
                </m:ctrlPr>
              </m:sSubPr>
              <m:e>
                <m:r>
                  <w:rPr>
                    <w:rFonts w:ascii="Cambria Math" w:hAnsi="Cambria Math" w:cstheme="majorBidi"/>
                    <w:sz w:val="24"/>
                    <w:szCs w:val="24"/>
                  </w:rPr>
                  <m:t>export</m:t>
                </m:r>
              </m:e>
              <m:sub>
                <m:r>
                  <w:rPr>
                    <w:rFonts w:ascii="Cambria Math" w:hAnsi="Cambria Math" w:cstheme="majorBidi"/>
                    <w:sz w:val="24"/>
                    <w:szCs w:val="24"/>
                  </w:rPr>
                  <m:t>jK</m:t>
                </m:r>
              </m:sub>
            </m:sSub>
          </m:den>
        </m:f>
      </m:oMath>
      <w:r w:rsidRPr="00FF417E">
        <w:rPr>
          <w:rFonts w:asciiTheme="majorHAnsi" w:hAnsiTheme="majorHAnsi" w:cstheme="majorBidi"/>
          <w:sz w:val="24"/>
          <w:szCs w:val="24"/>
        </w:rPr>
        <w:t>); and importer market power (</w:t>
      </w:r>
      <m:oMath>
        <m:f>
          <m:fPr>
            <m:type m:val="lin"/>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import</m:t>
                </m:r>
              </m:e>
              <m:sub>
                <m:r>
                  <w:rPr>
                    <w:rFonts w:ascii="Cambria Math" w:hAnsi="Cambria Math" w:cstheme="majorBidi"/>
                    <w:sz w:val="24"/>
                    <w:szCs w:val="24"/>
                  </w:rPr>
                  <m:t>iK</m:t>
                </m:r>
              </m:sub>
            </m:sSub>
          </m:num>
          <m:den>
            <m:sSub>
              <m:sSubPr>
                <m:ctrlPr>
                  <w:rPr>
                    <w:rFonts w:ascii="Cambria Math" w:hAnsi="Cambria Math" w:cstheme="majorBidi"/>
                    <w:i/>
                    <w:sz w:val="24"/>
                    <w:szCs w:val="24"/>
                  </w:rPr>
                </m:ctrlPr>
              </m:sSubPr>
              <m:e>
                <m:r>
                  <w:rPr>
                    <w:rFonts w:ascii="Cambria Math" w:hAnsi="Cambria Math" w:cstheme="majorBidi"/>
                    <w:sz w:val="24"/>
                    <w:szCs w:val="24"/>
                  </w:rPr>
                  <m:t>wld_trade</m:t>
                </m:r>
              </m:e>
              <m:sub>
                <m:r>
                  <w:rPr>
                    <w:rFonts w:ascii="Cambria Math" w:hAnsi="Cambria Math" w:cstheme="majorBidi"/>
                    <w:sz w:val="24"/>
                    <w:szCs w:val="24"/>
                  </w:rPr>
                  <m:t>K</m:t>
                </m:r>
              </m:sub>
            </m:sSub>
          </m:den>
        </m:f>
      </m:oMath>
      <w:r w:rsidRPr="00FF417E">
        <w:rPr>
          <w:rFonts w:asciiTheme="majorHAnsi" w:hAnsiTheme="majorHAns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Z</m:t>
            </m:r>
          </m:e>
          <m:sub>
            <m:r>
              <w:rPr>
                <w:rFonts w:ascii="Cambria Math" w:hAnsi="Cambria Math" w:cstheme="majorBidi"/>
                <w:sz w:val="24"/>
                <w:szCs w:val="24"/>
              </w:rPr>
              <m:t>ij</m:t>
            </m:r>
          </m:sub>
        </m:sSub>
      </m:oMath>
      <w:r w:rsidRPr="00FF417E">
        <w:rPr>
          <w:rFonts w:asciiTheme="majorHAnsi" w:hAnsiTheme="majorHAnsi" w:cstheme="majorBidi"/>
          <w:sz w:val="24"/>
          <w:szCs w:val="24"/>
        </w:rPr>
        <w:t xml:space="preserve"> are gravity</w:t>
      </w:r>
      <w:r w:rsidR="00791FCE" w:rsidRPr="00FF417E">
        <w:rPr>
          <w:rFonts w:asciiTheme="majorHAnsi" w:hAnsiTheme="majorHAnsi" w:cstheme="majorBidi"/>
          <w:sz w:val="24"/>
          <w:szCs w:val="24"/>
        </w:rPr>
        <w:t>-type</w:t>
      </w:r>
      <w:r w:rsidRPr="00FF417E">
        <w:rPr>
          <w:rFonts w:asciiTheme="majorHAnsi" w:hAnsiTheme="majorHAnsi" w:cstheme="majorBidi"/>
          <w:sz w:val="24"/>
          <w:szCs w:val="24"/>
        </w:rPr>
        <w:t xml:space="preserve"> variables</w:t>
      </w:r>
      <w:r w:rsidR="00791FCE" w:rsidRPr="00FF417E">
        <w:rPr>
          <w:rFonts w:asciiTheme="majorHAnsi" w:hAnsiTheme="majorHAnsi" w:cstheme="majorBidi"/>
          <w:sz w:val="24"/>
          <w:szCs w:val="24"/>
        </w:rPr>
        <w:t>.</w:t>
      </w:r>
      <w:r w:rsidRPr="00FF417E">
        <w:rPr>
          <w:rFonts w:asciiTheme="majorHAnsi" w:hAnsiTheme="majorHAnsi" w:cstheme="majorBidi"/>
          <w:sz w:val="24"/>
          <w:szCs w:val="24"/>
        </w:rPr>
        <w:t xml:space="preserve"> In this setup the elasticity of trade with respect to tariff is:</w:t>
      </w:r>
    </w:p>
    <w:p w14:paraId="371FB25E" w14:textId="77777777" w:rsidR="00500B7C" w:rsidRPr="00FF417E" w:rsidRDefault="00C67F47" w:rsidP="00FF417E">
      <w:pPr>
        <w:ind w:left="2880" w:firstLine="720"/>
        <w:jc w:val="both"/>
        <w:rPr>
          <w:rFonts w:asciiTheme="majorHAnsi" w:hAnsiTheme="majorHAnsi" w:cstheme="majorBidi"/>
          <w:sz w:val="24"/>
          <w:szCs w:val="24"/>
        </w:rPr>
      </w:pPr>
      <m:oMath>
        <m:sSubSup>
          <m:sSubSupPr>
            <m:ctrlPr>
              <w:rPr>
                <w:rFonts w:ascii="Cambria Math" w:hAnsi="Cambria Math" w:cstheme="majorBidi"/>
                <w:i/>
                <w:sz w:val="24"/>
                <w:szCs w:val="24"/>
              </w:rPr>
            </m:ctrlPr>
          </m:sSubSupPr>
          <m:e>
            <m:acc>
              <m:accPr>
                <m:ctrlPr>
                  <w:rPr>
                    <w:rFonts w:ascii="Cambria Math" w:hAnsi="Cambria Math" w:cstheme="majorBidi"/>
                    <w:i/>
                    <w:sz w:val="24"/>
                    <w:szCs w:val="24"/>
                  </w:rPr>
                </m:ctrlPr>
              </m:accPr>
              <m:e>
                <m:r>
                  <w:rPr>
                    <w:rFonts w:ascii="Cambria Math" w:hAnsi="Cambria Math" w:cstheme="majorBidi"/>
                    <w:sz w:val="24"/>
                    <w:szCs w:val="24"/>
                  </w:rPr>
                  <m:t>β</m:t>
                </m:r>
              </m:e>
            </m:acc>
          </m:e>
          <m:sub>
            <m:r>
              <w:rPr>
                <w:rFonts w:ascii="Cambria Math" w:hAnsi="Cambria Math" w:cstheme="majorBidi"/>
                <w:sz w:val="24"/>
                <w:szCs w:val="24"/>
              </w:rPr>
              <m:t>nij</m:t>
            </m:r>
          </m:sub>
          <m:sup>
            <m:r>
              <w:rPr>
                <w:rFonts w:ascii="Cambria Math" w:hAnsi="Cambria Math" w:cstheme="majorBidi"/>
                <w:sz w:val="24"/>
                <w:szCs w:val="24"/>
              </w:rPr>
              <m:t>t</m:t>
            </m:r>
          </m:sup>
        </m:sSubSup>
        <m:r>
          <m:rPr>
            <m:sty m:val="p"/>
          </m:rPr>
          <w:rPr>
            <w:rFonts w:ascii="Cambria Math" w:hAnsi="Cambria Math" w:cstheme="majorBidi"/>
            <w:sz w:val="24"/>
            <w:szCs w:val="24"/>
          </w:rPr>
          <m:t>=</m:t>
        </m:r>
        <m:f>
          <m:fPr>
            <m:ctrlPr>
              <w:rPr>
                <w:rFonts w:ascii="Cambria Math" w:hAnsi="Cambria Math" w:cstheme="majorBidi"/>
                <w:sz w:val="24"/>
                <w:szCs w:val="24"/>
              </w:rPr>
            </m:ctrlPr>
          </m:fPr>
          <m:num>
            <m:r>
              <m:rPr>
                <m:sty m:val="p"/>
              </m:rPr>
              <w:rPr>
                <w:rFonts w:ascii="Cambria Math" w:hAnsi="Cambria Math" w:cstheme="majorBidi"/>
                <w:sz w:val="24"/>
                <w:szCs w:val="24"/>
              </w:rPr>
              <m:t>∂ln⁡</m:t>
            </m:r>
            <m:r>
              <w:rPr>
                <w:rFonts w:ascii="Cambria Math" w:hAnsi="Cambria Math" w:cstheme="majorBidi"/>
                <w:sz w:val="24"/>
                <w:szCs w:val="24"/>
              </w:rPr>
              <m:t>(E</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nij</m:t>
                    </m:r>
                  </m:sub>
                </m:sSub>
                <m:r>
                  <w:rPr>
                    <w:rFonts w:ascii="Cambria Math" w:hAnsi="Cambria Math" w:cstheme="majorBidi"/>
                    <w:sz w:val="24"/>
                    <w:szCs w:val="24"/>
                  </w:rPr>
                  <m:t>|X</m:t>
                </m:r>
              </m:e>
            </m:d>
          </m:num>
          <m:den>
            <m:r>
              <m:rPr>
                <m:sty m:val="p"/>
              </m:rP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nij</m:t>
                </m:r>
              </m:sub>
            </m:sSub>
          </m:den>
        </m:f>
      </m:oMath>
      <w:r w:rsidR="00500B7C" w:rsidRPr="00FF417E">
        <w:rPr>
          <w:rFonts w:asciiTheme="majorHAnsi" w:hAnsiTheme="majorHAnsi" w:cstheme="majorBidi"/>
          <w:sz w:val="24"/>
          <w:szCs w:val="24"/>
        </w:rPr>
        <w:t>,</w:t>
      </w:r>
    </w:p>
    <w:p w14:paraId="560A8395" w14:textId="77777777" w:rsidR="00500B7C" w:rsidRPr="00FF417E" w:rsidRDefault="00500B7C" w:rsidP="00FF417E">
      <w:pPr>
        <w:jc w:val="both"/>
        <w:rPr>
          <w:rFonts w:asciiTheme="majorHAnsi" w:hAnsiTheme="majorHAnsi" w:cstheme="majorBidi"/>
          <w:sz w:val="24"/>
          <w:szCs w:val="24"/>
        </w:rPr>
      </w:pPr>
      <w:r w:rsidRPr="00FF417E">
        <w:rPr>
          <w:rFonts w:asciiTheme="majorHAnsi" w:hAnsiTheme="majorHAnsi" w:cstheme="majorBidi"/>
          <w:sz w:val="24"/>
          <w:szCs w:val="24"/>
        </w:rPr>
        <w:t xml:space="preserve">and the AVE measuring the ad-valorem tariffs that induce the same proportionate change in quantity as the presence of an NTM is: </w:t>
      </w:r>
    </w:p>
    <w:p w14:paraId="6C66D73F" w14:textId="77777777" w:rsidR="00500B7C" w:rsidRPr="00FF417E" w:rsidRDefault="00C67F47" w:rsidP="00FF417E">
      <w:pPr>
        <w:autoSpaceDE w:val="0"/>
        <w:autoSpaceDN w:val="0"/>
        <w:adjustRightInd w:val="0"/>
        <w:spacing w:after="0"/>
        <w:ind w:left="720" w:firstLine="720"/>
        <w:jc w:val="both"/>
        <w:rPr>
          <w:rFonts w:asciiTheme="majorHAnsi" w:hAnsiTheme="majorHAnsi" w:cstheme="majorBidi"/>
          <w:sz w:val="24"/>
          <w:szCs w:val="24"/>
        </w:rPr>
      </w:pPr>
      <m:oMath>
        <m:sSubSup>
          <m:sSubSupPr>
            <m:ctrlPr>
              <w:rPr>
                <w:rFonts w:ascii="Cambria Math" w:hAnsi="Cambria Math" w:cstheme="majorBidi"/>
                <w:i/>
                <w:sz w:val="24"/>
                <w:szCs w:val="24"/>
              </w:rPr>
            </m:ctrlPr>
          </m:sSubSupPr>
          <m:e>
            <m:r>
              <w:rPr>
                <w:rFonts w:ascii="Cambria Math" w:hAnsi="Cambria Math" w:cstheme="majorBidi"/>
                <w:sz w:val="24"/>
                <w:szCs w:val="24"/>
              </w:rPr>
              <m:t>AVE</m:t>
            </m:r>
          </m:e>
          <m:sub>
            <m:r>
              <w:rPr>
                <w:rFonts w:ascii="Cambria Math" w:hAnsi="Cambria Math" w:cstheme="majorBidi"/>
                <w:sz w:val="24"/>
                <w:szCs w:val="24"/>
              </w:rPr>
              <m:t>nij</m:t>
            </m:r>
          </m:sub>
          <m:sup>
            <m:r>
              <w:rPr>
                <w:rFonts w:ascii="Cambria Math" w:hAnsi="Cambria Math" w:cstheme="majorBidi"/>
                <w:sz w:val="24"/>
                <w:szCs w:val="24"/>
              </w:rPr>
              <m:t>NTM</m:t>
            </m:r>
          </m:sup>
        </m:sSubSup>
        <m:r>
          <m:rPr>
            <m:sty m:val="p"/>
          </m:rPr>
          <w:rPr>
            <w:rFonts w:ascii="Cambria Math" w:hAnsi="Cambria Math" w:cstheme="majorBidi"/>
            <w:sz w:val="24"/>
            <w:szCs w:val="24"/>
          </w:rPr>
          <m:t>=</m:t>
        </m:r>
        <m:f>
          <m:fPr>
            <m:ctrlPr>
              <w:rPr>
                <w:rFonts w:ascii="Cambria Math" w:hAnsi="Cambria Math" w:cstheme="majorBidi"/>
                <w:sz w:val="24"/>
                <w:szCs w:val="24"/>
              </w:rPr>
            </m:ctrlPr>
          </m:fPr>
          <m:num>
            <m:func>
              <m:funcPr>
                <m:ctrlPr>
                  <w:rPr>
                    <w:rFonts w:ascii="Cambria Math" w:hAnsi="Cambria Math" w:cstheme="majorBidi"/>
                    <w:sz w:val="24"/>
                    <w:szCs w:val="24"/>
                  </w:rPr>
                </m:ctrlPr>
              </m:funcPr>
              <m:fName>
                <m:r>
                  <m:rPr>
                    <m:sty m:val="p"/>
                  </m:rPr>
                  <w:rPr>
                    <w:rFonts w:ascii="Cambria Math" w:hAnsi="Cambria Math" w:cstheme="majorBidi"/>
                    <w:sz w:val="24"/>
                    <w:szCs w:val="24"/>
                  </w:rPr>
                  <m:t>exp</m:t>
                </m:r>
              </m:fName>
              <m:e>
                <m:d>
                  <m:dPr>
                    <m:ctrlPr>
                      <w:rPr>
                        <w:rFonts w:ascii="Cambria Math" w:hAnsi="Cambria Math" w:cstheme="majorBidi"/>
                        <w:i/>
                        <w:sz w:val="24"/>
                        <w:szCs w:val="24"/>
                      </w:rPr>
                    </m:ctrlPr>
                  </m:dPr>
                  <m:e>
                    <m:sSubSup>
                      <m:sSubSupPr>
                        <m:ctrlPr>
                          <w:rPr>
                            <w:rFonts w:ascii="Cambria Math" w:hAnsi="Cambria Math" w:cstheme="majorBidi"/>
                            <w:i/>
                            <w:sz w:val="24"/>
                            <w:szCs w:val="24"/>
                          </w:rPr>
                        </m:ctrlPr>
                      </m:sSubSupPr>
                      <m:e>
                        <m:acc>
                          <m:accPr>
                            <m:ctrlPr>
                              <w:rPr>
                                <w:rFonts w:ascii="Cambria Math" w:hAnsi="Cambria Math" w:cstheme="majorBidi"/>
                                <w:i/>
                                <w:sz w:val="24"/>
                                <w:szCs w:val="24"/>
                              </w:rPr>
                            </m:ctrlPr>
                          </m:accPr>
                          <m:e>
                            <m:r>
                              <w:rPr>
                                <w:rFonts w:ascii="Cambria Math" w:hAnsi="Cambria Math" w:cstheme="majorBidi"/>
                                <w:sz w:val="24"/>
                                <w:szCs w:val="24"/>
                              </w:rPr>
                              <m:t>β</m:t>
                            </m:r>
                          </m:e>
                        </m:acc>
                      </m:e>
                      <m:sub>
                        <m:r>
                          <w:rPr>
                            <w:rFonts w:ascii="Cambria Math" w:hAnsi="Cambria Math" w:cstheme="majorBidi"/>
                            <w:sz w:val="24"/>
                            <w:szCs w:val="24"/>
                          </w:rPr>
                          <m:t>nij</m:t>
                        </m:r>
                      </m:sub>
                      <m:sup>
                        <m:r>
                          <w:rPr>
                            <w:rFonts w:ascii="Cambria Math" w:hAnsi="Cambria Math" w:cstheme="majorBidi"/>
                            <w:sz w:val="24"/>
                            <w:szCs w:val="24"/>
                          </w:rPr>
                          <m:t>NTM</m:t>
                        </m:r>
                      </m:sup>
                    </m:sSubSup>
                  </m:e>
                </m:d>
                <m:r>
                  <w:rPr>
                    <w:rFonts w:ascii="Cambria Math" w:hAnsi="Cambria Math" w:cstheme="majorBidi"/>
                    <w:sz w:val="24"/>
                    <w:szCs w:val="24"/>
                  </w:rPr>
                  <m:t>-1</m:t>
                </m:r>
              </m:e>
            </m:func>
          </m:num>
          <m:den>
            <m:func>
              <m:funcPr>
                <m:ctrlPr>
                  <w:rPr>
                    <w:rFonts w:ascii="Cambria Math" w:hAnsi="Cambria Math" w:cstheme="majorBidi"/>
                    <w:sz w:val="24"/>
                    <w:szCs w:val="24"/>
                  </w:rPr>
                </m:ctrlPr>
              </m:funcPr>
              <m:fName>
                <m:r>
                  <m:rPr>
                    <m:sty m:val="p"/>
                  </m:rPr>
                  <w:rPr>
                    <w:rFonts w:ascii="Cambria Math" w:hAnsi="Cambria Math" w:cstheme="majorBidi"/>
                    <w:sz w:val="24"/>
                    <w:szCs w:val="24"/>
                  </w:rPr>
                  <m:t>exp</m:t>
                </m:r>
              </m:fName>
              <m:e>
                <m:d>
                  <m:dPr>
                    <m:ctrlPr>
                      <w:rPr>
                        <w:rFonts w:ascii="Cambria Math" w:hAnsi="Cambria Math" w:cstheme="majorBidi"/>
                        <w:i/>
                        <w:sz w:val="24"/>
                        <w:szCs w:val="24"/>
                      </w:rPr>
                    </m:ctrlPr>
                  </m:dPr>
                  <m:e>
                    <m:sSubSup>
                      <m:sSubSupPr>
                        <m:ctrlPr>
                          <w:rPr>
                            <w:rFonts w:ascii="Cambria Math" w:hAnsi="Cambria Math" w:cstheme="majorBidi"/>
                            <w:i/>
                            <w:sz w:val="24"/>
                            <w:szCs w:val="24"/>
                          </w:rPr>
                        </m:ctrlPr>
                      </m:sSubSupPr>
                      <m:e>
                        <m:acc>
                          <m:accPr>
                            <m:ctrlPr>
                              <w:rPr>
                                <w:rFonts w:ascii="Cambria Math" w:hAnsi="Cambria Math" w:cstheme="majorBidi"/>
                                <w:i/>
                                <w:sz w:val="24"/>
                                <w:szCs w:val="24"/>
                              </w:rPr>
                            </m:ctrlPr>
                          </m:accPr>
                          <m:e>
                            <m:r>
                              <w:rPr>
                                <w:rFonts w:ascii="Cambria Math" w:hAnsi="Cambria Math" w:cstheme="majorBidi"/>
                                <w:sz w:val="24"/>
                                <w:szCs w:val="24"/>
                              </w:rPr>
                              <m:t>β</m:t>
                            </m:r>
                          </m:e>
                        </m:acc>
                      </m:e>
                      <m:sub>
                        <m:r>
                          <w:rPr>
                            <w:rFonts w:ascii="Cambria Math" w:hAnsi="Cambria Math" w:cstheme="majorBidi"/>
                            <w:sz w:val="24"/>
                            <w:szCs w:val="24"/>
                          </w:rPr>
                          <m:t>nij</m:t>
                        </m:r>
                      </m:sub>
                      <m:sup>
                        <m:r>
                          <w:rPr>
                            <w:rFonts w:ascii="Cambria Math" w:hAnsi="Cambria Math" w:cstheme="majorBidi"/>
                            <w:sz w:val="24"/>
                            <w:szCs w:val="24"/>
                          </w:rPr>
                          <m:t>t</m:t>
                        </m:r>
                      </m:sup>
                    </m:sSubSup>
                  </m:e>
                </m:d>
                <m:r>
                  <w:rPr>
                    <w:rFonts w:ascii="Cambria Math" w:hAnsi="Cambria Math" w:cstheme="majorBidi"/>
                    <w:sz w:val="24"/>
                    <w:szCs w:val="24"/>
                  </w:rPr>
                  <m:t>-1</m:t>
                </m:r>
              </m:e>
            </m:func>
          </m:den>
        </m:f>
        <m:r>
          <w:rPr>
            <w:rFonts w:ascii="Cambria Math" w:hAnsi="Cambria Math" w:cstheme="majorBidi"/>
            <w:sz w:val="24"/>
            <w:szCs w:val="24"/>
          </w:rPr>
          <m:t>≅</m:t>
        </m:r>
        <m:f>
          <m:fPr>
            <m:ctrlPr>
              <w:rPr>
                <w:rFonts w:ascii="Cambria Math" w:hAnsi="Cambria Math" w:cstheme="majorBidi"/>
                <w:sz w:val="24"/>
                <w:szCs w:val="24"/>
              </w:rPr>
            </m:ctrlPr>
          </m:fPr>
          <m:num>
            <m:sSubSup>
              <m:sSubSupPr>
                <m:ctrlPr>
                  <w:rPr>
                    <w:rFonts w:ascii="Cambria Math" w:hAnsi="Cambria Math" w:cstheme="majorBidi"/>
                    <w:i/>
                    <w:sz w:val="24"/>
                    <w:szCs w:val="24"/>
                  </w:rPr>
                </m:ctrlPr>
              </m:sSubSupPr>
              <m:e>
                <m:acc>
                  <m:accPr>
                    <m:ctrlPr>
                      <w:rPr>
                        <w:rFonts w:ascii="Cambria Math" w:hAnsi="Cambria Math" w:cstheme="majorBidi"/>
                        <w:i/>
                        <w:sz w:val="24"/>
                        <w:szCs w:val="24"/>
                      </w:rPr>
                    </m:ctrlPr>
                  </m:accPr>
                  <m:e>
                    <m:r>
                      <w:rPr>
                        <w:rFonts w:ascii="Cambria Math" w:hAnsi="Cambria Math" w:cstheme="majorBidi"/>
                        <w:sz w:val="24"/>
                        <w:szCs w:val="24"/>
                      </w:rPr>
                      <m:t>β</m:t>
                    </m:r>
                  </m:e>
                </m:acc>
              </m:e>
              <m:sub>
                <m:r>
                  <w:rPr>
                    <w:rFonts w:ascii="Cambria Math" w:hAnsi="Cambria Math" w:cstheme="majorBidi"/>
                    <w:sz w:val="24"/>
                    <w:szCs w:val="24"/>
                  </w:rPr>
                  <m:t>nij</m:t>
                </m:r>
              </m:sub>
              <m:sup>
                <m:r>
                  <w:rPr>
                    <w:rFonts w:ascii="Cambria Math" w:hAnsi="Cambria Math" w:cstheme="majorBidi"/>
                    <w:sz w:val="24"/>
                    <w:szCs w:val="24"/>
                  </w:rPr>
                  <m:t>NTM</m:t>
                </m:r>
              </m:sup>
            </m:sSubSup>
          </m:num>
          <m:den>
            <m:sSubSup>
              <m:sSubSupPr>
                <m:ctrlPr>
                  <w:rPr>
                    <w:rFonts w:ascii="Cambria Math" w:hAnsi="Cambria Math" w:cstheme="majorBidi"/>
                    <w:i/>
                    <w:sz w:val="24"/>
                    <w:szCs w:val="24"/>
                  </w:rPr>
                </m:ctrlPr>
              </m:sSubSupPr>
              <m:e>
                <m:acc>
                  <m:accPr>
                    <m:ctrlPr>
                      <w:rPr>
                        <w:rFonts w:ascii="Cambria Math" w:hAnsi="Cambria Math" w:cstheme="majorBidi"/>
                        <w:i/>
                        <w:sz w:val="24"/>
                        <w:szCs w:val="24"/>
                      </w:rPr>
                    </m:ctrlPr>
                  </m:accPr>
                  <m:e>
                    <m:r>
                      <w:rPr>
                        <w:rFonts w:ascii="Cambria Math" w:hAnsi="Cambria Math" w:cstheme="majorBidi"/>
                        <w:sz w:val="24"/>
                        <w:szCs w:val="24"/>
                      </w:rPr>
                      <m:t>β</m:t>
                    </m:r>
                  </m:e>
                </m:acc>
              </m:e>
              <m:sub>
                <m:r>
                  <w:rPr>
                    <w:rFonts w:ascii="Cambria Math" w:hAnsi="Cambria Math" w:cstheme="majorBidi"/>
                    <w:sz w:val="24"/>
                    <w:szCs w:val="24"/>
                  </w:rPr>
                  <m:t>nij</m:t>
                </m:r>
              </m:sub>
              <m:sup>
                <m:r>
                  <w:rPr>
                    <w:rFonts w:ascii="Cambria Math" w:hAnsi="Cambria Math" w:cstheme="majorBidi"/>
                    <w:sz w:val="24"/>
                    <w:szCs w:val="24"/>
                  </w:rPr>
                  <m:t>t</m:t>
                </m:r>
              </m:sup>
            </m:sSubSup>
          </m:den>
        </m:f>
      </m:oMath>
      <w:r w:rsidR="00500B7C" w:rsidRPr="00FF417E">
        <w:rPr>
          <w:rFonts w:asciiTheme="majorHAnsi" w:hAnsiTheme="majorHAnsi" w:cstheme="majorBidi"/>
          <w:sz w:val="24"/>
          <w:szCs w:val="24"/>
        </w:rPr>
        <w:t xml:space="preserve">     for small </w:t>
      </w:r>
      <m:oMath>
        <m:sSubSup>
          <m:sSubSupPr>
            <m:ctrlPr>
              <w:rPr>
                <w:rFonts w:ascii="Cambria Math" w:hAnsi="Cambria Math" w:cstheme="majorBidi"/>
                <w:i/>
                <w:sz w:val="24"/>
                <w:szCs w:val="24"/>
              </w:rPr>
            </m:ctrlPr>
          </m:sSubSupPr>
          <m:e>
            <m:acc>
              <m:accPr>
                <m:ctrlPr>
                  <w:rPr>
                    <w:rFonts w:ascii="Cambria Math" w:hAnsi="Cambria Math" w:cstheme="majorBidi"/>
                    <w:i/>
                    <w:sz w:val="24"/>
                    <w:szCs w:val="24"/>
                  </w:rPr>
                </m:ctrlPr>
              </m:accPr>
              <m:e>
                <m:r>
                  <w:rPr>
                    <w:rFonts w:ascii="Cambria Math" w:hAnsi="Cambria Math" w:cstheme="majorBidi"/>
                    <w:sz w:val="24"/>
                    <w:szCs w:val="24"/>
                  </w:rPr>
                  <m:t>β</m:t>
                </m:r>
              </m:e>
            </m:acc>
          </m:e>
          <m:sub>
            <m:r>
              <w:rPr>
                <w:rFonts w:ascii="Cambria Math" w:hAnsi="Cambria Math" w:cstheme="majorBidi"/>
                <w:sz w:val="24"/>
                <w:szCs w:val="24"/>
              </w:rPr>
              <m:t>nij</m:t>
            </m:r>
          </m:sub>
          <m:sup>
            <m:r>
              <w:rPr>
                <w:rFonts w:ascii="Cambria Math" w:hAnsi="Cambria Math" w:cstheme="majorBidi"/>
                <w:sz w:val="24"/>
                <w:szCs w:val="24"/>
              </w:rPr>
              <m:t>t</m:t>
            </m:r>
          </m:sup>
        </m:sSubSup>
        <m:r>
          <m:rPr>
            <m:sty m:val="p"/>
          </m:rPr>
          <w:rPr>
            <w:rFonts w:ascii="Cambria Math" w:hAnsi="Cambria Math" w:cstheme="majorBidi"/>
            <w:sz w:val="24"/>
            <w:szCs w:val="24"/>
          </w:rPr>
          <m:t xml:space="preserve"> and</m:t>
        </m:r>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acc>
              <m:accPr>
                <m:ctrlPr>
                  <w:rPr>
                    <w:rFonts w:ascii="Cambria Math" w:hAnsi="Cambria Math" w:cstheme="majorBidi"/>
                    <w:i/>
                    <w:sz w:val="24"/>
                    <w:szCs w:val="24"/>
                  </w:rPr>
                </m:ctrlPr>
              </m:accPr>
              <m:e>
                <m:r>
                  <w:rPr>
                    <w:rFonts w:ascii="Cambria Math" w:hAnsi="Cambria Math" w:cstheme="majorBidi"/>
                    <w:sz w:val="24"/>
                    <w:szCs w:val="24"/>
                  </w:rPr>
                  <m:t>β</m:t>
                </m:r>
              </m:e>
            </m:acc>
          </m:e>
          <m:sub>
            <m:r>
              <w:rPr>
                <w:rFonts w:ascii="Cambria Math" w:hAnsi="Cambria Math" w:cstheme="majorBidi"/>
                <w:sz w:val="24"/>
                <w:szCs w:val="24"/>
              </w:rPr>
              <m:t>nij</m:t>
            </m:r>
          </m:sub>
          <m:sup>
            <m:r>
              <w:rPr>
                <w:rFonts w:ascii="Cambria Math" w:hAnsi="Cambria Math" w:cstheme="majorBidi"/>
                <w:sz w:val="24"/>
                <w:szCs w:val="24"/>
              </w:rPr>
              <m:t>NTM</m:t>
            </m:r>
          </m:sup>
        </m:sSubSup>
      </m:oMath>
      <w:r w:rsidR="00500B7C" w:rsidRPr="00FF417E">
        <w:rPr>
          <w:rFonts w:asciiTheme="majorHAnsi" w:hAnsiTheme="majorHAnsi" w:cstheme="majorBidi"/>
          <w:sz w:val="24"/>
          <w:szCs w:val="24"/>
        </w:rPr>
        <w:t xml:space="preserve"> .</w:t>
      </w:r>
    </w:p>
    <w:p w14:paraId="405C9036" w14:textId="77777777" w:rsidR="00500B7C" w:rsidRPr="00FF417E" w:rsidRDefault="00500B7C" w:rsidP="00FF417E">
      <w:pPr>
        <w:autoSpaceDE w:val="0"/>
        <w:autoSpaceDN w:val="0"/>
        <w:adjustRightInd w:val="0"/>
        <w:spacing w:after="0"/>
        <w:jc w:val="both"/>
        <w:rPr>
          <w:rFonts w:asciiTheme="majorHAnsi" w:hAnsiTheme="majorHAnsi" w:cstheme="majorBidi"/>
          <w:sz w:val="24"/>
          <w:szCs w:val="24"/>
        </w:rPr>
      </w:pPr>
    </w:p>
    <w:p w14:paraId="7EF9AF0C" w14:textId="4F14ED66" w:rsidR="00500B7C" w:rsidRPr="00FF417E" w:rsidRDefault="00500B7C" w:rsidP="00FF417E">
      <w:pPr>
        <w:jc w:val="both"/>
        <w:rPr>
          <w:rFonts w:asciiTheme="majorHAnsi" w:hAnsiTheme="majorHAnsi" w:cstheme="majorBidi"/>
          <w:sz w:val="24"/>
          <w:szCs w:val="24"/>
        </w:rPr>
      </w:pPr>
      <w:r w:rsidRPr="00FF417E">
        <w:rPr>
          <w:rFonts w:asciiTheme="majorHAnsi" w:hAnsiTheme="majorHAnsi" w:cstheme="majorBidi"/>
          <w:sz w:val="24"/>
          <w:szCs w:val="24"/>
        </w:rPr>
        <w:t>In more intuitive terms, to measure the AVEs of NTMs</w:t>
      </w:r>
      <w:r w:rsidR="00791FCE" w:rsidRPr="00FF417E">
        <w:rPr>
          <w:rFonts w:asciiTheme="majorHAnsi" w:hAnsiTheme="majorHAnsi" w:cstheme="majorBidi"/>
          <w:sz w:val="24"/>
          <w:szCs w:val="24"/>
        </w:rPr>
        <w:t>, Kee and Nicita (2022) estimate</w:t>
      </w:r>
      <w:r w:rsidRPr="00FF417E">
        <w:rPr>
          <w:rFonts w:asciiTheme="majorHAnsi" w:hAnsiTheme="majorHAnsi" w:cstheme="majorBidi"/>
          <w:sz w:val="24"/>
          <w:szCs w:val="24"/>
        </w:rPr>
        <w:t xml:space="preserve"> the proportionate change in quantity imported due to the presence of NTMs, and then use the elasticity of trade with respect to a one percentage point increase in the tariff to convert the proportionate change in quantity imported due to NTMs in terms of ad valorem </w:t>
      </w:r>
      <w:r w:rsidRPr="00FF417E">
        <w:rPr>
          <w:rFonts w:asciiTheme="majorHAnsi" w:hAnsiTheme="majorHAnsi" w:cstheme="majorBidi"/>
          <w:sz w:val="24"/>
          <w:szCs w:val="24"/>
        </w:rPr>
        <w:lastRenderedPageBreak/>
        <w:t xml:space="preserve">equivalents. A feature of this approach is that it allows the calculation of AVE when there is no bilateral trade. In this case the AVEs will be based on the coefficient on the dummy NTM variables and the average elasticity. </w:t>
      </w:r>
    </w:p>
    <w:p w14:paraId="7EE50A25" w14:textId="53B2F3AD" w:rsidR="008F737B" w:rsidRPr="008F737B" w:rsidRDefault="00E37DD1" w:rsidP="00FF417E">
      <w:pPr>
        <w:jc w:val="both"/>
        <w:rPr>
          <w:rFonts w:asciiTheme="majorHAnsi" w:hAnsiTheme="majorHAnsi" w:cstheme="majorBidi"/>
          <w:sz w:val="24"/>
          <w:szCs w:val="24"/>
        </w:rPr>
      </w:pPr>
      <w:proofErr w:type="gramStart"/>
      <w:r w:rsidRPr="00FF417E">
        <w:rPr>
          <w:rFonts w:asciiTheme="majorHAnsi" w:hAnsiTheme="majorHAnsi" w:cstheme="majorBidi"/>
          <w:sz w:val="24"/>
          <w:szCs w:val="24"/>
        </w:rPr>
        <w:t>For the purpose of</w:t>
      </w:r>
      <w:proofErr w:type="gramEnd"/>
      <w:r w:rsidRPr="00FF417E">
        <w:rPr>
          <w:rFonts w:asciiTheme="majorHAnsi" w:hAnsiTheme="majorHAnsi" w:cstheme="majorBidi"/>
          <w:sz w:val="24"/>
          <w:szCs w:val="24"/>
        </w:rPr>
        <w:t xml:space="preserve"> this paper,</w:t>
      </w:r>
      <w:r w:rsidR="002546E0" w:rsidRPr="00FF417E">
        <w:rPr>
          <w:rFonts w:asciiTheme="majorHAnsi" w:hAnsiTheme="majorHAnsi" w:cstheme="majorBidi"/>
          <w:sz w:val="24"/>
          <w:szCs w:val="24"/>
        </w:rPr>
        <w:t xml:space="preserve"> the estimates are rerun to increase compatibility with the GTAP 11 database. In short, the </w:t>
      </w:r>
      <w:r w:rsidR="00BF38A0" w:rsidRPr="00FF417E">
        <w:rPr>
          <w:rFonts w:asciiTheme="majorHAnsi" w:hAnsiTheme="majorHAnsi" w:cstheme="majorBidi"/>
          <w:sz w:val="24"/>
          <w:szCs w:val="24"/>
        </w:rPr>
        <w:t xml:space="preserve">base year has been fixed to 2017, while the estimation makes use of increased and improved availability of NTM data. </w:t>
      </w:r>
    </w:p>
    <w:p w14:paraId="7C4AB505" w14:textId="35B91C2C" w:rsidR="001533CD" w:rsidRPr="00FF417E" w:rsidRDefault="00986936" w:rsidP="00FF417E">
      <w:pPr>
        <w:rPr>
          <w:rFonts w:asciiTheme="majorHAnsi" w:hAnsiTheme="majorHAnsi"/>
          <w:b/>
          <w:bCs/>
          <w:sz w:val="24"/>
          <w:szCs w:val="24"/>
        </w:rPr>
      </w:pPr>
      <w:r w:rsidRPr="00FF417E">
        <w:rPr>
          <w:rFonts w:asciiTheme="majorHAnsi" w:hAnsiTheme="majorHAnsi"/>
          <w:b/>
          <w:bCs/>
          <w:sz w:val="24"/>
          <w:szCs w:val="24"/>
        </w:rPr>
        <w:t>2.</w:t>
      </w:r>
      <w:r w:rsidR="00E4290C" w:rsidRPr="00FF417E">
        <w:rPr>
          <w:rFonts w:asciiTheme="majorHAnsi" w:hAnsiTheme="majorHAnsi"/>
          <w:b/>
          <w:bCs/>
          <w:sz w:val="24"/>
          <w:szCs w:val="24"/>
        </w:rPr>
        <w:t>3 NTM related costs in</w:t>
      </w:r>
      <w:r w:rsidRPr="00FF417E">
        <w:rPr>
          <w:rFonts w:asciiTheme="majorHAnsi" w:hAnsiTheme="majorHAnsi"/>
          <w:b/>
          <w:bCs/>
          <w:sz w:val="24"/>
          <w:szCs w:val="24"/>
        </w:rPr>
        <w:t xml:space="preserve"> </w:t>
      </w:r>
      <w:r w:rsidR="001533CD" w:rsidRPr="00FF417E">
        <w:rPr>
          <w:rFonts w:asciiTheme="majorHAnsi" w:hAnsiTheme="majorHAnsi"/>
          <w:b/>
          <w:bCs/>
          <w:sz w:val="24"/>
          <w:szCs w:val="24"/>
        </w:rPr>
        <w:t xml:space="preserve">comparison with </w:t>
      </w:r>
      <w:r w:rsidR="00E4290C" w:rsidRPr="00FF417E">
        <w:rPr>
          <w:rFonts w:asciiTheme="majorHAnsi" w:hAnsiTheme="majorHAnsi"/>
          <w:b/>
          <w:bCs/>
          <w:sz w:val="24"/>
          <w:szCs w:val="24"/>
        </w:rPr>
        <w:t>traditional t</w:t>
      </w:r>
      <w:r w:rsidR="001533CD" w:rsidRPr="00FF417E">
        <w:rPr>
          <w:rFonts w:asciiTheme="majorHAnsi" w:hAnsiTheme="majorHAnsi"/>
          <w:b/>
          <w:bCs/>
          <w:sz w:val="24"/>
          <w:szCs w:val="24"/>
        </w:rPr>
        <w:t xml:space="preserve">ariffs </w:t>
      </w:r>
    </w:p>
    <w:p w14:paraId="362CEDDC" w14:textId="7C6FA440" w:rsidR="00E4290C" w:rsidRPr="00FF417E" w:rsidRDefault="00E4290C" w:rsidP="00FF417E">
      <w:pPr>
        <w:ind w:firstLine="720"/>
        <w:rPr>
          <w:rFonts w:asciiTheme="majorHAnsi" w:hAnsiTheme="majorHAnsi"/>
          <w:sz w:val="24"/>
          <w:szCs w:val="24"/>
        </w:rPr>
      </w:pPr>
      <w:r w:rsidRPr="00FF417E">
        <w:rPr>
          <w:rFonts w:asciiTheme="majorHAnsi" w:hAnsiTheme="majorHAnsi"/>
          <w:sz w:val="24"/>
          <w:szCs w:val="24"/>
        </w:rPr>
        <w:t>[to be added]</w:t>
      </w:r>
    </w:p>
    <w:p w14:paraId="1BA94FDB" w14:textId="77777777" w:rsidR="000F135E" w:rsidRPr="00FF417E" w:rsidRDefault="000F135E" w:rsidP="00FF417E">
      <w:pPr>
        <w:ind w:firstLine="720"/>
        <w:rPr>
          <w:rFonts w:asciiTheme="majorHAnsi" w:hAnsiTheme="majorHAnsi"/>
          <w:sz w:val="24"/>
          <w:szCs w:val="24"/>
        </w:rPr>
      </w:pPr>
    </w:p>
    <w:p w14:paraId="46538244" w14:textId="0A4EFB58" w:rsidR="001E3A03" w:rsidRPr="00FF417E" w:rsidRDefault="001E3A03" w:rsidP="00FF417E">
      <w:pPr>
        <w:rPr>
          <w:rFonts w:asciiTheme="majorHAnsi" w:hAnsiTheme="majorHAnsi"/>
          <w:b/>
          <w:bCs/>
          <w:sz w:val="24"/>
          <w:szCs w:val="24"/>
        </w:rPr>
      </w:pPr>
      <w:r w:rsidRPr="00FF417E">
        <w:rPr>
          <w:rFonts w:asciiTheme="majorHAnsi" w:hAnsiTheme="majorHAnsi"/>
          <w:b/>
          <w:bCs/>
          <w:sz w:val="24"/>
          <w:szCs w:val="24"/>
        </w:rPr>
        <w:t xml:space="preserve">3. </w:t>
      </w:r>
      <w:r w:rsidR="001A63C1" w:rsidRPr="00FF417E">
        <w:rPr>
          <w:rFonts w:asciiTheme="majorHAnsi" w:hAnsiTheme="majorHAnsi"/>
          <w:b/>
          <w:bCs/>
          <w:sz w:val="24"/>
          <w:szCs w:val="24"/>
        </w:rPr>
        <w:t xml:space="preserve">Effects of Border NTM on global trade. </w:t>
      </w:r>
      <w:r w:rsidRPr="00FF417E">
        <w:rPr>
          <w:rFonts w:asciiTheme="majorHAnsi" w:hAnsiTheme="majorHAnsi"/>
          <w:b/>
          <w:bCs/>
          <w:sz w:val="24"/>
          <w:szCs w:val="24"/>
        </w:rPr>
        <w:t>GTAP simulations</w:t>
      </w:r>
    </w:p>
    <w:p w14:paraId="026DC17C" w14:textId="4CDB01AD" w:rsidR="001E3A03" w:rsidRPr="00FF417E" w:rsidRDefault="00FB691B" w:rsidP="00FF417E">
      <w:pPr>
        <w:rPr>
          <w:rFonts w:asciiTheme="majorHAnsi" w:hAnsiTheme="majorHAnsi"/>
          <w:sz w:val="24"/>
          <w:szCs w:val="24"/>
        </w:rPr>
      </w:pPr>
      <w:r w:rsidRPr="00FF417E">
        <w:rPr>
          <w:rFonts w:asciiTheme="majorHAnsi" w:hAnsiTheme="majorHAnsi"/>
          <w:sz w:val="24"/>
          <w:szCs w:val="24"/>
        </w:rPr>
        <w:t>Overview of what</w:t>
      </w:r>
      <w:r w:rsidR="00570F68" w:rsidRPr="00FF417E">
        <w:rPr>
          <w:rFonts w:asciiTheme="majorHAnsi" w:hAnsiTheme="majorHAnsi"/>
          <w:sz w:val="24"/>
          <w:szCs w:val="24"/>
        </w:rPr>
        <w:t xml:space="preserve">/why </w:t>
      </w:r>
      <w:r w:rsidRPr="00FF417E">
        <w:rPr>
          <w:rFonts w:asciiTheme="majorHAnsi" w:hAnsiTheme="majorHAnsi"/>
          <w:sz w:val="24"/>
          <w:szCs w:val="24"/>
        </w:rPr>
        <w:t>we are simulating.</w:t>
      </w:r>
    </w:p>
    <w:p w14:paraId="65ED37C4" w14:textId="41124A97" w:rsidR="00B74A7B" w:rsidRPr="00FF417E" w:rsidRDefault="00B74A7B" w:rsidP="00FF417E">
      <w:pPr>
        <w:rPr>
          <w:rFonts w:asciiTheme="majorHAnsi" w:hAnsiTheme="majorHAnsi"/>
          <w:sz w:val="24"/>
          <w:szCs w:val="24"/>
        </w:rPr>
      </w:pPr>
      <w:proofErr w:type="gramStart"/>
      <w:r w:rsidRPr="00FF417E">
        <w:rPr>
          <w:rFonts w:asciiTheme="majorHAnsi" w:hAnsiTheme="majorHAnsi"/>
          <w:sz w:val="24"/>
          <w:szCs w:val="24"/>
        </w:rPr>
        <w:t xml:space="preserve">3.1  </w:t>
      </w:r>
      <w:r w:rsidR="008F737B">
        <w:rPr>
          <w:rFonts w:asciiTheme="majorHAnsi" w:hAnsiTheme="majorHAnsi"/>
          <w:sz w:val="24"/>
          <w:szCs w:val="24"/>
        </w:rPr>
        <w:t>[</w:t>
      </w:r>
      <w:proofErr w:type="gramEnd"/>
      <w:r w:rsidR="008F737B">
        <w:rPr>
          <w:rFonts w:asciiTheme="majorHAnsi" w:hAnsiTheme="majorHAnsi"/>
          <w:sz w:val="24"/>
          <w:szCs w:val="24"/>
        </w:rPr>
        <w:t xml:space="preserve">or move to 2.2.2] </w:t>
      </w:r>
      <w:r w:rsidRPr="00FF417E">
        <w:rPr>
          <w:rFonts w:asciiTheme="majorHAnsi" w:hAnsiTheme="majorHAnsi"/>
          <w:sz w:val="24"/>
          <w:szCs w:val="24"/>
        </w:rPr>
        <w:t>how AVE</w:t>
      </w:r>
      <w:r w:rsidR="00FD6D5B" w:rsidRPr="00FF417E">
        <w:rPr>
          <w:rFonts w:asciiTheme="majorHAnsi" w:hAnsiTheme="majorHAnsi"/>
          <w:sz w:val="24"/>
          <w:szCs w:val="24"/>
        </w:rPr>
        <w:t>s</w:t>
      </w:r>
      <w:r w:rsidRPr="00FF417E">
        <w:rPr>
          <w:rFonts w:asciiTheme="majorHAnsi" w:hAnsiTheme="majorHAnsi"/>
          <w:sz w:val="24"/>
          <w:szCs w:val="24"/>
        </w:rPr>
        <w:t xml:space="preserve"> </w:t>
      </w:r>
      <w:r w:rsidR="00FD6D5B" w:rsidRPr="00FF417E">
        <w:rPr>
          <w:rFonts w:asciiTheme="majorHAnsi" w:hAnsiTheme="majorHAnsi"/>
          <w:sz w:val="24"/>
          <w:szCs w:val="24"/>
        </w:rPr>
        <w:t xml:space="preserve">are used in the </w:t>
      </w:r>
      <w:r w:rsidRPr="00FF417E">
        <w:rPr>
          <w:rFonts w:asciiTheme="majorHAnsi" w:hAnsiTheme="majorHAnsi"/>
          <w:sz w:val="24"/>
          <w:szCs w:val="24"/>
        </w:rPr>
        <w:t>GTAP model. Missing countries.</w:t>
      </w:r>
      <w:r w:rsidR="008F737B">
        <w:rPr>
          <w:rFonts w:asciiTheme="majorHAnsi" w:hAnsiTheme="majorHAnsi"/>
          <w:sz w:val="24"/>
          <w:szCs w:val="24"/>
        </w:rPr>
        <w:t xml:space="preserve"> Import vs export costs cannot be attributed].</w:t>
      </w:r>
    </w:p>
    <w:p w14:paraId="5173E38B" w14:textId="42133ABB" w:rsidR="00B74A7B" w:rsidRPr="00FF417E" w:rsidRDefault="00B74A7B" w:rsidP="00FF417E">
      <w:pPr>
        <w:rPr>
          <w:rFonts w:asciiTheme="majorHAnsi" w:hAnsiTheme="majorHAnsi"/>
          <w:sz w:val="24"/>
          <w:szCs w:val="24"/>
        </w:rPr>
      </w:pPr>
      <w:r w:rsidRPr="00FF417E">
        <w:rPr>
          <w:rFonts w:asciiTheme="majorHAnsi" w:hAnsiTheme="majorHAnsi"/>
          <w:sz w:val="24"/>
          <w:szCs w:val="24"/>
        </w:rPr>
        <w:t>3.2 Simulations</w:t>
      </w:r>
      <w:r w:rsidR="00FD6D5B" w:rsidRPr="00FF417E">
        <w:rPr>
          <w:rFonts w:asciiTheme="majorHAnsi" w:hAnsiTheme="majorHAnsi"/>
          <w:sz w:val="24"/>
          <w:szCs w:val="24"/>
        </w:rPr>
        <w:t xml:space="preserve"> technical overview</w:t>
      </w:r>
    </w:p>
    <w:p w14:paraId="3B539EE9" w14:textId="606F0C96" w:rsidR="001E3A03" w:rsidRPr="00FF417E" w:rsidRDefault="001E3A03" w:rsidP="00FF417E">
      <w:pPr>
        <w:rPr>
          <w:rFonts w:asciiTheme="majorHAnsi" w:hAnsiTheme="majorHAnsi"/>
          <w:sz w:val="24"/>
          <w:szCs w:val="24"/>
        </w:rPr>
      </w:pPr>
      <w:r w:rsidRPr="00FF417E">
        <w:rPr>
          <w:rFonts w:asciiTheme="majorHAnsi" w:hAnsiTheme="majorHAnsi"/>
          <w:sz w:val="24"/>
          <w:szCs w:val="24"/>
        </w:rPr>
        <w:t>3.</w:t>
      </w:r>
      <w:r w:rsidR="00B74A7B" w:rsidRPr="00FF417E">
        <w:rPr>
          <w:rFonts w:asciiTheme="majorHAnsi" w:hAnsiTheme="majorHAnsi"/>
          <w:sz w:val="24"/>
          <w:szCs w:val="24"/>
        </w:rPr>
        <w:t>2.</w:t>
      </w:r>
      <w:r w:rsidRPr="00FF417E">
        <w:rPr>
          <w:rFonts w:asciiTheme="majorHAnsi" w:hAnsiTheme="majorHAnsi"/>
          <w:sz w:val="24"/>
          <w:szCs w:val="24"/>
        </w:rPr>
        <w:t>1 scenario 1 (removal of all border NTM)</w:t>
      </w:r>
    </w:p>
    <w:p w14:paraId="7C87CF90" w14:textId="07CCDAA0" w:rsidR="001E3A03" w:rsidRPr="00FF417E" w:rsidRDefault="001E3A03" w:rsidP="00FF417E">
      <w:pPr>
        <w:rPr>
          <w:rFonts w:asciiTheme="majorHAnsi" w:hAnsiTheme="majorHAnsi"/>
          <w:sz w:val="24"/>
          <w:szCs w:val="24"/>
        </w:rPr>
      </w:pPr>
      <w:r w:rsidRPr="00FF417E">
        <w:rPr>
          <w:rFonts w:asciiTheme="majorHAnsi" w:hAnsiTheme="majorHAnsi"/>
          <w:sz w:val="24"/>
          <w:szCs w:val="24"/>
        </w:rPr>
        <w:t>3.</w:t>
      </w:r>
      <w:r w:rsidR="00B74A7B" w:rsidRPr="00FF417E">
        <w:rPr>
          <w:rFonts w:asciiTheme="majorHAnsi" w:hAnsiTheme="majorHAnsi"/>
          <w:sz w:val="24"/>
          <w:szCs w:val="24"/>
        </w:rPr>
        <w:t>2.</w:t>
      </w:r>
      <w:r w:rsidR="00FB691B" w:rsidRPr="00FF417E">
        <w:rPr>
          <w:rFonts w:asciiTheme="majorHAnsi" w:hAnsiTheme="majorHAnsi"/>
          <w:sz w:val="24"/>
          <w:szCs w:val="24"/>
        </w:rPr>
        <w:t>2</w:t>
      </w:r>
      <w:r w:rsidRPr="00FF417E">
        <w:rPr>
          <w:rFonts w:asciiTheme="majorHAnsi" w:hAnsiTheme="majorHAnsi"/>
          <w:sz w:val="24"/>
          <w:szCs w:val="24"/>
        </w:rPr>
        <w:t xml:space="preserve"> scenario </w:t>
      </w:r>
      <w:r w:rsidR="00FB691B" w:rsidRPr="00FF417E">
        <w:rPr>
          <w:rFonts w:asciiTheme="majorHAnsi" w:hAnsiTheme="majorHAnsi"/>
          <w:sz w:val="24"/>
          <w:szCs w:val="24"/>
        </w:rPr>
        <w:t>2</w:t>
      </w:r>
      <w:r w:rsidRPr="00FF417E">
        <w:rPr>
          <w:rFonts w:asciiTheme="majorHAnsi" w:hAnsiTheme="majorHAnsi"/>
          <w:sz w:val="24"/>
          <w:szCs w:val="24"/>
        </w:rPr>
        <w:t xml:space="preserve"> (</w:t>
      </w:r>
      <w:r w:rsidR="00FB691B" w:rsidRPr="00FF417E">
        <w:rPr>
          <w:rFonts w:asciiTheme="majorHAnsi" w:hAnsiTheme="majorHAnsi"/>
          <w:sz w:val="24"/>
          <w:szCs w:val="24"/>
        </w:rPr>
        <w:t xml:space="preserve">comparison of removal of </w:t>
      </w:r>
      <w:r w:rsidR="007C24FD" w:rsidRPr="00FF417E">
        <w:rPr>
          <w:rFonts w:asciiTheme="majorHAnsi" w:hAnsiTheme="majorHAnsi"/>
          <w:sz w:val="24"/>
          <w:szCs w:val="24"/>
        </w:rPr>
        <w:t>t</w:t>
      </w:r>
      <w:r w:rsidR="00FB691B" w:rsidRPr="00FF417E">
        <w:rPr>
          <w:rFonts w:asciiTheme="majorHAnsi" w:hAnsiTheme="majorHAnsi"/>
          <w:sz w:val="24"/>
          <w:szCs w:val="24"/>
        </w:rPr>
        <w:t>ariff</w:t>
      </w:r>
      <w:r w:rsidR="007C24FD" w:rsidRPr="00FF417E">
        <w:rPr>
          <w:rFonts w:asciiTheme="majorHAnsi" w:hAnsiTheme="majorHAnsi"/>
          <w:sz w:val="24"/>
          <w:szCs w:val="24"/>
        </w:rPr>
        <w:t>s</w:t>
      </w:r>
      <w:r w:rsidR="00FB691B" w:rsidRPr="00FF417E">
        <w:rPr>
          <w:rFonts w:asciiTheme="majorHAnsi" w:hAnsiTheme="majorHAnsi"/>
          <w:sz w:val="24"/>
          <w:szCs w:val="24"/>
        </w:rPr>
        <w:t xml:space="preserve"> vs NTM</w:t>
      </w:r>
      <w:r w:rsidRPr="00FF417E">
        <w:rPr>
          <w:rFonts w:asciiTheme="majorHAnsi" w:hAnsiTheme="majorHAnsi"/>
          <w:sz w:val="24"/>
          <w:szCs w:val="24"/>
        </w:rPr>
        <w:t>)</w:t>
      </w:r>
    </w:p>
    <w:p w14:paraId="38A7EF79" w14:textId="3F296816" w:rsidR="00FB691B" w:rsidRPr="00FF417E" w:rsidRDefault="00FB691B" w:rsidP="00FF417E">
      <w:pPr>
        <w:rPr>
          <w:rFonts w:asciiTheme="majorHAnsi" w:hAnsiTheme="majorHAnsi"/>
          <w:sz w:val="24"/>
          <w:szCs w:val="24"/>
        </w:rPr>
      </w:pPr>
      <w:r w:rsidRPr="00FF417E">
        <w:rPr>
          <w:rFonts w:asciiTheme="majorHAnsi" w:hAnsiTheme="majorHAnsi"/>
          <w:sz w:val="24"/>
          <w:szCs w:val="24"/>
        </w:rPr>
        <w:t>3.</w:t>
      </w:r>
      <w:r w:rsidR="00B74A7B" w:rsidRPr="00FF417E">
        <w:rPr>
          <w:rFonts w:asciiTheme="majorHAnsi" w:hAnsiTheme="majorHAnsi"/>
          <w:sz w:val="24"/>
          <w:szCs w:val="24"/>
        </w:rPr>
        <w:t>2.3</w:t>
      </w:r>
      <w:r w:rsidRPr="00FF417E">
        <w:rPr>
          <w:rFonts w:asciiTheme="majorHAnsi" w:hAnsiTheme="majorHAnsi"/>
          <w:sz w:val="24"/>
          <w:szCs w:val="24"/>
        </w:rPr>
        <w:t xml:space="preserve"> scenario 3 (removal of Border NTM for</w:t>
      </w:r>
      <w:r w:rsidR="007C24FD" w:rsidRPr="00FF417E">
        <w:rPr>
          <w:rFonts w:asciiTheme="majorHAnsi" w:hAnsiTheme="majorHAnsi"/>
          <w:sz w:val="24"/>
          <w:szCs w:val="24"/>
        </w:rPr>
        <w:t xml:space="preserve"> some </w:t>
      </w:r>
      <w:proofErr w:type="spellStart"/>
      <w:r w:rsidRPr="00FF417E">
        <w:rPr>
          <w:rFonts w:asciiTheme="majorHAnsi" w:hAnsiTheme="majorHAnsi"/>
          <w:sz w:val="24"/>
          <w:szCs w:val="24"/>
        </w:rPr>
        <w:t>intra regional</w:t>
      </w:r>
      <w:proofErr w:type="spellEnd"/>
      <w:r w:rsidRPr="00FF417E">
        <w:rPr>
          <w:rFonts w:asciiTheme="majorHAnsi" w:hAnsiTheme="majorHAnsi"/>
          <w:sz w:val="24"/>
          <w:szCs w:val="24"/>
        </w:rPr>
        <w:t xml:space="preserve"> trade: </w:t>
      </w:r>
      <w:r w:rsidR="007C24FD" w:rsidRPr="00FF417E">
        <w:rPr>
          <w:rFonts w:asciiTheme="majorHAnsi" w:hAnsiTheme="majorHAnsi"/>
          <w:sz w:val="24"/>
          <w:szCs w:val="24"/>
        </w:rPr>
        <w:t>e.g. RCEP</w:t>
      </w:r>
      <w:r w:rsidRPr="00FF417E">
        <w:rPr>
          <w:rFonts w:asciiTheme="majorHAnsi" w:hAnsiTheme="majorHAnsi"/>
          <w:sz w:val="24"/>
          <w:szCs w:val="24"/>
        </w:rPr>
        <w:t xml:space="preserve">, Africa, </w:t>
      </w:r>
      <w:r w:rsidR="00FD73F3" w:rsidRPr="00FF417E">
        <w:rPr>
          <w:rFonts w:asciiTheme="majorHAnsi" w:hAnsiTheme="majorHAnsi"/>
          <w:sz w:val="24"/>
          <w:szCs w:val="24"/>
        </w:rPr>
        <w:t>LAFTA)</w:t>
      </w:r>
    </w:p>
    <w:p w14:paraId="05783CEB" w14:textId="28586E81" w:rsidR="001E3A03" w:rsidRPr="00FF417E" w:rsidRDefault="001E3A03" w:rsidP="00FF417E">
      <w:pPr>
        <w:rPr>
          <w:rFonts w:asciiTheme="majorHAnsi" w:hAnsiTheme="majorHAnsi"/>
          <w:sz w:val="24"/>
          <w:szCs w:val="24"/>
        </w:rPr>
      </w:pPr>
      <w:r w:rsidRPr="00FF417E">
        <w:rPr>
          <w:rFonts w:asciiTheme="majorHAnsi" w:hAnsiTheme="majorHAnsi"/>
          <w:sz w:val="24"/>
          <w:szCs w:val="24"/>
        </w:rPr>
        <w:t>3.</w:t>
      </w:r>
      <w:r w:rsidR="00B74A7B" w:rsidRPr="00FF417E">
        <w:rPr>
          <w:rFonts w:asciiTheme="majorHAnsi" w:hAnsiTheme="majorHAnsi"/>
          <w:sz w:val="24"/>
          <w:szCs w:val="24"/>
        </w:rPr>
        <w:t>3</w:t>
      </w:r>
      <w:r w:rsidRPr="00FF417E">
        <w:rPr>
          <w:rFonts w:asciiTheme="majorHAnsi" w:hAnsiTheme="majorHAnsi"/>
          <w:sz w:val="24"/>
          <w:szCs w:val="24"/>
        </w:rPr>
        <w:t xml:space="preserve"> </w:t>
      </w:r>
      <w:r w:rsidR="00B62436" w:rsidRPr="00FF417E">
        <w:rPr>
          <w:rFonts w:asciiTheme="majorHAnsi" w:hAnsiTheme="majorHAnsi"/>
          <w:sz w:val="24"/>
          <w:szCs w:val="24"/>
        </w:rPr>
        <w:t>discussion</w:t>
      </w:r>
      <w:r w:rsidR="00FD6D5B" w:rsidRPr="00FF417E">
        <w:rPr>
          <w:rFonts w:asciiTheme="majorHAnsi" w:hAnsiTheme="majorHAnsi"/>
          <w:sz w:val="24"/>
          <w:szCs w:val="24"/>
        </w:rPr>
        <w:t xml:space="preserve"> </w:t>
      </w:r>
      <w:r w:rsidR="0007560D" w:rsidRPr="00FF417E">
        <w:rPr>
          <w:rFonts w:asciiTheme="majorHAnsi" w:hAnsiTheme="majorHAnsi"/>
          <w:sz w:val="24"/>
          <w:szCs w:val="24"/>
        </w:rPr>
        <w:t xml:space="preserve">general </w:t>
      </w:r>
      <w:r w:rsidRPr="00FF417E">
        <w:rPr>
          <w:rFonts w:asciiTheme="majorHAnsi" w:hAnsiTheme="majorHAnsi"/>
          <w:sz w:val="24"/>
          <w:szCs w:val="24"/>
        </w:rPr>
        <w:t>results</w:t>
      </w:r>
    </w:p>
    <w:p w14:paraId="0E6BD70C" w14:textId="77777777" w:rsidR="00FF417E" w:rsidRPr="00FF417E" w:rsidRDefault="00FF417E" w:rsidP="00FF417E">
      <w:pPr>
        <w:rPr>
          <w:rFonts w:asciiTheme="majorHAnsi" w:hAnsiTheme="majorHAnsi"/>
          <w:b/>
          <w:bCs/>
          <w:sz w:val="24"/>
          <w:szCs w:val="24"/>
        </w:rPr>
      </w:pPr>
    </w:p>
    <w:p w14:paraId="700251CA" w14:textId="77777777" w:rsidR="00FF417E" w:rsidRPr="00FF417E" w:rsidRDefault="00FF417E" w:rsidP="00FF417E">
      <w:pPr>
        <w:rPr>
          <w:rFonts w:asciiTheme="majorHAnsi" w:hAnsiTheme="majorHAnsi"/>
          <w:b/>
          <w:bCs/>
          <w:sz w:val="24"/>
          <w:szCs w:val="24"/>
        </w:rPr>
      </w:pPr>
    </w:p>
    <w:p w14:paraId="7C9B3787" w14:textId="77777777" w:rsidR="00FF417E" w:rsidRPr="00FF417E" w:rsidRDefault="00FF417E" w:rsidP="00FF417E">
      <w:pPr>
        <w:rPr>
          <w:rFonts w:asciiTheme="majorHAnsi" w:hAnsiTheme="majorHAnsi"/>
          <w:b/>
          <w:bCs/>
          <w:sz w:val="24"/>
          <w:szCs w:val="24"/>
        </w:rPr>
      </w:pPr>
    </w:p>
    <w:p w14:paraId="5CCB3064" w14:textId="77777777" w:rsidR="00FF417E" w:rsidRPr="00FF417E" w:rsidRDefault="00FF417E" w:rsidP="00FF417E">
      <w:pPr>
        <w:rPr>
          <w:rFonts w:asciiTheme="majorHAnsi" w:hAnsiTheme="majorHAnsi"/>
          <w:b/>
          <w:bCs/>
          <w:sz w:val="24"/>
          <w:szCs w:val="24"/>
        </w:rPr>
      </w:pPr>
    </w:p>
    <w:p w14:paraId="4725AC2D" w14:textId="77777777" w:rsidR="00FF417E" w:rsidRPr="00FF417E" w:rsidRDefault="00FF417E" w:rsidP="00FF417E">
      <w:pPr>
        <w:rPr>
          <w:rFonts w:asciiTheme="majorHAnsi" w:hAnsiTheme="majorHAnsi"/>
          <w:b/>
          <w:bCs/>
          <w:sz w:val="24"/>
          <w:szCs w:val="24"/>
        </w:rPr>
      </w:pPr>
    </w:p>
    <w:p w14:paraId="5B3DFC81" w14:textId="77777777" w:rsidR="00FF417E" w:rsidRPr="00FF417E" w:rsidRDefault="00FF417E" w:rsidP="00FF417E">
      <w:pPr>
        <w:rPr>
          <w:rFonts w:asciiTheme="majorHAnsi" w:hAnsiTheme="majorHAnsi"/>
          <w:b/>
          <w:bCs/>
          <w:sz w:val="24"/>
          <w:szCs w:val="24"/>
        </w:rPr>
      </w:pPr>
    </w:p>
    <w:p w14:paraId="286BD12B" w14:textId="77777777" w:rsidR="00FF417E" w:rsidRPr="00FF417E" w:rsidRDefault="00FF417E" w:rsidP="00FF417E">
      <w:pPr>
        <w:rPr>
          <w:rFonts w:asciiTheme="majorHAnsi" w:hAnsiTheme="majorHAnsi"/>
          <w:b/>
          <w:bCs/>
          <w:sz w:val="24"/>
          <w:szCs w:val="24"/>
        </w:rPr>
      </w:pPr>
    </w:p>
    <w:p w14:paraId="0E181384" w14:textId="77777777" w:rsidR="00FF417E" w:rsidRPr="00FF417E" w:rsidRDefault="00FF417E" w:rsidP="00FF417E">
      <w:pPr>
        <w:rPr>
          <w:rFonts w:asciiTheme="majorHAnsi" w:hAnsiTheme="majorHAnsi"/>
          <w:b/>
          <w:bCs/>
          <w:sz w:val="24"/>
          <w:szCs w:val="24"/>
        </w:rPr>
      </w:pPr>
    </w:p>
    <w:p w14:paraId="0065E137" w14:textId="33CE2924" w:rsidR="002239D6" w:rsidRPr="00FF417E" w:rsidRDefault="001E3A03" w:rsidP="00FF417E">
      <w:pPr>
        <w:rPr>
          <w:rFonts w:asciiTheme="majorHAnsi" w:hAnsiTheme="majorHAnsi"/>
          <w:b/>
          <w:bCs/>
          <w:sz w:val="24"/>
          <w:szCs w:val="24"/>
        </w:rPr>
      </w:pPr>
      <w:r w:rsidRPr="00FF417E">
        <w:rPr>
          <w:rFonts w:asciiTheme="majorHAnsi" w:hAnsiTheme="majorHAnsi"/>
          <w:b/>
          <w:bCs/>
          <w:sz w:val="24"/>
          <w:szCs w:val="24"/>
        </w:rPr>
        <w:lastRenderedPageBreak/>
        <w:t xml:space="preserve">4. </w:t>
      </w:r>
      <w:r w:rsidR="00FB691B" w:rsidRPr="00FF417E">
        <w:rPr>
          <w:rFonts w:asciiTheme="majorHAnsi" w:hAnsiTheme="majorHAnsi"/>
          <w:b/>
          <w:bCs/>
          <w:sz w:val="24"/>
          <w:szCs w:val="24"/>
        </w:rPr>
        <w:t>Conclusions</w:t>
      </w:r>
      <w:r w:rsidR="00A80C3F">
        <w:rPr>
          <w:rFonts w:asciiTheme="majorHAnsi" w:hAnsiTheme="majorHAnsi"/>
          <w:b/>
          <w:bCs/>
          <w:sz w:val="24"/>
          <w:szCs w:val="24"/>
        </w:rPr>
        <w:t xml:space="preserve"> and policy implications</w:t>
      </w:r>
    </w:p>
    <w:p w14:paraId="4040E34A" w14:textId="4DC1BC83" w:rsidR="001E3A03" w:rsidRPr="00FF417E" w:rsidRDefault="00C82B0B" w:rsidP="00FF417E">
      <w:pPr>
        <w:rPr>
          <w:rFonts w:asciiTheme="majorHAnsi" w:hAnsiTheme="majorHAnsi"/>
          <w:sz w:val="24"/>
          <w:szCs w:val="24"/>
        </w:rPr>
      </w:pPr>
      <w:r w:rsidRPr="00FF417E">
        <w:rPr>
          <w:rFonts w:asciiTheme="majorHAnsi" w:hAnsiTheme="majorHAnsi"/>
          <w:sz w:val="24"/>
          <w:szCs w:val="24"/>
        </w:rPr>
        <w:t>[to be added]</w:t>
      </w:r>
      <w:r w:rsidR="001E3A03" w:rsidRPr="00FF417E">
        <w:rPr>
          <w:rFonts w:asciiTheme="majorHAnsi" w:hAnsiTheme="majorHAnsi"/>
          <w:sz w:val="24"/>
          <w:szCs w:val="24"/>
        </w:rPr>
        <w:t xml:space="preserve"> </w:t>
      </w:r>
    </w:p>
    <w:p w14:paraId="694645F9" w14:textId="77777777" w:rsidR="00D9525B" w:rsidRDefault="00D9525B" w:rsidP="00FF417E">
      <w:pPr>
        <w:rPr>
          <w:rFonts w:asciiTheme="majorHAnsi" w:hAnsiTheme="majorHAnsi"/>
          <w:sz w:val="24"/>
          <w:szCs w:val="24"/>
        </w:rPr>
      </w:pPr>
    </w:p>
    <w:p w14:paraId="2212535C" w14:textId="77777777" w:rsidR="00A80C3F" w:rsidRDefault="00A80C3F" w:rsidP="00FF417E">
      <w:pPr>
        <w:rPr>
          <w:rFonts w:asciiTheme="majorHAnsi" w:hAnsiTheme="majorHAnsi"/>
          <w:sz w:val="24"/>
          <w:szCs w:val="24"/>
        </w:rPr>
      </w:pPr>
    </w:p>
    <w:p w14:paraId="179877F4" w14:textId="77777777" w:rsidR="00A80C3F" w:rsidRDefault="00A80C3F" w:rsidP="00FF417E">
      <w:pPr>
        <w:rPr>
          <w:rFonts w:asciiTheme="majorHAnsi" w:hAnsiTheme="majorHAnsi"/>
          <w:sz w:val="24"/>
          <w:szCs w:val="24"/>
        </w:rPr>
      </w:pPr>
    </w:p>
    <w:p w14:paraId="2C462C12" w14:textId="7D61297F" w:rsidR="00A80C3F" w:rsidRPr="00A80C3F" w:rsidRDefault="00A80C3F" w:rsidP="00FF417E">
      <w:pPr>
        <w:rPr>
          <w:rFonts w:asciiTheme="majorHAnsi" w:hAnsiTheme="majorHAnsi"/>
          <w:b/>
          <w:bCs/>
          <w:sz w:val="24"/>
          <w:szCs w:val="24"/>
        </w:rPr>
      </w:pPr>
      <w:r w:rsidRPr="00A80C3F">
        <w:rPr>
          <w:rFonts w:asciiTheme="majorHAnsi" w:hAnsiTheme="majorHAnsi"/>
          <w:b/>
          <w:bCs/>
          <w:sz w:val="24"/>
          <w:szCs w:val="24"/>
        </w:rPr>
        <w:t>Annexes</w:t>
      </w:r>
    </w:p>
    <w:p w14:paraId="7EFB4901" w14:textId="7DDDF002" w:rsidR="00D27F15" w:rsidRPr="00FF417E" w:rsidRDefault="00D27F15" w:rsidP="00FF417E">
      <w:pPr>
        <w:rPr>
          <w:rFonts w:asciiTheme="majorHAnsi" w:hAnsiTheme="majorHAnsi" w:cs="Times New Roman"/>
          <w:sz w:val="24"/>
          <w:szCs w:val="24"/>
        </w:rPr>
      </w:pPr>
      <w:r w:rsidRPr="00FF417E">
        <w:rPr>
          <w:rFonts w:asciiTheme="majorHAnsi" w:hAnsiTheme="majorHAnsi" w:cs="Times New Roman"/>
          <w:sz w:val="24"/>
          <w:szCs w:val="24"/>
        </w:rPr>
        <w:t>ANNEX I. D</w:t>
      </w:r>
      <w:r w:rsidR="00617AEA" w:rsidRPr="00FF417E">
        <w:rPr>
          <w:rFonts w:asciiTheme="majorHAnsi" w:hAnsiTheme="majorHAnsi" w:cs="Times New Roman"/>
          <w:sz w:val="24"/>
          <w:szCs w:val="24"/>
        </w:rPr>
        <w:t>efinition of border measures under the UNCTAD classification.</w:t>
      </w:r>
    </w:p>
    <w:p w14:paraId="7FAC0DD8" w14:textId="56132935" w:rsidR="00D9525B" w:rsidRPr="00FF417E" w:rsidRDefault="00D9525B" w:rsidP="00FF417E">
      <w:pPr>
        <w:rPr>
          <w:rFonts w:asciiTheme="majorHAnsi" w:hAnsiTheme="majorHAnsi" w:cs="Times New Roman"/>
          <w:bCs/>
          <w:sz w:val="24"/>
          <w:szCs w:val="24"/>
          <w:lang w:val="it-IT"/>
        </w:rPr>
      </w:pPr>
      <w:r w:rsidRPr="00FF417E">
        <w:rPr>
          <w:rFonts w:asciiTheme="majorHAnsi" w:hAnsiTheme="majorHAnsi" w:cs="Times New Roman"/>
          <w:sz w:val="24"/>
          <w:szCs w:val="24"/>
        </w:rPr>
        <w:t xml:space="preserve">Border measures include many categories under different chapters of the UNCTAD NTM classification (UNCTAD, 2019). </w:t>
      </w:r>
      <w:r w:rsidR="00BF6C8A" w:rsidRPr="00FF417E">
        <w:rPr>
          <w:rFonts w:asciiTheme="majorHAnsi" w:hAnsiTheme="majorHAnsi" w:cs="Times New Roman"/>
          <w:sz w:val="24"/>
          <w:szCs w:val="24"/>
        </w:rPr>
        <w:t xml:space="preserve">Border measures are defined in </w:t>
      </w:r>
      <w:proofErr w:type="spellStart"/>
      <w:r w:rsidR="00BF6C8A" w:rsidRPr="00FF417E">
        <w:rPr>
          <w:rFonts w:asciiTheme="majorHAnsi" w:hAnsiTheme="majorHAnsi" w:cs="Times New Roman"/>
          <w:sz w:val="24"/>
          <w:szCs w:val="24"/>
        </w:rPr>
        <w:t>Ederington</w:t>
      </w:r>
      <w:proofErr w:type="spellEnd"/>
      <w:r w:rsidR="00BF6C8A" w:rsidRPr="00FF417E">
        <w:rPr>
          <w:rFonts w:asciiTheme="majorHAnsi" w:hAnsiTheme="majorHAnsi" w:cs="Times New Roman"/>
          <w:sz w:val="24"/>
          <w:szCs w:val="24"/>
        </w:rPr>
        <w:t xml:space="preserve"> and Ruta (201</w:t>
      </w:r>
      <w:r w:rsidR="00C82B0B" w:rsidRPr="00FF417E">
        <w:rPr>
          <w:rFonts w:asciiTheme="majorHAnsi" w:hAnsiTheme="majorHAnsi" w:cs="Times New Roman"/>
          <w:sz w:val="24"/>
          <w:szCs w:val="24"/>
        </w:rPr>
        <w:t>6</w:t>
      </w:r>
      <w:r w:rsidR="00BF6C8A" w:rsidRPr="00FF417E">
        <w:rPr>
          <w:rFonts w:asciiTheme="majorHAnsi" w:hAnsiTheme="majorHAnsi" w:cs="Times New Roman"/>
          <w:sz w:val="24"/>
          <w:szCs w:val="24"/>
        </w:rPr>
        <w:t xml:space="preserve">) </w:t>
      </w:r>
      <w:r w:rsidRPr="00FF417E">
        <w:rPr>
          <w:rFonts w:asciiTheme="majorHAnsi" w:hAnsiTheme="majorHAnsi" w:cs="Times New Roman"/>
          <w:sz w:val="24"/>
          <w:szCs w:val="24"/>
          <w:lang w:val="it-IT"/>
        </w:rPr>
        <w:t xml:space="preserve">In detail, </w:t>
      </w:r>
      <w:r w:rsidR="00C82B0B" w:rsidRPr="00FF417E">
        <w:rPr>
          <w:rFonts w:asciiTheme="majorHAnsi" w:hAnsiTheme="majorHAnsi" w:cs="Times New Roman"/>
          <w:sz w:val="24"/>
          <w:szCs w:val="24"/>
          <w:lang w:val="it-IT"/>
        </w:rPr>
        <w:t>border measures are defined by the UNCTAD</w:t>
      </w:r>
      <w:r w:rsidRPr="00FF417E">
        <w:rPr>
          <w:rFonts w:asciiTheme="majorHAnsi" w:hAnsiTheme="majorHAnsi" w:cs="Times New Roman"/>
          <w:sz w:val="24"/>
          <w:szCs w:val="24"/>
          <w:lang w:val="it-IT"/>
        </w:rPr>
        <w:t xml:space="preserve"> codes: </w:t>
      </w:r>
      <w:r w:rsidRPr="00FF417E">
        <w:rPr>
          <w:rFonts w:asciiTheme="majorHAnsi" w:hAnsiTheme="majorHAnsi" w:cs="Times New Roman"/>
          <w:bCs/>
          <w:sz w:val="24"/>
          <w:szCs w:val="24"/>
          <w:lang w:val="it-IT"/>
        </w:rPr>
        <w:t>A14, A140, A15, A150, A81, A810, A84, A840, A85, A850, A851, A852, A853, A859, A86, A860, A89, A890, B14, B140, B15, B150, B81, B810, B84, B840, B85, B850, B851, B852, B853, B859, B89, B890, C00, C000, C10, C100, C20, C200, C30, C300, C40, C400, C90, C900, E10, E100, E11, E110, E111, E112, E113, E119, E12, E120, E121, E122, E129, F40, F400, F60, F600, F61, F610, F62, F620, F63, F630, F64, F640, F65, F650, F67, F670, F80, and F800.</w:t>
      </w:r>
      <w:r w:rsidR="00617AEA" w:rsidRPr="00FF417E">
        <w:rPr>
          <w:rFonts w:asciiTheme="majorHAnsi" w:hAnsiTheme="majorHAnsi" w:cs="Times New Roman"/>
          <w:bCs/>
          <w:sz w:val="24"/>
          <w:szCs w:val="24"/>
          <w:lang w:val="it-IT"/>
        </w:rPr>
        <w:t xml:space="preserve"> [expand with descriptions]</w:t>
      </w:r>
    </w:p>
    <w:p w14:paraId="3463AC42" w14:textId="05BC35C8" w:rsidR="00D9525B" w:rsidRPr="00FF417E" w:rsidRDefault="00D9525B" w:rsidP="00FF417E">
      <w:pPr>
        <w:rPr>
          <w:rFonts w:asciiTheme="majorHAnsi" w:hAnsiTheme="majorHAnsi" w:cs="Times New Roman"/>
          <w:bCs/>
          <w:sz w:val="24"/>
          <w:szCs w:val="24"/>
          <w:lang w:val="it-IT"/>
        </w:rPr>
      </w:pPr>
      <w:r w:rsidRPr="00FF417E">
        <w:rPr>
          <w:rFonts w:asciiTheme="majorHAnsi" w:hAnsiTheme="majorHAnsi" w:cs="Times New Roman"/>
          <w:bCs/>
          <w:sz w:val="24"/>
          <w:szCs w:val="24"/>
          <w:lang w:val="it-IT"/>
        </w:rPr>
        <w:t xml:space="preserve">ANNEX II. </w:t>
      </w:r>
      <w:r w:rsidR="006B2C88" w:rsidRPr="00FF417E">
        <w:rPr>
          <w:rFonts w:asciiTheme="majorHAnsi" w:hAnsiTheme="majorHAnsi" w:cs="Times New Roman"/>
          <w:bCs/>
          <w:sz w:val="24"/>
          <w:szCs w:val="24"/>
          <w:lang w:val="it-IT"/>
        </w:rPr>
        <w:t xml:space="preserve">AVE </w:t>
      </w:r>
      <w:r w:rsidRPr="00FF417E">
        <w:rPr>
          <w:rFonts w:asciiTheme="majorHAnsi" w:hAnsiTheme="majorHAnsi" w:cs="Times New Roman"/>
          <w:bCs/>
          <w:sz w:val="24"/>
          <w:szCs w:val="24"/>
          <w:lang w:val="it-IT"/>
        </w:rPr>
        <w:t>Country coverage</w:t>
      </w:r>
      <w:r w:rsidR="006B2C88" w:rsidRPr="00FF417E">
        <w:rPr>
          <w:rFonts w:asciiTheme="majorHAnsi" w:hAnsiTheme="majorHAnsi" w:cs="Times New Roman"/>
          <w:bCs/>
          <w:sz w:val="24"/>
          <w:szCs w:val="24"/>
          <w:lang w:val="it-IT"/>
        </w:rPr>
        <w:t xml:space="preserve">. </w:t>
      </w:r>
    </w:p>
    <w:p w14:paraId="0D5838A4" w14:textId="6A6B4F25" w:rsidR="00D27F15" w:rsidRPr="00FF417E" w:rsidRDefault="00D27F15" w:rsidP="00FF417E">
      <w:pPr>
        <w:rPr>
          <w:rFonts w:asciiTheme="majorHAnsi" w:hAnsiTheme="majorHAnsi"/>
          <w:sz w:val="24"/>
          <w:szCs w:val="24"/>
        </w:rPr>
      </w:pPr>
      <w:r w:rsidRPr="00FF417E">
        <w:rPr>
          <w:rFonts w:asciiTheme="majorHAnsi" w:hAnsiTheme="majorHAnsi" w:cs="Times New Roman"/>
          <w:bCs/>
          <w:sz w:val="24"/>
          <w:szCs w:val="24"/>
          <w:lang w:val="it-IT"/>
        </w:rPr>
        <w:t>ANNEX III. Bilateral AVE, by GTAP sectors</w:t>
      </w:r>
    </w:p>
    <w:sectPr w:rsidR="00D27F15" w:rsidRPr="00FF4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FC7C0C"/>
    <w:multiLevelType w:val="hybridMultilevel"/>
    <w:tmpl w:val="93F81028"/>
    <w:lvl w:ilvl="0" w:tplc="3FF612B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92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E3A03"/>
    <w:rsid w:val="000025B3"/>
    <w:rsid w:val="00056CD3"/>
    <w:rsid w:val="0007560D"/>
    <w:rsid w:val="000A5071"/>
    <w:rsid w:val="000B7EE9"/>
    <w:rsid w:val="000D0DDE"/>
    <w:rsid w:val="000F135E"/>
    <w:rsid w:val="0011629D"/>
    <w:rsid w:val="001533CD"/>
    <w:rsid w:val="00191107"/>
    <w:rsid w:val="001A63C1"/>
    <w:rsid w:val="001C0D91"/>
    <w:rsid w:val="001E3A03"/>
    <w:rsid w:val="002239D6"/>
    <w:rsid w:val="00243CD1"/>
    <w:rsid w:val="0024687A"/>
    <w:rsid w:val="00251FD3"/>
    <w:rsid w:val="002546E0"/>
    <w:rsid w:val="0029518B"/>
    <w:rsid w:val="002B19E6"/>
    <w:rsid w:val="002E0AA8"/>
    <w:rsid w:val="002F26B3"/>
    <w:rsid w:val="003005F0"/>
    <w:rsid w:val="00307F21"/>
    <w:rsid w:val="003639BD"/>
    <w:rsid w:val="00397AAA"/>
    <w:rsid w:val="003B2565"/>
    <w:rsid w:val="003B7C38"/>
    <w:rsid w:val="003C7F20"/>
    <w:rsid w:val="003D1BA5"/>
    <w:rsid w:val="003F10A0"/>
    <w:rsid w:val="004A2AAB"/>
    <w:rsid w:val="004C11D4"/>
    <w:rsid w:val="004D5338"/>
    <w:rsid w:val="004F1A6B"/>
    <w:rsid w:val="004F2EF9"/>
    <w:rsid w:val="00500B7C"/>
    <w:rsid w:val="00505BDD"/>
    <w:rsid w:val="0053248A"/>
    <w:rsid w:val="005376B8"/>
    <w:rsid w:val="00570F68"/>
    <w:rsid w:val="00577D2A"/>
    <w:rsid w:val="005C7E42"/>
    <w:rsid w:val="005E2011"/>
    <w:rsid w:val="005E68B2"/>
    <w:rsid w:val="00617AEA"/>
    <w:rsid w:val="00633E79"/>
    <w:rsid w:val="0065513B"/>
    <w:rsid w:val="00656F4A"/>
    <w:rsid w:val="00672073"/>
    <w:rsid w:val="006B03E1"/>
    <w:rsid w:val="006B2C88"/>
    <w:rsid w:val="00705ECD"/>
    <w:rsid w:val="0075191E"/>
    <w:rsid w:val="00791FCE"/>
    <w:rsid w:val="007A5955"/>
    <w:rsid w:val="007C24FD"/>
    <w:rsid w:val="007E1768"/>
    <w:rsid w:val="00810D9A"/>
    <w:rsid w:val="008924AE"/>
    <w:rsid w:val="00893D8A"/>
    <w:rsid w:val="008A35A9"/>
    <w:rsid w:val="008C22C6"/>
    <w:rsid w:val="008F737B"/>
    <w:rsid w:val="00905B6B"/>
    <w:rsid w:val="0097077C"/>
    <w:rsid w:val="00983677"/>
    <w:rsid w:val="00986936"/>
    <w:rsid w:val="009C582C"/>
    <w:rsid w:val="009F1490"/>
    <w:rsid w:val="00A36699"/>
    <w:rsid w:val="00A80C3F"/>
    <w:rsid w:val="00A841BB"/>
    <w:rsid w:val="00AA1838"/>
    <w:rsid w:val="00AA2671"/>
    <w:rsid w:val="00AB247E"/>
    <w:rsid w:val="00AB5D1C"/>
    <w:rsid w:val="00AF096A"/>
    <w:rsid w:val="00B33DB0"/>
    <w:rsid w:val="00B472F0"/>
    <w:rsid w:val="00B62436"/>
    <w:rsid w:val="00B74A7B"/>
    <w:rsid w:val="00B7574F"/>
    <w:rsid w:val="00BD0A0D"/>
    <w:rsid w:val="00BF38A0"/>
    <w:rsid w:val="00BF6C8A"/>
    <w:rsid w:val="00C24991"/>
    <w:rsid w:val="00C67F47"/>
    <w:rsid w:val="00C70E11"/>
    <w:rsid w:val="00C82B0B"/>
    <w:rsid w:val="00CA6A1A"/>
    <w:rsid w:val="00CE01EE"/>
    <w:rsid w:val="00CF2D83"/>
    <w:rsid w:val="00D01A50"/>
    <w:rsid w:val="00D27F15"/>
    <w:rsid w:val="00D7087E"/>
    <w:rsid w:val="00D9525B"/>
    <w:rsid w:val="00D97DCE"/>
    <w:rsid w:val="00DD5881"/>
    <w:rsid w:val="00E14BCB"/>
    <w:rsid w:val="00E27FBF"/>
    <w:rsid w:val="00E37DD1"/>
    <w:rsid w:val="00E4290C"/>
    <w:rsid w:val="00E53432"/>
    <w:rsid w:val="00E535D2"/>
    <w:rsid w:val="00E65654"/>
    <w:rsid w:val="00E844B9"/>
    <w:rsid w:val="00E85E48"/>
    <w:rsid w:val="00E92997"/>
    <w:rsid w:val="00E92BEA"/>
    <w:rsid w:val="00EA7DB7"/>
    <w:rsid w:val="00EE38A8"/>
    <w:rsid w:val="00F025C1"/>
    <w:rsid w:val="00F775E2"/>
    <w:rsid w:val="00F94EA3"/>
    <w:rsid w:val="00FA2460"/>
    <w:rsid w:val="00FB691B"/>
    <w:rsid w:val="00FD6D5B"/>
    <w:rsid w:val="00FD73F3"/>
    <w:rsid w:val="00FE0082"/>
    <w:rsid w:val="00FF417E"/>
    <w:rsid w:val="00FF4F77"/>
  </w:rsids>
  <m:mathPr>
    <m:mathFont m:val="Cambria Math"/>
    <m:brkBin m:val="before"/>
    <m:brkBinSub m:val="--"/>
    <m:smallFrac m:val="0"/>
    <m:dispDef/>
    <m:lMargin m:val="0"/>
    <m:rMargin m:val="0"/>
    <m:defJc m:val="centerGroup"/>
    <m:wrapIndent m:val="1440"/>
    <m:intLim m:val="subSup"/>
    <m:naryLim m:val="undOvr"/>
  </m:mathPr>
  <w:themeFontLang w:val="en-US" w:bidi="yi-He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543E0"/>
  <w15:chartTrackingRefBased/>
  <w15:docId w15:val="{3919C8EE-62EA-4F03-9256-C865EC323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A0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E3A0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E3A0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E3A0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E3A0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E3A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A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A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A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A0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E3A0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E3A0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E3A0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E3A0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E3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A03"/>
    <w:rPr>
      <w:rFonts w:eastAsiaTheme="majorEastAsia" w:cstheme="majorBidi"/>
      <w:color w:val="272727" w:themeColor="text1" w:themeTint="D8"/>
    </w:rPr>
  </w:style>
  <w:style w:type="paragraph" w:styleId="Title">
    <w:name w:val="Title"/>
    <w:basedOn w:val="Normal"/>
    <w:next w:val="Normal"/>
    <w:link w:val="TitleChar"/>
    <w:uiPriority w:val="10"/>
    <w:qFormat/>
    <w:rsid w:val="001E3A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A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A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3A03"/>
    <w:rPr>
      <w:i/>
      <w:iCs/>
      <w:color w:val="404040" w:themeColor="text1" w:themeTint="BF"/>
    </w:rPr>
  </w:style>
  <w:style w:type="paragraph" w:styleId="ListParagraph">
    <w:name w:val="List Paragraph"/>
    <w:basedOn w:val="Normal"/>
    <w:uiPriority w:val="34"/>
    <w:qFormat/>
    <w:rsid w:val="001E3A03"/>
    <w:pPr>
      <w:ind w:left="720"/>
      <w:contextualSpacing/>
    </w:pPr>
  </w:style>
  <w:style w:type="character" w:styleId="IntenseEmphasis">
    <w:name w:val="Intense Emphasis"/>
    <w:basedOn w:val="DefaultParagraphFont"/>
    <w:uiPriority w:val="21"/>
    <w:qFormat/>
    <w:rsid w:val="001E3A03"/>
    <w:rPr>
      <w:i/>
      <w:iCs/>
      <w:color w:val="365F91" w:themeColor="accent1" w:themeShade="BF"/>
    </w:rPr>
  </w:style>
  <w:style w:type="paragraph" w:styleId="IntenseQuote">
    <w:name w:val="Intense Quote"/>
    <w:basedOn w:val="Normal"/>
    <w:next w:val="Normal"/>
    <w:link w:val="IntenseQuoteChar"/>
    <w:uiPriority w:val="30"/>
    <w:qFormat/>
    <w:rsid w:val="001E3A0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E3A03"/>
    <w:rPr>
      <w:i/>
      <w:iCs/>
      <w:color w:val="365F91" w:themeColor="accent1" w:themeShade="BF"/>
    </w:rPr>
  </w:style>
  <w:style w:type="character" w:styleId="IntenseReference">
    <w:name w:val="Intense Reference"/>
    <w:basedOn w:val="DefaultParagraphFont"/>
    <w:uiPriority w:val="32"/>
    <w:qFormat/>
    <w:rsid w:val="001E3A03"/>
    <w:rPr>
      <w:b/>
      <w:bCs/>
      <w:smallCaps/>
      <w:color w:val="365F91" w:themeColor="accent1" w:themeShade="BF"/>
      <w:spacing w:val="5"/>
    </w:rPr>
  </w:style>
  <w:style w:type="character" w:styleId="CommentReference">
    <w:name w:val="annotation reference"/>
    <w:basedOn w:val="DefaultParagraphFont"/>
    <w:uiPriority w:val="99"/>
    <w:semiHidden/>
    <w:unhideWhenUsed/>
    <w:rsid w:val="00FE0082"/>
    <w:rPr>
      <w:sz w:val="16"/>
      <w:szCs w:val="16"/>
    </w:rPr>
  </w:style>
  <w:style w:type="paragraph" w:styleId="CommentText">
    <w:name w:val="annotation text"/>
    <w:basedOn w:val="Normal"/>
    <w:link w:val="CommentTextChar"/>
    <w:uiPriority w:val="99"/>
    <w:unhideWhenUsed/>
    <w:rsid w:val="00FE0082"/>
    <w:pPr>
      <w:spacing w:after="16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FE0082"/>
    <w:rPr>
      <w:kern w:val="0"/>
      <w:sz w:val="20"/>
      <w:szCs w:val="20"/>
      <w14:ligatures w14:val="none"/>
    </w:rPr>
  </w:style>
  <w:style w:type="character" w:styleId="Hyperlink">
    <w:name w:val="Hyperlink"/>
    <w:basedOn w:val="DefaultParagraphFont"/>
    <w:uiPriority w:val="99"/>
    <w:unhideWhenUsed/>
    <w:rsid w:val="00251FD3"/>
    <w:rPr>
      <w:color w:val="0000FF" w:themeColor="hyperlink"/>
      <w:u w:val="single"/>
    </w:rPr>
  </w:style>
  <w:style w:type="paragraph" w:customStyle="1" w:styleId="xmsonormal">
    <w:name w:val="x_msonormal"/>
    <w:basedOn w:val="Normal"/>
    <w:rsid w:val="0097077C"/>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4001705">
      <w:bodyDiv w:val="1"/>
      <w:marLeft w:val="0"/>
      <w:marRight w:val="0"/>
      <w:marTop w:val="0"/>
      <w:marBottom w:val="0"/>
      <w:divBdr>
        <w:top w:val="none" w:sz="0" w:space="0" w:color="auto"/>
        <w:left w:val="none" w:sz="0" w:space="0" w:color="auto"/>
        <w:bottom w:val="none" w:sz="0" w:space="0" w:color="auto"/>
        <w:right w:val="none" w:sz="0" w:space="0" w:color="auto"/>
      </w:divBdr>
    </w:div>
    <w:div w:id="1207915999">
      <w:bodyDiv w:val="1"/>
      <w:marLeft w:val="0"/>
      <w:marRight w:val="0"/>
      <w:marTop w:val="0"/>
      <w:marBottom w:val="0"/>
      <w:divBdr>
        <w:top w:val="none" w:sz="0" w:space="0" w:color="auto"/>
        <w:left w:val="none" w:sz="0" w:space="0" w:color="auto"/>
        <w:bottom w:val="none" w:sz="0" w:space="0" w:color="auto"/>
        <w:right w:val="none" w:sz="0" w:space="0" w:color="auto"/>
      </w:divBdr>
    </w:div>
    <w:div w:id="207716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tap.agecon.purdue.edu/resources/res_display.asp?RecordID=511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https://unitednations-my.sharepoint.com/personal/ksenia_koloskova_un_org/Documents/NTM/Erwin/summstats_pap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 of Border NTM, by GTAP</a:t>
            </a:r>
            <a:r>
              <a:rPr lang="en-US" baseline="0"/>
              <a:t> Sector</a:t>
            </a:r>
            <a:endParaRPr lang="en-US"/>
          </a:p>
        </c:rich>
      </c:tx>
      <c:overlay val="0"/>
    </c:title>
    <c:autoTitleDeleted val="0"/>
    <c:plotArea>
      <c:layout/>
      <c:barChart>
        <c:barDir val="col"/>
        <c:grouping val="clustered"/>
        <c:varyColors val="0"/>
        <c:ser>
          <c:idx val="0"/>
          <c:order val="0"/>
          <c:tx>
            <c:strRef>
              <c:f>differences!$M$4</c:f>
              <c:strCache>
                <c:ptCount val="1"/>
                <c:pt idx="0">
                  <c:v>AVE border</c:v>
                </c:pt>
              </c:strCache>
            </c:strRef>
          </c:tx>
          <c:invertIfNegative val="0"/>
          <c:cat>
            <c:strRef>
              <c:f>differences!$K$5:$K$50</c:f>
              <c:strCache>
                <c:ptCount val="46"/>
                <c:pt idx="0">
                  <c:v>GDT</c:v>
                </c:pt>
                <c:pt idx="1">
                  <c:v>ELY</c:v>
                </c:pt>
                <c:pt idx="2">
                  <c:v>COA</c:v>
                </c:pt>
                <c:pt idx="3">
                  <c:v>OIL</c:v>
                </c:pt>
                <c:pt idx="4">
                  <c:v>P_C</c:v>
                </c:pt>
                <c:pt idx="5">
                  <c:v>OXT</c:v>
                </c:pt>
                <c:pt idx="6">
                  <c:v>GAS</c:v>
                </c:pt>
                <c:pt idx="7">
                  <c:v>PPP</c:v>
                </c:pt>
                <c:pt idx="8">
                  <c:v>I_S</c:v>
                </c:pt>
                <c:pt idx="9">
                  <c:v>PFB</c:v>
                </c:pt>
                <c:pt idx="10">
                  <c:v>WAP</c:v>
                </c:pt>
                <c:pt idx="11">
                  <c:v>WHT</c:v>
                </c:pt>
                <c:pt idx="12">
                  <c:v>OTN</c:v>
                </c:pt>
                <c:pt idx="13">
                  <c:v>TEX</c:v>
                </c:pt>
                <c:pt idx="14">
                  <c:v>OME</c:v>
                </c:pt>
                <c:pt idx="15">
                  <c:v>BPH</c:v>
                </c:pt>
                <c:pt idx="16">
                  <c:v>FSH</c:v>
                </c:pt>
                <c:pt idx="17">
                  <c:v>LEA</c:v>
                </c:pt>
                <c:pt idx="18">
                  <c:v>OMF</c:v>
                </c:pt>
                <c:pt idx="19">
                  <c:v>CHM</c:v>
                </c:pt>
                <c:pt idx="20">
                  <c:v>FMP</c:v>
                </c:pt>
                <c:pt idx="21">
                  <c:v>OCR</c:v>
                </c:pt>
                <c:pt idx="22">
                  <c:v>RPP</c:v>
                </c:pt>
                <c:pt idx="23">
                  <c:v>MVH</c:v>
                </c:pt>
                <c:pt idx="24">
                  <c:v>NMM</c:v>
                </c:pt>
                <c:pt idx="25">
                  <c:v>WOL</c:v>
                </c:pt>
                <c:pt idx="26">
                  <c:v>NFM</c:v>
                </c:pt>
                <c:pt idx="27">
                  <c:v>ELE</c:v>
                </c:pt>
                <c:pt idx="28">
                  <c:v>C_B</c:v>
                </c:pt>
                <c:pt idx="29">
                  <c:v>FRS</c:v>
                </c:pt>
                <c:pt idx="30">
                  <c:v>PCR</c:v>
                </c:pt>
                <c:pt idx="31">
                  <c:v>OSD</c:v>
                </c:pt>
                <c:pt idx="32">
                  <c:v>OFD</c:v>
                </c:pt>
                <c:pt idx="33">
                  <c:v>VOL</c:v>
                </c:pt>
                <c:pt idx="34">
                  <c:v>EEQ</c:v>
                </c:pt>
                <c:pt idx="35">
                  <c:v>LUM</c:v>
                </c:pt>
                <c:pt idx="36">
                  <c:v>GRO</c:v>
                </c:pt>
                <c:pt idx="37">
                  <c:v>V_F</c:v>
                </c:pt>
                <c:pt idx="38">
                  <c:v>CTL</c:v>
                </c:pt>
                <c:pt idx="39">
                  <c:v>OAP</c:v>
                </c:pt>
                <c:pt idx="40">
                  <c:v>OMT</c:v>
                </c:pt>
                <c:pt idx="41">
                  <c:v>B_T</c:v>
                </c:pt>
                <c:pt idx="42">
                  <c:v>SGR</c:v>
                </c:pt>
                <c:pt idx="43">
                  <c:v>MIL</c:v>
                </c:pt>
                <c:pt idx="44">
                  <c:v>CMT</c:v>
                </c:pt>
                <c:pt idx="45">
                  <c:v>PDR</c:v>
                </c:pt>
              </c:strCache>
            </c:strRef>
          </c:cat>
          <c:val>
            <c:numRef>
              <c:f>differences!$M$5:$M$50</c:f>
              <c:numCache>
                <c:formatCode>0%</c:formatCode>
                <c:ptCount val="46"/>
                <c:pt idx="0">
                  <c:v>1.6526999999999999E-5</c:v>
                </c:pt>
                <c:pt idx="1">
                  <c:v>4.8187000000000005E-5</c:v>
                </c:pt>
                <c:pt idx="2">
                  <c:v>3.1800099999999999E-4</c:v>
                </c:pt>
                <c:pt idx="3">
                  <c:v>7.3747900000000009E-4</c:v>
                </c:pt>
                <c:pt idx="4">
                  <c:v>1.7918990000000002E-3</c:v>
                </c:pt>
                <c:pt idx="5">
                  <c:v>2.0090579999999998E-3</c:v>
                </c:pt>
                <c:pt idx="6">
                  <c:v>3.347516E-3</c:v>
                </c:pt>
                <c:pt idx="7">
                  <c:v>5.0467519999999998E-3</c:v>
                </c:pt>
                <c:pt idx="8">
                  <c:v>8.1942109999999999E-3</c:v>
                </c:pt>
                <c:pt idx="9">
                  <c:v>8.9418250000000005E-3</c:v>
                </c:pt>
                <c:pt idx="10">
                  <c:v>9.4706959999999989E-3</c:v>
                </c:pt>
                <c:pt idx="11">
                  <c:v>1.00628E-2</c:v>
                </c:pt>
                <c:pt idx="12">
                  <c:v>1.0126660000000001E-2</c:v>
                </c:pt>
                <c:pt idx="13">
                  <c:v>1.1477029999999999E-2</c:v>
                </c:pt>
                <c:pt idx="14">
                  <c:v>1.2850859999999999E-2</c:v>
                </c:pt>
                <c:pt idx="15">
                  <c:v>1.295874E-2</c:v>
                </c:pt>
                <c:pt idx="16">
                  <c:v>1.3176680000000001E-2</c:v>
                </c:pt>
                <c:pt idx="17">
                  <c:v>1.3263039999999999E-2</c:v>
                </c:pt>
                <c:pt idx="18">
                  <c:v>1.347423E-2</c:v>
                </c:pt>
                <c:pt idx="19">
                  <c:v>1.3698999999999999E-2</c:v>
                </c:pt>
                <c:pt idx="20">
                  <c:v>1.5424929999999998E-2</c:v>
                </c:pt>
                <c:pt idx="21">
                  <c:v>1.5931000000000001E-2</c:v>
                </c:pt>
                <c:pt idx="22">
                  <c:v>1.6038939999999998E-2</c:v>
                </c:pt>
                <c:pt idx="23">
                  <c:v>1.6095289999999998E-2</c:v>
                </c:pt>
                <c:pt idx="24">
                  <c:v>1.725134E-2</c:v>
                </c:pt>
                <c:pt idx="25">
                  <c:v>1.7814090000000001E-2</c:v>
                </c:pt>
                <c:pt idx="26">
                  <c:v>1.9048300000000001E-2</c:v>
                </c:pt>
                <c:pt idx="27">
                  <c:v>2.0306680000000001E-2</c:v>
                </c:pt>
                <c:pt idx="28">
                  <c:v>2.1508250000000003E-2</c:v>
                </c:pt>
                <c:pt idx="29">
                  <c:v>2.568308E-2</c:v>
                </c:pt>
                <c:pt idx="30">
                  <c:v>2.5742810000000001E-2</c:v>
                </c:pt>
                <c:pt idx="31">
                  <c:v>2.6908120000000001E-2</c:v>
                </c:pt>
                <c:pt idx="32">
                  <c:v>2.8146840000000003E-2</c:v>
                </c:pt>
                <c:pt idx="33">
                  <c:v>2.8920359999999999E-2</c:v>
                </c:pt>
                <c:pt idx="34">
                  <c:v>3.0660729999999997E-2</c:v>
                </c:pt>
                <c:pt idx="35">
                  <c:v>3.3551560000000001E-2</c:v>
                </c:pt>
                <c:pt idx="36">
                  <c:v>3.5220259999999996E-2</c:v>
                </c:pt>
                <c:pt idx="37">
                  <c:v>4.1484590000000002E-2</c:v>
                </c:pt>
                <c:pt idx="38">
                  <c:v>4.2759919999999993E-2</c:v>
                </c:pt>
                <c:pt idx="39">
                  <c:v>4.3003150000000004E-2</c:v>
                </c:pt>
                <c:pt idx="40">
                  <c:v>5.8179369999999994E-2</c:v>
                </c:pt>
                <c:pt idx="41">
                  <c:v>6.0124339999999998E-2</c:v>
                </c:pt>
                <c:pt idx="42">
                  <c:v>7.7115660000000003E-2</c:v>
                </c:pt>
                <c:pt idx="43">
                  <c:v>8.0506750000000002E-2</c:v>
                </c:pt>
                <c:pt idx="44">
                  <c:v>0.15068000000000001</c:v>
                </c:pt>
                <c:pt idx="45">
                  <c:v>0.1843677</c:v>
                </c:pt>
              </c:numCache>
            </c:numRef>
          </c:val>
          <c:extLst>
            <c:ext xmlns:c16="http://schemas.microsoft.com/office/drawing/2014/chart" uri="{C3380CC4-5D6E-409C-BE32-E72D297353CC}">
              <c16:uniqueId val="{00000000-7A52-4842-93D8-3578E6661F78}"/>
            </c:ext>
          </c:extLst>
        </c:ser>
        <c:dLbls>
          <c:showLegendKey val="0"/>
          <c:showVal val="0"/>
          <c:showCatName val="0"/>
          <c:showSerName val="0"/>
          <c:showPercent val="0"/>
          <c:showBubbleSize val="0"/>
        </c:dLbls>
        <c:gapWidth val="150"/>
        <c:axId val="150170624"/>
        <c:axId val="150176512"/>
      </c:barChart>
      <c:catAx>
        <c:axId val="150170624"/>
        <c:scaling>
          <c:orientation val="minMax"/>
        </c:scaling>
        <c:delete val="0"/>
        <c:axPos val="b"/>
        <c:numFmt formatCode="General" sourceLinked="0"/>
        <c:majorTickMark val="out"/>
        <c:minorTickMark val="none"/>
        <c:tickLblPos val="nextTo"/>
        <c:txPr>
          <a:bodyPr/>
          <a:lstStyle/>
          <a:p>
            <a:pPr>
              <a:defRPr sz="800"/>
            </a:pPr>
            <a:endParaRPr lang="en-US"/>
          </a:p>
        </c:txPr>
        <c:crossAx val="150176512"/>
        <c:crosses val="autoZero"/>
        <c:auto val="1"/>
        <c:lblAlgn val="ctr"/>
        <c:lblOffset val="100"/>
        <c:noMultiLvlLbl val="0"/>
      </c:catAx>
      <c:valAx>
        <c:axId val="150176512"/>
        <c:scaling>
          <c:orientation val="minMax"/>
        </c:scaling>
        <c:delete val="0"/>
        <c:axPos val="l"/>
        <c:majorGridlines/>
        <c:numFmt formatCode="0%" sourceLinked="1"/>
        <c:majorTickMark val="out"/>
        <c:minorTickMark val="none"/>
        <c:tickLblPos val="nextTo"/>
        <c:crossAx val="15017062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F28DC0697F2946967019A6C2D9957F" ma:contentTypeVersion="17" ma:contentTypeDescription="Create a new document." ma:contentTypeScope="" ma:versionID="ca92f5615805b95042401464c41e813b">
  <xsd:schema xmlns:xsd="http://www.w3.org/2001/XMLSchema" xmlns:xs="http://www.w3.org/2001/XMLSchema" xmlns:p="http://schemas.microsoft.com/office/2006/metadata/properties" xmlns:ns3="145f47db-c14e-4b38-9bf8-0ca0ef7f6396" xmlns:ns4="21dbf145-ec6f-4074-a11c-49f272c036cd" targetNamespace="http://schemas.microsoft.com/office/2006/metadata/properties" ma:root="true" ma:fieldsID="2480ae13c260e50991137729d97dd6e8" ns3:_="" ns4:_="">
    <xsd:import namespace="145f47db-c14e-4b38-9bf8-0ca0ef7f6396"/>
    <xsd:import namespace="21dbf145-ec6f-4074-a11c-49f272c036c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5f47db-c14e-4b38-9bf8-0ca0ef7f6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dbf145-ec6f-4074-a11c-49f272c036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5f47db-c14e-4b38-9bf8-0ca0ef7f6396" xsi:nil="true"/>
  </documentManagement>
</p:properties>
</file>

<file path=customXml/itemProps1.xml><?xml version="1.0" encoding="utf-8"?>
<ds:datastoreItem xmlns:ds="http://schemas.openxmlformats.org/officeDocument/2006/customXml" ds:itemID="{F4AE9C2C-8372-4BF7-A04E-B8B50DC5B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5f47db-c14e-4b38-9bf8-0ca0ef7f6396"/>
    <ds:schemaRef ds:uri="21dbf145-ec6f-4074-a11c-49f272c03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C361E-F54E-491B-AF90-3BDEC5DEE4F7}">
  <ds:schemaRefs>
    <ds:schemaRef ds:uri="http://schemas.microsoft.com/sharepoint/v3/contenttype/forms"/>
  </ds:schemaRefs>
</ds:datastoreItem>
</file>

<file path=customXml/itemProps3.xml><?xml version="1.0" encoding="utf-8"?>
<ds:datastoreItem xmlns:ds="http://schemas.openxmlformats.org/officeDocument/2006/customXml" ds:itemID="{F0EC352C-84F0-4F51-B45A-C26C4C53EC0B}">
  <ds:schemaRefs>
    <ds:schemaRef ds:uri="http://schemas.openxmlformats.org/package/2006/metadata/core-properties"/>
    <ds:schemaRef ds:uri="145f47db-c14e-4b38-9bf8-0ca0ef7f6396"/>
    <ds:schemaRef ds:uri="http://purl.org/dc/terms/"/>
    <ds:schemaRef ds:uri="21dbf145-ec6f-4074-a11c-49f272c036cd"/>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7</Pages>
  <Words>2044</Words>
  <Characters>11653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Nicita</dc:creator>
  <cp:keywords/>
  <dc:description/>
  <cp:lastModifiedBy>Alessandro Nicita</cp:lastModifiedBy>
  <cp:revision>81</cp:revision>
  <dcterms:created xsi:type="dcterms:W3CDTF">2024-04-10T08:37:00Z</dcterms:created>
  <dcterms:modified xsi:type="dcterms:W3CDTF">2024-04-11T10:09:00Z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0x01010058F28DC0697F2946967019A6C2D9957F</vt:lpwstr>
  </property>
</Properties>
</file>