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712BC" w14:textId="0A8F045F" w:rsidR="00714CFC" w:rsidRPr="00714CFC" w:rsidRDefault="00714CFC" w:rsidP="00714CFC">
      <w:pPr>
        <w:jc w:val="center"/>
        <w:rPr>
          <w:b/>
          <w:bCs/>
        </w:rPr>
      </w:pPr>
      <w:r w:rsidRPr="00714CFC">
        <w:rPr>
          <w:b/>
          <w:bCs/>
        </w:rPr>
        <w:t>Conservation benefits from retiring land in neighboring locations offset welfare costs</w:t>
      </w:r>
    </w:p>
    <w:p w14:paraId="16A35C0C" w14:textId="13C7D717" w:rsidR="00714CFC" w:rsidRPr="00714CFC" w:rsidRDefault="00714CFC" w:rsidP="00714CFC">
      <w:pPr>
        <w:jc w:val="both"/>
        <w:rPr>
          <w:b/>
          <w:bCs/>
        </w:rPr>
      </w:pPr>
      <w:r w:rsidRPr="00714CFC">
        <w:rPr>
          <w:b/>
          <w:bCs/>
        </w:rPr>
        <w:t>Cisneros-Pineda, Alfredo; Ray, Srabashi</w:t>
      </w:r>
    </w:p>
    <w:p w14:paraId="51F1289E" w14:textId="15022601" w:rsidR="00714CFC" w:rsidRDefault="00270425" w:rsidP="00684BC8">
      <w:pPr>
        <w:jc w:val="both"/>
        <w:rPr>
          <w:b/>
          <w:bCs/>
        </w:rPr>
      </w:pPr>
      <w:r>
        <w:rPr>
          <w:b/>
          <w:bCs/>
        </w:rPr>
        <w:t>Background and Motivation</w:t>
      </w:r>
    </w:p>
    <w:p w14:paraId="68C21F33" w14:textId="7A25BE4A" w:rsidR="00684BC8" w:rsidRDefault="00714CFC" w:rsidP="00684BC8">
      <w:pPr>
        <w:jc w:val="both"/>
      </w:pPr>
      <w:r>
        <w:t xml:space="preserve">Natural </w:t>
      </w:r>
      <w:r w:rsidRPr="00714CFC">
        <w:t>land provide</w:t>
      </w:r>
      <w:r>
        <w:t>s</w:t>
      </w:r>
      <w:r w:rsidRPr="00714CFC">
        <w:t xml:space="preserve"> </w:t>
      </w:r>
      <w:r>
        <w:t xml:space="preserve">society </w:t>
      </w:r>
      <w:r w:rsidRPr="00714CFC">
        <w:t xml:space="preserve">with services that are not always recognized </w:t>
      </w:r>
      <w:r>
        <w:t xml:space="preserve">in markets, </w:t>
      </w:r>
      <w:r w:rsidR="008B1B63">
        <w:t>such as</w:t>
      </w:r>
      <w:r>
        <w:t xml:space="preserve"> </w:t>
      </w:r>
      <w:r w:rsidR="001079A7">
        <w:t>habitat for</w:t>
      </w:r>
      <w:r w:rsidR="008B1B63">
        <w:t xml:space="preserve"> native species</w:t>
      </w:r>
      <w:r w:rsidR="001079A7">
        <w:t xml:space="preserve"> and services provided to </w:t>
      </w:r>
      <w:r w:rsidR="008B1B63">
        <w:t>neighboring farmland</w:t>
      </w:r>
      <w:r w:rsidR="001079A7">
        <w:t xml:space="preserve"> by non-agricultural land</w:t>
      </w:r>
      <w:r w:rsidRPr="00714CFC">
        <w:t xml:space="preserve">. </w:t>
      </w:r>
      <w:r>
        <w:rPr>
          <w:rFonts w:cs="Times New Roman"/>
          <w:noProof/>
        </w:rPr>
        <w:t>Apart from material services (e.g., honey</w:t>
      </w:r>
      <w:r w:rsidR="008B1B63">
        <w:rPr>
          <w:rFonts w:cs="Times New Roman"/>
          <w:noProof/>
        </w:rPr>
        <w:t>, wa</w:t>
      </w:r>
      <w:r w:rsidR="00C746E3">
        <w:rPr>
          <w:rFonts w:cs="Times New Roman"/>
          <w:noProof/>
        </w:rPr>
        <w:t>x)</w:t>
      </w:r>
      <w:r>
        <w:rPr>
          <w:rFonts w:cs="Times New Roman"/>
          <w:noProof/>
        </w:rPr>
        <w:t>, b</w:t>
      </w:r>
      <w:r w:rsidRPr="00D70F03">
        <w:rPr>
          <w:rFonts w:cs="Times New Roman"/>
          <w:noProof/>
        </w:rPr>
        <w:t xml:space="preserve">iodiverse and healthy ecosystems offer </w:t>
      </w:r>
      <w:r>
        <w:rPr>
          <w:rFonts w:cs="Times New Roman"/>
          <w:noProof/>
        </w:rPr>
        <w:t xml:space="preserve">several </w:t>
      </w:r>
      <w:r w:rsidRPr="00D70F03">
        <w:rPr>
          <w:rFonts w:cs="Times New Roman"/>
          <w:noProof/>
        </w:rPr>
        <w:t>intangible services</w:t>
      </w:r>
      <w:r>
        <w:rPr>
          <w:rFonts w:cs="Times New Roman"/>
          <w:noProof/>
        </w:rPr>
        <w:t xml:space="preserve"> to </w:t>
      </w:r>
      <w:r w:rsidR="008B1B63">
        <w:rPr>
          <w:rFonts w:cs="Times New Roman"/>
          <w:noProof/>
        </w:rPr>
        <w:t>farmers</w:t>
      </w:r>
      <w:r w:rsidRPr="00D70F03">
        <w:rPr>
          <w:rFonts w:cs="Times New Roman"/>
          <w:noProof/>
        </w:rPr>
        <w:t>, such as regulating (</w:t>
      </w:r>
      <w:r>
        <w:rPr>
          <w:rFonts w:cs="Times New Roman"/>
          <w:noProof/>
        </w:rPr>
        <w:t>e.g., pollination</w:t>
      </w:r>
      <w:r w:rsidR="008B1B63">
        <w:rPr>
          <w:rFonts w:cs="Times New Roman"/>
          <w:noProof/>
        </w:rPr>
        <w:t>, increased yields</w:t>
      </w:r>
      <w:r w:rsidRPr="00D70F03">
        <w:rPr>
          <w:rFonts w:cs="Times New Roman"/>
          <w:noProof/>
        </w:rPr>
        <w:t>) and non-material services (</w:t>
      </w:r>
      <w:r w:rsidR="008B1B63">
        <w:rPr>
          <w:rFonts w:cs="Times New Roman"/>
          <w:noProof/>
        </w:rPr>
        <w:t>e.g., recreational</w:t>
      </w:r>
      <w:r w:rsidRPr="00D70F03">
        <w:rPr>
          <w:rFonts w:cs="Times New Roman"/>
          <w:noProof/>
        </w:rPr>
        <w:t xml:space="preserve">), that </w:t>
      </w:r>
      <w:r>
        <w:rPr>
          <w:rFonts w:cs="Times New Roman"/>
          <w:noProof/>
        </w:rPr>
        <w:t xml:space="preserve">current </w:t>
      </w:r>
      <w:r w:rsidRPr="00D70F03">
        <w:rPr>
          <w:rFonts w:cs="Times New Roman"/>
          <w:noProof/>
        </w:rPr>
        <w:t>markets do not fully recognize (IPBES 2019)</w:t>
      </w:r>
      <w:r>
        <w:rPr>
          <w:rFonts w:cs="Times New Roman"/>
          <w:noProof/>
        </w:rPr>
        <w:t>.</w:t>
      </w:r>
      <w:r w:rsidR="008B1B63">
        <w:rPr>
          <w:rFonts w:cs="Times New Roman"/>
          <w:noProof/>
        </w:rPr>
        <w:t xml:space="preserve"> </w:t>
      </w:r>
      <w:r w:rsidR="008B1B63">
        <w:t xml:space="preserve">When </w:t>
      </w:r>
      <w:r w:rsidRPr="00714CFC">
        <w:t xml:space="preserve">market prices do not reflect the full array of </w:t>
      </w:r>
      <w:r w:rsidR="008B1B63">
        <w:t xml:space="preserve">the </w:t>
      </w:r>
      <w:r w:rsidRPr="00714CFC">
        <w:t>uses and (environmental) costs</w:t>
      </w:r>
      <w:r w:rsidR="008B1B63">
        <w:t xml:space="preserve"> of conserving land, there is a </w:t>
      </w:r>
      <w:r w:rsidRPr="00714CFC">
        <w:t xml:space="preserve">market failure that arises from the disconnect between who benefits from and who </w:t>
      </w:r>
      <w:r w:rsidR="00684BC8" w:rsidRPr="00714CFC">
        <w:t>provides</w:t>
      </w:r>
      <w:r w:rsidRPr="00714CFC">
        <w:t xml:space="preserve"> these services. </w:t>
      </w:r>
      <w:r w:rsidR="00684BC8">
        <w:t xml:space="preserve">To address this issue, the Conservation Reserve Program (CRP) was launched in 1985 by the </w:t>
      </w:r>
      <w:r w:rsidR="00684BC8" w:rsidRPr="00684BC8">
        <w:t>Farm Service Agency (FSA)</w:t>
      </w:r>
      <w:r w:rsidR="00684BC8">
        <w:t xml:space="preserve"> to promote land retirement from agricultural production (FSA, 2024).</w:t>
      </w:r>
    </w:p>
    <w:p w14:paraId="347CB2C3" w14:textId="1AD4971F" w:rsidR="00557B1D" w:rsidRDefault="00684BC8" w:rsidP="00684BC8">
      <w:pPr>
        <w:jc w:val="both"/>
      </w:pPr>
      <w:r>
        <w:t>The CRP is a land conservation program that pays an annual rent for up to</w:t>
      </w:r>
      <w:r w:rsidRPr="00684BC8">
        <w:t xml:space="preserve"> 15 years </w:t>
      </w:r>
      <w:r>
        <w:t xml:space="preserve">to farmers that agree </w:t>
      </w:r>
      <w:r w:rsidRPr="00684BC8">
        <w:t>to remove environmentally sensitive land from production and plant species that will improve environmental health and quality</w:t>
      </w:r>
      <w:r w:rsidR="00C42AD2">
        <w:t xml:space="preserve"> (FSA, 2024)</w:t>
      </w:r>
      <w:r w:rsidRPr="00684BC8">
        <w:t xml:space="preserve">. </w:t>
      </w:r>
      <w:r w:rsidR="00C42AD2">
        <w:t>T</w:t>
      </w:r>
      <w:r>
        <w:t xml:space="preserve">he </w:t>
      </w:r>
      <w:r w:rsidR="00C42AD2">
        <w:t>Honey Bee</w:t>
      </w:r>
      <w:r>
        <w:t xml:space="preserve"> Habitat Initiative </w:t>
      </w:r>
      <w:r w:rsidR="00C42AD2">
        <w:t>enhances CRP covers by establishing cost effective seed mixes to provide better nutrition for bees (FSA, 2015). The FSA (2015) reports that bee pollination supports about $15 billion in agricultural production, including over 130 fruits, vegetables, and crops in North America.</w:t>
      </w:r>
      <w:r w:rsidR="007B328B">
        <w:t xml:space="preserve"> Nonetheless, the commercial honey bee colonies fell by more than 30% from 1989 to 2008 (USDA, 2024) while the CRP program was active. Furthermore, the acres under CRP contract ha</w:t>
      </w:r>
      <w:r w:rsidR="006E5299">
        <w:t>ve</w:t>
      </w:r>
      <w:r w:rsidR="007B328B">
        <w:t xml:space="preserve"> steadily decreased </w:t>
      </w:r>
      <w:r w:rsidR="00557B1D">
        <w:t xml:space="preserve">since 2007 </w:t>
      </w:r>
      <w:r w:rsidR="007B328B">
        <w:t>(Coppess, 2017)</w:t>
      </w:r>
      <w:r w:rsidR="008F2752">
        <w:t xml:space="preserve"> and agricultural activities may be contributing to stress bee colonies by increasing the presence of pesticides (ARS, 2022).</w:t>
      </w:r>
      <w:r w:rsidR="00557B1D">
        <w:t xml:space="preserve"> In this context, </w:t>
      </w:r>
      <w:r w:rsidR="00557B1D" w:rsidRPr="00F61CCD">
        <w:t>localized policies</w:t>
      </w:r>
      <w:r w:rsidR="00557B1D">
        <w:t xml:space="preserve">, such as CRP, </w:t>
      </w:r>
      <w:r w:rsidR="00557B1D" w:rsidRPr="00F61CCD">
        <w:t>are very likely to generate market-mediated spillovers</w:t>
      </w:r>
      <w:r w:rsidR="00557B1D">
        <w:t xml:space="preserve"> such as the ecosystem services provided by bees</w:t>
      </w:r>
      <w:r w:rsidR="00AB6C8A">
        <w:t>,</w:t>
      </w:r>
      <w:r w:rsidR="00557B1D">
        <w:t xml:space="preserve"> but also agricultural activities create negative externalities on neighboring natural land.</w:t>
      </w:r>
    </w:p>
    <w:p w14:paraId="230BB311" w14:textId="193D28C2" w:rsidR="00270425" w:rsidRPr="00270425" w:rsidRDefault="00270425" w:rsidP="00684BC8">
      <w:pPr>
        <w:jc w:val="both"/>
        <w:rPr>
          <w:b/>
          <w:bCs/>
        </w:rPr>
      </w:pPr>
      <w:r w:rsidRPr="00270425">
        <w:rPr>
          <w:b/>
          <w:bCs/>
        </w:rPr>
        <w:t>Methodology</w:t>
      </w:r>
    </w:p>
    <w:p w14:paraId="5D94D3BD" w14:textId="13AF035A" w:rsidR="002F5F0C" w:rsidRDefault="00F61CCD" w:rsidP="00F65F5E">
      <w:pPr>
        <w:jc w:val="both"/>
      </w:pPr>
      <w:r>
        <w:t xml:space="preserve">The </w:t>
      </w:r>
      <w:r w:rsidRPr="00F61CCD">
        <w:t xml:space="preserve">Simplified International Model of agricultural Prices, Land use, and the Environment </w:t>
      </w:r>
      <w:r>
        <w:t>G</w:t>
      </w:r>
      <w:r w:rsidRPr="00F61CCD">
        <w:t>ridded version</w:t>
      </w:r>
      <w:r w:rsidR="00861FCE">
        <w:t xml:space="preserve"> (SIMPLE-G)</w:t>
      </w:r>
      <w:r>
        <w:t xml:space="preserve">, is a </w:t>
      </w:r>
      <w:r w:rsidRPr="00F61CCD">
        <w:t xml:space="preserve">framework </w:t>
      </w:r>
      <w:r>
        <w:t xml:space="preserve">that </w:t>
      </w:r>
      <w:r w:rsidRPr="00F61CCD">
        <w:t>allows the interplay between economic and environmental systems</w:t>
      </w:r>
      <w:r w:rsidR="00C746E3">
        <w:t xml:space="preserve"> (Baldos et al. 2020). </w:t>
      </w:r>
      <w:r w:rsidR="00731068" w:rsidRPr="00F61CCD">
        <w:t xml:space="preserve">Cisneros-Pineda et al. </w:t>
      </w:r>
      <w:r w:rsidR="00731068">
        <w:t>(</w:t>
      </w:r>
      <w:r w:rsidR="00731068" w:rsidRPr="00F61CCD">
        <w:t>2023</w:t>
      </w:r>
      <w:r w:rsidR="00731068">
        <w:t>)</w:t>
      </w:r>
      <w:r w:rsidR="00111A12">
        <w:t xml:space="preserve"> describe the challenge of modelling</w:t>
      </w:r>
      <w:r w:rsidR="00731068">
        <w:t xml:space="preserve"> </w:t>
      </w:r>
      <w:r w:rsidR="0090233D">
        <w:t xml:space="preserve">spillover effects </w:t>
      </w:r>
      <w:r w:rsidR="00A120CA">
        <w:t>to study the propagation of local</w:t>
      </w:r>
      <w:r w:rsidR="00D27340">
        <w:t xml:space="preserve"> conservation</w:t>
      </w:r>
      <w:r w:rsidR="00A120CA">
        <w:t xml:space="preserve"> </w:t>
      </w:r>
      <w:r w:rsidR="00412BCD">
        <w:t xml:space="preserve">policies </w:t>
      </w:r>
      <w:r w:rsidR="00A120CA">
        <w:t xml:space="preserve">into </w:t>
      </w:r>
      <w:r w:rsidR="00E601BD">
        <w:t>large-scale</w:t>
      </w:r>
      <w:r w:rsidR="00A120CA">
        <w:t xml:space="preserve"> </w:t>
      </w:r>
      <w:r w:rsidR="00CE39A4">
        <w:t xml:space="preserve">economic </w:t>
      </w:r>
      <w:r w:rsidR="00005A32">
        <w:t xml:space="preserve">outcomes; </w:t>
      </w:r>
      <w:r w:rsidR="00AF37D0">
        <w:t xml:space="preserve">to address this challenge, they </w:t>
      </w:r>
      <w:r w:rsidR="00342AD4">
        <w:t xml:space="preserve">propose </w:t>
      </w:r>
      <w:r w:rsidR="00AF37D0">
        <w:t>linking</w:t>
      </w:r>
      <w:r w:rsidR="00215381">
        <w:t xml:space="preserve"> </w:t>
      </w:r>
      <w:r w:rsidR="00342AD4">
        <w:t>models such as GTAP</w:t>
      </w:r>
      <w:r w:rsidR="00215381">
        <w:t xml:space="preserve"> to spatially explicit</w:t>
      </w:r>
      <w:r w:rsidR="00D7208F">
        <w:t xml:space="preserve"> models</w:t>
      </w:r>
      <w:r w:rsidR="003F18E8">
        <w:t xml:space="preserve"> of ecosystem services</w:t>
      </w:r>
      <w:r w:rsidR="00005A32">
        <w:t xml:space="preserve">. Here we </w:t>
      </w:r>
      <w:r w:rsidR="00AF37D0">
        <w:t xml:space="preserve">add a </w:t>
      </w:r>
      <w:r w:rsidR="00655A9F">
        <w:t xml:space="preserve">spatial </w:t>
      </w:r>
      <w:r w:rsidR="00F65F5E">
        <w:t>mechanism based on neighbor</w:t>
      </w:r>
      <w:r w:rsidR="00655A9F">
        <w:t>ing grid-</w:t>
      </w:r>
      <w:r w:rsidR="00F65F5E">
        <w:t>cells to the SIMPLE-G model.</w:t>
      </w:r>
      <w:r w:rsidRPr="00F61CCD">
        <w:t xml:space="preserve"> </w:t>
      </w:r>
    </w:p>
    <w:p w14:paraId="01DB3F8D" w14:textId="46D9CF54" w:rsidR="001E0521" w:rsidRDefault="0009229E" w:rsidP="001E0521">
      <w:pPr>
        <w:jc w:val="both"/>
      </w:pPr>
      <w:r>
        <w:t>The types of s</w:t>
      </w:r>
      <w:r w:rsidRPr="00714CFC">
        <w:t xml:space="preserve">pillover effects </w:t>
      </w:r>
      <w:r w:rsidR="006022E1">
        <w:t>associated with the</w:t>
      </w:r>
      <w:r>
        <w:t xml:space="preserve"> </w:t>
      </w:r>
      <w:r w:rsidRPr="00714CFC">
        <w:t xml:space="preserve">ecological </w:t>
      </w:r>
      <w:r w:rsidR="00E97D2C">
        <w:t xml:space="preserve">impacts </w:t>
      </w:r>
      <w:r w:rsidR="00B64086">
        <w:t xml:space="preserve">of the CRP program </w:t>
      </w:r>
      <w:r w:rsidR="006022E1">
        <w:t>depend upo</w:t>
      </w:r>
      <w:r w:rsidR="00C27C79">
        <w:t>n</w:t>
      </w:r>
      <w:r w:rsidRPr="00714CFC">
        <w:t xml:space="preserve"> the surrounding spatial characteristics of the </w:t>
      </w:r>
      <w:r w:rsidR="00B64086">
        <w:t>land</w:t>
      </w:r>
      <w:r w:rsidR="00C27C79">
        <w:t xml:space="preserve"> enrolled</w:t>
      </w:r>
      <w:r w:rsidR="00B64086">
        <w:t xml:space="preserve">. </w:t>
      </w:r>
      <w:r w:rsidR="00697DE8">
        <w:t xml:space="preserve">Land retirement leads to agricultural output reduction in the regions where farmers </w:t>
      </w:r>
      <w:r w:rsidR="0017039E">
        <w:t xml:space="preserve">enroll cropland </w:t>
      </w:r>
      <w:r w:rsidR="00697DE8">
        <w:t xml:space="preserve">into the CRP program, which </w:t>
      </w:r>
      <w:r w:rsidR="0017039E">
        <w:t>could have a price impact</w:t>
      </w:r>
      <w:r w:rsidR="00697DE8" w:rsidRPr="00F61CCD">
        <w:t>,</w:t>
      </w:r>
      <w:r w:rsidR="00F61CCD" w:rsidRPr="00F61CCD">
        <w:t xml:space="preserve"> and this market information will be conveyed to other </w:t>
      </w:r>
      <w:r w:rsidR="00697DE8">
        <w:t xml:space="preserve">regions </w:t>
      </w:r>
      <w:r w:rsidR="00F61CCD" w:rsidRPr="00F61CCD">
        <w:t xml:space="preserve">where </w:t>
      </w:r>
      <w:r w:rsidR="00697DE8">
        <w:t>farmers</w:t>
      </w:r>
      <w:r w:rsidR="00F61CCD" w:rsidRPr="00F61CCD">
        <w:t xml:space="preserve"> can be expected to respond. </w:t>
      </w:r>
      <w:r w:rsidR="00697DE8">
        <w:t>Simultaneously, land conservation reduces local use of pesticides and promotes bee pollination of neighbor agricultural land, and other farmers’ responses may increase the regional use of pesticides</w:t>
      </w:r>
      <w:r>
        <w:t>.</w:t>
      </w:r>
      <w:r w:rsidR="001E0521" w:rsidRPr="001E0521">
        <w:t xml:space="preserve"> </w:t>
      </w:r>
    </w:p>
    <w:p w14:paraId="4E617693" w14:textId="38B7161D" w:rsidR="00714CFC" w:rsidRDefault="00C31E96" w:rsidP="00714CFC">
      <w:pPr>
        <w:jc w:val="both"/>
      </w:pPr>
      <w:r w:rsidRPr="00D41649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014F1B44" wp14:editId="45F6787A">
            <wp:simplePos x="0" y="0"/>
            <wp:positionH relativeFrom="margin">
              <wp:posOffset>918210</wp:posOffset>
            </wp:positionH>
            <wp:positionV relativeFrom="paragraph">
              <wp:posOffset>1917700</wp:posOffset>
            </wp:positionV>
            <wp:extent cx="3663950" cy="3144520"/>
            <wp:effectExtent l="0" t="0" r="0" b="0"/>
            <wp:wrapTight wrapText="bothSides">
              <wp:wrapPolygon edited="0">
                <wp:start x="0" y="0"/>
                <wp:lineTo x="0" y="21460"/>
                <wp:lineTo x="21450" y="21460"/>
                <wp:lineTo x="2145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395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3BF9">
        <w:t xml:space="preserve">In this paper, we </w:t>
      </w:r>
      <w:r w:rsidR="00714CFC" w:rsidRPr="00714CFC">
        <w:t>propose an application of the SIMPLE-G model that accounts for spatial patterns of natural and agricultural land</w:t>
      </w:r>
      <w:r w:rsidR="007C634C">
        <w:t xml:space="preserve"> based on </w:t>
      </w:r>
      <w:r w:rsidR="00DC5357">
        <w:t xml:space="preserve">the </w:t>
      </w:r>
      <w:r w:rsidR="007C634C" w:rsidRPr="00714CFC">
        <w:t>grid cell</w:t>
      </w:r>
      <w:r w:rsidR="007C634C">
        <w:t>s defined in the model</w:t>
      </w:r>
      <w:r w:rsidR="00714CFC" w:rsidRPr="00714CFC">
        <w:t>. The goal is to evaluate the ecological benefits of land retirement under the CRP</w:t>
      </w:r>
      <w:r w:rsidR="00D03BF9">
        <w:t xml:space="preserve"> program</w:t>
      </w:r>
      <w:r w:rsidR="00714CFC" w:rsidRPr="00714CFC">
        <w:t xml:space="preserve"> in the </w:t>
      </w:r>
      <w:r w:rsidR="00C46FB5">
        <w:t>United States (</w:t>
      </w:r>
      <w:r w:rsidR="00714CFC" w:rsidRPr="00714CFC">
        <w:t>US</w:t>
      </w:r>
      <w:r w:rsidR="00C46FB5">
        <w:t>)</w:t>
      </w:r>
      <w:r w:rsidR="00714CFC" w:rsidRPr="00714CFC">
        <w:t xml:space="preserve">. Prior analyses of the CRP have omitted the </w:t>
      </w:r>
      <w:r w:rsidR="00C46FB5">
        <w:t xml:space="preserve">non-market </w:t>
      </w:r>
      <w:r w:rsidR="0090228C">
        <w:t xml:space="preserve">spatial </w:t>
      </w:r>
      <w:r w:rsidR="00C46FB5">
        <w:t xml:space="preserve">benefits of </w:t>
      </w:r>
      <w:r w:rsidR="00714CFC" w:rsidRPr="00714CFC">
        <w:t>retiring land for conservation purposes</w:t>
      </w:r>
      <w:r w:rsidR="00193F2D">
        <w:t xml:space="preserve"> (</w:t>
      </w:r>
      <w:r w:rsidR="00AA7354">
        <w:t>Birur, Hertel, and Tyner 2010</w:t>
      </w:r>
      <w:r w:rsidR="00193F2D">
        <w:t>)</w:t>
      </w:r>
      <w:r w:rsidR="00714CFC" w:rsidRPr="00714CFC">
        <w:t>.</w:t>
      </w:r>
      <w:r w:rsidR="00C746E3">
        <w:t xml:space="preserve"> </w:t>
      </w:r>
      <w:r w:rsidR="00714CFC" w:rsidRPr="00714CFC">
        <w:t xml:space="preserve">In this paper, we compare two scenarios of the impact of </w:t>
      </w:r>
      <w:r w:rsidR="00C46FB5">
        <w:t xml:space="preserve">cropland retirement historically under the </w:t>
      </w:r>
      <w:r w:rsidR="00714CFC" w:rsidRPr="00714CFC">
        <w:t>CRP program</w:t>
      </w:r>
      <w:r w:rsidR="00C46FB5">
        <w:t>, using SIMPLE-G</w:t>
      </w:r>
      <w:r w:rsidR="00714CFC" w:rsidRPr="00714CFC">
        <w:t xml:space="preserve">. The baseline scenario ignores the </w:t>
      </w:r>
      <w:r w:rsidR="00C46FB5">
        <w:t xml:space="preserve">non-market </w:t>
      </w:r>
      <w:r w:rsidR="00714CFC" w:rsidRPr="00714CFC">
        <w:t>benefits of CRP land</w:t>
      </w:r>
      <w:r w:rsidR="00C46FB5">
        <w:t xml:space="preserve"> on </w:t>
      </w:r>
      <w:r w:rsidR="00C46FB5" w:rsidRPr="00714CFC">
        <w:t xml:space="preserve">neighboring </w:t>
      </w:r>
      <w:r w:rsidR="00C46FB5">
        <w:t>grid-cells</w:t>
      </w:r>
      <w:r w:rsidR="00714CFC" w:rsidRPr="00714CFC">
        <w:t xml:space="preserve">, such that the resulting prices and other economic variables will reflect only the private economic costs and ignore the social benefits. The second scenario </w:t>
      </w:r>
      <w:r w:rsidR="00C46FB5">
        <w:t xml:space="preserve">incorporates the non-market benefits of land retirement </w:t>
      </w:r>
      <w:r w:rsidR="00714CFC" w:rsidRPr="00714CFC">
        <w:t xml:space="preserve">on </w:t>
      </w:r>
      <w:r w:rsidR="00C46FB5">
        <w:t xml:space="preserve">land productivity in </w:t>
      </w:r>
      <w:r>
        <w:t xml:space="preserve">the Fruitful Rim </w:t>
      </w:r>
      <w:r w:rsidR="00C46FB5">
        <w:t>region</w:t>
      </w:r>
      <w:r w:rsidR="00D41649">
        <w:t xml:space="preserve">. </w:t>
      </w:r>
    </w:p>
    <w:p w14:paraId="14F89AA2" w14:textId="77777777" w:rsidR="00C31E96" w:rsidRDefault="00C31E96" w:rsidP="00714CFC">
      <w:pPr>
        <w:jc w:val="both"/>
      </w:pPr>
    </w:p>
    <w:p w14:paraId="43C44395" w14:textId="6D9CF02E" w:rsidR="00C31E96" w:rsidRDefault="00C31E96" w:rsidP="00714CFC">
      <w:pPr>
        <w:jc w:val="both"/>
      </w:pPr>
    </w:p>
    <w:p w14:paraId="445710E0" w14:textId="77777777" w:rsidR="00C31E96" w:rsidRDefault="00C31E96" w:rsidP="00714CFC">
      <w:pPr>
        <w:jc w:val="both"/>
      </w:pPr>
    </w:p>
    <w:p w14:paraId="3B0E6089" w14:textId="77777777" w:rsidR="00C31E96" w:rsidRDefault="00C31E96" w:rsidP="00714CFC">
      <w:pPr>
        <w:jc w:val="both"/>
      </w:pPr>
    </w:p>
    <w:p w14:paraId="0697468E" w14:textId="77777777" w:rsidR="00C31E96" w:rsidRDefault="00C31E96" w:rsidP="00714CFC">
      <w:pPr>
        <w:jc w:val="both"/>
      </w:pPr>
    </w:p>
    <w:p w14:paraId="7F0C73A9" w14:textId="77777777" w:rsidR="00C31E96" w:rsidRDefault="00C31E96" w:rsidP="00714CFC">
      <w:pPr>
        <w:jc w:val="both"/>
      </w:pPr>
    </w:p>
    <w:p w14:paraId="406319DD" w14:textId="77777777" w:rsidR="00C31E96" w:rsidRDefault="00C31E96" w:rsidP="00714CFC">
      <w:pPr>
        <w:jc w:val="both"/>
      </w:pPr>
    </w:p>
    <w:p w14:paraId="2E425A7E" w14:textId="77777777" w:rsidR="00C31E96" w:rsidRDefault="00C31E96" w:rsidP="00714CFC">
      <w:pPr>
        <w:jc w:val="both"/>
      </w:pPr>
    </w:p>
    <w:p w14:paraId="1AC96088" w14:textId="77777777" w:rsidR="00C31E96" w:rsidRDefault="00C31E96" w:rsidP="00714CFC">
      <w:pPr>
        <w:jc w:val="both"/>
      </w:pPr>
    </w:p>
    <w:p w14:paraId="32AE9935" w14:textId="77777777" w:rsidR="00C31E96" w:rsidRDefault="00C31E96" w:rsidP="00714CFC">
      <w:pPr>
        <w:jc w:val="both"/>
      </w:pPr>
    </w:p>
    <w:p w14:paraId="2395E690" w14:textId="77777777" w:rsidR="00C31E96" w:rsidRDefault="00C31E96" w:rsidP="00714CFC">
      <w:pPr>
        <w:jc w:val="both"/>
        <w:rPr>
          <w:b/>
          <w:bCs/>
        </w:rPr>
      </w:pPr>
    </w:p>
    <w:p w14:paraId="456E781C" w14:textId="77777777" w:rsidR="00C31E96" w:rsidRDefault="00C31E96" w:rsidP="00714CFC">
      <w:pPr>
        <w:jc w:val="both"/>
        <w:rPr>
          <w:b/>
          <w:bCs/>
        </w:rPr>
      </w:pPr>
    </w:p>
    <w:p w14:paraId="7BFC5A35" w14:textId="48BAE84C" w:rsidR="00270425" w:rsidRPr="00270425" w:rsidRDefault="00270425" w:rsidP="00714CFC">
      <w:pPr>
        <w:jc w:val="both"/>
        <w:rPr>
          <w:b/>
          <w:bCs/>
        </w:rPr>
      </w:pPr>
      <w:r w:rsidRPr="00270425">
        <w:rPr>
          <w:b/>
          <w:bCs/>
        </w:rPr>
        <w:t>Shocks</w:t>
      </w:r>
    </w:p>
    <w:p w14:paraId="358AAA3F" w14:textId="6CA20D5F" w:rsidR="00580AF1" w:rsidRDefault="00822C18" w:rsidP="00C31E96">
      <w:pPr>
        <w:jc w:val="both"/>
      </w:pPr>
      <w:r>
        <w:t xml:space="preserve">We test </w:t>
      </w:r>
      <w:r w:rsidR="00C31E96">
        <w:t xml:space="preserve">a basic </w:t>
      </w:r>
      <w:r>
        <w:t>spillover case</w:t>
      </w:r>
      <w:r w:rsidR="00747638">
        <w:t xml:space="preserve"> </w:t>
      </w:r>
      <w:r w:rsidR="00580AF1">
        <w:t xml:space="preserve">as shown in </w:t>
      </w:r>
      <w:r w:rsidR="00747638">
        <w:t>Figure 1</w:t>
      </w:r>
      <w:r>
        <w:t xml:space="preserve"> </w:t>
      </w:r>
      <w:r w:rsidR="00C31E96">
        <w:t xml:space="preserve">We assume different scenarios of the increase in total factor productivity </w:t>
      </w:r>
      <w:r w:rsidR="00C31E96">
        <w:t xml:space="preserve">(TFP) </w:t>
      </w:r>
      <w:r w:rsidR="00C31E96">
        <w:t xml:space="preserve">ranging from XX-XX% as reported by Seibert and Hertel (2022). </w:t>
      </w:r>
    </w:p>
    <w:p w14:paraId="1D800532" w14:textId="398E9B34" w:rsidR="00782933" w:rsidRDefault="00782933" w:rsidP="00782933">
      <w:pPr>
        <w:jc w:val="center"/>
      </w:pPr>
      <w:r w:rsidRPr="00782933">
        <w:lastRenderedPageBreak/>
        <w:drawing>
          <wp:inline distT="0" distB="0" distL="0" distR="0" wp14:anchorId="2EE4EBF0" wp14:editId="1F3C2C0F">
            <wp:extent cx="2448267" cy="2295845"/>
            <wp:effectExtent l="0" t="0" r="9525" b="0"/>
            <wp:docPr id="21434264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42649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48267" cy="229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0812A" w14:textId="2AA60F31" w:rsidR="00782933" w:rsidRDefault="00782933" w:rsidP="00C31E96">
      <w:pPr>
        <w:jc w:val="both"/>
      </w:pPr>
      <w:r>
        <w:t>Figure 1. Only cropland grid-cells completely surrounded by natural land receive the maximum amount of TFP boost.</w:t>
      </w:r>
    </w:p>
    <w:p w14:paraId="7FD0168D" w14:textId="7711A7D0" w:rsidR="00580AF1" w:rsidRDefault="00580AF1" w:rsidP="00C31E96">
      <w:pPr>
        <w:jc w:val="both"/>
      </w:pPr>
      <w:r>
        <w:t xml:space="preserve">First, we look at the Natural Land Cover Dataset (NLCD, 2024) and isolate the grid cells that </w:t>
      </w:r>
      <w:r w:rsidR="00680FC4">
        <w:t xml:space="preserve">are </w:t>
      </w:r>
      <w:r w:rsidR="00680FC4" w:rsidRPr="00580AF1">
        <w:t>considered</w:t>
      </w:r>
      <w:r>
        <w:t xml:space="preserve"> cultivated </w:t>
      </w:r>
      <w:r w:rsidRPr="00580AF1">
        <w:t>cropland</w:t>
      </w:r>
      <w:r>
        <w:t xml:space="preserve"> (</w:t>
      </w:r>
      <w:r w:rsidRPr="00580AF1">
        <w:t>code 82</w:t>
      </w:r>
      <w:r>
        <w:t>) and natural land</w:t>
      </w:r>
      <w:r w:rsidR="00680FC4">
        <w:t xml:space="preserve"> within the Fruitful Rim region</w:t>
      </w:r>
      <w:r>
        <w:t xml:space="preserve">. We define natural land as </w:t>
      </w:r>
      <w:r w:rsidR="00680FC4">
        <w:t xml:space="preserve">the union of all grid cells considered </w:t>
      </w:r>
      <w:r>
        <w:t>w</w:t>
      </w:r>
      <w:r w:rsidRPr="00580AF1">
        <w:t xml:space="preserve">oody </w:t>
      </w:r>
      <w:r>
        <w:t>w</w:t>
      </w:r>
      <w:r w:rsidRPr="00580AF1">
        <w:t>etlands</w:t>
      </w:r>
      <w:r w:rsidR="00680FC4">
        <w:t xml:space="preserve"> (code 90)</w:t>
      </w:r>
      <w:r>
        <w:t>, e</w:t>
      </w:r>
      <w:r w:rsidRPr="00580AF1">
        <w:t xml:space="preserve">mergent </w:t>
      </w:r>
      <w:r>
        <w:t>h</w:t>
      </w:r>
      <w:r w:rsidRPr="00580AF1">
        <w:t xml:space="preserve">erbaceous </w:t>
      </w:r>
      <w:r>
        <w:t>w</w:t>
      </w:r>
      <w:r w:rsidRPr="00580AF1">
        <w:t>etlands</w:t>
      </w:r>
      <w:r w:rsidR="00680FC4">
        <w:t xml:space="preserve"> (code 95)</w:t>
      </w:r>
      <w:r>
        <w:t>, d</w:t>
      </w:r>
      <w:r w:rsidRPr="00580AF1">
        <w:t xml:space="preserve">eciduous </w:t>
      </w:r>
      <w:r>
        <w:t>f</w:t>
      </w:r>
      <w:r w:rsidRPr="00580AF1">
        <w:t>orest</w:t>
      </w:r>
      <w:r w:rsidR="00680FC4">
        <w:t xml:space="preserve"> (code 41)</w:t>
      </w:r>
      <w:r>
        <w:t>, e</w:t>
      </w:r>
      <w:r w:rsidRPr="00580AF1">
        <w:t xml:space="preserve">vergreen </w:t>
      </w:r>
      <w:r>
        <w:t>f</w:t>
      </w:r>
      <w:r w:rsidRPr="00580AF1">
        <w:t>orest</w:t>
      </w:r>
      <w:r w:rsidR="00680FC4">
        <w:t xml:space="preserve"> (code 42)</w:t>
      </w:r>
      <w:r>
        <w:t xml:space="preserve">, </w:t>
      </w:r>
      <w:r w:rsidR="00680FC4">
        <w:t>or</w:t>
      </w:r>
      <w:r>
        <w:t xml:space="preserve"> m</w:t>
      </w:r>
      <w:r w:rsidRPr="00580AF1">
        <w:t xml:space="preserve">ixed </w:t>
      </w:r>
      <w:r>
        <w:t>f</w:t>
      </w:r>
      <w:r w:rsidRPr="00580AF1">
        <w:t>orest</w:t>
      </w:r>
      <w:r w:rsidR="00680FC4">
        <w:t xml:space="preserve"> (code 43).</w:t>
      </w:r>
    </w:p>
    <w:p w14:paraId="6CE088D9" w14:textId="75632526" w:rsidR="00680FC4" w:rsidRDefault="00680FC4" w:rsidP="00C31E96">
      <w:pPr>
        <w:jc w:val="both"/>
      </w:pPr>
      <w:r>
        <w:t xml:space="preserve">Second, we count the number of natural-land grid-cells that are directly neighboring </w:t>
      </w:r>
      <w:r>
        <w:t>cropland</w:t>
      </w:r>
      <w:r>
        <w:t xml:space="preserve"> grid-cells in a queen style arrangement. </w:t>
      </w:r>
      <w:r w:rsidR="00782933">
        <w:t xml:space="preserve">The highest </w:t>
      </w:r>
      <w:r>
        <w:t>number of grid-cells that can be accounted for is 8</w:t>
      </w:r>
      <w:r w:rsidR="00782933">
        <w:t>:</w:t>
      </w:r>
      <w:r>
        <w:t xml:space="preserve"> three in the upper row, three in the lower row, and two on each side.</w:t>
      </w:r>
    </w:p>
    <w:p w14:paraId="36D07F05" w14:textId="4C6514CA" w:rsidR="00680FC4" w:rsidRDefault="00680FC4" w:rsidP="00C31E96">
      <w:pPr>
        <w:jc w:val="both"/>
      </w:pPr>
      <w:r>
        <w:t>Third, we assume that all cropland grid-cells that are neighboring a single natural-land grid-cell will be subscribed to the CRP program</w:t>
      </w:r>
      <w:r w:rsidR="00782933">
        <w:t xml:space="preserve"> and</w:t>
      </w:r>
      <w:r>
        <w:t xml:space="preserve"> all other cropland grid-cells </w:t>
      </w:r>
      <w:r w:rsidR="00782933">
        <w:t>that are not near natural land or that are surrounded by 2 or more natural-land grid-cells remain unchanged.</w:t>
      </w:r>
    </w:p>
    <w:p w14:paraId="692C5FD9" w14:textId="26B621C2" w:rsidR="00782933" w:rsidRDefault="00782933" w:rsidP="00C31E96">
      <w:pPr>
        <w:jc w:val="both"/>
      </w:pPr>
      <w:r>
        <w:t xml:space="preserve">Fourth, </w:t>
      </w:r>
      <w:r w:rsidR="00EF6A65">
        <w:t xml:space="preserve">we </w:t>
      </w:r>
      <w:r>
        <w:t>consolidate the resulting cropland before and after shocks into big grid-cells that match the size of SIMPLE-G</w:t>
      </w:r>
      <w:r w:rsidR="00EF6A65">
        <w:t xml:space="preserve"> grid-cells</w:t>
      </w:r>
      <w:r>
        <w:t>, which is the equivalent to 33 by 33 NLCD grid-cells. For each SIMPLE-G grid</w:t>
      </w:r>
      <w:r w:rsidR="00EF6A65">
        <w:t>-</w:t>
      </w:r>
      <w:r>
        <w:t xml:space="preserve">cell, we compute the </w:t>
      </w:r>
      <w:r w:rsidR="00EF6A65">
        <w:t xml:space="preserve">change in the </w:t>
      </w:r>
      <w:r>
        <w:t>share of cropland</w:t>
      </w:r>
      <w:r w:rsidR="00EB5A1D">
        <w:t xml:space="preserve"> before and after the shock</w:t>
      </w:r>
      <w:r w:rsidR="007815F5">
        <w:t xml:space="preserve"> and the change in productivity. I</w:t>
      </w:r>
      <w:r w:rsidR="007815F5">
        <w:t>n the example depicted in figure 2</w:t>
      </w:r>
      <w:r w:rsidR="007815F5">
        <w:t xml:space="preserve">, before the shock there is a 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2+3+4+5+6+6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33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="007815F5" w:rsidRPr="00782933">
        <w:t>=</w:t>
      </w:r>
      <w:r w:rsidR="007815F5">
        <w:t>2.39</w:t>
      </w:r>
      <w:r w:rsidR="007815F5" w:rsidRPr="00782933">
        <w:t>%</w:t>
      </w:r>
      <w:r w:rsidR="007815F5">
        <w:t xml:space="preserve"> cropland share; and after the shock there is 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  <m: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5</m:t>
            </m:r>
            <m:r>
              <w:rPr>
                <w:rFonts w:ascii="Cambria Math" w:hAnsi="Cambria Math"/>
              </w:rPr>
              <m:t>+6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33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="007815F5" w:rsidRPr="00782933">
        <w:t>=</w:t>
      </w:r>
      <w:r w:rsidR="007815F5">
        <w:t>1.93</w:t>
      </w:r>
      <w:r w:rsidR="007815F5" w:rsidRPr="00782933">
        <w:t>%</w:t>
      </w:r>
      <w:r w:rsidR="00EB5A1D">
        <w:t>. The difference in the share of cropland is the land retired from agricultural land to CRP</w:t>
      </w:r>
      <w:r w:rsidR="007815F5">
        <w:t>; in the example</w:t>
      </w:r>
      <w:r w:rsidR="00EF6A65">
        <w:t xml:space="preserve"> of figure 2, the change in cropland share is</w:t>
      </w:r>
      <w:r w:rsidR="007815F5">
        <w:t xml:space="preserve"> 1.</w:t>
      </w:r>
      <w:r w:rsidR="00EF6A65">
        <w:t>93</w:t>
      </w:r>
      <w:r w:rsidR="00CA202B">
        <w:t>-</w:t>
      </w:r>
      <w:r w:rsidR="00CA202B">
        <w:t>2.39</w:t>
      </w:r>
      <w:r w:rsidR="007815F5">
        <w:t>=</w:t>
      </w:r>
      <w:r w:rsidR="00CA202B">
        <w:t>-</w:t>
      </w:r>
      <w:r w:rsidR="007815F5">
        <w:t>0.46%</w:t>
      </w:r>
      <w:r w:rsidR="00EB5A1D">
        <w:t>.</w:t>
      </w:r>
      <w:r w:rsidR="007815F5">
        <w:t xml:space="preserve"> Meanwhile, the productivity is calculate</w:t>
      </w:r>
      <w:r w:rsidR="00EF6A65">
        <w:t>d</w:t>
      </w:r>
      <w:r w:rsidR="007815F5">
        <w:t xml:space="preserve"> by averaging the number of natural-land grid-cells</w:t>
      </w:r>
      <w:r w:rsidR="00EF6A65">
        <w:t xml:space="preserve"> surrounding all the cropland grid-cells</w:t>
      </w:r>
      <w:r w:rsidR="00D06CCE">
        <w:t>. I</w:t>
      </w:r>
      <w:r w:rsidR="007815F5">
        <w:t xml:space="preserve">n the example </w:t>
      </w:r>
      <w:r w:rsidR="00D06CCE">
        <w:t xml:space="preserve">of figure 2, </w:t>
      </w:r>
      <w:r w:rsidR="007815F5">
        <w:t xml:space="preserve">there are 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0*17+1*5+2*1+3*3</m:t>
            </m:r>
          </m:num>
          <m:den>
            <m:r>
              <w:rPr>
                <w:rFonts w:ascii="Cambria Math" w:hAnsi="Cambria Math"/>
              </w:rPr>
              <m:t>26</m:t>
            </m:r>
          </m:den>
        </m:f>
      </m:oMath>
      <w:r w:rsidR="007815F5" w:rsidRPr="007815F5">
        <w:t>=0.62</w:t>
      </w:r>
      <w:r w:rsidR="007815F5">
        <w:t xml:space="preserve"> natural-land grid-cells neighboring the average cropland grid-cell</w:t>
      </w:r>
      <w:r w:rsidR="00D06CCE">
        <w:t xml:space="preserve"> before the shock; and there are 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0*</m:t>
            </m:r>
            <m:r>
              <w:rPr>
                <w:rFonts w:ascii="Cambria Math" w:hAnsi="Cambria Math"/>
              </w:rPr>
              <m:t>6</m:t>
            </m:r>
            <m:r>
              <w:rPr>
                <w:rFonts w:ascii="Cambria Math" w:hAnsi="Cambria Math"/>
              </w:rPr>
              <m:t>+1*</m:t>
            </m:r>
            <m:r>
              <w:rPr>
                <w:rFonts w:ascii="Cambria Math" w:hAnsi="Cambria Math"/>
              </w:rPr>
              <m:t>6</m:t>
            </m:r>
            <m:r>
              <w:rPr>
                <w:rFonts w:ascii="Cambria Math" w:hAnsi="Cambria Math"/>
              </w:rPr>
              <m:t>+2*</m:t>
            </m:r>
            <m:r>
              <w:rPr>
                <w:rFonts w:ascii="Cambria Math" w:hAnsi="Cambria Math"/>
              </w:rPr>
              <m:t>5</m:t>
            </m:r>
            <m:r>
              <w:rPr>
                <w:rFonts w:ascii="Cambria Math" w:hAnsi="Cambria Math"/>
              </w:rPr>
              <m:t>+3*</m:t>
            </m:r>
            <m:r>
              <w:rPr>
                <w:rFonts w:ascii="Cambria Math" w:hAnsi="Cambria Math"/>
              </w:rPr>
              <m:t>1+5*2+6*1</m:t>
            </m:r>
          </m:num>
          <m:den>
            <m: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1</m:t>
            </m:r>
          </m:den>
        </m:f>
      </m:oMath>
      <w:r w:rsidR="00D06CCE" w:rsidRPr="00D06CCE">
        <w:t>=</w:t>
      </w:r>
      <w:r w:rsidR="00EF6A65">
        <w:t>1</w:t>
      </w:r>
      <w:r w:rsidR="00D06CCE" w:rsidRPr="00D06CCE">
        <w:t>.6</w:t>
      </w:r>
      <w:r w:rsidR="00EF6A65">
        <w:t xml:space="preserve">7. The difference in average productivity represents </w:t>
      </w:r>
      <w:r w:rsidR="00CA202B">
        <w:t xml:space="preserve">ecological benefits arising from being close to natural land, such as pollination; in the example of figure 2 the productivity shock is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1.67-0.62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13%</m:t>
        </m:r>
      </m:oMath>
    </w:p>
    <w:p w14:paraId="2B68B3D9" w14:textId="4D20F099" w:rsidR="00782933" w:rsidRDefault="00782933" w:rsidP="00782933">
      <w:pPr>
        <w:jc w:val="center"/>
      </w:pPr>
      <w:r w:rsidRPr="00782933">
        <w:lastRenderedPageBreak/>
        <w:drawing>
          <wp:inline distT="0" distB="0" distL="0" distR="0" wp14:anchorId="67A95ACD" wp14:editId="08720520">
            <wp:extent cx="2397760" cy="2243957"/>
            <wp:effectExtent l="0" t="0" r="2540" b="4445"/>
            <wp:docPr id="12991661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16610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98778" cy="224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15F5" w:rsidRPr="007815F5">
        <w:rPr>
          <w:noProof/>
          <w14:ligatures w14:val="standardContextual"/>
        </w:rPr>
        <w:t xml:space="preserve"> </w:t>
      </w:r>
      <w:r w:rsidR="007815F5" w:rsidRPr="007815F5">
        <w:drawing>
          <wp:inline distT="0" distB="0" distL="0" distR="0" wp14:anchorId="42525F1F" wp14:editId="2999990C">
            <wp:extent cx="2372360" cy="2238150"/>
            <wp:effectExtent l="0" t="0" r="8890" b="0"/>
            <wp:docPr id="4277145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71454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72538" cy="2238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551CF" w14:textId="7F14392C" w:rsidR="00782933" w:rsidRDefault="00782933" w:rsidP="00782933">
      <w:r>
        <w:t>Figure 2. Aggregation of NLCD grid-cells into SIMPLE-G grid-cells</w:t>
      </w:r>
      <w:r w:rsidR="00EF6A65">
        <w:t xml:space="preserve"> before and after CRP</w:t>
      </w:r>
      <w:r>
        <w:t>. Each cell in the diagram represents a NLCD grid-cell. They can either be considered cropland (yellow), natural land (green), or other irrelevant land-use (blank)</w:t>
      </w:r>
      <w:r w:rsidR="00EF6A65">
        <w:t>; the light blue grid-cells indicate the land committed to CRP</w:t>
      </w:r>
      <w:r>
        <w:t>. All 33x33=1,089 grid-cells form a single grid-cell in SIMPLE. The numbers indicate the number of neighboring natural-land grid-cells; only cropland grid-cells are considered.</w:t>
      </w:r>
    </w:p>
    <w:p w14:paraId="40BF22CF" w14:textId="23B20755" w:rsidR="00AC55B3" w:rsidRDefault="00822C18" w:rsidP="00C31E96">
      <w:pPr>
        <w:jc w:val="both"/>
      </w:pPr>
      <w:r>
        <w:t xml:space="preserve">The increase in </w:t>
      </w:r>
      <w:r w:rsidR="00C31E96">
        <w:t xml:space="preserve">TFP </w:t>
      </w:r>
      <w:r w:rsidR="00580AF1">
        <w:t>only occurs if a cropland grid-cell is surrounded by natural land grid cells in the immediate vicinity. If the cropland grid-cell only touches one grid cell with natural land, with at least one grid-cell</w:t>
      </w:r>
    </w:p>
    <w:p w14:paraId="5B6CCBA2" w14:textId="77777777" w:rsidR="00C31E96" w:rsidRDefault="00C31E96" w:rsidP="00C31E96">
      <w:pPr>
        <w:jc w:val="both"/>
      </w:pPr>
    </w:p>
    <w:p w14:paraId="5C8E551E" w14:textId="7F4A6C67" w:rsidR="00270425" w:rsidRPr="00270425" w:rsidRDefault="00270425" w:rsidP="00AC55B3">
      <w:pPr>
        <w:jc w:val="both"/>
        <w:rPr>
          <w:b/>
          <w:bCs/>
        </w:rPr>
      </w:pPr>
      <w:r>
        <w:rPr>
          <w:b/>
          <w:bCs/>
        </w:rPr>
        <w:t>Expected</w:t>
      </w:r>
      <w:r w:rsidR="00632524">
        <w:rPr>
          <w:b/>
          <w:bCs/>
        </w:rPr>
        <w:t xml:space="preserve"> results</w:t>
      </w:r>
    </w:p>
    <w:p w14:paraId="657ABB1F" w14:textId="08701842" w:rsidR="00270425" w:rsidRDefault="00561CBF" w:rsidP="00AC55B3">
      <w:pPr>
        <w:jc w:val="both"/>
      </w:pPr>
      <w:r>
        <w:t>Comparing</w:t>
      </w:r>
      <w:r w:rsidR="00270425">
        <w:t xml:space="preserve"> the impacts of the CRP program with or without </w:t>
      </w:r>
      <w:r w:rsidR="00632524">
        <w:t xml:space="preserve">modelling </w:t>
      </w:r>
      <w:r w:rsidR="00270425">
        <w:t xml:space="preserve">the non-market benefits will provide a more complete representation of the CRP program and can contribute towards the future design of the program. </w:t>
      </w:r>
    </w:p>
    <w:p w14:paraId="57988C89" w14:textId="4556FAD3" w:rsidR="00C42AD2" w:rsidRPr="00520FDC" w:rsidRDefault="00714CFC" w:rsidP="00520FDC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D02535">
        <w:rPr>
          <w:b/>
          <w:bCs/>
        </w:rPr>
        <w:t>References</w:t>
      </w:r>
      <w:r w:rsidRPr="00520FDC">
        <w:rPr>
          <w:sz w:val="20"/>
          <w:szCs w:val="20"/>
        </w:rPr>
        <w:fldChar w:fldCharType="begin"/>
      </w:r>
      <w:r w:rsidRPr="00520FDC">
        <w:rPr>
          <w:sz w:val="20"/>
          <w:szCs w:val="20"/>
        </w:rPr>
        <w:instrText xml:space="preserve"> ADDIN ZOTERO_BIBL {"uncited":[],"omitted":[],"custom":[]} CSL_BIBLIOGRAPHY </w:instrText>
      </w:r>
      <w:r w:rsidRPr="00520FDC">
        <w:rPr>
          <w:sz w:val="20"/>
          <w:szCs w:val="20"/>
        </w:rPr>
        <w:fldChar w:fldCharType="separate"/>
      </w:r>
    </w:p>
    <w:p w14:paraId="2B0CE0E1" w14:textId="4E083177" w:rsidR="008F2752" w:rsidRPr="00520FDC" w:rsidRDefault="00714CFC" w:rsidP="00520FDC">
      <w:pPr>
        <w:spacing w:after="120"/>
        <w:rPr>
          <w:sz w:val="20"/>
          <w:szCs w:val="20"/>
        </w:rPr>
      </w:pPr>
      <w:r w:rsidRPr="00520FDC">
        <w:rPr>
          <w:sz w:val="20"/>
          <w:szCs w:val="20"/>
        </w:rPr>
        <w:fldChar w:fldCharType="end"/>
      </w:r>
      <w:r w:rsidR="008F2752" w:rsidRPr="00520FDC">
        <w:rPr>
          <w:sz w:val="20"/>
          <w:szCs w:val="20"/>
        </w:rPr>
        <w:t xml:space="preserve">Agricultural Research Service (2022) ARS Honey bee health. </w:t>
      </w:r>
      <w:hyperlink r:id="rId8" w:history="1">
        <w:r w:rsidR="008F2752" w:rsidRPr="00520FDC">
          <w:rPr>
            <w:rStyle w:val="Hyperlink"/>
            <w:sz w:val="20"/>
            <w:szCs w:val="20"/>
          </w:rPr>
          <w:t>https://www.ars.usda.gov/oc/br/ccd/index/</w:t>
        </w:r>
      </w:hyperlink>
    </w:p>
    <w:p w14:paraId="612CA2D5" w14:textId="04C6E9B8" w:rsidR="00C746E3" w:rsidRPr="00520FDC" w:rsidRDefault="00C746E3" w:rsidP="00520FDC">
      <w:pPr>
        <w:spacing w:after="120"/>
        <w:rPr>
          <w:sz w:val="20"/>
          <w:szCs w:val="20"/>
        </w:rPr>
      </w:pPr>
      <w:r w:rsidRPr="00520FDC">
        <w:rPr>
          <w:sz w:val="20"/>
          <w:szCs w:val="20"/>
        </w:rPr>
        <w:t xml:space="preserve">Baldos U. L. C., Haqiqi I., Hertel T. W., Horridge M., and Liu J. (2020). SIMPLE-G: A multiscale framework for integration of economic and biophysical determinants of sustainability. </w:t>
      </w:r>
      <w:r w:rsidRPr="00520FDC">
        <w:rPr>
          <w:i/>
          <w:iCs/>
          <w:sz w:val="20"/>
          <w:szCs w:val="20"/>
        </w:rPr>
        <w:t xml:space="preserve">Environmental Modelling &amp; Software </w:t>
      </w:r>
      <w:r w:rsidRPr="00520FDC">
        <w:rPr>
          <w:sz w:val="20"/>
          <w:szCs w:val="20"/>
        </w:rPr>
        <w:t>133: 104805.</w:t>
      </w:r>
    </w:p>
    <w:p w14:paraId="2B6BF1F5" w14:textId="5E4FF628" w:rsidR="00AA7354" w:rsidRPr="00520FDC" w:rsidRDefault="00AA7354" w:rsidP="00520FDC">
      <w:pPr>
        <w:spacing w:after="120"/>
        <w:rPr>
          <w:sz w:val="20"/>
          <w:szCs w:val="20"/>
        </w:rPr>
      </w:pPr>
      <w:r w:rsidRPr="00520FDC">
        <w:rPr>
          <w:sz w:val="20"/>
          <w:szCs w:val="20"/>
        </w:rPr>
        <w:t>Birur</w:t>
      </w:r>
      <w:r w:rsidR="00F14733" w:rsidRPr="00520FDC">
        <w:rPr>
          <w:sz w:val="20"/>
          <w:szCs w:val="20"/>
        </w:rPr>
        <w:t xml:space="preserve"> D., Hertel T. W., and Tyner W. (2010). Impact of large-scale biofuels production on cropland-pasture and idle lands. </w:t>
      </w:r>
      <w:r w:rsidR="006747FB" w:rsidRPr="00520FDC">
        <w:rPr>
          <w:i/>
          <w:iCs/>
          <w:sz w:val="20"/>
          <w:szCs w:val="20"/>
        </w:rPr>
        <w:t xml:space="preserve">GTAP Resource </w:t>
      </w:r>
      <w:r w:rsidR="006747FB" w:rsidRPr="00520FDC">
        <w:rPr>
          <w:sz w:val="20"/>
          <w:szCs w:val="20"/>
        </w:rPr>
        <w:t xml:space="preserve">3385. </w:t>
      </w:r>
      <w:hyperlink r:id="rId9" w:history="1">
        <w:r w:rsidR="00D07918" w:rsidRPr="00520FDC">
          <w:rPr>
            <w:rStyle w:val="Hyperlink"/>
            <w:sz w:val="20"/>
            <w:szCs w:val="20"/>
          </w:rPr>
          <w:t>https://www.gtap.agecon.purdue.edu/resources/res_display.asp?RecordID=3385</w:t>
        </w:r>
      </w:hyperlink>
      <w:r w:rsidR="00D07918" w:rsidRPr="00520FDC">
        <w:rPr>
          <w:sz w:val="20"/>
          <w:szCs w:val="20"/>
        </w:rPr>
        <w:t xml:space="preserve"> </w:t>
      </w:r>
    </w:p>
    <w:p w14:paraId="6992FDBD" w14:textId="6A391873" w:rsidR="00986E71" w:rsidRPr="00520FDC" w:rsidRDefault="00986E71" w:rsidP="00520FDC">
      <w:pPr>
        <w:spacing w:after="120"/>
        <w:rPr>
          <w:sz w:val="20"/>
          <w:szCs w:val="20"/>
        </w:rPr>
      </w:pPr>
      <w:r w:rsidRPr="00520FDC">
        <w:rPr>
          <w:sz w:val="20"/>
          <w:szCs w:val="20"/>
        </w:rPr>
        <w:t xml:space="preserve">Cisneros-Pineda A., </w:t>
      </w:r>
      <w:r w:rsidR="00DE022E" w:rsidRPr="00520FDC">
        <w:rPr>
          <w:sz w:val="20"/>
          <w:szCs w:val="20"/>
        </w:rPr>
        <w:t xml:space="preserve">Dukes J. S., Johnson J., Brouder S., </w:t>
      </w:r>
      <w:r w:rsidR="0008660B" w:rsidRPr="00520FDC">
        <w:rPr>
          <w:sz w:val="20"/>
          <w:szCs w:val="20"/>
        </w:rPr>
        <w:t xml:space="preserve">Ramankutty N., Corong E., and Chaudhary A. (2023). The missing markets link in global-to-local-to-global analyses of biodiversity and ecosystem services. </w:t>
      </w:r>
      <w:r w:rsidR="00CE661F" w:rsidRPr="00520FDC">
        <w:rPr>
          <w:i/>
          <w:iCs/>
          <w:sz w:val="20"/>
          <w:szCs w:val="20"/>
        </w:rPr>
        <w:t xml:space="preserve">Environmental  Research Letters </w:t>
      </w:r>
      <w:r w:rsidR="00CE661F" w:rsidRPr="00520FDC">
        <w:rPr>
          <w:sz w:val="20"/>
          <w:szCs w:val="20"/>
        </w:rPr>
        <w:t>18: 041003.</w:t>
      </w:r>
    </w:p>
    <w:p w14:paraId="7F720E7B" w14:textId="2B5E7148" w:rsidR="007B328B" w:rsidRPr="00520FDC" w:rsidRDefault="007B328B" w:rsidP="00520FDC">
      <w:pPr>
        <w:spacing w:after="120"/>
        <w:rPr>
          <w:sz w:val="20"/>
          <w:szCs w:val="20"/>
        </w:rPr>
      </w:pPr>
      <w:r w:rsidRPr="00520FDC">
        <w:rPr>
          <w:sz w:val="20"/>
          <w:szCs w:val="20"/>
        </w:rPr>
        <w:t xml:space="preserve">Coppess, J. (2017) Historical background on the Conservation Reserve Program. </w:t>
      </w:r>
      <w:r w:rsidRPr="00520FDC">
        <w:rPr>
          <w:i/>
          <w:iCs/>
          <w:sz w:val="20"/>
          <w:szCs w:val="20"/>
        </w:rPr>
        <w:t>farmdoc daily</w:t>
      </w:r>
      <w:r w:rsidRPr="00520FDC">
        <w:rPr>
          <w:sz w:val="20"/>
          <w:szCs w:val="20"/>
        </w:rPr>
        <w:t xml:space="preserve"> (7):82, Department of Agricultural and Consumer Economics, University of Illinois at Urbana-Champaign </w:t>
      </w:r>
      <w:hyperlink r:id="rId10" w:history="1">
        <w:r w:rsidRPr="00520FDC">
          <w:rPr>
            <w:rStyle w:val="Hyperlink"/>
            <w:sz w:val="20"/>
            <w:szCs w:val="20"/>
          </w:rPr>
          <w:t>https://farmdocdaily.illinois.edu/2017/05/historical-background-on-the-crp.html</w:t>
        </w:r>
      </w:hyperlink>
      <w:r w:rsidRPr="00520FDC">
        <w:rPr>
          <w:sz w:val="20"/>
          <w:szCs w:val="20"/>
        </w:rPr>
        <w:t xml:space="preserve"> </w:t>
      </w:r>
    </w:p>
    <w:p w14:paraId="0D1CDBD4" w14:textId="4270E0EF" w:rsidR="00C42AD2" w:rsidRPr="00520FDC" w:rsidRDefault="00C42AD2" w:rsidP="00520FDC">
      <w:pPr>
        <w:spacing w:after="120"/>
        <w:rPr>
          <w:sz w:val="20"/>
          <w:szCs w:val="20"/>
        </w:rPr>
      </w:pPr>
      <w:r w:rsidRPr="00520FDC">
        <w:rPr>
          <w:sz w:val="20"/>
          <w:szCs w:val="20"/>
        </w:rPr>
        <w:lastRenderedPageBreak/>
        <w:t xml:space="preserve">Farm Service Agency (2015) Conservation Reserve Program. Honey Bee Initiative </w:t>
      </w:r>
      <w:hyperlink r:id="rId11" w:history="1">
        <w:r w:rsidRPr="00520FDC">
          <w:rPr>
            <w:rStyle w:val="Hyperlink"/>
            <w:sz w:val="20"/>
            <w:szCs w:val="20"/>
          </w:rPr>
          <w:t>https://www.fsa.usda.gov/Assets/USDA-FSA-Public/usdafiles/FactSheets/2015/CRPProgramsandInitiatives/Honey_Bee_Habitat_Initiative.pdf</w:t>
        </w:r>
      </w:hyperlink>
      <w:r w:rsidRPr="00520FDC">
        <w:rPr>
          <w:sz w:val="20"/>
          <w:szCs w:val="20"/>
        </w:rPr>
        <w:t xml:space="preserve"> </w:t>
      </w:r>
    </w:p>
    <w:p w14:paraId="40C2E327" w14:textId="2729F97B" w:rsidR="00C42AD2" w:rsidRPr="00520FDC" w:rsidRDefault="00C42AD2" w:rsidP="00520FDC">
      <w:pPr>
        <w:spacing w:after="120"/>
        <w:rPr>
          <w:sz w:val="20"/>
          <w:szCs w:val="20"/>
        </w:rPr>
      </w:pPr>
      <w:r w:rsidRPr="00520FDC">
        <w:rPr>
          <w:sz w:val="20"/>
          <w:szCs w:val="20"/>
        </w:rPr>
        <w:t xml:space="preserve">Farm Service Agency (2024) Conservation Reserve Program </w:t>
      </w:r>
      <w:hyperlink r:id="rId12" w:history="1">
        <w:r w:rsidRPr="00520FDC">
          <w:rPr>
            <w:rStyle w:val="Hyperlink"/>
            <w:sz w:val="20"/>
            <w:szCs w:val="20"/>
          </w:rPr>
          <w:t>https://www.fsa.usda.gov/programs-and-services/conservation-programs/conservation-reserve-program/index</w:t>
        </w:r>
      </w:hyperlink>
    </w:p>
    <w:p w14:paraId="273269AE" w14:textId="677267F7" w:rsidR="003B1195" w:rsidRPr="00520FDC" w:rsidRDefault="00714CFC" w:rsidP="00520FDC">
      <w:pPr>
        <w:spacing w:after="120"/>
        <w:rPr>
          <w:sz w:val="20"/>
          <w:szCs w:val="20"/>
        </w:rPr>
      </w:pPr>
      <w:r w:rsidRPr="00520FDC">
        <w:rPr>
          <w:sz w:val="20"/>
          <w:szCs w:val="20"/>
        </w:rPr>
        <w:t xml:space="preserve">IPBES </w:t>
      </w:r>
      <w:r w:rsidR="00684BC8" w:rsidRPr="00520FDC">
        <w:rPr>
          <w:sz w:val="20"/>
          <w:szCs w:val="20"/>
        </w:rPr>
        <w:t>(</w:t>
      </w:r>
      <w:r w:rsidRPr="00520FDC">
        <w:rPr>
          <w:sz w:val="20"/>
          <w:szCs w:val="20"/>
        </w:rPr>
        <w:t>2019</w:t>
      </w:r>
      <w:r w:rsidR="00684BC8" w:rsidRPr="00520FDC">
        <w:rPr>
          <w:sz w:val="20"/>
          <w:szCs w:val="20"/>
        </w:rPr>
        <w:t>)</w:t>
      </w:r>
      <w:r w:rsidRPr="00520FDC">
        <w:rPr>
          <w:sz w:val="20"/>
          <w:szCs w:val="20"/>
        </w:rPr>
        <w:t xml:space="preserve"> Global assessment report on biodiversity and ecosystem services of the Intergovernmental Science-Policy Platform on Biodiversity and Ecosystem Services Brondizio E, Settele J, Díaz S, Ngo HT (Eds.) IPBES secretariat, Bonn, Germany </w:t>
      </w:r>
      <w:hyperlink r:id="rId13" w:history="1">
        <w:r w:rsidR="008B1B63" w:rsidRPr="00520FDC">
          <w:rPr>
            <w:rStyle w:val="Hyperlink"/>
            <w:sz w:val="20"/>
            <w:szCs w:val="20"/>
          </w:rPr>
          <w:t>https://doi.org/10.5281/zenodo.3831673</w:t>
        </w:r>
      </w:hyperlink>
      <w:r w:rsidR="008B1B63" w:rsidRPr="00520FDC">
        <w:rPr>
          <w:sz w:val="20"/>
          <w:szCs w:val="20"/>
        </w:rPr>
        <w:t xml:space="preserve"> </w:t>
      </w:r>
    </w:p>
    <w:p w14:paraId="76C7A9AF" w14:textId="78BA7413" w:rsidR="00C42AD2" w:rsidRPr="00520FDC" w:rsidRDefault="00C42AD2" w:rsidP="00520FDC">
      <w:pPr>
        <w:spacing w:after="120"/>
        <w:rPr>
          <w:sz w:val="20"/>
          <w:szCs w:val="20"/>
        </w:rPr>
      </w:pPr>
      <w:r w:rsidRPr="00C31E96">
        <w:rPr>
          <w:sz w:val="20"/>
          <w:szCs w:val="20"/>
        </w:rPr>
        <w:t xml:space="preserve">Khalifa, </w:t>
      </w:r>
      <w:r w:rsidR="00294A6C" w:rsidRPr="00C31E96">
        <w:rPr>
          <w:sz w:val="20"/>
          <w:szCs w:val="20"/>
        </w:rPr>
        <w:t>S.</w:t>
      </w:r>
      <w:r w:rsidRPr="00C31E96">
        <w:rPr>
          <w:sz w:val="20"/>
          <w:szCs w:val="20"/>
        </w:rPr>
        <w:t xml:space="preserve"> A</w:t>
      </w:r>
      <w:r w:rsidR="00294A6C" w:rsidRPr="00C31E96">
        <w:rPr>
          <w:sz w:val="20"/>
          <w:szCs w:val="20"/>
        </w:rPr>
        <w:t>.</w:t>
      </w:r>
      <w:r w:rsidRPr="00C31E96">
        <w:rPr>
          <w:sz w:val="20"/>
          <w:szCs w:val="20"/>
        </w:rPr>
        <w:t xml:space="preserve"> M</w:t>
      </w:r>
      <w:r w:rsidR="00294A6C" w:rsidRPr="00C31E96">
        <w:rPr>
          <w:sz w:val="20"/>
          <w:szCs w:val="20"/>
        </w:rPr>
        <w:t>.</w:t>
      </w:r>
      <w:r w:rsidRPr="00C31E96">
        <w:rPr>
          <w:sz w:val="20"/>
          <w:szCs w:val="20"/>
        </w:rPr>
        <w:t xml:space="preserve">, et al. </w:t>
      </w:r>
      <w:r w:rsidRPr="00520FDC">
        <w:rPr>
          <w:sz w:val="20"/>
          <w:szCs w:val="20"/>
        </w:rPr>
        <w:t xml:space="preserve">(2021) Overview </w:t>
      </w:r>
      <w:r w:rsidR="00294A6C" w:rsidRPr="00520FDC">
        <w:rPr>
          <w:sz w:val="20"/>
          <w:szCs w:val="20"/>
        </w:rPr>
        <w:t>of bee pollination and its economic value for crop production</w:t>
      </w:r>
      <w:r w:rsidRPr="00520FDC">
        <w:rPr>
          <w:sz w:val="20"/>
          <w:szCs w:val="20"/>
        </w:rPr>
        <w:t>.</w:t>
      </w:r>
      <w:r w:rsidR="00294A6C" w:rsidRPr="00520FDC">
        <w:rPr>
          <w:sz w:val="20"/>
          <w:szCs w:val="20"/>
        </w:rPr>
        <w:t xml:space="preserve"> </w:t>
      </w:r>
      <w:r w:rsidR="00294A6C" w:rsidRPr="00520FDC">
        <w:rPr>
          <w:i/>
          <w:iCs/>
          <w:sz w:val="20"/>
          <w:szCs w:val="20"/>
        </w:rPr>
        <w:t>Insects</w:t>
      </w:r>
      <w:r w:rsidR="00294A6C" w:rsidRPr="00520FDC">
        <w:rPr>
          <w:sz w:val="20"/>
          <w:szCs w:val="20"/>
        </w:rPr>
        <w:t xml:space="preserve"> 12(8): 688.</w:t>
      </w:r>
    </w:p>
    <w:p w14:paraId="75DEB057" w14:textId="325B8232" w:rsidR="007B328B" w:rsidRDefault="007B328B" w:rsidP="00520FDC">
      <w:pPr>
        <w:spacing w:after="120"/>
        <w:rPr>
          <w:sz w:val="20"/>
          <w:szCs w:val="20"/>
        </w:rPr>
      </w:pPr>
      <w:r w:rsidRPr="00520FDC">
        <w:rPr>
          <w:sz w:val="20"/>
          <w:szCs w:val="20"/>
        </w:rPr>
        <w:t xml:space="preserve">National Agricultural Statistics Service. (2024). Quick Stats </w:t>
      </w:r>
      <w:hyperlink r:id="rId14" w:anchor="B96B64FD-11AC-32CE-9104-9C55BE616F34" w:history="1">
        <w:r w:rsidRPr="00520FDC">
          <w:rPr>
            <w:sz w:val="20"/>
            <w:szCs w:val="20"/>
          </w:rPr>
          <w:t>https://quickstats.nass.usda.gov./#B96B64FD-11AC-32CE-9104-9C55BE616F34</w:t>
        </w:r>
      </w:hyperlink>
      <w:r w:rsidRPr="00520FDC">
        <w:rPr>
          <w:sz w:val="20"/>
          <w:szCs w:val="20"/>
        </w:rPr>
        <w:t xml:space="preserve"> </w:t>
      </w:r>
    </w:p>
    <w:p w14:paraId="14ED50B4" w14:textId="08CE8093" w:rsidR="00580AF1" w:rsidRPr="00520FDC" w:rsidRDefault="00580AF1" w:rsidP="00520FDC">
      <w:pPr>
        <w:spacing w:after="120"/>
        <w:rPr>
          <w:sz w:val="20"/>
          <w:szCs w:val="20"/>
        </w:rPr>
      </w:pPr>
      <w:r w:rsidRPr="00580AF1">
        <w:rPr>
          <w:sz w:val="20"/>
          <w:szCs w:val="20"/>
        </w:rPr>
        <w:t>Natural Land Cover Dataset (2024)</w:t>
      </w:r>
    </w:p>
    <w:p w14:paraId="0438CD0D" w14:textId="7A8CA28E" w:rsidR="008F2752" w:rsidRDefault="00FF0218" w:rsidP="00520FDC">
      <w:pPr>
        <w:spacing w:after="120"/>
        <w:rPr>
          <w:sz w:val="20"/>
          <w:szCs w:val="20"/>
        </w:rPr>
      </w:pPr>
      <w:r w:rsidRPr="00520FDC">
        <w:rPr>
          <w:sz w:val="20"/>
          <w:szCs w:val="20"/>
        </w:rPr>
        <w:t xml:space="preserve">Otto </w:t>
      </w:r>
      <w:r w:rsidR="00294A6C" w:rsidRPr="00520FDC">
        <w:rPr>
          <w:sz w:val="20"/>
          <w:szCs w:val="20"/>
        </w:rPr>
        <w:t>C.</w:t>
      </w:r>
      <w:r w:rsidRPr="00520FDC">
        <w:rPr>
          <w:sz w:val="20"/>
          <w:szCs w:val="20"/>
        </w:rPr>
        <w:t>, Zheng</w:t>
      </w:r>
      <w:r w:rsidR="00294A6C" w:rsidRPr="00520FDC">
        <w:rPr>
          <w:sz w:val="20"/>
          <w:szCs w:val="20"/>
        </w:rPr>
        <w:t xml:space="preserve"> H.</w:t>
      </w:r>
      <w:r w:rsidRPr="00520FDC">
        <w:rPr>
          <w:sz w:val="20"/>
          <w:szCs w:val="20"/>
        </w:rPr>
        <w:t>, Gallant</w:t>
      </w:r>
      <w:r w:rsidR="00294A6C" w:rsidRPr="00520FDC">
        <w:rPr>
          <w:sz w:val="20"/>
          <w:szCs w:val="20"/>
        </w:rPr>
        <w:t xml:space="preserve"> A. L.</w:t>
      </w:r>
      <w:r w:rsidRPr="00520FDC">
        <w:rPr>
          <w:sz w:val="20"/>
          <w:szCs w:val="20"/>
        </w:rPr>
        <w:t>, Iovanna</w:t>
      </w:r>
      <w:r w:rsidR="00294A6C" w:rsidRPr="00520FDC">
        <w:rPr>
          <w:sz w:val="20"/>
          <w:szCs w:val="20"/>
        </w:rPr>
        <w:t xml:space="preserve"> R.</w:t>
      </w:r>
      <w:r w:rsidRPr="00520FDC">
        <w:rPr>
          <w:sz w:val="20"/>
          <w:szCs w:val="20"/>
        </w:rPr>
        <w:t>, Carlson</w:t>
      </w:r>
      <w:r w:rsidR="00294A6C" w:rsidRPr="00520FDC">
        <w:rPr>
          <w:sz w:val="20"/>
          <w:szCs w:val="20"/>
        </w:rPr>
        <w:t xml:space="preserve"> B. L.</w:t>
      </w:r>
      <w:r w:rsidRPr="00520FDC">
        <w:rPr>
          <w:sz w:val="20"/>
          <w:szCs w:val="20"/>
        </w:rPr>
        <w:t>, Smart</w:t>
      </w:r>
      <w:r w:rsidR="00294A6C" w:rsidRPr="00520FDC">
        <w:rPr>
          <w:sz w:val="20"/>
          <w:szCs w:val="20"/>
        </w:rPr>
        <w:t xml:space="preserve"> M. D.</w:t>
      </w:r>
      <w:r w:rsidRPr="00520FDC">
        <w:rPr>
          <w:sz w:val="20"/>
          <w:szCs w:val="20"/>
        </w:rPr>
        <w:t>, and Hyberg</w:t>
      </w:r>
      <w:r w:rsidR="00294A6C" w:rsidRPr="00520FDC">
        <w:rPr>
          <w:sz w:val="20"/>
          <w:szCs w:val="20"/>
        </w:rPr>
        <w:t xml:space="preserve"> S</w:t>
      </w:r>
      <w:r w:rsidRPr="00520FDC">
        <w:rPr>
          <w:sz w:val="20"/>
          <w:szCs w:val="20"/>
        </w:rPr>
        <w:t xml:space="preserve">. (2018). Past role and future outlook of the Conservation Reserve Program for supporting honey bees in the Great Plains. </w:t>
      </w:r>
      <w:r w:rsidRPr="00520FDC">
        <w:rPr>
          <w:i/>
          <w:iCs/>
          <w:sz w:val="20"/>
          <w:szCs w:val="20"/>
        </w:rPr>
        <w:t>PNAS</w:t>
      </w:r>
      <w:r w:rsidRPr="00520FDC">
        <w:rPr>
          <w:sz w:val="20"/>
          <w:szCs w:val="20"/>
        </w:rPr>
        <w:t xml:space="preserve"> 115(29): 7629-7634.</w:t>
      </w:r>
    </w:p>
    <w:p w14:paraId="04F9A329" w14:textId="72386884" w:rsidR="00C31E96" w:rsidRPr="00520FDC" w:rsidRDefault="00C31E96" w:rsidP="00520FDC">
      <w:pPr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Siebert, R., Hertel, T., </w:t>
      </w:r>
    </w:p>
    <w:sectPr w:rsidR="00C31E96" w:rsidRPr="00520F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CFC"/>
    <w:rsid w:val="00005A32"/>
    <w:rsid w:val="000460B5"/>
    <w:rsid w:val="0008660B"/>
    <w:rsid w:val="0009229E"/>
    <w:rsid w:val="001079A7"/>
    <w:rsid w:val="00111A12"/>
    <w:rsid w:val="001332CA"/>
    <w:rsid w:val="0017039E"/>
    <w:rsid w:val="00193F2D"/>
    <w:rsid w:val="001E0521"/>
    <w:rsid w:val="001E23B9"/>
    <w:rsid w:val="00215381"/>
    <w:rsid w:val="00221DE1"/>
    <w:rsid w:val="00270425"/>
    <w:rsid w:val="00294A6C"/>
    <w:rsid w:val="002D6948"/>
    <w:rsid w:val="002F5F0C"/>
    <w:rsid w:val="00342AD4"/>
    <w:rsid w:val="0038594C"/>
    <w:rsid w:val="003B1195"/>
    <w:rsid w:val="003F18E8"/>
    <w:rsid w:val="00412BCD"/>
    <w:rsid w:val="004A79AE"/>
    <w:rsid w:val="00507309"/>
    <w:rsid w:val="00520FDC"/>
    <w:rsid w:val="00540845"/>
    <w:rsid w:val="00557B1D"/>
    <w:rsid w:val="00561CBF"/>
    <w:rsid w:val="00571C87"/>
    <w:rsid w:val="00576CB9"/>
    <w:rsid w:val="00580AF1"/>
    <w:rsid w:val="005A2773"/>
    <w:rsid w:val="006022E1"/>
    <w:rsid w:val="00632524"/>
    <w:rsid w:val="00655A9F"/>
    <w:rsid w:val="006747FB"/>
    <w:rsid w:val="00680FC4"/>
    <w:rsid w:val="00684BC8"/>
    <w:rsid w:val="00697DE8"/>
    <w:rsid w:val="006E5299"/>
    <w:rsid w:val="00714CFC"/>
    <w:rsid w:val="00731068"/>
    <w:rsid w:val="00747638"/>
    <w:rsid w:val="007815F5"/>
    <w:rsid w:val="00781A78"/>
    <w:rsid w:val="00782933"/>
    <w:rsid w:val="007A008F"/>
    <w:rsid w:val="007B328B"/>
    <w:rsid w:val="007C634C"/>
    <w:rsid w:val="007F2D48"/>
    <w:rsid w:val="00822C18"/>
    <w:rsid w:val="00861FCE"/>
    <w:rsid w:val="008B1B63"/>
    <w:rsid w:val="008B3680"/>
    <w:rsid w:val="008F2752"/>
    <w:rsid w:val="0090228C"/>
    <w:rsid w:val="0090233D"/>
    <w:rsid w:val="00926305"/>
    <w:rsid w:val="00986E71"/>
    <w:rsid w:val="009C5A43"/>
    <w:rsid w:val="009E0905"/>
    <w:rsid w:val="00A120CA"/>
    <w:rsid w:val="00A64995"/>
    <w:rsid w:val="00AA7354"/>
    <w:rsid w:val="00AB6C8A"/>
    <w:rsid w:val="00AC55B3"/>
    <w:rsid w:val="00AE5237"/>
    <w:rsid w:val="00AF37D0"/>
    <w:rsid w:val="00B06C7F"/>
    <w:rsid w:val="00B169E1"/>
    <w:rsid w:val="00B270F3"/>
    <w:rsid w:val="00B64086"/>
    <w:rsid w:val="00C2152F"/>
    <w:rsid w:val="00C27C79"/>
    <w:rsid w:val="00C31E96"/>
    <w:rsid w:val="00C42AD2"/>
    <w:rsid w:val="00C46FB5"/>
    <w:rsid w:val="00C64B1D"/>
    <w:rsid w:val="00C746E3"/>
    <w:rsid w:val="00CA202B"/>
    <w:rsid w:val="00CE39A4"/>
    <w:rsid w:val="00CE661F"/>
    <w:rsid w:val="00D02535"/>
    <w:rsid w:val="00D03BF9"/>
    <w:rsid w:val="00D06CCE"/>
    <w:rsid w:val="00D07918"/>
    <w:rsid w:val="00D25053"/>
    <w:rsid w:val="00D27340"/>
    <w:rsid w:val="00D3507D"/>
    <w:rsid w:val="00D41649"/>
    <w:rsid w:val="00D43516"/>
    <w:rsid w:val="00D46706"/>
    <w:rsid w:val="00D7208F"/>
    <w:rsid w:val="00D9724D"/>
    <w:rsid w:val="00DC5357"/>
    <w:rsid w:val="00DE022E"/>
    <w:rsid w:val="00DE4BDB"/>
    <w:rsid w:val="00E601BD"/>
    <w:rsid w:val="00E64327"/>
    <w:rsid w:val="00E97D2C"/>
    <w:rsid w:val="00EB5A1D"/>
    <w:rsid w:val="00EF6A65"/>
    <w:rsid w:val="00F02446"/>
    <w:rsid w:val="00F14733"/>
    <w:rsid w:val="00F37A74"/>
    <w:rsid w:val="00F61CCD"/>
    <w:rsid w:val="00F65F5E"/>
    <w:rsid w:val="00F808CF"/>
    <w:rsid w:val="00F9091C"/>
    <w:rsid w:val="00FB531A"/>
    <w:rsid w:val="00FF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1D6D9"/>
  <w15:chartTrackingRefBased/>
  <w15:docId w15:val="{775B6F9D-6C4E-46E4-9180-2A470BF63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CFC"/>
    <w:rPr>
      <w:rFonts w:eastAsia="SimSu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4C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4C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4C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4C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4C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4C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4C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4C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4C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4C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4C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4C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4C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4C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4C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4C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4C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4C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4C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14C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4C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14C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4CFC"/>
    <w:pPr>
      <w:spacing w:before="160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14C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4CFC"/>
    <w:pPr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14C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4C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4C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4CFC"/>
    <w:rPr>
      <w:b/>
      <w:bCs/>
      <w:smallCaps/>
      <w:color w:val="0F4761" w:themeColor="accent1" w:themeShade="BF"/>
      <w:spacing w:val="5"/>
    </w:rPr>
  </w:style>
  <w:style w:type="paragraph" w:styleId="Bibliography">
    <w:name w:val="Bibliography"/>
    <w:basedOn w:val="Normal"/>
    <w:next w:val="Normal"/>
    <w:uiPriority w:val="37"/>
    <w:unhideWhenUsed/>
    <w:rsid w:val="00714CFC"/>
  </w:style>
  <w:style w:type="character" w:styleId="Hyperlink">
    <w:name w:val="Hyperlink"/>
    <w:basedOn w:val="DefaultParagraphFont"/>
    <w:uiPriority w:val="99"/>
    <w:unhideWhenUsed/>
    <w:rsid w:val="008B1B6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1B6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859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59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594C"/>
    <w:rPr>
      <w:rFonts w:eastAsia="SimSu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59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594C"/>
    <w:rPr>
      <w:rFonts w:eastAsia="SimSu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2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s.usda.gov/oc/br/ccd/index/" TargetMode="External"/><Relationship Id="rId13" Type="http://schemas.openxmlformats.org/officeDocument/2006/relationships/hyperlink" Target="https://doi.org/10.5281/zenodo.3831673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s://www.fsa.usda.gov/programs-and-services/conservation-programs/conservation-reserve-program/index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www.fsa.usda.gov/Assets/USDA-FSA-Public/usdafiles/FactSheets/2015/CRPProgramsandInitiatives/Honey_Bee_Habitat_Initiative.pdf" TargetMode="External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hyperlink" Target="https://farmdocdaily.illinois.edu/2017/05/historical-background-on-the-crp.html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gtap.agecon.purdue.edu/resources/res_display.asp?RecordID=3385" TargetMode="External"/><Relationship Id="rId14" Type="http://schemas.openxmlformats.org/officeDocument/2006/relationships/hyperlink" Target="https://quickstats.nass.usda.gov.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5</Pages>
  <Words>1616</Words>
  <Characters>9215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Cisneros Pineda, Alfredo</dc:creator>
  <cp:keywords/>
  <dc:description/>
  <cp:lastModifiedBy>Cisneros Pineda, Alfredo</cp:lastModifiedBy>
  <cp:revision>4</cp:revision>
  <dcterms:created xsi:type="dcterms:W3CDTF">2024-04-15T18:07:00Z</dcterms:created>
  <dcterms:modified xsi:type="dcterms:W3CDTF">2024-04-16T02:10:00Z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44bd30-2ed7-4c9d-9d12-46200872a97b_Enabled">
    <vt:lpwstr>true</vt:lpwstr>
  </property>
  <property fmtid="{D5CDD505-2E9C-101B-9397-08002B2CF9AE}" pid="3" name="MSIP_Label_4044bd30-2ed7-4c9d-9d12-46200872a97b_SetDate">
    <vt:lpwstr>2024-01-11T01:39:39Z</vt:lpwstr>
  </property>
  <property fmtid="{D5CDD505-2E9C-101B-9397-08002B2CF9AE}" pid="4" name="MSIP_Label_4044bd30-2ed7-4c9d-9d12-46200872a97b_Method">
    <vt:lpwstr>Standard</vt:lpwstr>
  </property>
  <property fmtid="{D5CDD505-2E9C-101B-9397-08002B2CF9AE}" pid="5" name="MSIP_Label_4044bd30-2ed7-4c9d-9d12-46200872a97b_Name">
    <vt:lpwstr>defa4170-0d19-0005-0004-bc88714345d2</vt:lpwstr>
  </property>
  <property fmtid="{D5CDD505-2E9C-101B-9397-08002B2CF9AE}" pid="6" name="MSIP_Label_4044bd30-2ed7-4c9d-9d12-46200872a97b_SiteId">
    <vt:lpwstr>4130bd39-7c53-419c-b1e5-8758d6d63f21</vt:lpwstr>
  </property>
  <property fmtid="{D5CDD505-2E9C-101B-9397-08002B2CF9AE}" pid="7" name="MSIP_Label_4044bd30-2ed7-4c9d-9d12-46200872a97b_ActionId">
    <vt:lpwstr>1a150bf1-02bd-4f6a-ae13-851683f0178b</vt:lpwstr>
  </property>
  <property fmtid="{D5CDD505-2E9C-101B-9397-08002B2CF9AE}" pid="8" name="MSIP_Label_4044bd30-2ed7-4c9d-9d12-46200872a97b_ContentBits">
    <vt:lpwstr>0</vt:lpwstr>
  </property>
</Properties>
</file>