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CD97" w14:textId="16DE4795" w:rsidR="00E377DD" w:rsidRPr="00E377DD" w:rsidRDefault="00E377DD" w:rsidP="008B3360">
      <w:pPr>
        <w:jc w:val="center"/>
        <w:rPr>
          <w:sz w:val="40"/>
          <w:szCs w:val="40"/>
        </w:rPr>
      </w:pPr>
      <w:r w:rsidRPr="00E377DD">
        <w:rPr>
          <w:rFonts w:ascii="Calibri" w:hAnsi="Calibri" w:cs="Calibri"/>
          <w:sz w:val="36"/>
          <w:szCs w:val="36"/>
        </w:rPr>
        <w:t>Mainstreaming Ecosystem Services in the World Bank’s MANAGE-WB Model</w:t>
      </w:r>
    </w:p>
    <w:p w14:paraId="4C654717" w14:textId="686CE243" w:rsidR="00EF2EE8" w:rsidRDefault="00376E74" w:rsidP="008B3360">
      <w:pPr>
        <w:jc w:val="center"/>
      </w:pPr>
      <w:r>
        <w:t>Galindev</w:t>
      </w:r>
      <w:r w:rsidR="00292008">
        <w:t>. R</w:t>
      </w:r>
      <w:r>
        <w:t xml:space="preserve">, </w:t>
      </w:r>
      <w:r w:rsidR="00EF2EE8">
        <w:t>Britz</w:t>
      </w:r>
      <w:r w:rsidR="00292008">
        <w:t>. W</w:t>
      </w:r>
      <w:r w:rsidR="00EF2EE8">
        <w:t>, Banerjee</w:t>
      </w:r>
      <w:r w:rsidR="00292008">
        <w:t>. O</w:t>
      </w:r>
      <w:r w:rsidR="00EF2EE8">
        <w:t xml:space="preserve"> and </w:t>
      </w:r>
      <w:r w:rsidR="00292008">
        <w:t xml:space="preserve">Arin. </w:t>
      </w:r>
      <w:r w:rsidR="00EF2EE8">
        <w:t>T</w:t>
      </w:r>
    </w:p>
    <w:p w14:paraId="6E22D3BD" w14:textId="240F9640" w:rsidR="003E0E60" w:rsidRDefault="003E0E60" w:rsidP="008B3360">
      <w:pPr>
        <w:jc w:val="center"/>
      </w:pPr>
      <w:r>
        <w:t>(draft report)</w:t>
      </w:r>
    </w:p>
    <w:p w14:paraId="443470E1" w14:textId="71BF96DC" w:rsidR="00376E74" w:rsidRDefault="00E377DD" w:rsidP="008B3360">
      <w:pPr>
        <w:jc w:val="center"/>
      </w:pPr>
      <w:r>
        <w:t>April</w:t>
      </w:r>
      <w:r w:rsidR="00376E74">
        <w:t xml:space="preserve"> 202</w:t>
      </w:r>
      <w:r>
        <w:t>5</w:t>
      </w:r>
    </w:p>
    <w:p w14:paraId="1EAB81ED" w14:textId="77777777" w:rsidR="00860DA8" w:rsidRDefault="00860DA8" w:rsidP="008B3360">
      <w:pPr>
        <w:pStyle w:val="Heading1"/>
        <w:jc w:val="both"/>
        <w:rPr>
          <w:lang w:val="en-US"/>
        </w:rPr>
      </w:pPr>
      <w:r>
        <w:rPr>
          <w:lang w:val="en-US"/>
        </w:rPr>
        <w:t>Background</w:t>
      </w:r>
    </w:p>
    <w:p w14:paraId="277A257C" w14:textId="4C55D702" w:rsidR="00376E74" w:rsidRDefault="00486289" w:rsidP="008B3360">
      <w:pPr>
        <w:jc w:val="both"/>
      </w:pPr>
      <w:r>
        <w:t xml:space="preserve">Changes in the economic </w:t>
      </w:r>
      <w:r w:rsidR="00F05C0B">
        <w:t xml:space="preserve">environment </w:t>
      </w:r>
      <w:r w:rsidR="00376E74">
        <w:t xml:space="preserve">can </w:t>
      </w:r>
      <w:r w:rsidR="004E245D">
        <w:t xml:space="preserve">affect </w:t>
      </w:r>
      <w:r w:rsidR="00376E74">
        <w:t>natural capital and ecosystem services</w:t>
      </w:r>
      <w:r w:rsidR="004A5CAD">
        <w:t xml:space="preserve"> (ESS)</w:t>
      </w:r>
      <w:r w:rsidR="004E245D">
        <w:t xml:space="preserve"> in various ways. In economic models, </w:t>
      </w:r>
      <w:r w:rsidR="00F43D4C">
        <w:t xml:space="preserve">a common </w:t>
      </w:r>
      <w:r w:rsidR="00A4651C">
        <w:t xml:space="preserve">transmission mechanism is the </w:t>
      </w:r>
      <w:r w:rsidR="00376E74">
        <w:t>chang</w:t>
      </w:r>
      <w:r w:rsidR="00A4651C">
        <w:t xml:space="preserve">es </w:t>
      </w:r>
      <w:r w:rsidR="00376E74">
        <w:t>in land use and land cover (LULC). The changes in the ecosystem services have feedback impact</w:t>
      </w:r>
      <w:r w:rsidR="006928E3">
        <w:t>s</w:t>
      </w:r>
      <w:r w:rsidR="00376E74">
        <w:t xml:space="preserve"> on the economy, for example, through the soil quality and productivity in the agricultural sector.</w:t>
      </w:r>
      <w:r w:rsidR="00467EFD">
        <w:t xml:space="preserve"> </w:t>
      </w:r>
    </w:p>
    <w:p w14:paraId="410F0A0F" w14:textId="2386EE67" w:rsidR="00996646" w:rsidRDefault="00376E74" w:rsidP="008B3360">
      <w:pPr>
        <w:jc w:val="both"/>
      </w:pPr>
      <w:r>
        <w:t>This</w:t>
      </w:r>
      <w:r w:rsidR="009E5664">
        <w:t xml:space="preserve"> </w:t>
      </w:r>
      <w:r>
        <w:t>note discuss</w:t>
      </w:r>
      <w:r w:rsidR="00453A36">
        <w:t>es</w:t>
      </w:r>
      <w:r>
        <w:t xml:space="preserve"> </w:t>
      </w:r>
      <w:r w:rsidR="00FD2E3B">
        <w:t xml:space="preserve">the </w:t>
      </w:r>
      <w:r>
        <w:t xml:space="preserve">LULC changes </w:t>
      </w:r>
      <w:r w:rsidR="00453A36">
        <w:t xml:space="preserve">in MANAGE-WB, a recursive dynamic Computable General Equilibrium (CGE) model. In CGE models, land is </w:t>
      </w:r>
      <w:r w:rsidR="00420649">
        <w:t xml:space="preserve">treated as </w:t>
      </w:r>
      <w:r w:rsidR="00453A36">
        <w:t xml:space="preserve">a production factor alongside capital and labor but </w:t>
      </w:r>
      <w:r w:rsidR="00795C59">
        <w:t>typically</w:t>
      </w:r>
      <w:r w:rsidR="00453A36">
        <w:t xml:space="preserve"> used </w:t>
      </w:r>
      <w:r w:rsidR="00795C59">
        <w:t xml:space="preserve">in </w:t>
      </w:r>
      <w:r w:rsidR="00453A36">
        <w:t xml:space="preserve">agricultural activities </w:t>
      </w:r>
      <w:r w:rsidR="00B64768">
        <w:t>(</w:t>
      </w:r>
      <w:r w:rsidR="00453A36">
        <w:t xml:space="preserve">such as crops, </w:t>
      </w:r>
      <w:r w:rsidR="00420649">
        <w:t>livestock</w:t>
      </w:r>
      <w:r w:rsidR="00453A36">
        <w:t xml:space="preserve"> and forestry</w:t>
      </w:r>
      <w:r w:rsidR="00B64768">
        <w:t>)</w:t>
      </w:r>
      <w:r w:rsidR="00453A36">
        <w:t xml:space="preserve"> and </w:t>
      </w:r>
      <w:r w:rsidR="00B07995">
        <w:t>the</w:t>
      </w:r>
      <w:r w:rsidR="00453A36">
        <w:t xml:space="preserve"> owners</w:t>
      </w:r>
      <w:r w:rsidR="00B07995">
        <w:t xml:space="preserve"> of land</w:t>
      </w:r>
      <w:r w:rsidR="00453A36">
        <w:t xml:space="preserve"> receive payments which is </w:t>
      </w:r>
      <w:r w:rsidR="00085B5B">
        <w:t xml:space="preserve">reflected </w:t>
      </w:r>
      <w:r w:rsidR="00453A36">
        <w:t>in the Social Accounting Matrix (SAM)</w:t>
      </w:r>
      <w:r w:rsidR="0068299E">
        <w:t>,</w:t>
      </w:r>
      <w:r w:rsidR="00085B5B">
        <w:t xml:space="preserve"> the main database for C</w:t>
      </w:r>
      <w:r w:rsidR="004729FC">
        <w:t>G</w:t>
      </w:r>
      <w:r w:rsidR="00085B5B">
        <w:t>E models</w:t>
      </w:r>
      <w:r w:rsidR="00453A36">
        <w:t xml:space="preserve">. The optimality conditions </w:t>
      </w:r>
      <w:r w:rsidR="00996646">
        <w:t xml:space="preserve">for both producers and landowners </w:t>
      </w:r>
      <w:r w:rsidR="00453A36">
        <w:t xml:space="preserve">determine </w:t>
      </w:r>
      <w:r w:rsidR="00AA4221">
        <w:t xml:space="preserve">the </w:t>
      </w:r>
      <w:r w:rsidR="00453A36">
        <w:t xml:space="preserve">demand and supply </w:t>
      </w:r>
      <w:r w:rsidR="00AA4221">
        <w:t>of land</w:t>
      </w:r>
      <w:r w:rsidR="00C952D9">
        <w:t xml:space="preserve"> for different uses</w:t>
      </w:r>
      <w:r w:rsidR="00453A36">
        <w:t xml:space="preserve">. </w:t>
      </w:r>
      <w:r w:rsidR="00996646">
        <w:t xml:space="preserve">The market clearing yields the equilibrium rental rate and </w:t>
      </w:r>
      <w:r w:rsidR="00A13483">
        <w:t xml:space="preserve">the size of </w:t>
      </w:r>
      <w:r w:rsidR="00996646">
        <w:t>land</w:t>
      </w:r>
      <w:r w:rsidR="00D25677">
        <w:t xml:space="preserve"> – i.e., total land as well as the allocation between activities</w:t>
      </w:r>
      <w:r w:rsidR="00996646">
        <w:t xml:space="preserve">. </w:t>
      </w:r>
      <w:r w:rsidR="00A553DD">
        <w:t xml:space="preserve">The overall size of land in an economy is fixed </w:t>
      </w:r>
      <w:r w:rsidR="00F31FB6">
        <w:t xml:space="preserve">but it can be divided into different </w:t>
      </w:r>
      <w:r w:rsidR="00763572">
        <w:t>(</w:t>
      </w:r>
      <w:r w:rsidR="00F31FB6">
        <w:t>land cover</w:t>
      </w:r>
      <w:r w:rsidR="00763572">
        <w:t>)</w:t>
      </w:r>
      <w:r w:rsidR="00F31FB6">
        <w:t xml:space="preserve"> categories</w:t>
      </w:r>
      <w:r w:rsidR="00C6348C">
        <w:t xml:space="preserve"> such as cropland, pastureland, forest, </w:t>
      </w:r>
      <w:r w:rsidR="003D2C54">
        <w:t>waste land, build-up land</w:t>
      </w:r>
      <w:r w:rsidR="002C6BC4">
        <w:t>, un</w:t>
      </w:r>
      <w:r w:rsidR="009B157B">
        <w:t>managed forest</w:t>
      </w:r>
      <w:r w:rsidR="003D2C54">
        <w:t xml:space="preserve"> etc</w:t>
      </w:r>
      <w:r w:rsidR="00F31FB6">
        <w:t xml:space="preserve">. </w:t>
      </w:r>
      <w:r w:rsidR="0026783B">
        <w:t xml:space="preserve">In general, </w:t>
      </w:r>
      <w:r w:rsidR="009B157B">
        <w:t xml:space="preserve">it </w:t>
      </w:r>
      <w:r w:rsidR="0026783B">
        <w:t>c</w:t>
      </w:r>
      <w:r w:rsidR="009B157B">
        <w:t xml:space="preserve">an be </w:t>
      </w:r>
      <w:r w:rsidR="0026783B">
        <w:t>divide</w:t>
      </w:r>
      <w:r w:rsidR="009B157B">
        <w:t>d</w:t>
      </w:r>
      <w:r w:rsidR="0026783B">
        <w:t xml:space="preserve"> into </w:t>
      </w:r>
      <w:r w:rsidR="007D2653">
        <w:t>two broad categories</w:t>
      </w:r>
      <w:r w:rsidR="002774C0">
        <w:t xml:space="preserve"> – </w:t>
      </w:r>
      <w:r w:rsidR="0026783B">
        <w:t>managed</w:t>
      </w:r>
      <w:r w:rsidR="002774C0">
        <w:t xml:space="preserve"> </w:t>
      </w:r>
      <w:r w:rsidR="0026783B">
        <w:t xml:space="preserve">and unmanaged </w:t>
      </w:r>
      <w:r w:rsidR="002774C0">
        <w:t xml:space="preserve">– </w:t>
      </w:r>
      <w:r w:rsidR="0026783B">
        <w:t>depending</w:t>
      </w:r>
      <w:r w:rsidR="002774C0">
        <w:t xml:space="preserve"> </w:t>
      </w:r>
      <w:r w:rsidR="0026783B">
        <w:t xml:space="preserve">on </w:t>
      </w:r>
      <w:r w:rsidR="00116D04">
        <w:t xml:space="preserve">whether it </w:t>
      </w:r>
      <w:r w:rsidR="00183A3A">
        <w:t>generates a st</w:t>
      </w:r>
      <w:r w:rsidR="00E34FFA">
        <w:t>r</w:t>
      </w:r>
      <w:r w:rsidR="00183A3A">
        <w:t xml:space="preserve">eam of revenue for its owners and </w:t>
      </w:r>
      <w:r w:rsidR="00E34FFA">
        <w:t xml:space="preserve">such </w:t>
      </w:r>
      <w:r w:rsidR="00183A3A">
        <w:t xml:space="preserve">revenue is </w:t>
      </w:r>
      <w:r w:rsidR="00CE35B9">
        <w:t>reflected in the national account</w:t>
      </w:r>
      <w:r w:rsidR="00E34FFA">
        <w:t>s</w:t>
      </w:r>
      <w:r w:rsidR="00CE35B9">
        <w:t>.</w:t>
      </w:r>
      <w:r w:rsidR="0026783B">
        <w:t xml:space="preserve"> </w:t>
      </w:r>
      <w:r w:rsidR="0023694F">
        <w:t xml:space="preserve">While cropland, pastureland and forest </w:t>
      </w:r>
      <w:r w:rsidR="005648E3">
        <w:t xml:space="preserve">land </w:t>
      </w:r>
      <w:r w:rsidR="0023694F">
        <w:t xml:space="preserve">are considered as managed land, the others are usually </w:t>
      </w:r>
      <w:r w:rsidR="00AC7F53">
        <w:t xml:space="preserve">considered as unmanaged land. </w:t>
      </w:r>
      <w:r w:rsidR="00996646">
        <w:t xml:space="preserve">Land can be converted from one type to another. For example, an increase in cropland </w:t>
      </w:r>
      <w:r w:rsidR="0079767C">
        <w:t xml:space="preserve">must decrease </w:t>
      </w:r>
      <w:r w:rsidR="00A030A0">
        <w:t xml:space="preserve">either </w:t>
      </w:r>
      <w:r w:rsidR="00996646">
        <w:t xml:space="preserve">forest or </w:t>
      </w:r>
      <w:r w:rsidR="0079767C">
        <w:t xml:space="preserve">pastureland </w:t>
      </w:r>
      <w:r w:rsidR="000C1621">
        <w:t xml:space="preserve">or any other </w:t>
      </w:r>
      <w:r w:rsidR="0079767C">
        <w:t>unmanaged land</w:t>
      </w:r>
      <w:r w:rsidR="00F2143B">
        <w:t xml:space="preserve"> as the total land is </w:t>
      </w:r>
      <w:r w:rsidR="00A02725">
        <w:t>fixed</w:t>
      </w:r>
      <w:r w:rsidR="00996646">
        <w:t>.</w:t>
      </w:r>
      <w:r w:rsidR="005F365C">
        <w:t xml:space="preserve"> </w:t>
      </w:r>
      <w:r w:rsidR="00277CD4">
        <w:t xml:space="preserve">The size of managed land could increase over time as its returns increases by decreasing </w:t>
      </w:r>
      <w:r w:rsidR="00AC2174">
        <w:t xml:space="preserve">the size of unmanaged land. </w:t>
      </w:r>
    </w:p>
    <w:p w14:paraId="222578A0" w14:textId="4774D727" w:rsidR="000C1621" w:rsidRPr="003F567C" w:rsidRDefault="003909F1" w:rsidP="008B3360">
      <w:pPr>
        <w:jc w:val="both"/>
      </w:pPr>
      <w:r>
        <w:t xml:space="preserve">MANAGE-WB </w:t>
      </w:r>
      <w:r w:rsidR="005246A7">
        <w:t>considers</w:t>
      </w:r>
      <w:r w:rsidR="000C1621">
        <w:t xml:space="preserve"> more than one category of land</w:t>
      </w:r>
      <w:r w:rsidR="005915AA">
        <w:t xml:space="preserve"> – </w:t>
      </w:r>
      <w:r w:rsidR="00E55E92">
        <w:t xml:space="preserve">economywide </w:t>
      </w:r>
      <w:r w:rsidR="005915AA">
        <w:t xml:space="preserve">land </w:t>
      </w:r>
      <w:r w:rsidR="00F861CA">
        <w:t>and</w:t>
      </w:r>
      <w:r w:rsidR="00E55E92">
        <w:t xml:space="preserve"> </w:t>
      </w:r>
      <w:r w:rsidR="006D7BB2">
        <w:t>regional lands</w:t>
      </w:r>
      <w:r w:rsidR="000C1621">
        <w:t xml:space="preserve">. </w:t>
      </w:r>
      <w:r w:rsidR="00204710">
        <w:t xml:space="preserve">For </w:t>
      </w:r>
      <w:r w:rsidR="00F173AA">
        <w:t xml:space="preserve">an </w:t>
      </w:r>
      <w:r w:rsidR="00204710">
        <w:t xml:space="preserve">illustrative purpose, </w:t>
      </w:r>
      <w:r w:rsidR="004E2FD1">
        <w:t xml:space="preserve">we </w:t>
      </w:r>
      <w:r w:rsidR="008E7595">
        <w:t>discuss</w:t>
      </w:r>
      <w:r w:rsidR="002024BF">
        <w:t xml:space="preserve"> the </w:t>
      </w:r>
      <w:r w:rsidR="000C1621" w:rsidRPr="003F567C">
        <w:t>data from the GTAP center related to the so-called GTAP-AEZ (</w:t>
      </w:r>
      <w:proofErr w:type="spellStart"/>
      <w:r w:rsidR="000C1621" w:rsidRPr="003F567C">
        <w:t>Agro</w:t>
      </w:r>
      <w:proofErr w:type="spellEnd"/>
      <w:r w:rsidR="000C1621" w:rsidRPr="003F567C">
        <w:t xml:space="preserve">-Ecological Zone) data and model (Lee et al. 2009), using the recently release for GTAP Version 11 (Aguiar et al. 2022). </w:t>
      </w:r>
      <w:r w:rsidR="000C1621">
        <w:t>T</w:t>
      </w:r>
      <w:r w:rsidR="000C1621" w:rsidRPr="003F567C">
        <w:t>he GTAP center classifies locations by 6 climate zones and 3 growing lengths, resulting in 18 AEZs globally.</w:t>
      </w:r>
      <w:r w:rsidR="000C1621">
        <w:rPr>
          <w:rStyle w:val="FootnoteReference"/>
        </w:rPr>
        <w:footnoteReference w:id="1"/>
      </w:r>
    </w:p>
    <w:tbl>
      <w:tblPr>
        <w:tblW w:w="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3345"/>
      </w:tblGrid>
      <w:tr w:rsidR="000C1621" w:rsidRPr="005846DA" w14:paraId="352AB501" w14:textId="77777777" w:rsidTr="00110265">
        <w:trPr>
          <w:trHeight w:val="288"/>
          <w:jc w:val="center"/>
        </w:trPr>
        <w:tc>
          <w:tcPr>
            <w:tcW w:w="1240" w:type="dxa"/>
            <w:shd w:val="clear" w:color="auto" w:fill="auto"/>
            <w:noWrap/>
            <w:vAlign w:val="bottom"/>
            <w:hideMark/>
          </w:tcPr>
          <w:p w14:paraId="12915CC2" w14:textId="77777777" w:rsidR="000C1621" w:rsidRPr="005846DA" w:rsidRDefault="000C1621" w:rsidP="008B3360">
            <w:pPr>
              <w:spacing w:after="0" w:line="240" w:lineRule="auto"/>
              <w:jc w:val="both"/>
              <w:rPr>
                <w:rFonts w:ascii="Calibri" w:eastAsia="Times New Roman" w:hAnsi="Calibri" w:cs="Calibri"/>
                <w:color w:val="000000"/>
                <w:lang w:eastAsia="de-DE"/>
              </w:rPr>
            </w:pPr>
            <w:r>
              <w:rPr>
                <w:rFonts w:ascii="Calibri" w:eastAsia="Times New Roman" w:hAnsi="Calibri" w:cs="Calibri"/>
                <w:color w:val="000000"/>
                <w:lang w:eastAsia="de-DE"/>
              </w:rPr>
              <w:t>A</w:t>
            </w:r>
            <w:r w:rsidRPr="005846DA">
              <w:rPr>
                <w:rFonts w:ascii="Calibri" w:eastAsia="Times New Roman" w:hAnsi="Calibri" w:cs="Calibri"/>
                <w:color w:val="000000"/>
                <w:lang w:eastAsia="de-DE"/>
              </w:rPr>
              <w:t>EZ</w:t>
            </w:r>
          </w:p>
        </w:tc>
        <w:tc>
          <w:tcPr>
            <w:tcW w:w="3345" w:type="dxa"/>
            <w:shd w:val="clear" w:color="auto" w:fill="auto"/>
            <w:noWrap/>
            <w:vAlign w:val="bottom"/>
            <w:hideMark/>
          </w:tcPr>
          <w:p w14:paraId="6DA02EA7"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Description</w:t>
            </w:r>
          </w:p>
        </w:tc>
      </w:tr>
      <w:tr w:rsidR="000C1621" w:rsidRPr="005846DA" w14:paraId="659E1272" w14:textId="77777777" w:rsidTr="00110265">
        <w:trPr>
          <w:trHeight w:val="288"/>
          <w:jc w:val="center"/>
        </w:trPr>
        <w:tc>
          <w:tcPr>
            <w:tcW w:w="1240" w:type="dxa"/>
            <w:shd w:val="clear" w:color="auto" w:fill="auto"/>
            <w:noWrap/>
            <w:vAlign w:val="bottom"/>
            <w:hideMark/>
          </w:tcPr>
          <w:p w14:paraId="426EB66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w:t>
            </w:r>
          </w:p>
        </w:tc>
        <w:tc>
          <w:tcPr>
            <w:tcW w:w="3345" w:type="dxa"/>
            <w:shd w:val="clear" w:color="auto" w:fill="auto"/>
            <w:noWrap/>
            <w:vAlign w:val="bottom"/>
            <w:hideMark/>
          </w:tcPr>
          <w:p w14:paraId="2C58CC30"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Tropical-Arid</w:t>
            </w:r>
          </w:p>
        </w:tc>
      </w:tr>
      <w:tr w:rsidR="000C1621" w:rsidRPr="005846DA" w14:paraId="7F995FB0" w14:textId="77777777" w:rsidTr="00110265">
        <w:trPr>
          <w:trHeight w:val="288"/>
          <w:jc w:val="center"/>
        </w:trPr>
        <w:tc>
          <w:tcPr>
            <w:tcW w:w="1240" w:type="dxa"/>
            <w:shd w:val="clear" w:color="auto" w:fill="auto"/>
            <w:noWrap/>
            <w:vAlign w:val="bottom"/>
            <w:hideMark/>
          </w:tcPr>
          <w:p w14:paraId="7C36846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2</w:t>
            </w:r>
          </w:p>
        </w:tc>
        <w:tc>
          <w:tcPr>
            <w:tcW w:w="3345" w:type="dxa"/>
            <w:shd w:val="clear" w:color="auto" w:fill="auto"/>
            <w:noWrap/>
            <w:vAlign w:val="bottom"/>
            <w:hideMark/>
          </w:tcPr>
          <w:p w14:paraId="5282D104"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Tropical-Dry</w:t>
            </w:r>
          </w:p>
        </w:tc>
      </w:tr>
      <w:tr w:rsidR="000C1621" w:rsidRPr="005846DA" w14:paraId="6EDAF32F" w14:textId="77777777" w:rsidTr="00110265">
        <w:trPr>
          <w:trHeight w:val="288"/>
          <w:jc w:val="center"/>
        </w:trPr>
        <w:tc>
          <w:tcPr>
            <w:tcW w:w="1240" w:type="dxa"/>
            <w:shd w:val="clear" w:color="auto" w:fill="auto"/>
            <w:noWrap/>
            <w:vAlign w:val="bottom"/>
            <w:hideMark/>
          </w:tcPr>
          <w:p w14:paraId="39F8EFF4"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3</w:t>
            </w:r>
          </w:p>
        </w:tc>
        <w:tc>
          <w:tcPr>
            <w:tcW w:w="3345" w:type="dxa"/>
            <w:shd w:val="clear" w:color="auto" w:fill="auto"/>
            <w:noWrap/>
            <w:vAlign w:val="bottom"/>
            <w:hideMark/>
          </w:tcPr>
          <w:p w14:paraId="1E1A37C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Tropical-Moist</w:t>
            </w:r>
          </w:p>
        </w:tc>
      </w:tr>
      <w:tr w:rsidR="000C1621" w:rsidRPr="005846DA" w14:paraId="3F9FECF1" w14:textId="77777777" w:rsidTr="00110265">
        <w:trPr>
          <w:trHeight w:val="288"/>
          <w:jc w:val="center"/>
        </w:trPr>
        <w:tc>
          <w:tcPr>
            <w:tcW w:w="1240" w:type="dxa"/>
            <w:shd w:val="clear" w:color="auto" w:fill="auto"/>
            <w:noWrap/>
            <w:vAlign w:val="bottom"/>
            <w:hideMark/>
          </w:tcPr>
          <w:p w14:paraId="60B031C2"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lastRenderedPageBreak/>
              <w:t>4</w:t>
            </w:r>
          </w:p>
        </w:tc>
        <w:tc>
          <w:tcPr>
            <w:tcW w:w="3345" w:type="dxa"/>
            <w:shd w:val="clear" w:color="auto" w:fill="auto"/>
            <w:noWrap/>
            <w:vAlign w:val="bottom"/>
            <w:hideMark/>
          </w:tcPr>
          <w:p w14:paraId="6271B7A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Tropical-Sub-humid</w:t>
            </w:r>
          </w:p>
        </w:tc>
      </w:tr>
      <w:tr w:rsidR="000C1621" w:rsidRPr="005846DA" w14:paraId="1989AEDD" w14:textId="77777777" w:rsidTr="00110265">
        <w:trPr>
          <w:trHeight w:val="288"/>
          <w:jc w:val="center"/>
        </w:trPr>
        <w:tc>
          <w:tcPr>
            <w:tcW w:w="1240" w:type="dxa"/>
            <w:shd w:val="clear" w:color="auto" w:fill="auto"/>
            <w:noWrap/>
            <w:vAlign w:val="bottom"/>
            <w:hideMark/>
          </w:tcPr>
          <w:p w14:paraId="7551C0E0"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5</w:t>
            </w:r>
          </w:p>
        </w:tc>
        <w:tc>
          <w:tcPr>
            <w:tcW w:w="3345" w:type="dxa"/>
            <w:shd w:val="clear" w:color="auto" w:fill="auto"/>
            <w:noWrap/>
            <w:vAlign w:val="bottom"/>
            <w:hideMark/>
          </w:tcPr>
          <w:p w14:paraId="5C613DB8"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Tropical-Humid</w:t>
            </w:r>
          </w:p>
        </w:tc>
      </w:tr>
      <w:tr w:rsidR="000C1621" w:rsidRPr="005846DA" w14:paraId="3A342426" w14:textId="77777777" w:rsidTr="00110265">
        <w:trPr>
          <w:trHeight w:val="288"/>
          <w:jc w:val="center"/>
        </w:trPr>
        <w:tc>
          <w:tcPr>
            <w:tcW w:w="1240" w:type="dxa"/>
            <w:shd w:val="clear" w:color="auto" w:fill="auto"/>
            <w:noWrap/>
            <w:vAlign w:val="bottom"/>
            <w:hideMark/>
          </w:tcPr>
          <w:p w14:paraId="520600CB"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6</w:t>
            </w:r>
          </w:p>
        </w:tc>
        <w:tc>
          <w:tcPr>
            <w:tcW w:w="3345" w:type="dxa"/>
            <w:shd w:val="clear" w:color="auto" w:fill="auto"/>
            <w:noWrap/>
            <w:vAlign w:val="bottom"/>
            <w:hideMark/>
          </w:tcPr>
          <w:p w14:paraId="4B59418A" w14:textId="2B88D15D"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Tropical-Humid</w:t>
            </w:r>
            <w:r>
              <w:rPr>
                <w:rFonts w:ascii="Calibri" w:eastAsia="Times New Roman" w:hAnsi="Calibri" w:cs="Calibri"/>
                <w:color w:val="000000"/>
                <w:lang w:eastAsia="de-DE"/>
              </w:rPr>
              <w:t xml:space="preserve"> (year</w:t>
            </w:r>
            <w:r w:rsidR="009F4AA5">
              <w:rPr>
                <w:rFonts w:ascii="Calibri" w:eastAsia="Times New Roman" w:hAnsi="Calibri" w:cs="Calibri"/>
                <w:color w:val="000000"/>
                <w:lang w:eastAsia="de-DE"/>
              </w:rPr>
              <w:t>-</w:t>
            </w:r>
            <w:r>
              <w:rPr>
                <w:rFonts w:ascii="Calibri" w:eastAsia="Times New Roman" w:hAnsi="Calibri" w:cs="Calibri"/>
                <w:color w:val="000000"/>
                <w:lang w:eastAsia="de-DE"/>
              </w:rPr>
              <w:t>round)</w:t>
            </w:r>
          </w:p>
        </w:tc>
      </w:tr>
      <w:tr w:rsidR="000C1621" w:rsidRPr="005846DA" w14:paraId="37080A62" w14:textId="77777777" w:rsidTr="00110265">
        <w:trPr>
          <w:trHeight w:val="288"/>
          <w:jc w:val="center"/>
        </w:trPr>
        <w:tc>
          <w:tcPr>
            <w:tcW w:w="1240" w:type="dxa"/>
            <w:shd w:val="clear" w:color="auto" w:fill="auto"/>
            <w:noWrap/>
            <w:vAlign w:val="bottom"/>
            <w:hideMark/>
          </w:tcPr>
          <w:p w14:paraId="7D5B978C"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7</w:t>
            </w:r>
          </w:p>
        </w:tc>
        <w:tc>
          <w:tcPr>
            <w:tcW w:w="3345" w:type="dxa"/>
            <w:shd w:val="clear" w:color="auto" w:fill="auto"/>
            <w:noWrap/>
            <w:vAlign w:val="bottom"/>
            <w:hideMark/>
          </w:tcPr>
          <w:p w14:paraId="3DD1DC95"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Temperate-Arid</w:t>
            </w:r>
          </w:p>
        </w:tc>
      </w:tr>
      <w:tr w:rsidR="000C1621" w:rsidRPr="005846DA" w14:paraId="17065345" w14:textId="77777777" w:rsidTr="00110265">
        <w:trPr>
          <w:trHeight w:val="288"/>
          <w:jc w:val="center"/>
        </w:trPr>
        <w:tc>
          <w:tcPr>
            <w:tcW w:w="1240" w:type="dxa"/>
            <w:shd w:val="clear" w:color="auto" w:fill="auto"/>
            <w:noWrap/>
            <w:vAlign w:val="bottom"/>
            <w:hideMark/>
          </w:tcPr>
          <w:p w14:paraId="4A832BA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8</w:t>
            </w:r>
          </w:p>
        </w:tc>
        <w:tc>
          <w:tcPr>
            <w:tcW w:w="3345" w:type="dxa"/>
            <w:shd w:val="clear" w:color="auto" w:fill="auto"/>
            <w:noWrap/>
            <w:vAlign w:val="bottom"/>
            <w:hideMark/>
          </w:tcPr>
          <w:p w14:paraId="252EFF56"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Temperate-Dry</w:t>
            </w:r>
          </w:p>
        </w:tc>
      </w:tr>
      <w:tr w:rsidR="000C1621" w:rsidRPr="005846DA" w14:paraId="3DB2F156" w14:textId="77777777" w:rsidTr="00110265">
        <w:trPr>
          <w:trHeight w:val="288"/>
          <w:jc w:val="center"/>
        </w:trPr>
        <w:tc>
          <w:tcPr>
            <w:tcW w:w="1240" w:type="dxa"/>
            <w:shd w:val="clear" w:color="auto" w:fill="auto"/>
            <w:noWrap/>
            <w:vAlign w:val="bottom"/>
            <w:hideMark/>
          </w:tcPr>
          <w:p w14:paraId="68B54D6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9</w:t>
            </w:r>
          </w:p>
        </w:tc>
        <w:tc>
          <w:tcPr>
            <w:tcW w:w="3345" w:type="dxa"/>
            <w:shd w:val="clear" w:color="auto" w:fill="auto"/>
            <w:noWrap/>
            <w:vAlign w:val="bottom"/>
            <w:hideMark/>
          </w:tcPr>
          <w:p w14:paraId="0E67C310"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Temperate-Moist</w:t>
            </w:r>
          </w:p>
        </w:tc>
      </w:tr>
      <w:tr w:rsidR="000C1621" w:rsidRPr="005846DA" w14:paraId="09901FE3" w14:textId="77777777" w:rsidTr="00110265">
        <w:trPr>
          <w:trHeight w:val="288"/>
          <w:jc w:val="center"/>
        </w:trPr>
        <w:tc>
          <w:tcPr>
            <w:tcW w:w="1240" w:type="dxa"/>
            <w:shd w:val="clear" w:color="auto" w:fill="auto"/>
            <w:noWrap/>
            <w:vAlign w:val="bottom"/>
            <w:hideMark/>
          </w:tcPr>
          <w:p w14:paraId="14E156BF"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10</w:t>
            </w:r>
          </w:p>
        </w:tc>
        <w:tc>
          <w:tcPr>
            <w:tcW w:w="3345" w:type="dxa"/>
            <w:shd w:val="clear" w:color="auto" w:fill="auto"/>
            <w:noWrap/>
            <w:vAlign w:val="bottom"/>
            <w:hideMark/>
          </w:tcPr>
          <w:p w14:paraId="23C9A372"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Temperate-Sub-humid</w:t>
            </w:r>
          </w:p>
        </w:tc>
      </w:tr>
      <w:tr w:rsidR="000C1621" w:rsidRPr="005846DA" w14:paraId="1F1D21A3" w14:textId="77777777" w:rsidTr="00110265">
        <w:trPr>
          <w:trHeight w:val="288"/>
          <w:jc w:val="center"/>
        </w:trPr>
        <w:tc>
          <w:tcPr>
            <w:tcW w:w="1240" w:type="dxa"/>
            <w:shd w:val="clear" w:color="auto" w:fill="auto"/>
            <w:noWrap/>
            <w:vAlign w:val="bottom"/>
            <w:hideMark/>
          </w:tcPr>
          <w:p w14:paraId="79240846"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11</w:t>
            </w:r>
          </w:p>
        </w:tc>
        <w:tc>
          <w:tcPr>
            <w:tcW w:w="3345" w:type="dxa"/>
            <w:shd w:val="clear" w:color="auto" w:fill="auto"/>
            <w:noWrap/>
            <w:vAlign w:val="bottom"/>
            <w:hideMark/>
          </w:tcPr>
          <w:p w14:paraId="765E6A33"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Temperate-Humid</w:t>
            </w:r>
          </w:p>
        </w:tc>
      </w:tr>
      <w:tr w:rsidR="000C1621" w:rsidRPr="005846DA" w14:paraId="7623315A" w14:textId="77777777" w:rsidTr="00110265">
        <w:trPr>
          <w:trHeight w:val="288"/>
          <w:jc w:val="center"/>
        </w:trPr>
        <w:tc>
          <w:tcPr>
            <w:tcW w:w="1240" w:type="dxa"/>
            <w:shd w:val="clear" w:color="auto" w:fill="auto"/>
            <w:noWrap/>
            <w:vAlign w:val="bottom"/>
            <w:hideMark/>
          </w:tcPr>
          <w:p w14:paraId="3BA02E7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12</w:t>
            </w:r>
          </w:p>
        </w:tc>
        <w:tc>
          <w:tcPr>
            <w:tcW w:w="3345" w:type="dxa"/>
            <w:shd w:val="clear" w:color="auto" w:fill="auto"/>
            <w:noWrap/>
            <w:vAlign w:val="bottom"/>
            <w:hideMark/>
          </w:tcPr>
          <w:p w14:paraId="0B23C402" w14:textId="0B4702A2"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Temperate-Humid</w:t>
            </w:r>
            <w:r>
              <w:rPr>
                <w:rFonts w:ascii="Calibri" w:eastAsia="Times New Roman" w:hAnsi="Calibri" w:cs="Calibri"/>
                <w:color w:val="000000"/>
                <w:lang w:eastAsia="de-DE"/>
              </w:rPr>
              <w:t xml:space="preserve"> (</w:t>
            </w:r>
            <w:r w:rsidR="009F4AA5">
              <w:rPr>
                <w:rFonts w:ascii="Calibri" w:eastAsia="Times New Roman" w:hAnsi="Calibri" w:cs="Calibri"/>
                <w:color w:val="000000"/>
                <w:lang w:eastAsia="de-DE"/>
              </w:rPr>
              <w:t>year-round</w:t>
            </w:r>
            <w:r>
              <w:rPr>
                <w:rFonts w:ascii="Calibri" w:eastAsia="Times New Roman" w:hAnsi="Calibri" w:cs="Calibri"/>
                <w:color w:val="000000"/>
                <w:lang w:eastAsia="de-DE"/>
              </w:rPr>
              <w:t>)</w:t>
            </w:r>
          </w:p>
        </w:tc>
      </w:tr>
      <w:tr w:rsidR="000C1621" w:rsidRPr="005846DA" w14:paraId="1F2DF8EA" w14:textId="77777777" w:rsidTr="00110265">
        <w:trPr>
          <w:trHeight w:val="288"/>
          <w:jc w:val="center"/>
        </w:trPr>
        <w:tc>
          <w:tcPr>
            <w:tcW w:w="1240" w:type="dxa"/>
            <w:shd w:val="clear" w:color="auto" w:fill="auto"/>
            <w:noWrap/>
            <w:vAlign w:val="bottom"/>
            <w:hideMark/>
          </w:tcPr>
          <w:p w14:paraId="3F29457A"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13</w:t>
            </w:r>
          </w:p>
        </w:tc>
        <w:tc>
          <w:tcPr>
            <w:tcW w:w="3345" w:type="dxa"/>
            <w:shd w:val="clear" w:color="auto" w:fill="auto"/>
            <w:noWrap/>
            <w:vAlign w:val="bottom"/>
            <w:hideMark/>
          </w:tcPr>
          <w:p w14:paraId="2D5B35DC"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Boreal-Arid</w:t>
            </w:r>
          </w:p>
        </w:tc>
      </w:tr>
      <w:tr w:rsidR="000C1621" w:rsidRPr="005846DA" w14:paraId="199CDB75" w14:textId="77777777" w:rsidTr="00110265">
        <w:trPr>
          <w:trHeight w:val="288"/>
          <w:jc w:val="center"/>
        </w:trPr>
        <w:tc>
          <w:tcPr>
            <w:tcW w:w="1240" w:type="dxa"/>
            <w:shd w:val="clear" w:color="auto" w:fill="auto"/>
            <w:noWrap/>
            <w:vAlign w:val="bottom"/>
            <w:hideMark/>
          </w:tcPr>
          <w:p w14:paraId="41B2E121"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14</w:t>
            </w:r>
          </w:p>
        </w:tc>
        <w:tc>
          <w:tcPr>
            <w:tcW w:w="3345" w:type="dxa"/>
            <w:shd w:val="clear" w:color="auto" w:fill="auto"/>
            <w:noWrap/>
            <w:vAlign w:val="bottom"/>
            <w:hideMark/>
          </w:tcPr>
          <w:p w14:paraId="06738AB4"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Boreal-Dry</w:t>
            </w:r>
          </w:p>
        </w:tc>
      </w:tr>
      <w:tr w:rsidR="000C1621" w:rsidRPr="005846DA" w14:paraId="6AE95800" w14:textId="77777777" w:rsidTr="00110265">
        <w:trPr>
          <w:trHeight w:val="288"/>
          <w:jc w:val="center"/>
        </w:trPr>
        <w:tc>
          <w:tcPr>
            <w:tcW w:w="1240" w:type="dxa"/>
            <w:shd w:val="clear" w:color="auto" w:fill="auto"/>
            <w:noWrap/>
            <w:vAlign w:val="bottom"/>
            <w:hideMark/>
          </w:tcPr>
          <w:p w14:paraId="319BD698"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15</w:t>
            </w:r>
          </w:p>
        </w:tc>
        <w:tc>
          <w:tcPr>
            <w:tcW w:w="3345" w:type="dxa"/>
            <w:shd w:val="clear" w:color="auto" w:fill="auto"/>
            <w:noWrap/>
            <w:vAlign w:val="bottom"/>
            <w:hideMark/>
          </w:tcPr>
          <w:p w14:paraId="42845CCF"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Boreal-Moist</w:t>
            </w:r>
          </w:p>
        </w:tc>
      </w:tr>
      <w:tr w:rsidR="000C1621" w:rsidRPr="005846DA" w14:paraId="3B2E95BF" w14:textId="77777777" w:rsidTr="00110265">
        <w:trPr>
          <w:trHeight w:val="288"/>
          <w:jc w:val="center"/>
        </w:trPr>
        <w:tc>
          <w:tcPr>
            <w:tcW w:w="1240" w:type="dxa"/>
            <w:shd w:val="clear" w:color="auto" w:fill="auto"/>
            <w:noWrap/>
            <w:vAlign w:val="bottom"/>
            <w:hideMark/>
          </w:tcPr>
          <w:p w14:paraId="14E1D9EF"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16</w:t>
            </w:r>
          </w:p>
        </w:tc>
        <w:tc>
          <w:tcPr>
            <w:tcW w:w="3345" w:type="dxa"/>
            <w:shd w:val="clear" w:color="auto" w:fill="auto"/>
            <w:noWrap/>
            <w:vAlign w:val="bottom"/>
            <w:hideMark/>
          </w:tcPr>
          <w:p w14:paraId="377268E3"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Boreal-Sub-humid</w:t>
            </w:r>
          </w:p>
        </w:tc>
      </w:tr>
      <w:tr w:rsidR="000C1621" w:rsidRPr="005846DA" w14:paraId="516C2E50" w14:textId="77777777" w:rsidTr="00110265">
        <w:trPr>
          <w:trHeight w:val="288"/>
          <w:jc w:val="center"/>
        </w:trPr>
        <w:tc>
          <w:tcPr>
            <w:tcW w:w="1240" w:type="dxa"/>
            <w:shd w:val="clear" w:color="auto" w:fill="auto"/>
            <w:noWrap/>
            <w:vAlign w:val="bottom"/>
            <w:hideMark/>
          </w:tcPr>
          <w:p w14:paraId="05338C98"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17</w:t>
            </w:r>
          </w:p>
        </w:tc>
        <w:tc>
          <w:tcPr>
            <w:tcW w:w="3345" w:type="dxa"/>
            <w:shd w:val="clear" w:color="auto" w:fill="auto"/>
            <w:noWrap/>
            <w:vAlign w:val="bottom"/>
            <w:hideMark/>
          </w:tcPr>
          <w:p w14:paraId="25A54C48"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Boreal-Humid</w:t>
            </w:r>
          </w:p>
        </w:tc>
      </w:tr>
      <w:tr w:rsidR="000C1621" w:rsidRPr="005846DA" w14:paraId="281CC3BB" w14:textId="77777777" w:rsidTr="00110265">
        <w:trPr>
          <w:trHeight w:val="288"/>
          <w:jc w:val="center"/>
        </w:trPr>
        <w:tc>
          <w:tcPr>
            <w:tcW w:w="1240" w:type="dxa"/>
            <w:shd w:val="clear" w:color="auto" w:fill="auto"/>
            <w:noWrap/>
            <w:vAlign w:val="bottom"/>
            <w:hideMark/>
          </w:tcPr>
          <w:p w14:paraId="3E3989D4"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18</w:t>
            </w:r>
          </w:p>
        </w:tc>
        <w:tc>
          <w:tcPr>
            <w:tcW w:w="3345" w:type="dxa"/>
            <w:shd w:val="clear" w:color="auto" w:fill="auto"/>
            <w:noWrap/>
            <w:vAlign w:val="bottom"/>
            <w:hideMark/>
          </w:tcPr>
          <w:p w14:paraId="406970E4" w14:textId="77777777" w:rsidR="000C1621" w:rsidRPr="005846DA" w:rsidRDefault="000C1621" w:rsidP="008B3360">
            <w:pPr>
              <w:spacing w:after="0" w:line="240" w:lineRule="auto"/>
              <w:jc w:val="both"/>
              <w:rPr>
                <w:rFonts w:ascii="Calibri" w:eastAsia="Times New Roman" w:hAnsi="Calibri" w:cs="Calibri"/>
                <w:color w:val="000000"/>
                <w:lang w:eastAsia="de-DE"/>
              </w:rPr>
            </w:pPr>
            <w:r w:rsidRPr="005846DA">
              <w:rPr>
                <w:rFonts w:ascii="Calibri" w:eastAsia="Times New Roman" w:hAnsi="Calibri" w:cs="Calibri"/>
                <w:color w:val="000000"/>
                <w:lang w:eastAsia="de-DE"/>
              </w:rPr>
              <w:t>Boreal-Humid</w:t>
            </w:r>
            <w:r>
              <w:rPr>
                <w:rFonts w:ascii="Calibri" w:eastAsia="Times New Roman" w:hAnsi="Calibri" w:cs="Calibri"/>
                <w:color w:val="000000"/>
                <w:lang w:eastAsia="de-DE"/>
              </w:rPr>
              <w:t xml:space="preserve"> (year-round)</w:t>
            </w:r>
          </w:p>
        </w:tc>
      </w:tr>
    </w:tbl>
    <w:p w14:paraId="7885BC6A" w14:textId="77777777" w:rsidR="00521FB9" w:rsidRDefault="00521FB9" w:rsidP="008B3360">
      <w:pPr>
        <w:jc w:val="both"/>
      </w:pPr>
    </w:p>
    <w:p w14:paraId="0B43D650" w14:textId="513E61F2" w:rsidR="000C1621" w:rsidRDefault="000C1621" w:rsidP="008B3360">
      <w:pPr>
        <w:jc w:val="both"/>
      </w:pPr>
      <w:r>
        <w:t xml:space="preserve">For each AEZ in </w:t>
      </w:r>
      <w:r w:rsidR="00B352DF">
        <w:t>a</w:t>
      </w:r>
      <w:r>
        <w:t xml:space="preserve"> country </w:t>
      </w:r>
      <w:r w:rsidR="00C11128">
        <w:t>(</w:t>
      </w:r>
      <w:r>
        <w:t>or group of countries in the GTAP data</w:t>
      </w:r>
      <w:r w:rsidR="00F3648D">
        <w:t xml:space="preserve"> </w:t>
      </w:r>
      <w:r>
        <w:t>base</w:t>
      </w:r>
      <w:r w:rsidR="00C11128">
        <w:t>)</w:t>
      </w:r>
      <w:r>
        <w:t>, the GTAP</w:t>
      </w:r>
      <w:r w:rsidR="00AD1538">
        <w:t>-</w:t>
      </w:r>
      <w:r>
        <w:t>AEZ data</w:t>
      </w:r>
      <w:r w:rsidR="00F3648D">
        <w:t xml:space="preserve"> </w:t>
      </w:r>
      <w:r>
        <w:t>base reports:</w:t>
      </w:r>
    </w:p>
    <w:p w14:paraId="44816C5E" w14:textId="5E312B15" w:rsidR="000C1621" w:rsidRDefault="000C1621" w:rsidP="008B3360">
      <w:pPr>
        <w:pStyle w:val="ListParagraph"/>
        <w:numPr>
          <w:ilvl w:val="0"/>
          <w:numId w:val="1"/>
        </w:numPr>
        <w:jc w:val="both"/>
        <w:rPr>
          <w:lang w:val="en-US"/>
        </w:rPr>
      </w:pPr>
      <w:r w:rsidRPr="004D0EF4">
        <w:rPr>
          <w:b/>
          <w:bCs/>
          <w:lang w:val="en-US"/>
        </w:rPr>
        <w:t>Harvested areas by GTAP crop</w:t>
      </w:r>
      <w:r w:rsidR="00E577E3">
        <w:rPr>
          <w:b/>
          <w:bCs/>
          <w:lang w:val="en-US"/>
        </w:rPr>
        <w:t xml:space="preserve"> activities</w:t>
      </w:r>
      <w:r w:rsidRPr="00262A3B">
        <w:rPr>
          <w:lang w:val="en-US"/>
        </w:rPr>
        <w:t xml:space="preserve"> (paddy rice</w:t>
      </w:r>
      <w:r w:rsidR="00FD006A">
        <w:rPr>
          <w:lang w:val="en-US"/>
        </w:rPr>
        <w:t xml:space="preserve"> (PDR)</w:t>
      </w:r>
      <w:r w:rsidRPr="00262A3B">
        <w:rPr>
          <w:lang w:val="en-US"/>
        </w:rPr>
        <w:t>; wheat</w:t>
      </w:r>
      <w:r w:rsidR="00FD006A">
        <w:rPr>
          <w:lang w:val="en-US"/>
        </w:rPr>
        <w:t xml:space="preserve"> (WHT)</w:t>
      </w:r>
      <w:r w:rsidRPr="00262A3B">
        <w:rPr>
          <w:lang w:val="en-US"/>
        </w:rPr>
        <w:t>; other coarse grains</w:t>
      </w:r>
      <w:r w:rsidR="00FD006A">
        <w:rPr>
          <w:lang w:val="en-US"/>
        </w:rPr>
        <w:t xml:space="preserve"> (</w:t>
      </w:r>
      <w:r w:rsidR="009C7644">
        <w:rPr>
          <w:lang w:val="en-US"/>
        </w:rPr>
        <w:t>GRO</w:t>
      </w:r>
      <w:r w:rsidR="00FD006A">
        <w:rPr>
          <w:lang w:val="en-US"/>
        </w:rPr>
        <w:t>)</w:t>
      </w:r>
      <w:r w:rsidRPr="00262A3B">
        <w:rPr>
          <w:lang w:val="en-US"/>
        </w:rPr>
        <w:t>; oilseeds</w:t>
      </w:r>
      <w:r w:rsidR="005B4E0E">
        <w:rPr>
          <w:lang w:val="en-US"/>
        </w:rPr>
        <w:t xml:space="preserve"> (OSD)</w:t>
      </w:r>
      <w:r w:rsidRPr="00262A3B">
        <w:rPr>
          <w:lang w:val="en-US"/>
        </w:rPr>
        <w:t>; fruits and vegetables</w:t>
      </w:r>
      <w:r w:rsidR="0048785E">
        <w:rPr>
          <w:lang w:val="en-US"/>
        </w:rPr>
        <w:t xml:space="preserve"> (V_F)</w:t>
      </w:r>
      <w:r w:rsidRPr="00262A3B">
        <w:rPr>
          <w:lang w:val="en-US"/>
        </w:rPr>
        <w:t>; sugar cane and beet</w:t>
      </w:r>
      <w:r w:rsidR="0048785E">
        <w:rPr>
          <w:lang w:val="en-US"/>
        </w:rPr>
        <w:t xml:space="preserve"> (</w:t>
      </w:r>
      <w:r w:rsidR="004D7209">
        <w:rPr>
          <w:lang w:val="en-US"/>
        </w:rPr>
        <w:t>C_B</w:t>
      </w:r>
      <w:r w:rsidR="0048785E">
        <w:rPr>
          <w:lang w:val="en-US"/>
        </w:rPr>
        <w:t>)</w:t>
      </w:r>
      <w:r w:rsidRPr="00262A3B">
        <w:rPr>
          <w:lang w:val="en-US"/>
        </w:rPr>
        <w:t xml:space="preserve">; </w:t>
      </w:r>
      <w:r w:rsidR="000B206A" w:rsidRPr="00262A3B">
        <w:rPr>
          <w:lang w:val="en-US"/>
        </w:rPr>
        <w:t>fiber</w:t>
      </w:r>
      <w:r w:rsidRPr="00262A3B">
        <w:rPr>
          <w:lang w:val="en-US"/>
        </w:rPr>
        <w:t xml:space="preserve"> crops</w:t>
      </w:r>
      <w:r w:rsidR="004D7209">
        <w:rPr>
          <w:lang w:val="en-US"/>
        </w:rPr>
        <w:t xml:space="preserve"> (PFB)</w:t>
      </w:r>
      <w:r w:rsidRPr="00262A3B">
        <w:rPr>
          <w:lang w:val="en-US"/>
        </w:rPr>
        <w:t>; other crops</w:t>
      </w:r>
      <w:r w:rsidR="00AD3E85">
        <w:rPr>
          <w:lang w:val="en-US"/>
        </w:rPr>
        <w:t xml:space="preserve"> (OCR)</w:t>
      </w:r>
      <w:r w:rsidRPr="00262A3B">
        <w:rPr>
          <w:lang w:val="en-US"/>
        </w:rPr>
        <w:t xml:space="preserve"> including cropland used for fodder production)</w:t>
      </w:r>
    </w:p>
    <w:p w14:paraId="4C919400" w14:textId="19450207" w:rsidR="009A7DA9" w:rsidRPr="000E06E9" w:rsidRDefault="00CB345B" w:rsidP="008B3360">
      <w:pPr>
        <w:pStyle w:val="ListParagraph"/>
        <w:numPr>
          <w:ilvl w:val="0"/>
          <w:numId w:val="1"/>
        </w:numPr>
        <w:jc w:val="both"/>
      </w:pPr>
      <w:r w:rsidRPr="004631BE">
        <w:rPr>
          <w:b/>
          <w:bCs/>
        </w:rPr>
        <w:t>Areas by GTAP livestock</w:t>
      </w:r>
      <w:r w:rsidR="005E3ED1">
        <w:rPr>
          <w:b/>
          <w:bCs/>
        </w:rPr>
        <w:t xml:space="preserve"> activities</w:t>
      </w:r>
      <w:r>
        <w:t xml:space="preserve"> </w:t>
      </w:r>
      <w:r w:rsidR="007E1E3D">
        <w:t>(</w:t>
      </w:r>
      <w:r w:rsidR="00AD33A4">
        <w:t xml:space="preserve">cattle (CTL); </w:t>
      </w:r>
      <w:r w:rsidR="00B67A53">
        <w:t>other animal products (OAP); raw milk (</w:t>
      </w:r>
      <w:r w:rsidR="00EA2A57">
        <w:t>RMK</w:t>
      </w:r>
      <w:r w:rsidR="00B67A53">
        <w:t>)</w:t>
      </w:r>
      <w:r w:rsidR="00EA2A57">
        <w:t>; wool (WOL)</w:t>
      </w:r>
      <w:r w:rsidR="007E1E3D">
        <w:t>)</w:t>
      </w:r>
    </w:p>
    <w:p w14:paraId="2C7E4815" w14:textId="362ECC3C" w:rsidR="00185BF0" w:rsidRDefault="006D2FD8" w:rsidP="008B3360">
      <w:pPr>
        <w:pStyle w:val="ListParagraph"/>
        <w:numPr>
          <w:ilvl w:val="0"/>
          <w:numId w:val="1"/>
        </w:numPr>
        <w:jc w:val="both"/>
        <w:rPr>
          <w:lang w:val="en-US"/>
        </w:rPr>
      </w:pPr>
      <w:r>
        <w:rPr>
          <w:b/>
          <w:bCs/>
          <w:lang w:val="en-US"/>
        </w:rPr>
        <w:t>A</w:t>
      </w:r>
      <w:r w:rsidR="00DD5B22" w:rsidRPr="00DD5B22">
        <w:rPr>
          <w:b/>
          <w:bCs/>
          <w:lang w:val="en-US"/>
        </w:rPr>
        <w:t>reas</w:t>
      </w:r>
      <w:r w:rsidR="00185BF0" w:rsidRPr="004D0EF4">
        <w:rPr>
          <w:b/>
          <w:bCs/>
          <w:lang w:val="en-US"/>
        </w:rPr>
        <w:t xml:space="preserve"> of five broad land cover categories</w:t>
      </w:r>
      <w:r w:rsidR="00185BF0">
        <w:rPr>
          <w:lang w:val="en-US"/>
        </w:rPr>
        <w:t xml:space="preserve"> of which three relate to GTAP </w:t>
      </w:r>
      <w:r w:rsidR="00630795">
        <w:rPr>
          <w:lang w:val="en-US"/>
        </w:rPr>
        <w:t>activities</w:t>
      </w:r>
      <w:r w:rsidR="00185BF0">
        <w:rPr>
          <w:lang w:val="en-US"/>
        </w:rPr>
        <w:t xml:space="preserve"> (cropland, pastureland, forest) and the remainder can be termed </w:t>
      </w:r>
      <w:r w:rsidR="001959AD">
        <w:rPr>
          <w:lang w:val="en-US"/>
        </w:rPr>
        <w:t xml:space="preserve">as </w:t>
      </w:r>
      <w:r w:rsidR="00185BF0">
        <w:rPr>
          <w:lang w:val="en-US"/>
        </w:rPr>
        <w:t>“unmanaged” from a GTAP perspective (savanna and grass lands; shrubland; built-up land; other land).</w:t>
      </w:r>
      <w:r w:rsidR="00275EDB">
        <w:rPr>
          <w:rStyle w:val="FootnoteReference"/>
          <w:lang w:val="en-US"/>
        </w:rPr>
        <w:footnoteReference w:id="2"/>
      </w:r>
    </w:p>
    <w:p w14:paraId="5B0C3A65" w14:textId="0CF3D7A2" w:rsidR="000C1621" w:rsidRDefault="000C1621" w:rsidP="008B3360">
      <w:pPr>
        <w:pStyle w:val="ListParagraph"/>
        <w:numPr>
          <w:ilvl w:val="0"/>
          <w:numId w:val="1"/>
        </w:numPr>
        <w:jc w:val="both"/>
        <w:rPr>
          <w:lang w:val="en-US"/>
        </w:rPr>
      </w:pPr>
      <w:r w:rsidRPr="004D0EF4">
        <w:rPr>
          <w:b/>
          <w:bCs/>
          <w:lang w:val="en-US"/>
        </w:rPr>
        <w:t>Returns to land</w:t>
      </w:r>
      <w:r>
        <w:rPr>
          <w:lang w:val="en-US"/>
        </w:rPr>
        <w:t xml:space="preserve"> at agent and market prices for land-using activities.</w:t>
      </w:r>
    </w:p>
    <w:p w14:paraId="06949C15" w14:textId="67B9306B" w:rsidR="00EC53EB" w:rsidRPr="00A00A2C" w:rsidRDefault="005541E6" w:rsidP="008B3360">
      <w:pPr>
        <w:jc w:val="both"/>
      </w:pPr>
      <w:r>
        <w:t>Note that p</w:t>
      </w:r>
      <w:r w:rsidR="00EC53EB" w:rsidRPr="000946CE">
        <w:t>astureland</w:t>
      </w:r>
      <w:r w:rsidR="00EC53EB">
        <w:t xml:space="preserve"> is not allocated to individual livestock activities.</w:t>
      </w:r>
    </w:p>
    <w:p w14:paraId="01A41807" w14:textId="17B261AF" w:rsidR="002B443B" w:rsidRPr="002B443B" w:rsidRDefault="00824CD0" w:rsidP="008B3360">
      <w:pPr>
        <w:jc w:val="both"/>
      </w:pPr>
      <w:r>
        <w:t>For example, t</w:t>
      </w:r>
      <w:r w:rsidR="002B443B">
        <w:t xml:space="preserve">he following table has </w:t>
      </w:r>
      <w:r w:rsidR="00936F2A">
        <w:t xml:space="preserve">the </w:t>
      </w:r>
      <w:r w:rsidR="002B443B">
        <w:t>information for Australia</w:t>
      </w:r>
      <w:r w:rsidR="009470F2">
        <w:t xml:space="preserve"> which </w:t>
      </w:r>
      <w:r w:rsidR="002B443B">
        <w:t xml:space="preserve">has 12 AEZs and 13 </w:t>
      </w:r>
      <w:r w:rsidR="009470F2">
        <w:t xml:space="preserve">land-using </w:t>
      </w:r>
      <w:r w:rsidR="002B443B">
        <w:t>activities (PDR, WHT, GRO, V_F, OSD, C_B, PFB, OCR, CTL, OAP, RMK, WOL, FRS).</w:t>
      </w:r>
      <w:r w:rsidR="00C910E4">
        <w:t xml:space="preserve"> There are 8 land cover categories </w:t>
      </w:r>
      <w:r w:rsidR="003C11C8">
        <w:t>(cropland</w:t>
      </w:r>
      <w:r w:rsidR="00371590">
        <w:t>;</w:t>
      </w:r>
      <w:r w:rsidR="003C11C8">
        <w:t xml:space="preserve"> pastureland</w:t>
      </w:r>
      <w:r w:rsidR="00371590">
        <w:t>;</w:t>
      </w:r>
      <w:r w:rsidR="003C11C8">
        <w:t xml:space="preserve"> forest</w:t>
      </w:r>
      <w:r w:rsidR="00371590">
        <w:t>; savanna and grass lands; shrubland; built-up land; other land</w:t>
      </w:r>
      <w:r w:rsidR="00344590">
        <w:t>; unmanaged forest</w:t>
      </w:r>
      <w:r w:rsidR="003C11C8">
        <w:t>)</w:t>
      </w:r>
      <w:r w:rsidR="00344590">
        <w:t xml:space="preserve">. </w:t>
      </w:r>
      <w:r w:rsidR="0008407D">
        <w:t xml:space="preserve">For each AEZ, the total land used by crop activities </w:t>
      </w:r>
      <w:r w:rsidR="00FE68A6">
        <w:t xml:space="preserve">is equal to the size of cropland, the total land used by livestock activities </w:t>
      </w:r>
      <w:r w:rsidR="00D46FBF">
        <w:t>is equal to the size of pastureland</w:t>
      </w:r>
      <w:r w:rsidR="00D11843">
        <w:t xml:space="preserve"> and</w:t>
      </w:r>
      <w:r w:rsidR="00D46FBF">
        <w:t xml:space="preserve"> the land used by forestry is the same as the size of </w:t>
      </w:r>
      <w:r w:rsidR="00D11843">
        <w:t>forest.</w:t>
      </w:r>
      <w:r w:rsidR="00FE68A6">
        <w:t xml:space="preserve"> </w:t>
      </w:r>
      <w:r w:rsidR="00A25BA8">
        <w:t xml:space="preserve"> </w:t>
      </w:r>
      <w:r w:rsidR="002B443B">
        <w:t xml:space="preserve"> </w:t>
      </w:r>
    </w:p>
    <w:p w14:paraId="7DBB13E1" w14:textId="4D4A8383" w:rsidR="002B443B" w:rsidRDefault="002B443B" w:rsidP="008B3360">
      <w:pPr>
        <w:jc w:val="both"/>
      </w:pPr>
      <w:r w:rsidRPr="002B443B">
        <w:rPr>
          <w:noProof/>
        </w:rPr>
        <w:lastRenderedPageBreak/>
        <w:drawing>
          <wp:inline distT="0" distB="0" distL="0" distR="0" wp14:anchorId="408135FB" wp14:editId="6273BBAD">
            <wp:extent cx="59436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219200"/>
                    </a:xfrm>
                    <a:prstGeom prst="rect">
                      <a:avLst/>
                    </a:prstGeom>
                    <a:noFill/>
                    <a:ln>
                      <a:noFill/>
                    </a:ln>
                  </pic:spPr>
                </pic:pic>
              </a:graphicData>
            </a:graphic>
          </wp:inline>
        </w:drawing>
      </w:r>
    </w:p>
    <w:p w14:paraId="133D9998" w14:textId="7D2A979D" w:rsidR="00045B22" w:rsidRDefault="00045B22" w:rsidP="008B3360">
      <w:pPr>
        <w:jc w:val="both"/>
      </w:pPr>
      <w:r>
        <w:t>The advantages of using the GTAP-AEZ approach in MANAGE-WB are the following:</w:t>
      </w:r>
    </w:p>
    <w:p w14:paraId="3D3A281F" w14:textId="78109E49" w:rsidR="00045B22" w:rsidRDefault="00045B22" w:rsidP="008B3360">
      <w:pPr>
        <w:pStyle w:val="ListParagraph"/>
        <w:numPr>
          <w:ilvl w:val="0"/>
          <w:numId w:val="2"/>
        </w:numPr>
        <w:jc w:val="both"/>
        <w:rPr>
          <w:lang w:val="en-US"/>
        </w:rPr>
      </w:pPr>
      <w:r>
        <w:rPr>
          <w:lang w:val="en-US"/>
        </w:rPr>
        <w:t xml:space="preserve">A better depiction of competition </w:t>
      </w:r>
      <w:r w:rsidR="001E12A6">
        <w:rPr>
          <w:lang w:val="en-US"/>
        </w:rPr>
        <w:t xml:space="preserve">between different activities </w:t>
      </w:r>
      <w:r>
        <w:rPr>
          <w:lang w:val="en-US"/>
        </w:rPr>
        <w:t>for lan</w:t>
      </w:r>
      <w:r w:rsidR="001E12A6">
        <w:rPr>
          <w:lang w:val="en-US"/>
        </w:rPr>
        <w:t>d</w:t>
      </w:r>
      <w:r>
        <w:rPr>
          <w:lang w:val="en-US"/>
        </w:rPr>
        <w:t>. For instance, certain crops might not be found (or at very small shares) in certain AEZs such that they cannot (or almost do not) compete in these AEZs for land.</w:t>
      </w:r>
    </w:p>
    <w:p w14:paraId="7B22072C" w14:textId="60175A00" w:rsidR="00045B22" w:rsidRDefault="00045B22" w:rsidP="008B3360">
      <w:pPr>
        <w:pStyle w:val="ListParagraph"/>
        <w:numPr>
          <w:ilvl w:val="0"/>
          <w:numId w:val="2"/>
        </w:numPr>
        <w:jc w:val="both"/>
        <w:rPr>
          <w:lang w:val="en-US"/>
        </w:rPr>
      </w:pPr>
      <w:r>
        <w:rPr>
          <w:lang w:val="en-US"/>
        </w:rPr>
        <w:t>Carbon stocks per ha and land use class differ across AEZ</w:t>
      </w:r>
      <w:r w:rsidR="00B21C1E">
        <w:rPr>
          <w:lang w:val="en-US"/>
        </w:rPr>
        <w:t>s</w:t>
      </w:r>
      <w:r>
        <w:rPr>
          <w:lang w:val="en-US"/>
        </w:rPr>
        <w:t>.</w:t>
      </w:r>
    </w:p>
    <w:p w14:paraId="637A21FC" w14:textId="64544103" w:rsidR="00045B22" w:rsidRPr="0010109F" w:rsidRDefault="00045B22" w:rsidP="008B3360">
      <w:pPr>
        <w:pStyle w:val="ListParagraph"/>
        <w:numPr>
          <w:ilvl w:val="0"/>
          <w:numId w:val="2"/>
        </w:numPr>
        <w:jc w:val="both"/>
        <w:rPr>
          <w:lang w:val="en-US"/>
        </w:rPr>
      </w:pPr>
      <w:r>
        <w:rPr>
          <w:lang w:val="en-US"/>
        </w:rPr>
        <w:t>Improved interfacing with geo-referenced modelling approaches, for instance, crop and livestock productivity impacts from Climate Change might differ across the AEZ</w:t>
      </w:r>
      <w:r w:rsidR="00AF6559">
        <w:rPr>
          <w:lang w:val="en-US"/>
        </w:rPr>
        <w:t>s</w:t>
      </w:r>
      <w:r>
        <w:rPr>
          <w:lang w:val="en-US"/>
        </w:rPr>
        <w:t xml:space="preserve"> in a country.</w:t>
      </w:r>
    </w:p>
    <w:p w14:paraId="2045EA91" w14:textId="77777777" w:rsidR="004C4290" w:rsidRPr="001B2F48" w:rsidRDefault="004C4290" w:rsidP="008B3360">
      <w:pPr>
        <w:pStyle w:val="Heading1"/>
        <w:jc w:val="both"/>
        <w:rPr>
          <w:lang w:val="en-US"/>
        </w:rPr>
      </w:pPr>
      <w:r>
        <w:rPr>
          <w:lang w:val="en-US"/>
        </w:rPr>
        <w:t>Land use in physical term</w:t>
      </w:r>
    </w:p>
    <w:p w14:paraId="659959D3" w14:textId="49F1D8EE" w:rsidR="00045B22" w:rsidRDefault="002336C5" w:rsidP="008B3360">
      <w:pPr>
        <w:jc w:val="both"/>
      </w:pPr>
      <w:r>
        <w:t xml:space="preserve">In MANAGE-WB, </w:t>
      </w:r>
      <w:r w:rsidR="00045B22">
        <w:t xml:space="preserve">the demand for land </w:t>
      </w:r>
      <w:r w:rsidR="00EE5C59">
        <w:t xml:space="preserve">is defined </w:t>
      </w:r>
      <w:r w:rsidR="00045B22">
        <w:t xml:space="preserve">in physical terms. </w:t>
      </w:r>
      <w:r w:rsidR="00523714">
        <w:t>O</w:t>
      </w:r>
      <w:r w:rsidR="002765D5">
        <w:t xml:space="preserve">ne of the codes in </w:t>
      </w:r>
      <w:r w:rsidR="00045B22">
        <w:t xml:space="preserve">the </w:t>
      </w:r>
      <w:r w:rsidR="00E64FA8">
        <w:t>MANAG</w:t>
      </w:r>
      <w:r w:rsidR="00104C30">
        <w:t xml:space="preserve">E-WB </w:t>
      </w:r>
      <w:r w:rsidR="002765D5">
        <w:t>system</w:t>
      </w:r>
      <w:r w:rsidR="00104C30">
        <w:t xml:space="preserve"> reads </w:t>
      </w:r>
      <w:r w:rsidR="00097B97">
        <w:t>the data o</w:t>
      </w:r>
      <w:r w:rsidR="00045B22">
        <w:t xml:space="preserve">n harvested </w:t>
      </w:r>
      <w:r w:rsidR="000E3575">
        <w:t>areas</w:t>
      </w:r>
      <w:r w:rsidR="00045B22">
        <w:t xml:space="preserve"> for crop</w:t>
      </w:r>
      <w:r w:rsidR="00F76DF8">
        <w:t xml:space="preserve"> activities</w:t>
      </w:r>
      <w:r w:rsidR="000E3575">
        <w:t>,</w:t>
      </w:r>
      <w:r w:rsidR="00045B22">
        <w:t xml:space="preserve"> </w:t>
      </w:r>
      <w:r w:rsidR="003453CA">
        <w:t>pastureland</w:t>
      </w:r>
      <w:r w:rsidR="00045B22">
        <w:t xml:space="preserve"> areas for </w:t>
      </w:r>
      <w:r w:rsidR="00F33A3A">
        <w:t>livestock</w:t>
      </w:r>
      <w:r w:rsidR="00045B22">
        <w:t xml:space="preserve"> activities</w:t>
      </w:r>
      <w:r w:rsidR="00F33A3A">
        <w:t xml:space="preserve"> and </w:t>
      </w:r>
      <w:r w:rsidR="00CC569D">
        <w:t>managed forest area</w:t>
      </w:r>
      <w:r w:rsidR="00045B22">
        <w:t xml:space="preserve"> </w:t>
      </w:r>
      <w:r w:rsidR="00104C30">
        <w:t>from a</w:t>
      </w:r>
      <w:r w:rsidR="00B355D4">
        <w:t>n available</w:t>
      </w:r>
      <w:r w:rsidR="00104C30">
        <w:t xml:space="preserve"> data base</w:t>
      </w:r>
      <w:r w:rsidR="00097B97">
        <w:t xml:space="preserve"> – e.g., </w:t>
      </w:r>
      <w:r w:rsidR="00045B22">
        <w:t>the GTAP-AEZ data base in the MANAGE-WB system.</w:t>
      </w:r>
      <w:r w:rsidR="003453CA">
        <w:t xml:space="preserve"> </w:t>
      </w:r>
      <w:r w:rsidR="00BD1DFC">
        <w:t xml:space="preserve">Different </w:t>
      </w:r>
      <w:r w:rsidR="001A4DD4">
        <w:t xml:space="preserve">data </w:t>
      </w:r>
      <w:r w:rsidR="00BD1DFC">
        <w:t xml:space="preserve">using different land cover categories </w:t>
      </w:r>
      <w:r w:rsidR="001A4DD4">
        <w:t xml:space="preserve">can be </w:t>
      </w:r>
      <w:r w:rsidR="002E4547">
        <w:t>introduced</w:t>
      </w:r>
      <w:r w:rsidR="00BD1DFC">
        <w:t xml:space="preserve"> as well</w:t>
      </w:r>
      <w:r w:rsidR="002E4547">
        <w:t>.</w:t>
      </w:r>
    </w:p>
    <w:p w14:paraId="4717EA90" w14:textId="6021396C" w:rsidR="00045B22" w:rsidRDefault="004949E7" w:rsidP="008B3360">
      <w:pPr>
        <w:jc w:val="both"/>
      </w:pPr>
      <w:r>
        <w:t>T</w:t>
      </w:r>
      <w:r w:rsidR="00045B22">
        <w:t xml:space="preserve">he </w:t>
      </w:r>
      <w:r w:rsidR="001357BC">
        <w:t xml:space="preserve">size of </w:t>
      </w:r>
      <w:r w:rsidR="00045B22">
        <w:t xml:space="preserve">land </w:t>
      </w:r>
      <w:r w:rsidR="004F4D6D">
        <w:t xml:space="preserve">used </w:t>
      </w:r>
      <w:r w:rsidR="001357BC">
        <w:t>b</w:t>
      </w:r>
      <w:r w:rsidR="00045B22">
        <w:t xml:space="preserve">y activities are read into the parameter </w:t>
      </w:r>
      <w:r w:rsidR="00045B22" w:rsidRPr="00AA3C77">
        <w:t>land0</w:t>
      </w:r>
      <w:r w:rsidR="00045B22">
        <w:t xml:space="preserve">, along with data on the </w:t>
      </w:r>
      <w:r w:rsidR="00D1743B">
        <w:t>area</w:t>
      </w:r>
      <w:r w:rsidR="00045B22">
        <w:t xml:space="preserve"> of broader land cover categories stored in </w:t>
      </w:r>
      <w:r w:rsidR="00F23C48">
        <w:t xml:space="preserve">the set </w:t>
      </w:r>
      <w:proofErr w:type="spellStart"/>
      <w:r w:rsidR="00F23C48" w:rsidRPr="00AA3C77">
        <w:t>l</w:t>
      </w:r>
      <w:r w:rsidR="00045B22" w:rsidRPr="00AA3C77">
        <w:t>Cov</w:t>
      </w:r>
      <w:proofErr w:type="spellEnd"/>
      <w:r w:rsidR="00045B22">
        <w:t xml:space="preserve"> and related carbon stocks per unit of land (</w:t>
      </w:r>
      <w:proofErr w:type="spellStart"/>
      <w:r w:rsidR="00045B22" w:rsidRPr="00AA3C77">
        <w:t>carbCnt</w:t>
      </w:r>
      <w:proofErr w:type="spellEnd"/>
      <w:r w:rsidR="00045B22">
        <w:t>)</w:t>
      </w:r>
      <w:r w:rsidR="00125077">
        <w:t>.</w:t>
      </w:r>
    </w:p>
    <w:p w14:paraId="79BB53ED" w14:textId="228FB03F" w:rsidR="00045B22" w:rsidRDefault="00045B22" w:rsidP="008B3360">
      <w:pPr>
        <w:jc w:val="both"/>
      </w:pPr>
      <w:r w:rsidRPr="00FE7307">
        <w:rPr>
          <w:noProof/>
        </w:rPr>
        <w:drawing>
          <wp:inline distT="0" distB="0" distL="0" distR="0" wp14:anchorId="7D69322E" wp14:editId="47B711FC">
            <wp:extent cx="5760720" cy="614680"/>
            <wp:effectExtent l="0" t="0" r="0" b="0"/>
            <wp:docPr id="686406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0641" name=""/>
                    <pic:cNvPicPr/>
                  </pic:nvPicPr>
                  <pic:blipFill>
                    <a:blip r:embed="rId9"/>
                    <a:stretch>
                      <a:fillRect/>
                    </a:stretch>
                  </pic:blipFill>
                  <pic:spPr>
                    <a:xfrm>
                      <a:off x="0" y="0"/>
                      <a:ext cx="5760720" cy="614680"/>
                    </a:xfrm>
                    <a:prstGeom prst="rect">
                      <a:avLst/>
                    </a:prstGeom>
                  </pic:spPr>
                </pic:pic>
              </a:graphicData>
            </a:graphic>
          </wp:inline>
        </w:drawing>
      </w:r>
    </w:p>
    <w:p w14:paraId="2B5FEDC9" w14:textId="372F75C7" w:rsidR="00BB5B2E" w:rsidRDefault="00BB5B2E" w:rsidP="008B3360">
      <w:pPr>
        <w:jc w:val="both"/>
      </w:pPr>
      <w:r>
        <w:t xml:space="preserve">The MANAGE-WB system </w:t>
      </w:r>
      <w:r w:rsidR="00FF0071">
        <w:t xml:space="preserve">assigns </w:t>
      </w:r>
      <w:r w:rsidRPr="00AA3C77">
        <w:t>land0</w:t>
      </w:r>
      <w:r w:rsidR="00B71521" w:rsidRPr="00AA3C77">
        <w:t>(fp</w:t>
      </w:r>
      <w:proofErr w:type="gramStart"/>
      <w:r w:rsidR="00B71521" w:rsidRPr="00AA3C77">
        <w:t>0,a</w:t>
      </w:r>
      <w:proofErr w:type="gramEnd"/>
      <w:r w:rsidR="00B71521" w:rsidRPr="00AA3C77">
        <w:t>0)</w:t>
      </w:r>
      <w:r>
        <w:t xml:space="preserve"> to the </w:t>
      </w:r>
      <w:r w:rsidR="002E7F0F">
        <w:t xml:space="preserve">land-using </w:t>
      </w:r>
      <w:r>
        <w:t>activities</w:t>
      </w:r>
      <w:r w:rsidR="00B71521">
        <w:t xml:space="preserve"> </w:t>
      </w:r>
      <w:r>
        <w:t>in the SAM (the second statement will remove the information on physical land use if data for some activities is missing).</w:t>
      </w:r>
      <w:r w:rsidR="00670B16">
        <w:t xml:space="preserve"> </w:t>
      </w:r>
    </w:p>
    <w:p w14:paraId="3B1E14D2" w14:textId="6C7FCECB" w:rsidR="00670B16" w:rsidRDefault="00670B16" w:rsidP="008B3360">
      <w:pPr>
        <w:jc w:val="both"/>
      </w:pPr>
      <w:r>
        <w:t xml:space="preserve">If the AEZs are available, the set </w:t>
      </w:r>
      <w:proofErr w:type="spellStart"/>
      <w:r w:rsidRPr="00AD1B5B">
        <w:t>lnd</w:t>
      </w:r>
      <w:proofErr w:type="spellEnd"/>
      <w:r w:rsidRPr="00AD1B5B">
        <w:t xml:space="preserve"> </w:t>
      </w:r>
      <w:r>
        <w:t>covers the AEZ</w:t>
      </w:r>
      <w:r w:rsidR="00AD1B5B">
        <w:t xml:space="preserve"> lands</w:t>
      </w:r>
      <w:r>
        <w:t xml:space="preserve">. Otherwise, it refers typically to one </w:t>
      </w:r>
      <w:r w:rsidR="00AD1B5B">
        <w:t xml:space="preserve">economywide </w:t>
      </w:r>
      <w:r>
        <w:t>land category.</w:t>
      </w:r>
    </w:p>
    <w:p w14:paraId="6DB17529" w14:textId="4BE8886D" w:rsidR="00530577" w:rsidRDefault="00530577" w:rsidP="008B3360">
      <w:pPr>
        <w:jc w:val="both"/>
      </w:pPr>
      <w:r w:rsidRPr="00FE7307">
        <w:rPr>
          <w:noProof/>
        </w:rPr>
        <w:drawing>
          <wp:inline distT="0" distB="0" distL="0" distR="0" wp14:anchorId="32C6920B" wp14:editId="06DD7EAD">
            <wp:extent cx="5760720" cy="238125"/>
            <wp:effectExtent l="0" t="0" r="0" b="9525"/>
            <wp:docPr id="9145312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31287" name=""/>
                    <pic:cNvPicPr/>
                  </pic:nvPicPr>
                  <pic:blipFill>
                    <a:blip r:embed="rId10"/>
                    <a:stretch>
                      <a:fillRect/>
                    </a:stretch>
                  </pic:blipFill>
                  <pic:spPr>
                    <a:xfrm>
                      <a:off x="0" y="0"/>
                      <a:ext cx="5760720" cy="238125"/>
                    </a:xfrm>
                    <a:prstGeom prst="rect">
                      <a:avLst/>
                    </a:prstGeom>
                  </pic:spPr>
                </pic:pic>
              </a:graphicData>
            </a:graphic>
          </wp:inline>
        </w:drawing>
      </w:r>
    </w:p>
    <w:p w14:paraId="11A92E6B" w14:textId="6AFC7712" w:rsidR="00530577" w:rsidRDefault="00941F5A" w:rsidP="008B3360">
      <w:pPr>
        <w:jc w:val="both"/>
      </w:pPr>
      <w:r>
        <w:t xml:space="preserve">The above statement </w:t>
      </w:r>
      <w:r w:rsidR="008213FF">
        <w:t xml:space="preserve">initializes land </w:t>
      </w:r>
      <w:r w:rsidR="0019283C">
        <w:t xml:space="preserve">demand </w:t>
      </w:r>
      <w:r w:rsidR="00282C2B">
        <w:t>(</w:t>
      </w:r>
      <w:proofErr w:type="spellStart"/>
      <w:r w:rsidR="00282C2B" w:rsidRPr="006E40BF">
        <w:t>xfac</w:t>
      </w:r>
      <w:proofErr w:type="spellEnd"/>
      <w:r w:rsidR="00282C2B" w:rsidRPr="006E40BF">
        <w:t>)</w:t>
      </w:r>
      <w:r w:rsidR="00282C2B">
        <w:t xml:space="preserve"> </w:t>
      </w:r>
      <w:r w:rsidR="008213FF">
        <w:t xml:space="preserve">by activities with the data </w:t>
      </w:r>
      <w:r w:rsidR="0019283C">
        <w:t>embedded</w:t>
      </w:r>
      <w:r w:rsidR="008213FF">
        <w:t xml:space="preserve"> </w:t>
      </w:r>
      <w:r w:rsidR="0019283C">
        <w:t xml:space="preserve">in </w:t>
      </w:r>
      <w:r w:rsidR="0019283C" w:rsidRPr="006E40BF">
        <w:t>land</w:t>
      </w:r>
      <w:r w:rsidR="006E40BF">
        <w:t>(</w:t>
      </w:r>
      <w:proofErr w:type="spellStart"/>
      <w:proofErr w:type="gramStart"/>
      <w:r w:rsidR="006E40BF">
        <w:t>lnd,a</w:t>
      </w:r>
      <w:proofErr w:type="spellEnd"/>
      <w:proofErr w:type="gramEnd"/>
      <w:r w:rsidR="006E40BF">
        <w:t>)</w:t>
      </w:r>
      <w:r w:rsidR="0019283C">
        <w:t>.</w:t>
      </w:r>
      <w:r w:rsidR="00CA5A9E">
        <w:t xml:space="preserve"> </w:t>
      </w:r>
      <w:r w:rsidR="0019283C">
        <w:t>As land is defined in physical term, the price</w:t>
      </w:r>
      <w:r w:rsidR="00A3137B">
        <w:t>s</w:t>
      </w:r>
      <w:r w:rsidR="0019283C">
        <w:t xml:space="preserve"> of land </w:t>
      </w:r>
      <w:r w:rsidR="00933E9C">
        <w:t xml:space="preserve">by activities </w:t>
      </w:r>
      <w:r w:rsidR="0019283C">
        <w:t xml:space="preserve">are </w:t>
      </w:r>
      <w:r w:rsidR="009D5079">
        <w:t xml:space="preserve">expressed in </w:t>
      </w:r>
      <w:r w:rsidR="0019283C">
        <w:t>per ha.</w:t>
      </w:r>
    </w:p>
    <w:p w14:paraId="54DD4DDA" w14:textId="036F8B94" w:rsidR="00BB5B2E" w:rsidRPr="00BB5B2E" w:rsidRDefault="00BB5B2E" w:rsidP="008B3360">
      <w:pPr>
        <w:pStyle w:val="Heading1"/>
        <w:jc w:val="both"/>
      </w:pPr>
      <w:r w:rsidRPr="00BB5B2E">
        <w:t>Land use cover accounting</w:t>
      </w:r>
    </w:p>
    <w:p w14:paraId="42C49D08" w14:textId="1D4DDD4A" w:rsidR="00BB5B2E" w:rsidRDefault="00BB5B2E" w:rsidP="008B3360">
      <w:pPr>
        <w:jc w:val="both"/>
      </w:pPr>
      <w:r w:rsidRPr="001B2F48">
        <w:t xml:space="preserve">The </w:t>
      </w:r>
      <w:r w:rsidR="00E655B3">
        <w:t xml:space="preserve">data on </w:t>
      </w:r>
      <w:r>
        <w:t xml:space="preserve">land cover </w:t>
      </w:r>
      <w:r w:rsidR="00E655B3">
        <w:t>categories</w:t>
      </w:r>
      <w:r w:rsidRPr="001B2F48">
        <w:t xml:space="preserve"> </w:t>
      </w:r>
      <w:r>
        <w:t xml:space="preserve">stored in </w:t>
      </w:r>
      <w:proofErr w:type="spellStart"/>
      <w:r w:rsidR="009D5079" w:rsidRPr="0074704E">
        <w:t>l</w:t>
      </w:r>
      <w:r w:rsidRPr="0074704E">
        <w:t>Cov</w:t>
      </w:r>
      <w:proofErr w:type="spellEnd"/>
      <w:r>
        <w:t xml:space="preserve"> cover</w:t>
      </w:r>
      <w:r w:rsidR="00EF0A26">
        <w:t>s</w:t>
      </w:r>
      <w:r>
        <w:t xml:space="preserve"> three categories of managed land (</w:t>
      </w:r>
      <w:r w:rsidRPr="0074704E">
        <w:t>cropland, pastureland, forest</w:t>
      </w:r>
      <w:r>
        <w:t xml:space="preserve">) which can be linked to </w:t>
      </w:r>
      <w:r w:rsidR="00B360D3">
        <w:t xml:space="preserve">the </w:t>
      </w:r>
      <w:r>
        <w:t>activities in the SAM.</w:t>
      </w:r>
    </w:p>
    <w:p w14:paraId="56E92406" w14:textId="61381D6D" w:rsidR="00875D89" w:rsidRDefault="006829CD" w:rsidP="008B3360">
      <w:pPr>
        <w:jc w:val="both"/>
      </w:pPr>
      <w:r>
        <w:lastRenderedPageBreak/>
        <w:t xml:space="preserve">When </w:t>
      </w:r>
      <w:r w:rsidR="00C508D2">
        <w:t>using the GTAP-AEZ data base, t</w:t>
      </w:r>
      <w:r w:rsidR="00875D89">
        <w:t xml:space="preserve">he mapping </w:t>
      </w:r>
      <w:r w:rsidR="00C05743">
        <w:t>between</w:t>
      </w:r>
      <w:r w:rsidR="00875D89">
        <w:t xml:space="preserve"> </w:t>
      </w:r>
      <w:r w:rsidR="00AD1BE3" w:rsidRPr="0074704E">
        <w:t>cropland, pastureland</w:t>
      </w:r>
      <w:r w:rsidR="00846C4D" w:rsidRPr="0074704E">
        <w:t xml:space="preserve">, </w:t>
      </w:r>
      <w:r w:rsidR="00AD1BE3" w:rsidRPr="0074704E">
        <w:t>forest</w:t>
      </w:r>
      <w:r w:rsidR="00875D89">
        <w:t xml:space="preserve"> </w:t>
      </w:r>
      <w:r w:rsidR="00C05743">
        <w:t xml:space="preserve">and the </w:t>
      </w:r>
      <w:r w:rsidR="00875D89">
        <w:t xml:space="preserve">production activities </w:t>
      </w:r>
      <w:r w:rsidR="005D0159">
        <w:t xml:space="preserve">in the SAM </w:t>
      </w:r>
      <w:r w:rsidR="00875D89">
        <w:t xml:space="preserve">is done automatically based on the mapping provided in the </w:t>
      </w:r>
      <w:r w:rsidR="0065469A">
        <w:t xml:space="preserve">MANAGE-WB </w:t>
      </w:r>
      <w:r w:rsidR="0085117C">
        <w:t>data</w:t>
      </w:r>
      <w:r w:rsidR="00DC109F">
        <w:t xml:space="preserve"> </w:t>
      </w:r>
      <w:r w:rsidR="0085117C">
        <w:t>base</w:t>
      </w:r>
      <w:r w:rsidR="00875D89">
        <w:t xml:space="preserve">. </w:t>
      </w:r>
      <w:r w:rsidR="003C336C">
        <w:t xml:space="preserve">The code </w:t>
      </w:r>
      <w:r w:rsidR="00875D89">
        <w:t xml:space="preserve">defines three new sets </w:t>
      </w:r>
      <w:r w:rsidR="00E13921">
        <w:t xml:space="preserve">of broader activities </w:t>
      </w:r>
      <w:r w:rsidR="00875D89">
        <w:t>(</w:t>
      </w:r>
      <w:r w:rsidR="00875D89" w:rsidRPr="00352CF9">
        <w:t xml:space="preserve">crops, </w:t>
      </w:r>
      <w:proofErr w:type="spellStart"/>
      <w:r w:rsidR="00875D89" w:rsidRPr="00352CF9">
        <w:t>anim</w:t>
      </w:r>
      <w:proofErr w:type="spellEnd"/>
      <w:r w:rsidR="00875D89" w:rsidRPr="00352CF9">
        <w:t xml:space="preserve">, </w:t>
      </w:r>
      <w:proofErr w:type="spellStart"/>
      <w:r w:rsidR="00875D89" w:rsidRPr="00352CF9">
        <w:t>frs</w:t>
      </w:r>
      <w:proofErr w:type="spellEnd"/>
      <w:r w:rsidR="00875D89">
        <w:t>) to do so:</w:t>
      </w:r>
    </w:p>
    <w:p w14:paraId="48F2F2F8" w14:textId="0AEFFC7D" w:rsidR="00BB5B2E" w:rsidRDefault="004D392C" w:rsidP="008B3360">
      <w:pPr>
        <w:jc w:val="both"/>
      </w:pPr>
      <w:r>
        <w:rPr>
          <w:noProof/>
          <w:lang w:val="en-GB" w:eastAsia="en-GB"/>
        </w:rPr>
        <w:drawing>
          <wp:inline distT="0" distB="0" distL="0" distR="0" wp14:anchorId="487BD13D" wp14:editId="58261FB4">
            <wp:extent cx="4759703" cy="2878372"/>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8951" cy="2890012"/>
                    </a:xfrm>
                    <a:prstGeom prst="rect">
                      <a:avLst/>
                    </a:prstGeom>
                    <a:noFill/>
                    <a:ln>
                      <a:noFill/>
                    </a:ln>
                  </pic:spPr>
                </pic:pic>
              </a:graphicData>
            </a:graphic>
          </wp:inline>
        </w:drawing>
      </w:r>
    </w:p>
    <w:p w14:paraId="267E39DC" w14:textId="12B01A9C" w:rsidR="00D65A71" w:rsidRDefault="00D65A71" w:rsidP="008B3360">
      <w:pPr>
        <w:jc w:val="both"/>
      </w:pPr>
      <w:r>
        <w:t xml:space="preserve">The </w:t>
      </w:r>
      <w:r w:rsidR="00DD646D">
        <w:t>managed (</w:t>
      </w:r>
      <w:r>
        <w:t>land cover</w:t>
      </w:r>
      <w:r w:rsidR="00DD646D">
        <w:t>)</w:t>
      </w:r>
      <w:r>
        <w:t xml:space="preserve"> for these three categories </w:t>
      </w:r>
      <w:r w:rsidR="005255FF">
        <w:t xml:space="preserve">(in </w:t>
      </w:r>
      <w:r w:rsidR="00352CF9">
        <w:t>million</w:t>
      </w:r>
      <w:r w:rsidR="005255FF">
        <w:t xml:space="preserve"> ha) </w:t>
      </w:r>
      <w:r>
        <w:t xml:space="preserve">is defined using the definition of </w:t>
      </w:r>
      <w:proofErr w:type="spellStart"/>
      <w:r w:rsidRPr="00C3450E">
        <w:t>xfac</w:t>
      </w:r>
      <w:proofErr w:type="spellEnd"/>
      <w:r>
        <w:t xml:space="preserve"> for land in physical terms</w:t>
      </w:r>
      <w:r w:rsidR="00A9456F">
        <w:t xml:space="preserve"> which is the quantity of </w:t>
      </w:r>
      <w:r w:rsidR="00864A85">
        <w:t>land demanded</w:t>
      </w:r>
      <w:r>
        <w:t>.</w:t>
      </w:r>
    </w:p>
    <w:p w14:paraId="48694E5C" w14:textId="27061BA3" w:rsidR="004D392C" w:rsidRDefault="0036328F" w:rsidP="008B3360">
      <w:pPr>
        <w:jc w:val="both"/>
      </w:pPr>
      <w:r w:rsidRPr="00FE7307">
        <w:rPr>
          <w:noProof/>
        </w:rPr>
        <w:drawing>
          <wp:inline distT="0" distB="0" distL="0" distR="0" wp14:anchorId="305F06D8" wp14:editId="48966303">
            <wp:extent cx="5760720" cy="400685"/>
            <wp:effectExtent l="0" t="0" r="0" b="0"/>
            <wp:docPr id="8572835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83577" name=""/>
                    <pic:cNvPicPr/>
                  </pic:nvPicPr>
                  <pic:blipFill>
                    <a:blip r:embed="rId12"/>
                    <a:stretch>
                      <a:fillRect/>
                    </a:stretch>
                  </pic:blipFill>
                  <pic:spPr>
                    <a:xfrm>
                      <a:off x="0" y="0"/>
                      <a:ext cx="5760720" cy="400685"/>
                    </a:xfrm>
                    <a:prstGeom prst="rect">
                      <a:avLst/>
                    </a:prstGeom>
                  </pic:spPr>
                </pic:pic>
              </a:graphicData>
            </a:graphic>
          </wp:inline>
        </w:drawing>
      </w:r>
    </w:p>
    <w:p w14:paraId="23FE23B8" w14:textId="0ECD0CC0" w:rsidR="0076757A" w:rsidRDefault="0076757A" w:rsidP="008B3360">
      <w:pPr>
        <w:jc w:val="both"/>
      </w:pPr>
      <w:r>
        <w:t xml:space="preserve">The unmanaged </w:t>
      </w:r>
      <w:r w:rsidR="002F38C2">
        <w:t xml:space="preserve">(land cover) </w:t>
      </w:r>
      <w:r>
        <w:t xml:space="preserve">categories are </w:t>
      </w:r>
      <w:r w:rsidR="003C1C30">
        <w:t xml:space="preserve">defined as </w:t>
      </w:r>
      <w:r>
        <w:t xml:space="preserve">those which are not linked to </w:t>
      </w:r>
      <w:r w:rsidR="003361BD">
        <w:t xml:space="preserve">the </w:t>
      </w:r>
      <w:r>
        <w:t xml:space="preserve">SAM accounts. With the exemption of </w:t>
      </w:r>
      <w:proofErr w:type="spellStart"/>
      <w:r w:rsidRPr="00C3450E">
        <w:t>otherLand</w:t>
      </w:r>
      <w:proofErr w:type="spellEnd"/>
      <w:r>
        <w:t xml:space="preserve"> (glaciers, water bodies etc.) and </w:t>
      </w:r>
      <w:r w:rsidR="003C1C30">
        <w:t>b</w:t>
      </w:r>
      <w:r>
        <w:t>uilt</w:t>
      </w:r>
      <w:r w:rsidR="00E337DA">
        <w:t>-</w:t>
      </w:r>
      <w:r>
        <w:t>up</w:t>
      </w:r>
      <w:r w:rsidR="00E337DA">
        <w:t xml:space="preserve"> </w:t>
      </w:r>
      <w:r>
        <w:t xml:space="preserve">land, </w:t>
      </w:r>
      <w:r w:rsidR="00BC6D0A">
        <w:t xml:space="preserve">the </w:t>
      </w:r>
      <w:r>
        <w:t xml:space="preserve">changes in the summed-up area of managed categories implies </w:t>
      </w:r>
      <w:r w:rsidR="00BC6D0A">
        <w:t xml:space="preserve">the </w:t>
      </w:r>
      <w:r>
        <w:t>changes in unmanaged ones:</w:t>
      </w:r>
    </w:p>
    <w:p w14:paraId="7729BBE6" w14:textId="76510C8E" w:rsidR="00AE1D70" w:rsidRDefault="005C0414" w:rsidP="008B3360">
      <w:pPr>
        <w:jc w:val="both"/>
      </w:pPr>
      <w:r w:rsidRPr="00FE7307">
        <w:rPr>
          <w:noProof/>
        </w:rPr>
        <w:drawing>
          <wp:inline distT="0" distB="0" distL="0" distR="0" wp14:anchorId="1E5B896A" wp14:editId="38B37BA7">
            <wp:extent cx="5760720" cy="921385"/>
            <wp:effectExtent l="0" t="0" r="0" b="0"/>
            <wp:docPr id="16156050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05014" name=""/>
                    <pic:cNvPicPr/>
                  </pic:nvPicPr>
                  <pic:blipFill>
                    <a:blip r:embed="rId13"/>
                    <a:stretch>
                      <a:fillRect/>
                    </a:stretch>
                  </pic:blipFill>
                  <pic:spPr>
                    <a:xfrm>
                      <a:off x="0" y="0"/>
                      <a:ext cx="5760720" cy="921385"/>
                    </a:xfrm>
                    <a:prstGeom prst="rect">
                      <a:avLst/>
                    </a:prstGeom>
                  </pic:spPr>
                </pic:pic>
              </a:graphicData>
            </a:graphic>
          </wp:inline>
        </w:drawing>
      </w:r>
    </w:p>
    <w:p w14:paraId="47D08663" w14:textId="77777777" w:rsidR="00192DB6" w:rsidRDefault="00192DB6" w:rsidP="008B3360">
      <w:pPr>
        <w:jc w:val="both"/>
      </w:pPr>
      <w:r w:rsidRPr="004D0EF4">
        <w:t xml:space="preserve">Note that this mechanism is </w:t>
      </w:r>
      <w:r w:rsidRPr="00BF39EA">
        <w:t>not</w:t>
      </w:r>
      <w:r w:rsidRPr="004D0EF4">
        <w:rPr>
          <w:i/>
          <w:iCs/>
        </w:rPr>
        <w:t xml:space="preserve"> </w:t>
      </w:r>
      <w:r w:rsidRPr="004D0EF4">
        <w:t>part of the original GTAP-AEZ model</w:t>
      </w:r>
      <w:r>
        <w:t xml:space="preserve"> where </w:t>
      </w:r>
      <w:r w:rsidRPr="004D0EF4">
        <w:t xml:space="preserve">the stock of total managed </w:t>
      </w:r>
      <w:r>
        <w:t xml:space="preserve">land </w:t>
      </w:r>
      <w:r w:rsidRPr="004D0EF4">
        <w:t>is fixed.</w:t>
      </w:r>
      <w:r>
        <w:t xml:space="preserve"> However, a version in development by the center will add this.</w:t>
      </w:r>
    </w:p>
    <w:p w14:paraId="25C05F01" w14:textId="38198D5A" w:rsidR="00192DB6" w:rsidRDefault="00192DB6" w:rsidP="008B3360">
      <w:pPr>
        <w:jc w:val="both"/>
      </w:pPr>
      <w:r>
        <w:t xml:space="preserve">The three changing categories of unmanaged land are </w:t>
      </w:r>
      <w:r w:rsidRPr="0075747B">
        <w:t xml:space="preserve">shrubland, </w:t>
      </w:r>
      <w:proofErr w:type="spellStart"/>
      <w:r w:rsidRPr="0075747B">
        <w:t>SavnGrassLnd</w:t>
      </w:r>
      <w:proofErr w:type="spellEnd"/>
      <w:r w:rsidRPr="0075747B">
        <w:t xml:space="preserve"> and </w:t>
      </w:r>
      <w:proofErr w:type="spellStart"/>
      <w:r w:rsidRPr="0075747B">
        <w:t>unManagedForest</w:t>
      </w:r>
      <w:proofErr w:type="spellEnd"/>
      <w:r w:rsidRPr="0075747B">
        <w:t>.</w:t>
      </w:r>
      <w:r>
        <w:t xml:space="preserve"> The data for </w:t>
      </w:r>
      <w:proofErr w:type="spellStart"/>
      <w:r w:rsidRPr="00953C36">
        <w:t>unManagedForest</w:t>
      </w:r>
      <w:proofErr w:type="spellEnd"/>
      <w:r w:rsidRPr="00953C36">
        <w:t xml:space="preserve"> </w:t>
      </w:r>
      <w:r>
        <w:t xml:space="preserve">are not reported by the GTAP center. They are calculated as the difference between the summed-up size of the AEZs of a country based on GIS analysis and the </w:t>
      </w:r>
      <w:r w:rsidR="00B03BF2">
        <w:t>area</w:t>
      </w:r>
      <w:r>
        <w:t xml:space="preserve"> of all </w:t>
      </w:r>
      <w:r w:rsidR="00C71054">
        <w:t xml:space="preserve">the </w:t>
      </w:r>
      <w:r>
        <w:t xml:space="preserve">reported land cover categories. The </w:t>
      </w:r>
      <w:r w:rsidR="00C71054">
        <w:t>area</w:t>
      </w:r>
      <w:r>
        <w:t xml:space="preserve"> of </w:t>
      </w:r>
      <w:proofErr w:type="spellStart"/>
      <w:r w:rsidRPr="00953C36">
        <w:t>managedForest</w:t>
      </w:r>
      <w:proofErr w:type="spellEnd"/>
      <w:r w:rsidRPr="00953C36">
        <w:t xml:space="preserve"> </w:t>
      </w:r>
      <w:r>
        <w:t>is calculated by the GTAP center based on a definition of accessibility.</w:t>
      </w:r>
    </w:p>
    <w:p w14:paraId="60097770" w14:textId="77777777" w:rsidR="00192DB6" w:rsidRDefault="00192DB6" w:rsidP="008B3360">
      <w:pPr>
        <w:jc w:val="both"/>
      </w:pPr>
      <w:r>
        <w:t xml:space="preserve">This land cover accounting is implemented in the model based on the equation </w:t>
      </w:r>
      <w:proofErr w:type="spellStart"/>
      <w:r w:rsidRPr="00953C36">
        <w:t>lCovAreaEq</w:t>
      </w:r>
      <w:proofErr w:type="spellEnd"/>
      <w:r>
        <w:t>:</w:t>
      </w:r>
    </w:p>
    <w:p w14:paraId="2279ADCC" w14:textId="185F04CF" w:rsidR="00CA147A" w:rsidRDefault="00CA147A" w:rsidP="008B3360">
      <w:pPr>
        <w:pStyle w:val="NormalWeb"/>
        <w:jc w:val="both"/>
      </w:pPr>
      <w:r>
        <w:rPr>
          <w:noProof/>
        </w:rPr>
        <w:lastRenderedPageBreak/>
        <w:drawing>
          <wp:inline distT="0" distB="0" distL="0" distR="0" wp14:anchorId="4EB21FC5" wp14:editId="2E743914">
            <wp:extent cx="5943600" cy="3212327"/>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838" cy="3225427"/>
                    </a:xfrm>
                    <a:prstGeom prst="rect">
                      <a:avLst/>
                    </a:prstGeom>
                    <a:noFill/>
                    <a:ln>
                      <a:noFill/>
                    </a:ln>
                  </pic:spPr>
                </pic:pic>
              </a:graphicData>
            </a:graphic>
          </wp:inline>
        </w:drawing>
      </w:r>
    </w:p>
    <w:p w14:paraId="3AF1D040" w14:textId="326AAB56" w:rsidR="00552635" w:rsidRDefault="00552635" w:rsidP="008B3360">
      <w:pPr>
        <w:jc w:val="both"/>
      </w:pPr>
      <w:r>
        <w:t xml:space="preserve">The first </w:t>
      </w:r>
      <w:r w:rsidR="000E7915">
        <w:t xml:space="preserve">and second </w:t>
      </w:r>
      <w:r>
        <w:t>block</w:t>
      </w:r>
      <w:r w:rsidR="000E7915">
        <w:t>s</w:t>
      </w:r>
      <w:r>
        <w:t xml:space="preserve"> </w:t>
      </w:r>
      <w:r w:rsidR="00CA147A">
        <w:t>of</w:t>
      </w:r>
      <w:r>
        <w:t xml:space="preserve"> this equation relate to the three managed land cover categories. Their acreage is calculated by adding up </w:t>
      </w:r>
      <w:r w:rsidR="008764B3">
        <w:t xml:space="preserve">their acreage in t-1 </w:t>
      </w:r>
      <w:r w:rsidR="00E41E30">
        <w:t xml:space="preserve">and </w:t>
      </w:r>
      <w:r>
        <w:t xml:space="preserve">the </w:t>
      </w:r>
      <w:r w:rsidR="00E41E30">
        <w:t xml:space="preserve">change in the </w:t>
      </w:r>
      <w:r>
        <w:t xml:space="preserve">land demand </w:t>
      </w:r>
      <w:proofErr w:type="spellStart"/>
      <w:r w:rsidRPr="00953C36">
        <w:t>xfac</w:t>
      </w:r>
      <w:proofErr w:type="spellEnd"/>
      <w:r>
        <w:t xml:space="preserve"> for the three blocks of activities (</w:t>
      </w:r>
      <w:r w:rsidRPr="00953C36">
        <w:t>crops, animals, forest</w:t>
      </w:r>
      <w:r>
        <w:t>) mapped to the three managed land categories (</w:t>
      </w:r>
      <w:r w:rsidRPr="00953C36">
        <w:t>cropland, pastureland, forest</w:t>
      </w:r>
      <w:r>
        <w:t xml:space="preserve">). </w:t>
      </w:r>
    </w:p>
    <w:p w14:paraId="69CEF759" w14:textId="4B54698B" w:rsidR="00552635" w:rsidRDefault="00552635" w:rsidP="008B3360">
      <w:pPr>
        <w:jc w:val="both"/>
      </w:pPr>
      <w:r w:rsidRPr="004D0EF4">
        <w:t xml:space="preserve">The </w:t>
      </w:r>
      <w:r w:rsidR="00054E7F">
        <w:t xml:space="preserve">first and </w:t>
      </w:r>
      <w:r w:rsidR="000E7915">
        <w:t>third</w:t>
      </w:r>
      <w:r w:rsidRPr="004D0EF4">
        <w:t xml:space="preserve"> block</w:t>
      </w:r>
      <w:r w:rsidR="00054E7F">
        <w:t>s</w:t>
      </w:r>
      <w:r w:rsidRPr="004D0EF4">
        <w:t xml:space="preserve"> define the </w:t>
      </w:r>
      <w:r w:rsidR="00FC190A">
        <w:t xml:space="preserve">size of the </w:t>
      </w:r>
      <w:r w:rsidRPr="004D0EF4">
        <w:t xml:space="preserve">unmanaged </w:t>
      </w:r>
      <w:r w:rsidR="00FC190A">
        <w:t>(</w:t>
      </w:r>
      <w:r w:rsidRPr="004D0EF4">
        <w:t xml:space="preserve">land </w:t>
      </w:r>
      <w:r w:rsidR="00FC190A">
        <w:t xml:space="preserve">cover) </w:t>
      </w:r>
      <w:r w:rsidRPr="004D0EF4">
        <w:t xml:space="preserve">categories </w:t>
      </w:r>
      <w:r w:rsidR="00C72CEF">
        <w:t xml:space="preserve">– </w:t>
      </w:r>
      <w:r w:rsidRPr="004D0EF4">
        <w:t>based</w:t>
      </w:r>
      <w:r w:rsidR="00C72CEF">
        <w:t xml:space="preserve"> </w:t>
      </w:r>
      <w:r w:rsidRPr="004D0EF4">
        <w:t>on their level in t-1 minus the changes in the managed ones</w:t>
      </w:r>
      <w:r w:rsidR="00FA4DD0">
        <w:t xml:space="preserve"> multiplied by </w:t>
      </w:r>
      <w:r w:rsidR="00DD1EF8">
        <w:t xml:space="preserve">the land transition matrix, </w:t>
      </w:r>
      <w:proofErr w:type="spellStart"/>
      <w:r w:rsidR="00DD1EF8" w:rsidRPr="00953C36">
        <w:t>lndTransMat</w:t>
      </w:r>
      <w:proofErr w:type="spellEnd"/>
      <w:r w:rsidRPr="004D0EF4">
        <w:t xml:space="preserve">. </w:t>
      </w:r>
    </w:p>
    <w:p w14:paraId="481ADC24" w14:textId="5A34BC83" w:rsidR="00D8779A" w:rsidRDefault="00552635" w:rsidP="008B3360">
      <w:pPr>
        <w:jc w:val="both"/>
      </w:pPr>
      <w:r>
        <w:t xml:space="preserve">It is recommended to use the additive CET functional form in factor </w:t>
      </w:r>
      <w:proofErr w:type="spellStart"/>
      <w:r>
        <w:t>nestings</w:t>
      </w:r>
      <w:proofErr w:type="spellEnd"/>
      <w:r>
        <w:t xml:space="preserve"> </w:t>
      </w:r>
      <w:r w:rsidR="008B345F">
        <w:t xml:space="preserve">for </w:t>
      </w:r>
      <w:r>
        <w:t xml:space="preserve">land use to ensure that </w:t>
      </w:r>
      <w:r w:rsidR="005661D2">
        <w:t xml:space="preserve">the changes in </w:t>
      </w:r>
      <w:r>
        <w:t xml:space="preserve">land cover </w:t>
      </w:r>
      <w:r w:rsidR="005661D2">
        <w:t>types</w:t>
      </w:r>
      <w:r>
        <w:t xml:space="preserve"> add-up to zero. </w:t>
      </w:r>
      <w:r w:rsidR="00B80CEB">
        <w:t xml:space="preserve">In </w:t>
      </w:r>
      <w:r w:rsidR="00E04D45">
        <w:t>an</w:t>
      </w:r>
      <w:r>
        <w:t xml:space="preserve"> extreme case</w:t>
      </w:r>
      <w:r w:rsidR="007A6D01">
        <w:t>,</w:t>
      </w:r>
      <w:r>
        <w:t xml:space="preserve"> solely one activity is mapped to each of the three managed GTAP-AEZ land use </w:t>
      </w:r>
      <w:r w:rsidR="007A6D01">
        <w:t>categories</w:t>
      </w:r>
      <w:r>
        <w:t xml:space="preserve">. From an economic perspective, the AEZs can be understood as a dis-aggregation of the land account. For an individual activity using land, the GTAP-AEZ introduces a nest which aggregates the land use in each AEZ to total land use. </w:t>
      </w:r>
    </w:p>
    <w:p w14:paraId="20C5868B" w14:textId="4BAFECF4" w:rsidR="00BE6914" w:rsidRDefault="00552635" w:rsidP="008B3360">
      <w:pPr>
        <w:jc w:val="both"/>
      </w:pPr>
      <w:r>
        <w:t xml:space="preserve">In the </w:t>
      </w:r>
      <w:r w:rsidR="00C80D03">
        <w:t>MANAGE-WB data base</w:t>
      </w:r>
      <w:r>
        <w:t>, this is implemented by the following table</w:t>
      </w:r>
      <w:r w:rsidR="00D9069D">
        <w:t xml:space="preserve"> which shows the demand </w:t>
      </w:r>
      <w:r w:rsidR="00C459DD">
        <w:t>system of the production activities</w:t>
      </w:r>
      <w:r w:rsidR="00F57243">
        <w:t xml:space="preserve">. </w:t>
      </w:r>
      <w:r w:rsidR="008E52CD">
        <w:t xml:space="preserve">As can be seen, </w:t>
      </w:r>
      <w:r w:rsidR="00EF1AF8">
        <w:t>a water</w:t>
      </w:r>
      <w:r w:rsidR="0039777E">
        <w:t xml:space="preserve"> and </w:t>
      </w:r>
      <w:r w:rsidR="00EF1AF8">
        <w:t>land bundle</w:t>
      </w:r>
      <w:r w:rsidR="006C713D">
        <w:t xml:space="preserve"> in the production</w:t>
      </w:r>
      <w:r w:rsidR="00EF1AF8">
        <w:t xml:space="preserve">, </w:t>
      </w:r>
      <w:proofErr w:type="spellStart"/>
      <w:r w:rsidR="00640DB5" w:rsidRPr="00124F39">
        <w:t>wtr_land</w:t>
      </w:r>
      <w:proofErr w:type="spellEnd"/>
      <w:r w:rsidR="00EF1AF8">
        <w:t>,</w:t>
      </w:r>
      <w:r w:rsidR="00640DB5">
        <w:t xml:space="preserve"> is a CES function</w:t>
      </w:r>
      <w:r w:rsidR="00934D28">
        <w:t xml:space="preserve"> of</w:t>
      </w:r>
      <w:r w:rsidR="00640DB5">
        <w:t xml:space="preserve"> </w:t>
      </w:r>
      <w:r w:rsidR="008E52CD" w:rsidRPr="00123F70">
        <w:t>f-land</w:t>
      </w:r>
      <w:r w:rsidR="008E52CD">
        <w:t xml:space="preserve"> and </w:t>
      </w:r>
      <w:proofErr w:type="spellStart"/>
      <w:r w:rsidR="008E52CD" w:rsidRPr="00123F70">
        <w:t>aez_land</w:t>
      </w:r>
      <w:proofErr w:type="spellEnd"/>
      <w:r w:rsidR="008E52CD">
        <w:t xml:space="preserve"> </w:t>
      </w:r>
      <w:r w:rsidR="0039777E">
        <w:t xml:space="preserve">while </w:t>
      </w:r>
      <w:proofErr w:type="spellStart"/>
      <w:r w:rsidR="0039777E" w:rsidRPr="00123F70">
        <w:t>aez_land</w:t>
      </w:r>
      <w:proofErr w:type="spellEnd"/>
      <w:r w:rsidR="0039777E" w:rsidRPr="00123F70">
        <w:t xml:space="preserve"> </w:t>
      </w:r>
      <w:r w:rsidR="0039777E">
        <w:t xml:space="preserve">is a CES function of all </w:t>
      </w:r>
      <w:r w:rsidR="0039777E" w:rsidRPr="00123F70">
        <w:t>f-AEZ1-18</w:t>
      </w:r>
      <w:r w:rsidR="0039777E">
        <w:t>.</w:t>
      </w:r>
      <w:r w:rsidR="00543793">
        <w:t xml:space="preserve"> The substitution elasticities of 7.5 implies that the share of total land allocated to the AEZ sub-regions react quite sensitive to </w:t>
      </w:r>
      <w:r w:rsidR="00EB1763">
        <w:t xml:space="preserve">the </w:t>
      </w:r>
      <w:r w:rsidR="00543793">
        <w:t>changes in the land rents across AEZ</w:t>
      </w:r>
      <w:r w:rsidR="00EB1763">
        <w:t>s</w:t>
      </w:r>
      <w:r w:rsidR="00543793">
        <w:t>. This implementation assumes that the production function across the AEZ</w:t>
      </w:r>
      <w:r w:rsidR="00EB1763">
        <w:t>s</w:t>
      </w:r>
      <w:r w:rsidR="00543793">
        <w:t xml:space="preserve"> for one activity is identical, the sole difference is the cost share of land relative to all other cost shares.</w:t>
      </w:r>
      <w:r w:rsidR="00CB370B">
        <w:t xml:space="preserve"> </w:t>
      </w:r>
      <w:proofErr w:type="spellStart"/>
      <w:r w:rsidR="008A42D9" w:rsidRPr="00EB1763">
        <w:t>wtr_land</w:t>
      </w:r>
      <w:proofErr w:type="spellEnd"/>
      <w:r w:rsidR="008A42D9" w:rsidRPr="00EB1763">
        <w:t xml:space="preserve"> </w:t>
      </w:r>
      <w:r w:rsidR="008A42D9">
        <w:t xml:space="preserve">is then another component alongside </w:t>
      </w:r>
      <w:r w:rsidR="002718CD">
        <w:t>labor</w:t>
      </w:r>
      <w:r w:rsidR="00304358">
        <w:t xml:space="preserve"> and capital </w:t>
      </w:r>
      <w:r w:rsidR="008A42D9">
        <w:t xml:space="preserve">in an </w:t>
      </w:r>
      <w:r w:rsidR="0095508A">
        <w:t>upper-level</w:t>
      </w:r>
      <w:r w:rsidR="008A42D9">
        <w:t xml:space="preserve"> nesting which is the value-added </w:t>
      </w:r>
      <w:r w:rsidR="00304358">
        <w:t>nest.</w:t>
      </w:r>
    </w:p>
    <w:p w14:paraId="7E762930" w14:textId="77777777" w:rsidR="00BE6914" w:rsidRDefault="00BE6914" w:rsidP="008B3360">
      <w:pPr>
        <w:jc w:val="both"/>
      </w:pPr>
    </w:p>
    <w:p w14:paraId="0E032C62" w14:textId="5CBD6FAC" w:rsidR="00BE6914" w:rsidRDefault="0084032F" w:rsidP="008B3360">
      <w:pPr>
        <w:jc w:val="both"/>
      </w:pPr>
      <w:r w:rsidRPr="00262A3B">
        <w:rPr>
          <w:noProof/>
        </w:rPr>
        <w:lastRenderedPageBreak/>
        <w:drawing>
          <wp:inline distT="0" distB="0" distL="0" distR="0" wp14:anchorId="6A71EEFA" wp14:editId="2FE9D054">
            <wp:extent cx="5760720" cy="2776220"/>
            <wp:effectExtent l="0" t="0" r="0" b="5080"/>
            <wp:docPr id="2312820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82074" name=""/>
                    <pic:cNvPicPr/>
                  </pic:nvPicPr>
                  <pic:blipFill>
                    <a:blip r:embed="rId15"/>
                    <a:stretch>
                      <a:fillRect/>
                    </a:stretch>
                  </pic:blipFill>
                  <pic:spPr>
                    <a:xfrm>
                      <a:off x="0" y="0"/>
                      <a:ext cx="5760720" cy="2776220"/>
                    </a:xfrm>
                    <a:prstGeom prst="rect">
                      <a:avLst/>
                    </a:prstGeom>
                  </pic:spPr>
                </pic:pic>
              </a:graphicData>
            </a:graphic>
          </wp:inline>
        </w:drawing>
      </w:r>
    </w:p>
    <w:p w14:paraId="34179197" w14:textId="3F50A755" w:rsidR="001A6515" w:rsidRDefault="00C14340" w:rsidP="008B3360">
      <w:pPr>
        <w:jc w:val="both"/>
      </w:pPr>
      <w:r>
        <w:t>The following table shows the factor supply nest</w:t>
      </w:r>
      <w:r w:rsidR="00935054">
        <w:t xml:space="preserve">ing structure </w:t>
      </w:r>
      <w:r w:rsidR="00572E52">
        <w:t>for land</w:t>
      </w:r>
      <w:r w:rsidR="0067503E">
        <w:t xml:space="preserve">. According to </w:t>
      </w:r>
      <w:r w:rsidR="00697C59">
        <w:t>this</w:t>
      </w:r>
      <w:r w:rsidR="0067503E">
        <w:t xml:space="preserve">, </w:t>
      </w:r>
      <w:r w:rsidR="0067503E" w:rsidRPr="00CA550C">
        <w:t>f-land</w:t>
      </w:r>
      <w:r w:rsidR="0067503E">
        <w:t xml:space="preserve"> is </w:t>
      </w:r>
      <w:r w:rsidR="008B7AD1">
        <w:t xml:space="preserve">allocated between </w:t>
      </w:r>
      <w:proofErr w:type="spellStart"/>
      <w:r w:rsidR="008B7AD1" w:rsidRPr="00CA550C">
        <w:t>agrLand</w:t>
      </w:r>
      <w:proofErr w:type="spellEnd"/>
      <w:r w:rsidR="00572E52" w:rsidRPr="00CA550C">
        <w:t xml:space="preserve"> </w:t>
      </w:r>
      <w:r w:rsidR="008B7AD1" w:rsidRPr="00CA550C">
        <w:t>and a-</w:t>
      </w:r>
      <w:proofErr w:type="spellStart"/>
      <w:r w:rsidR="00CE3BE2" w:rsidRPr="00CA550C">
        <w:t>frs</w:t>
      </w:r>
      <w:proofErr w:type="spellEnd"/>
      <w:r w:rsidR="00CE3BE2" w:rsidRPr="00CA550C">
        <w:t xml:space="preserve"> </w:t>
      </w:r>
      <w:r w:rsidR="006C73CA" w:rsidRPr="00CA550C">
        <w:t xml:space="preserve">(forestry) </w:t>
      </w:r>
      <w:r w:rsidR="00CE3BE2" w:rsidRPr="00CA550C">
        <w:t xml:space="preserve">and </w:t>
      </w:r>
      <w:proofErr w:type="spellStart"/>
      <w:r w:rsidR="00CE3BE2" w:rsidRPr="00CA550C">
        <w:t>agrland</w:t>
      </w:r>
      <w:proofErr w:type="spellEnd"/>
      <w:r w:rsidR="00CE3BE2" w:rsidRPr="00CA550C">
        <w:t xml:space="preserve"> is then allocated between cropland and grassland</w:t>
      </w:r>
      <w:r w:rsidR="00EE1216" w:rsidRPr="00CA550C">
        <w:t xml:space="preserve"> through an additive CET function</w:t>
      </w:r>
      <w:r w:rsidR="00CE3BE2" w:rsidRPr="00CA550C">
        <w:t xml:space="preserve">. </w:t>
      </w:r>
      <w:r w:rsidR="000238F7" w:rsidRPr="00CA550C">
        <w:t xml:space="preserve">Cropland is then allocated between crops activities while grassland is allocated between </w:t>
      </w:r>
      <w:r w:rsidR="005163E9" w:rsidRPr="00CA550C">
        <w:t>livestock activities</w:t>
      </w:r>
      <w:r w:rsidR="00382AF0" w:rsidRPr="00CA550C">
        <w:t xml:space="preserve"> through an additive CET function</w:t>
      </w:r>
      <w:r w:rsidR="005163E9" w:rsidRPr="00CA550C">
        <w:t xml:space="preserve">. </w:t>
      </w:r>
      <w:r w:rsidR="006D074A" w:rsidRPr="00CA550C">
        <w:t xml:space="preserve">Here </w:t>
      </w:r>
      <w:proofErr w:type="spellStart"/>
      <w:r w:rsidR="006D074A" w:rsidRPr="00CA550C">
        <w:t>factSupElas</w:t>
      </w:r>
      <w:proofErr w:type="spellEnd"/>
      <w:r w:rsidR="006D074A" w:rsidRPr="00CA550C">
        <w:t xml:space="preserve"> for f-land </w:t>
      </w:r>
      <w:r w:rsidR="007B6C80" w:rsidRPr="00CA550C">
        <w:t xml:space="preserve">is 0.1 implies that </w:t>
      </w:r>
      <w:r w:rsidR="000857B1" w:rsidRPr="00CA550C">
        <w:t xml:space="preserve">the </w:t>
      </w:r>
      <w:r w:rsidR="007B6C80" w:rsidRPr="00CA550C">
        <w:t xml:space="preserve">elasticity of land supply with respect to real rental rate is 0.1. </w:t>
      </w:r>
      <w:proofErr w:type="spellStart"/>
      <w:r w:rsidR="004528D9" w:rsidRPr="00CA550C">
        <w:t>omegaCET</w:t>
      </w:r>
      <w:proofErr w:type="spellEnd"/>
      <w:r w:rsidR="004528D9" w:rsidRPr="00CA550C">
        <w:t xml:space="preserve"> for f-land </w:t>
      </w:r>
      <w:r w:rsidR="00B47A7A" w:rsidRPr="00CA550C">
        <w:t xml:space="preserve">being </w:t>
      </w:r>
      <w:r w:rsidR="00A33479" w:rsidRPr="00CA550C">
        <w:t xml:space="preserve">the elasticity of transformation of land between </w:t>
      </w:r>
      <w:r w:rsidR="0058124B" w:rsidRPr="00CA550C">
        <w:t>a-</w:t>
      </w:r>
      <w:proofErr w:type="spellStart"/>
      <w:r w:rsidR="0058124B" w:rsidRPr="00CA550C">
        <w:t>frs</w:t>
      </w:r>
      <w:proofErr w:type="spellEnd"/>
      <w:r w:rsidR="0058124B" w:rsidRPr="00CA550C">
        <w:t xml:space="preserve"> (</w:t>
      </w:r>
      <w:r w:rsidR="00A33479" w:rsidRPr="00CA550C">
        <w:t>forestry</w:t>
      </w:r>
      <w:r w:rsidR="0058124B" w:rsidRPr="00CA550C">
        <w:t>)</w:t>
      </w:r>
      <w:r w:rsidR="00A33479" w:rsidRPr="00CA550C">
        <w:t xml:space="preserve"> and </w:t>
      </w:r>
      <w:proofErr w:type="spellStart"/>
      <w:r w:rsidR="00A33479" w:rsidRPr="00CA550C">
        <w:t>agrland</w:t>
      </w:r>
      <w:proofErr w:type="spellEnd"/>
      <w:r w:rsidR="00B47A7A" w:rsidRPr="00CA550C">
        <w:t xml:space="preserve"> is 0.25.</w:t>
      </w:r>
      <w:r w:rsidR="004528D9" w:rsidRPr="00CA550C">
        <w:t xml:space="preserve"> </w:t>
      </w:r>
      <w:proofErr w:type="spellStart"/>
      <w:r w:rsidR="00F459AB" w:rsidRPr="00CA550C">
        <w:t>omegaCET</w:t>
      </w:r>
      <w:proofErr w:type="spellEnd"/>
      <w:r w:rsidR="00F459AB" w:rsidRPr="00CA550C">
        <w:t xml:space="preserve"> for </w:t>
      </w:r>
      <w:proofErr w:type="spellStart"/>
      <w:r w:rsidR="00F459AB" w:rsidRPr="00CA550C">
        <w:t>agrLand</w:t>
      </w:r>
      <w:proofErr w:type="spellEnd"/>
      <w:r w:rsidR="00F459AB" w:rsidRPr="00CA550C">
        <w:t xml:space="preserve"> </w:t>
      </w:r>
      <w:r w:rsidR="00D57B24" w:rsidRPr="00CA550C">
        <w:t xml:space="preserve">being the elasticity of transformation between cropland and grassland is </w:t>
      </w:r>
      <w:r w:rsidR="00C14BD2" w:rsidRPr="00CA550C">
        <w:t xml:space="preserve">0.5. </w:t>
      </w:r>
      <w:proofErr w:type="spellStart"/>
      <w:r w:rsidR="00C14BD2" w:rsidRPr="00CA550C">
        <w:t>omegaCET</w:t>
      </w:r>
      <w:proofErr w:type="spellEnd"/>
      <w:r w:rsidR="00C14BD2" w:rsidRPr="00CA550C">
        <w:t xml:space="preserve"> for </w:t>
      </w:r>
      <w:proofErr w:type="spellStart"/>
      <w:r w:rsidR="007100F5" w:rsidRPr="00CA550C">
        <w:t>gras</w:t>
      </w:r>
      <w:r w:rsidR="00C14BD2" w:rsidRPr="00CA550C">
        <w:t>Land</w:t>
      </w:r>
      <w:proofErr w:type="spellEnd"/>
      <w:r w:rsidR="00C14BD2" w:rsidRPr="00CA550C">
        <w:t xml:space="preserve"> </w:t>
      </w:r>
      <w:r w:rsidR="007100F5" w:rsidRPr="00CA550C">
        <w:t xml:space="preserve">and cropland </w:t>
      </w:r>
      <w:r w:rsidR="00C14BD2" w:rsidRPr="00CA550C">
        <w:t>being the elasticit</w:t>
      </w:r>
      <w:r w:rsidR="00B21C93" w:rsidRPr="00CA550C">
        <w:t>ies</w:t>
      </w:r>
      <w:r w:rsidR="00C14BD2" w:rsidRPr="00CA550C">
        <w:t xml:space="preserve"> of transformation </w:t>
      </w:r>
      <w:r w:rsidR="00B21C93" w:rsidRPr="00CA550C">
        <w:t xml:space="preserve">within </w:t>
      </w:r>
      <w:r w:rsidR="000F5BDF" w:rsidRPr="00CA550C">
        <w:t xml:space="preserve">crop </w:t>
      </w:r>
      <w:r w:rsidR="00B21C93" w:rsidRPr="00CA550C">
        <w:t xml:space="preserve">activities </w:t>
      </w:r>
      <w:r w:rsidR="000F5BDF" w:rsidRPr="00CA550C">
        <w:t>and livestock activities respectively</w:t>
      </w:r>
      <w:r w:rsidR="00B21C93">
        <w:t xml:space="preserve"> are 0.75</w:t>
      </w:r>
      <w:r w:rsidR="000F5BDF">
        <w:t>.</w:t>
      </w:r>
      <w:r w:rsidR="007B6C80">
        <w:t xml:space="preserve"> </w:t>
      </w:r>
    </w:p>
    <w:p w14:paraId="07391976" w14:textId="77777777" w:rsidR="001A6515" w:rsidRDefault="001A6515" w:rsidP="008B3360">
      <w:pPr>
        <w:jc w:val="both"/>
        <w:rPr>
          <w:noProof/>
        </w:rPr>
      </w:pPr>
      <w:r w:rsidRPr="00F631D2">
        <w:rPr>
          <w:noProof/>
        </w:rPr>
        <w:t xml:space="preserve"> </w:t>
      </w:r>
      <w:r w:rsidRPr="00F631D2">
        <w:rPr>
          <w:noProof/>
          <w:lang w:val="en-GB" w:eastAsia="en-GB"/>
        </w:rPr>
        <w:drawing>
          <wp:inline distT="0" distB="0" distL="0" distR="0" wp14:anchorId="05AEEC65" wp14:editId="7EEEC2B4">
            <wp:extent cx="3107410" cy="3521122"/>
            <wp:effectExtent l="0" t="0" r="0" b="3175"/>
            <wp:docPr id="20239645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64500" name=""/>
                    <pic:cNvPicPr/>
                  </pic:nvPicPr>
                  <pic:blipFill>
                    <a:blip r:embed="rId16"/>
                    <a:stretch>
                      <a:fillRect/>
                    </a:stretch>
                  </pic:blipFill>
                  <pic:spPr>
                    <a:xfrm>
                      <a:off x="0" y="0"/>
                      <a:ext cx="3123961" cy="3539876"/>
                    </a:xfrm>
                    <a:prstGeom prst="rect">
                      <a:avLst/>
                    </a:prstGeom>
                  </pic:spPr>
                </pic:pic>
              </a:graphicData>
            </a:graphic>
          </wp:inline>
        </w:drawing>
      </w:r>
    </w:p>
    <w:p w14:paraId="738E8A67" w14:textId="64B7AAB4" w:rsidR="001A6515" w:rsidRDefault="00E45AE6" w:rsidP="008B3360">
      <w:pPr>
        <w:jc w:val="both"/>
      </w:pPr>
      <w:r>
        <w:lastRenderedPageBreak/>
        <w:t xml:space="preserve">When AEZs </w:t>
      </w:r>
      <w:r w:rsidR="009C325B">
        <w:t>are used, t</w:t>
      </w:r>
      <w:r w:rsidR="001A6515">
        <w:t>he implementation on the factor supply side is less elegant as it requires extended lists of sub-nests as seen below. The implementation uses the three-layered nesting approach from GTAP-AEZ already implemented before:</w:t>
      </w:r>
    </w:p>
    <w:p w14:paraId="0F29CE2F" w14:textId="472664FF" w:rsidR="00B24623" w:rsidRPr="00CA550C" w:rsidRDefault="00E84111" w:rsidP="008B3360">
      <w:pPr>
        <w:pStyle w:val="ListParagraph"/>
        <w:numPr>
          <w:ilvl w:val="0"/>
          <w:numId w:val="3"/>
        </w:numPr>
        <w:jc w:val="both"/>
        <w:rPr>
          <w:lang w:val="en-US"/>
        </w:rPr>
      </w:pPr>
      <w:r>
        <w:rPr>
          <w:lang w:val="en-US"/>
        </w:rPr>
        <w:t xml:space="preserve">The same as </w:t>
      </w:r>
      <w:r w:rsidR="002C3EC7">
        <w:rPr>
          <w:lang w:val="en-US"/>
        </w:rPr>
        <w:t xml:space="preserve">the general case </w:t>
      </w:r>
      <w:r w:rsidR="002C3EC7" w:rsidRPr="00CA550C">
        <w:rPr>
          <w:lang w:val="en-US"/>
        </w:rPr>
        <w:t xml:space="preserve">as </w:t>
      </w:r>
      <w:r w:rsidRPr="00CA550C">
        <w:rPr>
          <w:lang w:val="en-US"/>
        </w:rPr>
        <w:t xml:space="preserve">above, each AEZ land supply </w:t>
      </w:r>
      <w:r w:rsidR="00EB615C" w:rsidRPr="00CA550C">
        <w:rPr>
          <w:lang w:val="en-US"/>
        </w:rPr>
        <w:t>of</w:t>
      </w:r>
      <w:r w:rsidRPr="00CA550C">
        <w:rPr>
          <w:lang w:val="en-US"/>
        </w:rPr>
        <w:t xml:space="preserve"> managed land </w:t>
      </w:r>
      <w:r w:rsidR="008274FC" w:rsidRPr="00CA550C">
        <w:rPr>
          <w:lang w:val="en-US"/>
        </w:rPr>
        <w:t>(f-AEZ1,</w:t>
      </w:r>
      <w:r w:rsidR="00CA550C">
        <w:rPr>
          <w:lang w:val="en-US"/>
        </w:rPr>
        <w:t xml:space="preserve"> </w:t>
      </w:r>
      <w:r w:rsidR="008274FC" w:rsidRPr="00CA550C">
        <w:rPr>
          <w:lang w:val="en-US"/>
        </w:rPr>
        <w:t>…,</w:t>
      </w:r>
      <w:r w:rsidR="00CA550C">
        <w:rPr>
          <w:lang w:val="en-US"/>
        </w:rPr>
        <w:t xml:space="preserve"> </w:t>
      </w:r>
      <w:r w:rsidR="008274FC" w:rsidRPr="00CA550C">
        <w:rPr>
          <w:lang w:val="en-US"/>
        </w:rPr>
        <w:t xml:space="preserve">f-AEZ18) </w:t>
      </w:r>
      <w:r w:rsidRPr="00CA550C">
        <w:rPr>
          <w:lang w:val="en-US"/>
        </w:rPr>
        <w:t>responds to the real rental rate.</w:t>
      </w:r>
    </w:p>
    <w:p w14:paraId="3E608B8D" w14:textId="4E47362B" w:rsidR="001A6515" w:rsidRPr="00CA550C" w:rsidRDefault="001A6515" w:rsidP="008B3360">
      <w:pPr>
        <w:pStyle w:val="ListParagraph"/>
        <w:numPr>
          <w:ilvl w:val="0"/>
          <w:numId w:val="3"/>
        </w:numPr>
        <w:jc w:val="both"/>
        <w:rPr>
          <w:lang w:val="en-US"/>
        </w:rPr>
      </w:pPr>
      <w:r w:rsidRPr="00CA550C">
        <w:rPr>
          <w:lang w:val="en-US"/>
        </w:rPr>
        <w:t xml:space="preserve">The top layer allocates </w:t>
      </w:r>
      <w:r w:rsidR="00651663" w:rsidRPr="00CA550C">
        <w:rPr>
          <w:lang w:val="en-US"/>
        </w:rPr>
        <w:t xml:space="preserve">the </w:t>
      </w:r>
      <w:r w:rsidRPr="00CA550C">
        <w:rPr>
          <w:lang w:val="en-US"/>
        </w:rPr>
        <w:t>total manage</w:t>
      </w:r>
      <w:r w:rsidR="00DE5A03" w:rsidRPr="00CA550C">
        <w:rPr>
          <w:lang w:val="en-US"/>
        </w:rPr>
        <w:t>d</w:t>
      </w:r>
      <w:r w:rsidRPr="00CA550C">
        <w:rPr>
          <w:lang w:val="en-US"/>
        </w:rPr>
        <w:t xml:space="preserve"> land to forest</w:t>
      </w:r>
      <w:r w:rsidR="00651663" w:rsidRPr="00CA550C">
        <w:rPr>
          <w:lang w:val="en-US"/>
        </w:rPr>
        <w:t>ry</w:t>
      </w:r>
      <w:r w:rsidR="008108FC" w:rsidRPr="00CA550C">
        <w:rPr>
          <w:lang w:val="en-US"/>
        </w:rPr>
        <w:t xml:space="preserve"> (</w:t>
      </w:r>
      <w:r w:rsidR="0082607A" w:rsidRPr="00CA550C">
        <w:rPr>
          <w:lang w:val="en-US"/>
        </w:rPr>
        <w:t>a-</w:t>
      </w:r>
      <w:proofErr w:type="spellStart"/>
      <w:r w:rsidR="0082607A" w:rsidRPr="00CA550C">
        <w:rPr>
          <w:lang w:val="en-US"/>
        </w:rPr>
        <w:t>frs</w:t>
      </w:r>
      <w:proofErr w:type="spellEnd"/>
      <w:r w:rsidR="008108FC" w:rsidRPr="00CA550C">
        <w:rPr>
          <w:lang w:val="en-US"/>
        </w:rPr>
        <w:t>)</w:t>
      </w:r>
      <w:r w:rsidRPr="00CA550C">
        <w:rPr>
          <w:lang w:val="en-US"/>
        </w:rPr>
        <w:t xml:space="preserve"> and agricultural land</w:t>
      </w:r>
      <w:r w:rsidR="0082607A" w:rsidRPr="00CA550C">
        <w:rPr>
          <w:lang w:val="en-US"/>
        </w:rPr>
        <w:t xml:space="preserve"> (</w:t>
      </w:r>
      <w:r w:rsidR="001D0D22" w:rsidRPr="00CA550C">
        <w:rPr>
          <w:lang w:val="en-US"/>
        </w:rPr>
        <w:t>e.g., AEZ1_agrLand</w:t>
      </w:r>
      <w:r w:rsidR="00DE5A03" w:rsidRPr="00CA550C">
        <w:rPr>
          <w:lang w:val="en-US"/>
        </w:rPr>
        <w:t>,</w:t>
      </w:r>
      <w:r w:rsidR="007B399E" w:rsidRPr="00CA550C">
        <w:rPr>
          <w:lang w:val="en-US"/>
        </w:rPr>
        <w:t xml:space="preserve"> </w:t>
      </w:r>
      <w:r w:rsidR="00DE5A03" w:rsidRPr="00CA550C">
        <w:rPr>
          <w:lang w:val="en-US"/>
        </w:rPr>
        <w:t>…,</w:t>
      </w:r>
      <w:r w:rsidR="007F675E" w:rsidRPr="00CA550C">
        <w:rPr>
          <w:lang w:val="en-US"/>
        </w:rPr>
        <w:t xml:space="preserve"> AEZ18_</w:t>
      </w:r>
      <w:proofErr w:type="gramStart"/>
      <w:r w:rsidR="007F675E" w:rsidRPr="00CA550C">
        <w:rPr>
          <w:lang w:val="en-US"/>
        </w:rPr>
        <w:t>agrLand</w:t>
      </w:r>
      <w:r w:rsidR="00DE5A03" w:rsidRPr="00CA550C">
        <w:rPr>
          <w:lang w:val="en-US"/>
        </w:rPr>
        <w:t xml:space="preserve"> </w:t>
      </w:r>
      <w:r w:rsidR="0082607A" w:rsidRPr="00CA550C">
        <w:rPr>
          <w:lang w:val="en-US"/>
        </w:rPr>
        <w:t>)</w:t>
      </w:r>
      <w:proofErr w:type="gramEnd"/>
      <w:r w:rsidR="00651663" w:rsidRPr="00CA550C">
        <w:rPr>
          <w:lang w:val="en-US"/>
        </w:rPr>
        <w:t xml:space="preserve"> in each AEZ</w:t>
      </w:r>
      <w:r w:rsidRPr="00CA550C">
        <w:rPr>
          <w:lang w:val="en-US"/>
        </w:rPr>
        <w:t>.</w:t>
      </w:r>
    </w:p>
    <w:p w14:paraId="18D67D10" w14:textId="58C0B8E0" w:rsidR="001A6515" w:rsidRPr="00CA550C" w:rsidRDefault="001A6515" w:rsidP="008B3360">
      <w:pPr>
        <w:pStyle w:val="ListParagraph"/>
        <w:numPr>
          <w:ilvl w:val="0"/>
          <w:numId w:val="3"/>
        </w:numPr>
        <w:jc w:val="both"/>
        <w:rPr>
          <w:lang w:val="en-US"/>
        </w:rPr>
      </w:pPr>
      <w:r w:rsidRPr="00CA550C">
        <w:rPr>
          <w:lang w:val="en-US"/>
        </w:rPr>
        <w:t>The second layer allocate</w:t>
      </w:r>
      <w:r w:rsidR="005B29F4" w:rsidRPr="00CA550C">
        <w:rPr>
          <w:lang w:val="en-US"/>
        </w:rPr>
        <w:t>s</w:t>
      </w:r>
      <w:r w:rsidRPr="00CA550C">
        <w:rPr>
          <w:lang w:val="en-US"/>
        </w:rPr>
        <w:t xml:space="preserve"> the agriculture land to crop land (</w:t>
      </w:r>
      <w:proofErr w:type="spellStart"/>
      <w:r w:rsidRPr="00CA550C">
        <w:rPr>
          <w:lang w:val="en-US"/>
        </w:rPr>
        <w:t>cropLand</w:t>
      </w:r>
      <w:proofErr w:type="spellEnd"/>
      <w:r w:rsidRPr="00CA550C">
        <w:rPr>
          <w:lang w:val="en-US"/>
        </w:rPr>
        <w:t>) and pastureland (</w:t>
      </w:r>
      <w:proofErr w:type="spellStart"/>
      <w:r w:rsidRPr="00CA550C">
        <w:rPr>
          <w:lang w:val="en-US"/>
        </w:rPr>
        <w:t>grasLand</w:t>
      </w:r>
      <w:proofErr w:type="spellEnd"/>
      <w:r w:rsidRPr="00CA550C">
        <w:rPr>
          <w:lang w:val="en-US"/>
        </w:rPr>
        <w:t>). Again, these land use classes are dis-aggregated to the 18 AEZ if available in the data base.</w:t>
      </w:r>
    </w:p>
    <w:p w14:paraId="7788844F" w14:textId="13B38F17" w:rsidR="001A6515" w:rsidRPr="0010109F" w:rsidRDefault="001A6515" w:rsidP="008B3360">
      <w:pPr>
        <w:pStyle w:val="ListParagraph"/>
        <w:numPr>
          <w:ilvl w:val="0"/>
          <w:numId w:val="3"/>
        </w:numPr>
        <w:jc w:val="both"/>
        <w:rPr>
          <w:lang w:val="en-US"/>
        </w:rPr>
      </w:pPr>
      <w:r w:rsidRPr="00CA550C">
        <w:rPr>
          <w:lang w:val="en-US"/>
        </w:rPr>
        <w:t>The bottom layer allocates crop</w:t>
      </w:r>
      <w:r w:rsidR="00EC1284" w:rsidRPr="00CA550C">
        <w:rPr>
          <w:lang w:val="en-US"/>
        </w:rPr>
        <w:t xml:space="preserve"> </w:t>
      </w:r>
      <w:r w:rsidRPr="00CA550C">
        <w:rPr>
          <w:lang w:val="en-US"/>
        </w:rPr>
        <w:t>land to individual crops and pastureland to livestock</w:t>
      </w:r>
      <w:r>
        <w:rPr>
          <w:lang w:val="en-US"/>
        </w:rPr>
        <w:t xml:space="preserve"> activities.</w:t>
      </w:r>
    </w:p>
    <w:p w14:paraId="461C677A" w14:textId="77777777" w:rsidR="00434766" w:rsidRDefault="00434766" w:rsidP="008B3360">
      <w:pPr>
        <w:jc w:val="both"/>
      </w:pPr>
    </w:p>
    <w:p w14:paraId="40D6A619" w14:textId="525C9DBE" w:rsidR="001A6515" w:rsidRPr="00262A3B" w:rsidRDefault="001A6515" w:rsidP="008B3360">
      <w:pPr>
        <w:jc w:val="both"/>
      </w:pPr>
      <w:r w:rsidRPr="0010109F">
        <w:rPr>
          <w:noProof/>
        </w:rPr>
        <w:drawing>
          <wp:inline distT="0" distB="0" distL="0" distR="0" wp14:anchorId="44CC4A30" wp14:editId="6C46FD02">
            <wp:extent cx="5760720" cy="2938780"/>
            <wp:effectExtent l="0" t="0" r="0" b="0"/>
            <wp:docPr id="7246146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14694" name=""/>
                    <pic:cNvPicPr/>
                  </pic:nvPicPr>
                  <pic:blipFill>
                    <a:blip r:embed="rId17"/>
                    <a:stretch>
                      <a:fillRect/>
                    </a:stretch>
                  </pic:blipFill>
                  <pic:spPr>
                    <a:xfrm>
                      <a:off x="0" y="0"/>
                      <a:ext cx="5760720" cy="2938780"/>
                    </a:xfrm>
                    <a:prstGeom prst="rect">
                      <a:avLst/>
                    </a:prstGeom>
                  </pic:spPr>
                </pic:pic>
              </a:graphicData>
            </a:graphic>
          </wp:inline>
        </w:drawing>
      </w:r>
    </w:p>
    <w:p w14:paraId="00634A8A" w14:textId="77777777" w:rsidR="004D17E2" w:rsidRPr="004D17E2" w:rsidRDefault="004D17E2" w:rsidP="008B3360">
      <w:pPr>
        <w:pStyle w:val="Heading1"/>
        <w:jc w:val="both"/>
        <w:rPr>
          <w:lang w:val="en-US"/>
        </w:rPr>
      </w:pPr>
      <w:r w:rsidRPr="004D17E2">
        <w:rPr>
          <w:lang w:val="en-US"/>
        </w:rPr>
        <w:t>Carbon stock changes</w:t>
      </w:r>
    </w:p>
    <w:p w14:paraId="7C2F4B19" w14:textId="75A9C24C" w:rsidR="004D17E2" w:rsidRDefault="004D17E2" w:rsidP="008B3360">
      <w:pPr>
        <w:jc w:val="both"/>
        <w:rPr>
          <w:i/>
          <w:iCs/>
        </w:rPr>
      </w:pPr>
      <w:r>
        <w:t>Carbon stock changes are calculated from the land cover changes and above- and below-ground carbon content</w:t>
      </w:r>
      <w:r w:rsidR="000370C0">
        <w:t xml:space="preserve">. </w:t>
      </w:r>
      <w:r w:rsidR="008B6277">
        <w:t xml:space="preserve">GTAP center </w:t>
      </w:r>
      <w:r>
        <w:t>repor</w:t>
      </w:r>
      <w:r w:rsidR="008B6277">
        <w:t>ts carbon content</w:t>
      </w:r>
      <w:r>
        <w:t xml:space="preserve"> for the different land cover type at the AEZ level. The data on carbon content are aggregated from AEZ to country level using the acreage of the land cover types at AEZ level as weights</w:t>
      </w:r>
      <w:r w:rsidR="004A5068">
        <w:t xml:space="preserve">. The following table shows the carbon content by </w:t>
      </w:r>
      <w:r w:rsidR="00E8086D">
        <w:t>land cover categories and countries in the GTAP data base.</w:t>
      </w:r>
    </w:p>
    <w:p w14:paraId="3D60FC6A" w14:textId="77777777" w:rsidR="004D17E2" w:rsidRDefault="004D17E2" w:rsidP="008B3360">
      <w:pPr>
        <w:jc w:val="both"/>
      </w:pPr>
      <w:r w:rsidRPr="004C4EFB">
        <w:rPr>
          <w:noProof/>
          <w:lang w:val="en-GB" w:eastAsia="en-GB"/>
        </w:rPr>
        <w:lastRenderedPageBreak/>
        <w:drawing>
          <wp:inline distT="0" distB="0" distL="0" distR="0" wp14:anchorId="07A888A1" wp14:editId="678E379E">
            <wp:extent cx="4999153" cy="2568163"/>
            <wp:effectExtent l="0" t="0" r="0" b="3810"/>
            <wp:docPr id="14436111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11152" name=""/>
                    <pic:cNvPicPr/>
                  </pic:nvPicPr>
                  <pic:blipFill>
                    <a:blip r:embed="rId18"/>
                    <a:stretch>
                      <a:fillRect/>
                    </a:stretch>
                  </pic:blipFill>
                  <pic:spPr>
                    <a:xfrm>
                      <a:off x="0" y="0"/>
                      <a:ext cx="4999153" cy="2568163"/>
                    </a:xfrm>
                    <a:prstGeom prst="rect">
                      <a:avLst/>
                    </a:prstGeom>
                  </pic:spPr>
                </pic:pic>
              </a:graphicData>
            </a:graphic>
          </wp:inline>
        </w:drawing>
      </w:r>
    </w:p>
    <w:p w14:paraId="4CC039CF" w14:textId="1D6AC543" w:rsidR="004D17E2" w:rsidRPr="00434766" w:rsidRDefault="004D17E2" w:rsidP="008B3360">
      <w:pPr>
        <w:jc w:val="both"/>
      </w:pPr>
      <w:r>
        <w:t xml:space="preserve">These carbon content factors allow to calculate the carbon stock changes in the equation </w:t>
      </w:r>
      <w:proofErr w:type="spellStart"/>
      <w:r w:rsidRPr="00434766">
        <w:t>dCarbonEq</w:t>
      </w:r>
      <w:proofErr w:type="spellEnd"/>
      <w:r w:rsidRPr="00434766">
        <w:t xml:space="preserve"> for each land cover type </w:t>
      </w:r>
      <w:proofErr w:type="spellStart"/>
      <w:r w:rsidRPr="00434766">
        <w:t>lcov</w:t>
      </w:r>
      <w:proofErr w:type="spellEnd"/>
      <w:r w:rsidRPr="00434766">
        <w:t xml:space="preserve"> from the simulated change in land cover as shown above</w:t>
      </w:r>
      <w:r w:rsidR="00441743" w:rsidRPr="00434766">
        <w:t>.</w:t>
      </w:r>
    </w:p>
    <w:p w14:paraId="0576A919" w14:textId="77777777" w:rsidR="004D17E2" w:rsidRDefault="004D17E2" w:rsidP="008B3360">
      <w:pPr>
        <w:jc w:val="both"/>
      </w:pPr>
      <w:r w:rsidRPr="00FE7307">
        <w:rPr>
          <w:noProof/>
        </w:rPr>
        <w:drawing>
          <wp:inline distT="0" distB="0" distL="0" distR="0" wp14:anchorId="55F88BE7" wp14:editId="3B1BFF26">
            <wp:extent cx="5760720" cy="830580"/>
            <wp:effectExtent l="0" t="0" r="0" b="7620"/>
            <wp:docPr id="1161320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2075" name=""/>
                    <pic:cNvPicPr/>
                  </pic:nvPicPr>
                  <pic:blipFill>
                    <a:blip r:embed="rId19"/>
                    <a:stretch>
                      <a:fillRect/>
                    </a:stretch>
                  </pic:blipFill>
                  <pic:spPr>
                    <a:xfrm>
                      <a:off x="0" y="0"/>
                      <a:ext cx="5760720" cy="830580"/>
                    </a:xfrm>
                    <a:prstGeom prst="rect">
                      <a:avLst/>
                    </a:prstGeom>
                  </pic:spPr>
                </pic:pic>
              </a:graphicData>
            </a:graphic>
          </wp:inline>
        </w:drawing>
      </w:r>
      <w:r w:rsidRPr="00FE7307" w:rsidDel="00165EF0">
        <w:t xml:space="preserve"> </w:t>
      </w:r>
    </w:p>
    <w:p w14:paraId="3441D0F7" w14:textId="77777777" w:rsidR="004D17E2" w:rsidRDefault="004D17E2" w:rsidP="008B3360">
      <w:pPr>
        <w:jc w:val="both"/>
      </w:pPr>
      <w:r>
        <w:t xml:space="preserve">The carbon changes are </w:t>
      </w:r>
      <w:r w:rsidRPr="004D0EF4">
        <w:rPr>
          <w:i/>
          <w:iCs/>
        </w:rPr>
        <w:t>subtracted</w:t>
      </w:r>
      <w:r>
        <w:t xml:space="preserve"> from the GHG emissions as positive carbon changes act as a sink by removing carbon from the atmosphere. Note the conversion factor 3.67 from carbon (C) to CO2:</w:t>
      </w:r>
    </w:p>
    <w:p w14:paraId="13633EF2" w14:textId="77777777" w:rsidR="00492565" w:rsidRDefault="004D17E2" w:rsidP="008B3360">
      <w:pPr>
        <w:jc w:val="both"/>
      </w:pPr>
      <w:r w:rsidRPr="004D0EF4">
        <w:rPr>
          <w:noProof/>
        </w:rPr>
        <w:drawing>
          <wp:inline distT="0" distB="0" distL="0" distR="0" wp14:anchorId="3C1833AA" wp14:editId="0782D8F4">
            <wp:extent cx="5760720" cy="384175"/>
            <wp:effectExtent l="0" t="0" r="0" b="0"/>
            <wp:docPr id="1087240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40864" name=""/>
                    <pic:cNvPicPr/>
                  </pic:nvPicPr>
                  <pic:blipFill>
                    <a:blip r:embed="rId20"/>
                    <a:stretch>
                      <a:fillRect/>
                    </a:stretch>
                  </pic:blipFill>
                  <pic:spPr>
                    <a:xfrm>
                      <a:off x="0" y="0"/>
                      <a:ext cx="5760720" cy="384175"/>
                    </a:xfrm>
                    <a:prstGeom prst="rect">
                      <a:avLst/>
                    </a:prstGeom>
                  </pic:spPr>
                </pic:pic>
              </a:graphicData>
            </a:graphic>
          </wp:inline>
        </w:drawing>
      </w:r>
    </w:p>
    <w:p w14:paraId="65DBA917" w14:textId="011D4956" w:rsidR="00811810" w:rsidRDefault="00B40823" w:rsidP="00811810">
      <w:pPr>
        <w:pStyle w:val="Heading1"/>
        <w:jc w:val="both"/>
        <w:rPr>
          <w:lang w:val="en-US"/>
        </w:rPr>
      </w:pPr>
      <w:r>
        <w:rPr>
          <w:lang w:val="en-US"/>
        </w:rPr>
        <w:t xml:space="preserve">Applications of </w:t>
      </w:r>
      <w:r w:rsidR="00DA6286">
        <w:rPr>
          <w:lang w:val="en-US"/>
        </w:rPr>
        <w:t xml:space="preserve">nature-aware </w:t>
      </w:r>
      <w:r>
        <w:rPr>
          <w:lang w:val="en-US"/>
        </w:rPr>
        <w:t>MANAGE-WB</w:t>
      </w:r>
    </w:p>
    <w:p w14:paraId="1D86237A" w14:textId="58BD508B" w:rsidR="00811810" w:rsidRPr="00811810" w:rsidRDefault="001D0B4F" w:rsidP="00811810">
      <w:r>
        <w:t xml:space="preserve">Although the </w:t>
      </w:r>
      <w:r w:rsidR="003F1DAE">
        <w:t>m</w:t>
      </w:r>
      <w:r>
        <w:t>odel</w:t>
      </w:r>
      <w:r w:rsidR="003F1DAE">
        <w:t xml:space="preserve"> outlined above</w:t>
      </w:r>
      <w:r>
        <w:t xml:space="preserve"> has been used </w:t>
      </w:r>
      <w:r w:rsidR="003F1DAE">
        <w:t>in</w:t>
      </w:r>
      <w:r>
        <w:t xml:space="preserve"> many applications,</w:t>
      </w:r>
      <w:r w:rsidR="003F1DAE">
        <w:t xml:space="preserve"> </w:t>
      </w:r>
      <w:r w:rsidR="0058779A">
        <w:t xml:space="preserve">the use of it in relation to accounting for the impact of the regulating ESS is growing. </w:t>
      </w:r>
      <w:r w:rsidR="0058779A">
        <w:t xml:space="preserve">In this section, we discuss </w:t>
      </w:r>
      <w:r w:rsidR="0058779A">
        <w:t xml:space="preserve">two of such </w:t>
      </w:r>
      <w:r w:rsidR="0058779A">
        <w:t>applications.</w:t>
      </w:r>
      <w:r w:rsidR="0058779A">
        <w:t xml:space="preserve"> </w:t>
      </w:r>
      <w:r>
        <w:t xml:space="preserve"> </w:t>
      </w:r>
    </w:p>
    <w:p w14:paraId="72BEA551" w14:textId="5F955F54" w:rsidR="00AC6209" w:rsidRPr="004D17E2" w:rsidRDefault="00AC6209" w:rsidP="00DA6286">
      <w:pPr>
        <w:pStyle w:val="Heading2"/>
      </w:pPr>
      <w:r>
        <w:t>Application</w:t>
      </w:r>
      <w:r w:rsidR="00D464D8">
        <w:t xml:space="preserve"> 1</w:t>
      </w:r>
      <w:r>
        <w:t xml:space="preserve">: </w:t>
      </w:r>
      <w:r w:rsidR="00F77F5D">
        <w:t>A</w:t>
      </w:r>
      <w:r>
        <w:t>fforestation in India</w:t>
      </w:r>
    </w:p>
    <w:p w14:paraId="339E2BEA" w14:textId="41A3275E" w:rsidR="00AC6209" w:rsidRDefault="00DD5E12" w:rsidP="008B3360">
      <w:pPr>
        <w:spacing w:before="120" w:after="120"/>
        <w:ind w:right="288"/>
        <w:jc w:val="both"/>
        <w:rPr>
          <w:rFonts w:eastAsia="Times New Roman" w:cstheme="minorHAnsi"/>
        </w:rPr>
      </w:pPr>
      <w:r>
        <w:rPr>
          <w:rFonts w:eastAsia="Times New Roman" w:cstheme="minorHAnsi"/>
        </w:rPr>
        <w:t xml:space="preserve">Recent work </w:t>
      </w:r>
      <w:r w:rsidR="00E21570">
        <w:rPr>
          <w:rFonts w:eastAsia="Times New Roman" w:cstheme="minorHAnsi"/>
        </w:rPr>
        <w:t>by</w:t>
      </w:r>
      <w:r w:rsidR="00080606">
        <w:rPr>
          <w:rFonts w:eastAsia="Times New Roman" w:cstheme="minorHAnsi"/>
        </w:rPr>
        <w:t xml:space="preserve"> </w:t>
      </w:r>
      <w:r w:rsidR="00080606" w:rsidRPr="00080606">
        <w:rPr>
          <w:rFonts w:cstheme="minorHAnsi"/>
        </w:rPr>
        <w:t xml:space="preserve">Banerjee and Cicowiez of RMGEO Consultants Inc </w:t>
      </w:r>
      <w:r w:rsidR="00D65971">
        <w:rPr>
          <w:rFonts w:cstheme="minorHAnsi"/>
        </w:rPr>
        <w:t>titled “</w:t>
      </w:r>
      <w:r w:rsidR="009B4EFA" w:rsidRPr="00DD5E12">
        <w:rPr>
          <w:rFonts w:eastAsia="Times New Roman" w:cstheme="minorHAnsi"/>
        </w:rPr>
        <w:t>Integrating Natural Capital in Evidence-Based Public Policy Making in India</w:t>
      </w:r>
      <w:r w:rsidR="00D65971">
        <w:rPr>
          <w:rFonts w:eastAsia="Times New Roman" w:cstheme="minorHAnsi"/>
        </w:rPr>
        <w:t xml:space="preserve">” applies </w:t>
      </w:r>
      <w:r w:rsidR="000B3797">
        <w:rPr>
          <w:rFonts w:eastAsia="Times New Roman" w:cstheme="minorHAnsi"/>
        </w:rPr>
        <w:t xml:space="preserve">the IEEM+ESM approach </w:t>
      </w:r>
      <w:r w:rsidR="006A0C95">
        <w:rPr>
          <w:rFonts w:eastAsia="Times New Roman" w:cstheme="minorHAnsi"/>
        </w:rPr>
        <w:t>(</w:t>
      </w:r>
      <w:r w:rsidR="008C4E33">
        <w:rPr>
          <w:rFonts w:eastAsia="Times New Roman" w:cstheme="minorHAnsi"/>
        </w:rPr>
        <w:t xml:space="preserve">a link between </w:t>
      </w:r>
      <w:r w:rsidR="0073480F">
        <w:rPr>
          <w:rFonts w:eastAsia="Times New Roman" w:cstheme="minorHAnsi"/>
        </w:rPr>
        <w:t>three</w:t>
      </w:r>
      <w:r w:rsidR="008C4E33">
        <w:rPr>
          <w:rFonts w:eastAsia="Times New Roman" w:cstheme="minorHAnsi"/>
        </w:rPr>
        <w:t xml:space="preserve"> models – a CGE model known as </w:t>
      </w:r>
      <w:r w:rsidR="00335A58" w:rsidRPr="00335A58">
        <w:rPr>
          <w:rFonts w:cstheme="minorHAnsi"/>
        </w:rPr>
        <w:t>Integrated Economic-Environmental Modeling (IEEM)</w:t>
      </w:r>
      <w:r w:rsidR="00D651DB">
        <w:rPr>
          <w:rFonts w:cstheme="minorHAnsi"/>
        </w:rPr>
        <w:t xml:space="preserve">, </w:t>
      </w:r>
      <w:r w:rsidR="008C4E33">
        <w:rPr>
          <w:rFonts w:cstheme="minorHAnsi"/>
        </w:rPr>
        <w:t xml:space="preserve">spatially disaggregated </w:t>
      </w:r>
      <w:r w:rsidR="006A0C95">
        <w:rPr>
          <w:rFonts w:eastAsia="Times New Roman" w:cstheme="minorHAnsi"/>
        </w:rPr>
        <w:t>LULC</w:t>
      </w:r>
      <w:r w:rsidR="0016210E">
        <w:rPr>
          <w:rFonts w:eastAsia="Times New Roman" w:cstheme="minorHAnsi"/>
        </w:rPr>
        <w:t xml:space="preserve"> model </w:t>
      </w:r>
      <w:r w:rsidR="008C4E33">
        <w:rPr>
          <w:rFonts w:eastAsia="Times New Roman" w:cstheme="minorHAnsi"/>
        </w:rPr>
        <w:t>and</w:t>
      </w:r>
      <w:r w:rsidR="0016210E">
        <w:rPr>
          <w:rFonts w:eastAsia="Times New Roman" w:cstheme="minorHAnsi"/>
        </w:rPr>
        <w:t xml:space="preserve"> </w:t>
      </w:r>
      <w:r w:rsidR="007D3411">
        <w:rPr>
          <w:rFonts w:eastAsia="Times New Roman" w:cstheme="minorHAnsi"/>
        </w:rPr>
        <w:t>Ecosystem Services Modeling</w:t>
      </w:r>
      <w:r w:rsidR="00565A35">
        <w:rPr>
          <w:rFonts w:eastAsia="Times New Roman" w:cstheme="minorHAnsi"/>
        </w:rPr>
        <w:t xml:space="preserve"> (ESM)</w:t>
      </w:r>
      <w:r w:rsidR="007D3411">
        <w:rPr>
          <w:rFonts w:eastAsia="Times New Roman" w:cstheme="minorHAnsi"/>
        </w:rPr>
        <w:t xml:space="preserve">) </w:t>
      </w:r>
      <w:r w:rsidR="00D651DB">
        <w:rPr>
          <w:rFonts w:eastAsia="Times New Roman" w:cstheme="minorHAnsi"/>
        </w:rPr>
        <w:t xml:space="preserve">in examining the </w:t>
      </w:r>
      <w:r w:rsidR="00FC2E94">
        <w:rPr>
          <w:rFonts w:eastAsia="Times New Roman" w:cstheme="minorHAnsi"/>
        </w:rPr>
        <w:t xml:space="preserve">economic </w:t>
      </w:r>
      <w:r w:rsidR="00D651DB">
        <w:rPr>
          <w:rFonts w:eastAsia="Times New Roman" w:cstheme="minorHAnsi"/>
        </w:rPr>
        <w:t xml:space="preserve">impact of </w:t>
      </w:r>
      <w:r w:rsidR="00410F32">
        <w:rPr>
          <w:rFonts w:eastAsia="Times New Roman" w:cstheme="minorHAnsi"/>
        </w:rPr>
        <w:t xml:space="preserve">an ambitious </w:t>
      </w:r>
      <w:r w:rsidR="00FC2E94">
        <w:rPr>
          <w:rFonts w:eastAsia="Times New Roman" w:cstheme="minorHAnsi"/>
        </w:rPr>
        <w:t>afforestation</w:t>
      </w:r>
      <w:r w:rsidR="00D651DB">
        <w:rPr>
          <w:rFonts w:eastAsia="Times New Roman" w:cstheme="minorHAnsi"/>
        </w:rPr>
        <w:t xml:space="preserve"> </w:t>
      </w:r>
      <w:r w:rsidR="00FC2E94">
        <w:rPr>
          <w:rFonts w:eastAsia="Times New Roman" w:cstheme="minorHAnsi"/>
        </w:rPr>
        <w:t>and</w:t>
      </w:r>
      <w:r w:rsidR="00410F32">
        <w:rPr>
          <w:rFonts w:eastAsia="Times New Roman" w:cstheme="minorHAnsi"/>
        </w:rPr>
        <w:t xml:space="preserve"> forest restoration initiative in India </w:t>
      </w:r>
      <w:r w:rsidR="006F38BB" w:rsidRPr="006F38BB">
        <w:rPr>
          <w:rFonts w:cstheme="minorHAnsi"/>
        </w:rPr>
        <w:t xml:space="preserve">in the context of India’s Nationally Determined Contributions (NDC) and long-term </w:t>
      </w:r>
      <w:r w:rsidR="00152AB5">
        <w:rPr>
          <w:rFonts w:cstheme="minorHAnsi"/>
        </w:rPr>
        <w:t xml:space="preserve">climate change </w:t>
      </w:r>
      <w:r w:rsidR="006F38BB" w:rsidRPr="006F38BB">
        <w:rPr>
          <w:rFonts w:cstheme="minorHAnsi"/>
        </w:rPr>
        <w:t>mitigation goal</w:t>
      </w:r>
      <w:r w:rsidR="00410F32">
        <w:rPr>
          <w:rFonts w:eastAsia="Times New Roman" w:cstheme="minorHAnsi"/>
        </w:rPr>
        <w:t>.</w:t>
      </w:r>
    </w:p>
    <w:p w14:paraId="4419F70C" w14:textId="47674331" w:rsidR="007C318A" w:rsidRDefault="00C4633E" w:rsidP="008B3360">
      <w:pPr>
        <w:spacing w:before="120" w:after="120"/>
        <w:ind w:right="288"/>
        <w:jc w:val="both"/>
        <w:rPr>
          <w:rFonts w:eastAsia="Times New Roman" w:cstheme="minorHAnsi"/>
        </w:rPr>
      </w:pPr>
      <w:r>
        <w:rPr>
          <w:rFonts w:eastAsia="Times New Roman" w:cstheme="minorHAnsi"/>
        </w:rPr>
        <w:t xml:space="preserve">In this section, we </w:t>
      </w:r>
      <w:r w:rsidR="004E5398">
        <w:rPr>
          <w:rFonts w:eastAsia="Times New Roman" w:cstheme="minorHAnsi"/>
        </w:rPr>
        <w:t>try to repeat this work in MANAGE-WB.</w:t>
      </w:r>
      <w:r w:rsidR="00841541">
        <w:rPr>
          <w:rFonts w:eastAsia="Times New Roman" w:cstheme="minorHAnsi"/>
        </w:rPr>
        <w:t xml:space="preserve"> </w:t>
      </w:r>
      <w:r w:rsidR="005E26F2">
        <w:rPr>
          <w:rFonts w:eastAsia="Times New Roman" w:cstheme="minorHAnsi"/>
        </w:rPr>
        <w:t>T</w:t>
      </w:r>
      <w:r w:rsidR="00C569A0">
        <w:rPr>
          <w:rFonts w:eastAsia="Times New Roman" w:cstheme="minorHAnsi"/>
        </w:rPr>
        <w:t xml:space="preserve">he </w:t>
      </w:r>
      <w:r w:rsidR="00BF6FBF">
        <w:rPr>
          <w:rFonts w:eastAsia="Times New Roman" w:cstheme="minorHAnsi"/>
        </w:rPr>
        <w:t>IEEM+ESM approach consider</w:t>
      </w:r>
      <w:r w:rsidR="005E26F2">
        <w:rPr>
          <w:rFonts w:eastAsia="Times New Roman" w:cstheme="minorHAnsi"/>
        </w:rPr>
        <w:t>s</w:t>
      </w:r>
      <w:r w:rsidR="00DA7FB5">
        <w:rPr>
          <w:rFonts w:eastAsia="Times New Roman" w:cstheme="minorHAnsi"/>
        </w:rPr>
        <w:t xml:space="preserve"> </w:t>
      </w:r>
      <w:r w:rsidR="0078039E">
        <w:rPr>
          <w:rFonts w:eastAsia="Times New Roman" w:cstheme="minorHAnsi"/>
        </w:rPr>
        <w:t xml:space="preserve">the initiative as </w:t>
      </w:r>
      <w:r w:rsidR="00DA7FB5">
        <w:rPr>
          <w:rFonts w:eastAsia="Times New Roman" w:cstheme="minorHAnsi"/>
        </w:rPr>
        <w:t>exogenous changes in</w:t>
      </w:r>
      <w:r w:rsidR="005E26F2">
        <w:rPr>
          <w:rFonts w:eastAsia="Times New Roman" w:cstheme="minorHAnsi"/>
        </w:rPr>
        <w:t xml:space="preserve"> </w:t>
      </w:r>
      <w:r w:rsidR="00CF0239">
        <w:rPr>
          <w:rFonts w:eastAsia="Times New Roman" w:cstheme="minorHAnsi"/>
        </w:rPr>
        <w:t>LULC</w:t>
      </w:r>
      <w:r w:rsidR="00A410E4">
        <w:rPr>
          <w:rFonts w:eastAsia="Times New Roman" w:cstheme="minorHAnsi"/>
        </w:rPr>
        <w:t>. Since we capture the changes in LULC,</w:t>
      </w:r>
      <w:r w:rsidR="00CF0239">
        <w:rPr>
          <w:rFonts w:eastAsia="Times New Roman" w:cstheme="minorHAnsi"/>
        </w:rPr>
        <w:t xml:space="preserve"> </w:t>
      </w:r>
      <w:r w:rsidR="00A412B0">
        <w:rPr>
          <w:rFonts w:eastAsia="Times New Roman" w:cstheme="minorHAnsi"/>
        </w:rPr>
        <w:t xml:space="preserve">its feedback effect </w:t>
      </w:r>
      <w:r w:rsidR="00A412B0">
        <w:rPr>
          <w:rFonts w:eastAsia="Times New Roman" w:cstheme="minorHAnsi"/>
        </w:rPr>
        <w:lastRenderedPageBreak/>
        <w:t xml:space="preserve">through the ecosystem services </w:t>
      </w:r>
      <w:r w:rsidR="00A410E4">
        <w:rPr>
          <w:rFonts w:eastAsia="Times New Roman" w:cstheme="minorHAnsi"/>
        </w:rPr>
        <w:t>is the same</w:t>
      </w:r>
      <w:r w:rsidR="002734EF">
        <w:rPr>
          <w:rFonts w:eastAsia="Times New Roman" w:cstheme="minorHAnsi"/>
        </w:rPr>
        <w:t xml:space="preserve"> – i.e., there is no need to rerun the spatial LULC model and </w:t>
      </w:r>
      <w:r w:rsidR="00C222DC">
        <w:rPr>
          <w:rFonts w:eastAsia="Times New Roman" w:cstheme="minorHAnsi"/>
        </w:rPr>
        <w:t>ESM to generate the feedback shocks which are pollination and soil erosion shocks.</w:t>
      </w:r>
      <w:r w:rsidR="00E5659A">
        <w:rPr>
          <w:rFonts w:eastAsia="Times New Roman" w:cstheme="minorHAnsi"/>
        </w:rPr>
        <w:t xml:space="preserve"> </w:t>
      </w:r>
    </w:p>
    <w:p w14:paraId="07F2B4B8" w14:textId="77777777" w:rsidR="00C524C2" w:rsidRDefault="00BB2237" w:rsidP="008B3360">
      <w:pPr>
        <w:spacing w:before="120" w:after="120"/>
        <w:ind w:right="288"/>
        <w:jc w:val="both"/>
        <w:rPr>
          <w:rFonts w:eastAsia="Times New Roman" w:cstheme="minorHAnsi"/>
        </w:rPr>
      </w:pPr>
      <w:r>
        <w:rPr>
          <w:rFonts w:eastAsia="Times New Roman" w:cstheme="minorHAnsi"/>
        </w:rPr>
        <w:t xml:space="preserve">The following are the main features. </w:t>
      </w:r>
    </w:p>
    <w:p w14:paraId="260D3466" w14:textId="77777777" w:rsidR="00C524C2" w:rsidRDefault="004445DC" w:rsidP="008B3360">
      <w:pPr>
        <w:pStyle w:val="ListParagraph"/>
        <w:numPr>
          <w:ilvl w:val="0"/>
          <w:numId w:val="4"/>
        </w:numPr>
        <w:spacing w:before="120" w:after="120"/>
        <w:ind w:right="288"/>
        <w:jc w:val="both"/>
        <w:rPr>
          <w:rFonts w:eastAsia="Times New Roman" w:cstheme="minorHAnsi"/>
        </w:rPr>
      </w:pPr>
      <w:r w:rsidRPr="00C524C2">
        <w:rPr>
          <w:rFonts w:eastAsia="Times New Roman" w:cstheme="minorHAnsi"/>
        </w:rPr>
        <w:t>We use the same SAM.</w:t>
      </w:r>
    </w:p>
    <w:p w14:paraId="750883A4" w14:textId="763EF5AF" w:rsidR="005A2BE4" w:rsidRDefault="00C524C2" w:rsidP="008B3360">
      <w:pPr>
        <w:pStyle w:val="ListParagraph"/>
        <w:numPr>
          <w:ilvl w:val="0"/>
          <w:numId w:val="4"/>
        </w:numPr>
        <w:spacing w:before="120" w:after="120"/>
        <w:ind w:right="288"/>
        <w:jc w:val="both"/>
        <w:rPr>
          <w:rFonts w:eastAsia="Times New Roman" w:cstheme="minorHAnsi"/>
        </w:rPr>
      </w:pPr>
      <w:r>
        <w:rPr>
          <w:rFonts w:eastAsia="Times New Roman" w:cstheme="minorHAnsi"/>
        </w:rPr>
        <w:t xml:space="preserve">There 3 activities are using land </w:t>
      </w:r>
      <w:r w:rsidR="005A2BE4">
        <w:rPr>
          <w:rFonts w:eastAsia="Times New Roman" w:cstheme="minorHAnsi"/>
        </w:rPr>
        <w:t>–</w:t>
      </w:r>
      <w:r>
        <w:rPr>
          <w:rFonts w:eastAsia="Times New Roman" w:cstheme="minorHAnsi"/>
        </w:rPr>
        <w:t xml:space="preserve"> </w:t>
      </w:r>
      <w:r w:rsidR="005A2BE4">
        <w:rPr>
          <w:rFonts w:eastAsia="Times New Roman" w:cstheme="minorHAnsi"/>
        </w:rPr>
        <w:t>crops, livestock and forestry</w:t>
      </w:r>
      <w:r w:rsidR="00D20AEA">
        <w:rPr>
          <w:rFonts w:eastAsia="Times New Roman" w:cstheme="minorHAnsi"/>
        </w:rPr>
        <w:t>.</w:t>
      </w:r>
    </w:p>
    <w:p w14:paraId="7E2E3306" w14:textId="3E7EC169" w:rsidR="005A2BE4" w:rsidRDefault="005A2BE4" w:rsidP="008B3360">
      <w:pPr>
        <w:pStyle w:val="ListParagraph"/>
        <w:numPr>
          <w:ilvl w:val="0"/>
          <w:numId w:val="4"/>
        </w:numPr>
        <w:spacing w:before="120" w:after="120"/>
        <w:ind w:right="288"/>
        <w:jc w:val="both"/>
        <w:rPr>
          <w:rFonts w:eastAsia="Times New Roman" w:cstheme="minorHAnsi"/>
        </w:rPr>
      </w:pPr>
      <w:r>
        <w:rPr>
          <w:rFonts w:eastAsia="Times New Roman" w:cstheme="minorHAnsi"/>
        </w:rPr>
        <w:t>There is one economywide land</w:t>
      </w:r>
      <w:r w:rsidR="00D20AEA">
        <w:rPr>
          <w:rFonts w:eastAsia="Times New Roman" w:cstheme="minorHAnsi"/>
        </w:rPr>
        <w:t>.</w:t>
      </w:r>
    </w:p>
    <w:p w14:paraId="6F0286EF" w14:textId="60654CAA" w:rsidR="00C372FD" w:rsidRDefault="00E25367" w:rsidP="008B3360">
      <w:pPr>
        <w:pStyle w:val="ListParagraph"/>
        <w:numPr>
          <w:ilvl w:val="0"/>
          <w:numId w:val="4"/>
        </w:numPr>
        <w:spacing w:before="120" w:after="120"/>
        <w:ind w:right="288"/>
        <w:jc w:val="both"/>
        <w:rPr>
          <w:rFonts w:eastAsia="Times New Roman" w:cstheme="minorHAnsi"/>
        </w:rPr>
      </w:pPr>
      <w:r>
        <w:rPr>
          <w:rFonts w:eastAsia="Times New Roman" w:cstheme="minorHAnsi"/>
        </w:rPr>
        <w:t xml:space="preserve">The land cover </w:t>
      </w:r>
      <w:r w:rsidR="000F0F2B">
        <w:rPr>
          <w:rFonts w:eastAsia="Times New Roman" w:cstheme="minorHAnsi"/>
        </w:rPr>
        <w:t>categories</w:t>
      </w:r>
      <w:r>
        <w:rPr>
          <w:rFonts w:eastAsia="Times New Roman" w:cstheme="minorHAnsi"/>
        </w:rPr>
        <w:t xml:space="preserve"> </w:t>
      </w:r>
      <w:r w:rsidR="000F0F2B">
        <w:rPr>
          <w:rFonts w:eastAsia="Times New Roman" w:cstheme="minorHAnsi"/>
        </w:rPr>
        <w:t>are</w:t>
      </w:r>
      <w:r>
        <w:rPr>
          <w:rFonts w:eastAsia="Times New Roman" w:cstheme="minorHAnsi"/>
        </w:rPr>
        <w:t xml:space="preserve"> different from the AEZ</w:t>
      </w:r>
      <w:r w:rsidR="00AF27EB">
        <w:rPr>
          <w:rFonts w:eastAsia="Times New Roman" w:cstheme="minorHAnsi"/>
        </w:rPr>
        <w:t xml:space="preserve"> – i.e., </w:t>
      </w:r>
      <w:r w:rsidR="002A3609">
        <w:rPr>
          <w:rFonts w:eastAsia="Times New Roman" w:cstheme="minorHAnsi"/>
        </w:rPr>
        <w:t xml:space="preserve">the set </w:t>
      </w:r>
      <w:r w:rsidR="002A3609" w:rsidRPr="002A3609">
        <w:rPr>
          <w:rFonts w:eastAsia="Times New Roman" w:cstheme="minorHAnsi"/>
          <w:i/>
          <w:iCs/>
        </w:rPr>
        <w:t>l</w:t>
      </w:r>
      <w:r w:rsidR="00AF27EB" w:rsidRPr="002A3609">
        <w:rPr>
          <w:rFonts w:eastAsia="Times New Roman" w:cstheme="minorHAnsi"/>
          <w:i/>
          <w:iCs/>
        </w:rPr>
        <w:t>Cov</w:t>
      </w:r>
      <w:r w:rsidR="00AF27EB">
        <w:rPr>
          <w:rFonts w:eastAsia="Times New Roman" w:cstheme="minorHAnsi"/>
        </w:rPr>
        <w:t xml:space="preserve"> ha</w:t>
      </w:r>
      <w:r w:rsidR="005A502B">
        <w:rPr>
          <w:rFonts w:eastAsia="Times New Roman" w:cstheme="minorHAnsi"/>
        </w:rPr>
        <w:t>s:</w:t>
      </w:r>
      <w:r w:rsidR="00AF27EB">
        <w:rPr>
          <w:rFonts w:eastAsia="Times New Roman" w:cstheme="minorHAnsi"/>
        </w:rPr>
        <w:t xml:space="preserve"> </w:t>
      </w:r>
      <w:r w:rsidR="004236B8" w:rsidRPr="004236B8">
        <w:rPr>
          <w:rFonts w:eastAsia="Times New Roman" w:cstheme="minorHAnsi"/>
          <w:i/>
          <w:iCs/>
        </w:rPr>
        <w:t>moderate_to_dense_forest</w:t>
      </w:r>
      <w:r w:rsidR="004236B8">
        <w:rPr>
          <w:rFonts w:eastAsia="Times New Roman" w:cstheme="minorHAnsi"/>
        </w:rPr>
        <w:t xml:space="preserve">, </w:t>
      </w:r>
      <w:r w:rsidR="00387FE4" w:rsidRPr="000F0F2B">
        <w:rPr>
          <w:rFonts w:eastAsia="Times New Roman" w:cstheme="minorHAnsi"/>
          <w:i/>
          <w:iCs/>
        </w:rPr>
        <w:t>cropland</w:t>
      </w:r>
      <w:r w:rsidR="00387FE4">
        <w:rPr>
          <w:rFonts w:eastAsia="Times New Roman" w:cstheme="minorHAnsi"/>
        </w:rPr>
        <w:t xml:space="preserve">, </w:t>
      </w:r>
      <w:r w:rsidR="00387FE4" w:rsidRPr="000F0F2B">
        <w:rPr>
          <w:rFonts w:eastAsia="Times New Roman" w:cstheme="minorHAnsi"/>
          <w:i/>
          <w:iCs/>
        </w:rPr>
        <w:t>grassland</w:t>
      </w:r>
      <w:r w:rsidR="00387FE4">
        <w:rPr>
          <w:rFonts w:eastAsia="Times New Roman" w:cstheme="minorHAnsi"/>
        </w:rPr>
        <w:t xml:space="preserve">, </w:t>
      </w:r>
      <w:r w:rsidR="00387FE4" w:rsidRPr="000F0F2B">
        <w:rPr>
          <w:rFonts w:eastAsia="Times New Roman" w:cstheme="minorHAnsi"/>
          <w:i/>
          <w:iCs/>
        </w:rPr>
        <w:t>shrub</w:t>
      </w:r>
      <w:r w:rsidR="00387FE4">
        <w:rPr>
          <w:rFonts w:eastAsia="Times New Roman" w:cstheme="minorHAnsi"/>
        </w:rPr>
        <w:t xml:space="preserve">, </w:t>
      </w:r>
      <w:r w:rsidR="00387FE4" w:rsidRPr="000F0F2B">
        <w:rPr>
          <w:rFonts w:eastAsia="Times New Roman" w:cstheme="minorHAnsi"/>
          <w:i/>
          <w:iCs/>
        </w:rPr>
        <w:t>wasteland</w:t>
      </w:r>
      <w:r w:rsidR="00387FE4">
        <w:rPr>
          <w:rFonts w:eastAsia="Times New Roman" w:cstheme="minorHAnsi"/>
        </w:rPr>
        <w:t xml:space="preserve">, </w:t>
      </w:r>
      <w:r w:rsidR="00387FE4" w:rsidRPr="000F0F2B">
        <w:rPr>
          <w:rFonts w:eastAsia="Times New Roman" w:cstheme="minorHAnsi"/>
          <w:i/>
          <w:iCs/>
        </w:rPr>
        <w:t>fallowland</w:t>
      </w:r>
      <w:r w:rsidR="00387FE4">
        <w:rPr>
          <w:rFonts w:eastAsia="Times New Roman" w:cstheme="minorHAnsi"/>
        </w:rPr>
        <w:t xml:space="preserve">, </w:t>
      </w:r>
      <w:r w:rsidR="00387FE4" w:rsidRPr="000F0F2B">
        <w:rPr>
          <w:rFonts w:eastAsia="Times New Roman" w:cstheme="minorHAnsi"/>
          <w:i/>
          <w:iCs/>
        </w:rPr>
        <w:t>swamp_runn</w:t>
      </w:r>
      <w:r w:rsidR="00387FE4">
        <w:rPr>
          <w:rFonts w:eastAsia="Times New Roman" w:cstheme="minorHAnsi"/>
        </w:rPr>
        <w:t xml:space="preserve">, </w:t>
      </w:r>
      <w:r w:rsidR="00387FE4" w:rsidRPr="000F0F2B">
        <w:rPr>
          <w:rFonts w:eastAsia="Times New Roman" w:cstheme="minorHAnsi"/>
          <w:i/>
          <w:iCs/>
        </w:rPr>
        <w:t>water_ice</w:t>
      </w:r>
      <w:r w:rsidR="00387FE4">
        <w:rPr>
          <w:rFonts w:eastAsia="Times New Roman" w:cstheme="minorHAnsi"/>
        </w:rPr>
        <w:t xml:space="preserve">, </w:t>
      </w:r>
      <w:r w:rsidR="00387FE4" w:rsidRPr="000F0F2B">
        <w:rPr>
          <w:rFonts w:eastAsia="Times New Roman" w:cstheme="minorHAnsi"/>
          <w:i/>
          <w:iCs/>
        </w:rPr>
        <w:t>urban_built</w:t>
      </w:r>
      <w:r w:rsidR="00387FE4">
        <w:rPr>
          <w:rFonts w:eastAsia="Times New Roman" w:cstheme="minorHAnsi"/>
        </w:rPr>
        <w:t xml:space="preserve"> and </w:t>
      </w:r>
      <w:r w:rsidR="00387FE4" w:rsidRPr="000F0F2B">
        <w:rPr>
          <w:rFonts w:eastAsia="Times New Roman" w:cstheme="minorHAnsi"/>
          <w:i/>
          <w:iCs/>
        </w:rPr>
        <w:t>open_forest</w:t>
      </w:r>
      <w:r w:rsidR="00387FE4">
        <w:rPr>
          <w:rFonts w:eastAsia="Times New Roman" w:cstheme="minorHAnsi"/>
        </w:rPr>
        <w:t>.</w:t>
      </w:r>
    </w:p>
    <w:p w14:paraId="2750ECD9" w14:textId="185E66E8" w:rsidR="00BD7780" w:rsidRDefault="00E0555F" w:rsidP="008B3360">
      <w:pPr>
        <w:pStyle w:val="ListParagraph"/>
        <w:numPr>
          <w:ilvl w:val="0"/>
          <w:numId w:val="4"/>
        </w:numPr>
        <w:spacing w:before="120" w:after="120"/>
        <w:ind w:right="288"/>
        <w:jc w:val="both"/>
        <w:rPr>
          <w:rFonts w:eastAsia="Times New Roman" w:cstheme="minorHAnsi"/>
        </w:rPr>
      </w:pPr>
      <w:r>
        <w:rPr>
          <w:rFonts w:eastAsia="Times New Roman" w:cstheme="minorHAnsi"/>
        </w:rPr>
        <w:t xml:space="preserve">We consider 3 scenarios: NDC, </w:t>
      </w:r>
      <w:r w:rsidR="00BD7780">
        <w:rPr>
          <w:rFonts w:eastAsia="Times New Roman" w:cstheme="minorHAnsi"/>
        </w:rPr>
        <w:t>forest restoration and co</w:t>
      </w:r>
      <w:r w:rsidR="00EB4DE6">
        <w:rPr>
          <w:rFonts w:eastAsia="Times New Roman" w:cstheme="minorHAnsi"/>
        </w:rPr>
        <w:t>mb</w:t>
      </w:r>
      <w:r w:rsidR="00BD7780">
        <w:rPr>
          <w:rFonts w:eastAsia="Times New Roman" w:cstheme="minorHAnsi"/>
        </w:rPr>
        <w:t>ined.</w:t>
      </w:r>
      <w:r w:rsidR="00AA494A">
        <w:rPr>
          <w:rFonts w:eastAsia="Times New Roman" w:cstheme="minorHAnsi"/>
        </w:rPr>
        <w:t xml:space="preserve"> </w:t>
      </w:r>
      <w:r w:rsidR="004D63FC" w:rsidRPr="004D63FC">
        <w:rPr>
          <w:rFonts w:eastAsia="Times New Roman" w:cstheme="minorHAnsi"/>
        </w:rPr>
        <w:t>There is investment cost and the benefits coming from the ecosystem (pollination and soil erosion) as positive shocks to the productivity in crops activity</w:t>
      </w:r>
      <w:r w:rsidR="004D63FC">
        <w:rPr>
          <w:rFonts w:eastAsia="Times New Roman" w:cstheme="minorHAnsi"/>
        </w:rPr>
        <w:t xml:space="preserve"> in each scenario</w:t>
      </w:r>
      <w:r w:rsidR="004D63FC" w:rsidRPr="004D63FC">
        <w:rPr>
          <w:rFonts w:eastAsia="Times New Roman" w:cstheme="minorHAnsi"/>
        </w:rPr>
        <w:t>.</w:t>
      </w:r>
    </w:p>
    <w:p w14:paraId="69ACD1F7" w14:textId="008CCC02" w:rsidR="00A73AE9" w:rsidRDefault="00BD7780" w:rsidP="008B3360">
      <w:pPr>
        <w:pStyle w:val="ListParagraph"/>
        <w:numPr>
          <w:ilvl w:val="1"/>
          <w:numId w:val="4"/>
        </w:numPr>
        <w:spacing w:before="120" w:after="120"/>
        <w:ind w:right="288"/>
        <w:jc w:val="both"/>
        <w:rPr>
          <w:rFonts w:eastAsia="Times New Roman" w:cstheme="minorHAnsi"/>
        </w:rPr>
      </w:pPr>
      <w:r>
        <w:rPr>
          <w:rFonts w:eastAsia="Times New Roman" w:cstheme="minorHAnsi"/>
        </w:rPr>
        <w:t xml:space="preserve">In the NDC scenario, </w:t>
      </w:r>
      <w:r w:rsidR="00B1167C">
        <w:rPr>
          <w:rFonts w:eastAsia="Times New Roman" w:cstheme="minorHAnsi"/>
        </w:rPr>
        <w:t xml:space="preserve">the land size of </w:t>
      </w:r>
      <w:r w:rsidR="00B1167C" w:rsidRPr="00B1167C">
        <w:rPr>
          <w:rFonts w:eastAsia="Times New Roman" w:cstheme="minorHAnsi"/>
          <w:i/>
          <w:iCs/>
        </w:rPr>
        <w:t>moderate_to_dense_forest</w:t>
      </w:r>
      <w:r w:rsidR="00B1167C">
        <w:rPr>
          <w:rFonts w:eastAsia="Times New Roman" w:cstheme="minorHAnsi"/>
        </w:rPr>
        <w:t xml:space="preserve"> </w:t>
      </w:r>
      <w:r w:rsidR="006E7B45">
        <w:rPr>
          <w:rFonts w:eastAsia="Times New Roman" w:cstheme="minorHAnsi"/>
        </w:rPr>
        <w:t>increase by redu</w:t>
      </w:r>
      <w:r w:rsidR="00B1167C">
        <w:rPr>
          <w:rFonts w:eastAsia="Times New Roman" w:cstheme="minorHAnsi"/>
        </w:rPr>
        <w:t>c</w:t>
      </w:r>
      <w:r w:rsidR="006E7B45">
        <w:rPr>
          <w:rFonts w:eastAsia="Times New Roman" w:cstheme="minorHAnsi"/>
        </w:rPr>
        <w:t>ing</w:t>
      </w:r>
      <w:r w:rsidR="00B1167C">
        <w:rPr>
          <w:rFonts w:eastAsia="Times New Roman" w:cstheme="minorHAnsi"/>
        </w:rPr>
        <w:t xml:space="preserve"> that of </w:t>
      </w:r>
      <w:r w:rsidR="001C2642">
        <w:rPr>
          <w:rFonts w:eastAsia="Times New Roman" w:cstheme="minorHAnsi"/>
        </w:rPr>
        <w:t>wasteland</w:t>
      </w:r>
      <w:r w:rsidR="0028792E">
        <w:rPr>
          <w:rFonts w:eastAsia="Times New Roman" w:cstheme="minorHAnsi"/>
        </w:rPr>
        <w:t xml:space="preserve"> through afforestation </w:t>
      </w:r>
      <w:r w:rsidR="00007E56">
        <w:rPr>
          <w:rFonts w:eastAsia="Times New Roman" w:cstheme="minorHAnsi"/>
        </w:rPr>
        <w:t xml:space="preserve">and agroforestry </w:t>
      </w:r>
      <w:r w:rsidR="0028792E">
        <w:rPr>
          <w:rFonts w:eastAsia="Times New Roman" w:cstheme="minorHAnsi"/>
        </w:rPr>
        <w:t xml:space="preserve">and </w:t>
      </w:r>
      <w:r w:rsidR="00007E56">
        <w:rPr>
          <w:rFonts w:eastAsia="Times New Roman" w:cstheme="minorHAnsi"/>
        </w:rPr>
        <w:t>the land size of cropland increases</w:t>
      </w:r>
      <w:r w:rsidR="002F60E5">
        <w:rPr>
          <w:rFonts w:eastAsia="Times New Roman" w:cstheme="minorHAnsi"/>
        </w:rPr>
        <w:t xml:space="preserve"> through agroforestry by reducing the size of fallowland.</w:t>
      </w:r>
      <w:r w:rsidR="00030A0D">
        <w:rPr>
          <w:rFonts w:eastAsia="Times New Roman" w:cstheme="minorHAnsi"/>
        </w:rPr>
        <w:t xml:space="preserve"> </w:t>
      </w:r>
    </w:p>
    <w:p w14:paraId="3AD9DB10" w14:textId="47FDAFA8" w:rsidR="00EB4DE6" w:rsidRDefault="00A73AE9" w:rsidP="008B3360">
      <w:pPr>
        <w:pStyle w:val="ListParagraph"/>
        <w:numPr>
          <w:ilvl w:val="1"/>
          <w:numId w:val="4"/>
        </w:numPr>
        <w:spacing w:before="120" w:after="120"/>
        <w:ind w:right="288"/>
        <w:jc w:val="both"/>
        <w:rPr>
          <w:rFonts w:eastAsia="Times New Roman" w:cstheme="minorHAnsi"/>
        </w:rPr>
      </w:pPr>
      <w:r>
        <w:rPr>
          <w:rFonts w:eastAsia="Times New Roman" w:cstheme="minorHAnsi"/>
        </w:rPr>
        <w:t xml:space="preserve">In the forest restoration scenario, </w:t>
      </w:r>
      <w:r w:rsidR="008B430B">
        <w:rPr>
          <w:rFonts w:eastAsia="Times New Roman" w:cstheme="minorHAnsi"/>
        </w:rPr>
        <w:t xml:space="preserve">the size of </w:t>
      </w:r>
      <w:r w:rsidR="008B430B" w:rsidRPr="008B430B">
        <w:rPr>
          <w:rFonts w:eastAsia="Times New Roman" w:cstheme="minorHAnsi"/>
          <w:i/>
          <w:iCs/>
        </w:rPr>
        <w:t>open_forest</w:t>
      </w:r>
      <w:r w:rsidR="008B430B">
        <w:rPr>
          <w:rFonts w:eastAsia="Times New Roman" w:cstheme="minorHAnsi"/>
        </w:rPr>
        <w:t xml:space="preserve"> decreases to increase the size of </w:t>
      </w:r>
      <w:r w:rsidR="008B430B" w:rsidRPr="008B430B">
        <w:rPr>
          <w:rFonts w:eastAsia="Times New Roman" w:cstheme="minorHAnsi"/>
          <w:i/>
          <w:iCs/>
        </w:rPr>
        <w:t>moderate_to_dense_forest</w:t>
      </w:r>
      <w:r w:rsidR="008B430B">
        <w:rPr>
          <w:rFonts w:eastAsia="Times New Roman" w:cstheme="minorHAnsi"/>
        </w:rPr>
        <w:t>.</w:t>
      </w:r>
      <w:r w:rsidR="00AA494A">
        <w:rPr>
          <w:rFonts w:eastAsia="Times New Roman" w:cstheme="minorHAnsi"/>
        </w:rPr>
        <w:t xml:space="preserve"> </w:t>
      </w:r>
    </w:p>
    <w:p w14:paraId="71801739" w14:textId="068FF604" w:rsidR="00BD7780" w:rsidRDefault="00EB4DE6" w:rsidP="008B3360">
      <w:pPr>
        <w:pStyle w:val="ListParagraph"/>
        <w:numPr>
          <w:ilvl w:val="1"/>
          <w:numId w:val="4"/>
        </w:numPr>
        <w:spacing w:before="120" w:after="120"/>
        <w:ind w:right="288"/>
        <w:jc w:val="both"/>
        <w:rPr>
          <w:rFonts w:eastAsia="Times New Roman" w:cstheme="minorHAnsi"/>
        </w:rPr>
      </w:pPr>
      <w:r>
        <w:rPr>
          <w:rFonts w:eastAsia="Times New Roman" w:cstheme="minorHAnsi"/>
        </w:rPr>
        <w:t>The combined scenario</w:t>
      </w:r>
      <w:r w:rsidR="00093D02">
        <w:rPr>
          <w:rFonts w:eastAsia="Times New Roman" w:cstheme="minorHAnsi"/>
        </w:rPr>
        <w:t xml:space="preserve"> has the above shocks.</w:t>
      </w:r>
      <w:r>
        <w:rPr>
          <w:rFonts w:eastAsia="Times New Roman" w:cstheme="minorHAnsi"/>
        </w:rPr>
        <w:t xml:space="preserve">  </w:t>
      </w:r>
      <w:r w:rsidR="008B430B">
        <w:rPr>
          <w:rFonts w:eastAsia="Times New Roman" w:cstheme="minorHAnsi"/>
        </w:rPr>
        <w:t xml:space="preserve"> </w:t>
      </w:r>
      <w:r w:rsidR="00007E56">
        <w:rPr>
          <w:rFonts w:eastAsia="Times New Roman" w:cstheme="minorHAnsi"/>
        </w:rPr>
        <w:t xml:space="preserve"> </w:t>
      </w:r>
      <w:r w:rsidR="0028792E">
        <w:rPr>
          <w:rFonts w:eastAsia="Times New Roman" w:cstheme="minorHAnsi"/>
        </w:rPr>
        <w:t xml:space="preserve"> </w:t>
      </w:r>
      <w:r w:rsidR="006E7B45">
        <w:rPr>
          <w:rFonts w:eastAsia="Times New Roman" w:cstheme="minorHAnsi"/>
        </w:rPr>
        <w:t xml:space="preserve">   </w:t>
      </w:r>
      <w:r w:rsidR="008F049A">
        <w:rPr>
          <w:rFonts w:eastAsia="Times New Roman" w:cstheme="minorHAnsi"/>
        </w:rPr>
        <w:t xml:space="preserve"> </w:t>
      </w:r>
    </w:p>
    <w:p w14:paraId="2E4D171C" w14:textId="4377EC63" w:rsidR="008074D2" w:rsidRDefault="0008674E" w:rsidP="00BE11E4">
      <w:pPr>
        <w:pStyle w:val="Heading3"/>
        <w:rPr>
          <w:rFonts w:eastAsia="Times New Roman"/>
        </w:rPr>
      </w:pPr>
      <w:r>
        <w:rPr>
          <w:rFonts w:eastAsia="Times New Roman"/>
        </w:rPr>
        <w:t>Flexible nesting</w:t>
      </w:r>
    </w:p>
    <w:p w14:paraId="2FB8C842" w14:textId="4867A37B" w:rsidR="005C6145" w:rsidRDefault="00AE2859" w:rsidP="008B3360">
      <w:pPr>
        <w:spacing w:before="120" w:after="120"/>
        <w:ind w:right="288"/>
        <w:jc w:val="both"/>
        <w:rPr>
          <w:rFonts w:eastAsia="Times New Roman" w:cstheme="minorHAnsi"/>
        </w:rPr>
      </w:pPr>
      <w:r>
        <w:rPr>
          <w:rFonts w:eastAsia="Times New Roman" w:cstheme="minorHAnsi"/>
        </w:rPr>
        <w:t>The flexible production nesting</w:t>
      </w:r>
      <w:r w:rsidR="005C6145">
        <w:rPr>
          <w:rFonts w:eastAsia="Times New Roman" w:cstheme="minorHAnsi"/>
        </w:rPr>
        <w:t xml:space="preserve"> </w:t>
      </w:r>
      <w:r w:rsidR="00CD1FA1">
        <w:rPr>
          <w:rFonts w:eastAsia="Times New Roman" w:cstheme="minorHAnsi"/>
        </w:rPr>
        <w:t>is depicted in Figure 1</w:t>
      </w:r>
      <w:r w:rsidR="00E9221B">
        <w:rPr>
          <w:rFonts w:eastAsia="Times New Roman" w:cstheme="minorHAnsi"/>
        </w:rPr>
        <w:t xml:space="preserve"> (a cutoff)</w:t>
      </w:r>
      <w:r w:rsidR="005C6145">
        <w:rPr>
          <w:rFonts w:eastAsia="Times New Roman" w:cstheme="minorHAnsi"/>
        </w:rPr>
        <w:t>.</w:t>
      </w:r>
      <w:r w:rsidR="006C5985">
        <w:rPr>
          <w:rFonts w:eastAsia="Times New Roman" w:cstheme="minorHAnsi"/>
        </w:rPr>
        <w:t xml:space="preserve"> </w:t>
      </w:r>
      <w:r w:rsidR="00BA1B3C">
        <w:rPr>
          <w:rFonts w:eastAsia="Times New Roman" w:cstheme="minorHAnsi"/>
        </w:rPr>
        <w:t xml:space="preserve">As can be seen, land </w:t>
      </w:r>
      <w:r w:rsidR="00BA1B3C" w:rsidRPr="00004721">
        <w:rPr>
          <w:rFonts w:eastAsia="Times New Roman" w:cstheme="minorHAnsi"/>
        </w:rPr>
        <w:t>(f-lnd</w:t>
      </w:r>
      <w:r w:rsidR="00C93FA5" w:rsidRPr="00004721">
        <w:rPr>
          <w:rFonts w:eastAsia="Times New Roman" w:cstheme="minorHAnsi"/>
        </w:rPr>
        <w:t>1, f</w:t>
      </w:r>
      <w:r w:rsidR="00004721">
        <w:rPr>
          <w:rFonts w:eastAsia="Times New Roman" w:cstheme="minorHAnsi"/>
        </w:rPr>
        <w:t>-</w:t>
      </w:r>
      <w:r w:rsidR="00C93FA5" w:rsidRPr="00004721">
        <w:rPr>
          <w:rFonts w:eastAsia="Times New Roman" w:cstheme="minorHAnsi"/>
        </w:rPr>
        <w:t>lnd2, f</w:t>
      </w:r>
      <w:r w:rsidR="00004721">
        <w:rPr>
          <w:rFonts w:eastAsia="Times New Roman" w:cstheme="minorHAnsi"/>
        </w:rPr>
        <w:t>-</w:t>
      </w:r>
      <w:r w:rsidR="00C93FA5" w:rsidRPr="00004721">
        <w:rPr>
          <w:rFonts w:eastAsia="Times New Roman" w:cstheme="minorHAnsi"/>
        </w:rPr>
        <w:t>lnd3</w:t>
      </w:r>
      <w:r w:rsidR="00BA1B3C">
        <w:rPr>
          <w:rFonts w:eastAsia="Times New Roman" w:cstheme="minorHAnsi"/>
        </w:rPr>
        <w:t xml:space="preserve">) is </w:t>
      </w:r>
      <w:r w:rsidR="00235C84">
        <w:rPr>
          <w:rFonts w:eastAsia="Times New Roman" w:cstheme="minorHAnsi"/>
        </w:rPr>
        <w:t xml:space="preserve">mapped to </w:t>
      </w:r>
      <w:r w:rsidR="00CA7964">
        <w:rPr>
          <w:rFonts w:eastAsia="Times New Roman" w:cstheme="minorHAnsi"/>
        </w:rPr>
        <w:t xml:space="preserve">the </w:t>
      </w:r>
      <w:proofErr w:type="spellStart"/>
      <w:r w:rsidR="00B00E83" w:rsidRPr="00004721">
        <w:rPr>
          <w:rFonts w:eastAsia="Times New Roman" w:cstheme="minorHAnsi"/>
        </w:rPr>
        <w:t>wland</w:t>
      </w:r>
      <w:proofErr w:type="spellEnd"/>
      <w:r w:rsidR="00B00E83">
        <w:rPr>
          <w:rFonts w:eastAsia="Times New Roman" w:cstheme="minorHAnsi"/>
        </w:rPr>
        <w:t xml:space="preserve"> </w:t>
      </w:r>
      <w:r w:rsidR="00CA7964">
        <w:rPr>
          <w:rFonts w:eastAsia="Times New Roman" w:cstheme="minorHAnsi"/>
        </w:rPr>
        <w:t xml:space="preserve">nest </w:t>
      </w:r>
      <w:r w:rsidR="00B00E83">
        <w:rPr>
          <w:rFonts w:eastAsia="Times New Roman" w:cstheme="minorHAnsi"/>
        </w:rPr>
        <w:t>through a CES function</w:t>
      </w:r>
      <w:r w:rsidR="006D5301">
        <w:rPr>
          <w:rFonts w:eastAsia="Times New Roman" w:cstheme="minorHAnsi"/>
        </w:rPr>
        <w:t xml:space="preserve"> while </w:t>
      </w:r>
      <w:proofErr w:type="spellStart"/>
      <w:r w:rsidR="006D5301">
        <w:rPr>
          <w:rFonts w:eastAsia="Times New Roman" w:cstheme="minorHAnsi"/>
        </w:rPr>
        <w:t>wland</w:t>
      </w:r>
      <w:proofErr w:type="spellEnd"/>
      <w:r w:rsidR="006D5301">
        <w:rPr>
          <w:rFonts w:eastAsia="Times New Roman" w:cstheme="minorHAnsi"/>
        </w:rPr>
        <w:t xml:space="preserve"> is component of </w:t>
      </w:r>
      <w:r w:rsidR="00CA7964">
        <w:rPr>
          <w:rFonts w:eastAsia="Times New Roman" w:cstheme="minorHAnsi"/>
        </w:rPr>
        <w:t xml:space="preserve">the </w:t>
      </w:r>
      <w:proofErr w:type="spellStart"/>
      <w:r w:rsidR="00CA7964">
        <w:rPr>
          <w:rFonts w:eastAsia="Times New Roman" w:cstheme="minorHAnsi"/>
        </w:rPr>
        <w:t>va</w:t>
      </w:r>
      <w:proofErr w:type="spellEnd"/>
      <w:r w:rsidR="00CA7964">
        <w:rPr>
          <w:rFonts w:eastAsia="Times New Roman" w:cstheme="minorHAnsi"/>
        </w:rPr>
        <w:t xml:space="preserve"> nest</w:t>
      </w:r>
      <w:r w:rsidR="00667232">
        <w:rPr>
          <w:rFonts w:eastAsia="Times New Roman" w:cstheme="minorHAnsi"/>
        </w:rPr>
        <w:t>.</w:t>
      </w:r>
      <w:r w:rsidR="001A79A0">
        <w:rPr>
          <w:rStyle w:val="FootnoteReference"/>
          <w:rFonts w:eastAsia="Times New Roman" w:cstheme="minorHAnsi"/>
        </w:rPr>
        <w:footnoteReference w:id="3"/>
      </w:r>
      <w:r w:rsidR="002429FF">
        <w:rPr>
          <w:rFonts w:eastAsia="Times New Roman" w:cstheme="minorHAnsi"/>
        </w:rPr>
        <w:t xml:space="preserve"> </w:t>
      </w:r>
      <w:r w:rsidR="00F92A5C">
        <w:rPr>
          <w:rFonts w:eastAsia="Times New Roman" w:cstheme="minorHAnsi"/>
        </w:rPr>
        <w:t xml:space="preserve"> </w:t>
      </w:r>
      <w:r w:rsidR="00D87927">
        <w:rPr>
          <w:rFonts w:eastAsia="Times New Roman" w:cstheme="minorHAnsi"/>
        </w:rPr>
        <w:t xml:space="preserve"> </w:t>
      </w:r>
      <w:r w:rsidR="00180DCD">
        <w:rPr>
          <w:rFonts w:eastAsia="Times New Roman" w:cstheme="minorHAnsi"/>
        </w:rPr>
        <w:t xml:space="preserve">  </w:t>
      </w:r>
      <w:r w:rsidR="007E4E7B">
        <w:rPr>
          <w:rFonts w:eastAsia="Times New Roman" w:cstheme="minorHAnsi"/>
        </w:rPr>
        <w:t xml:space="preserve"> </w:t>
      </w:r>
    </w:p>
    <w:p w14:paraId="1FA730A1" w14:textId="40A288C3" w:rsidR="008074D2" w:rsidRDefault="00A1152A" w:rsidP="001E1C1A">
      <w:pPr>
        <w:spacing w:after="240"/>
        <w:ind w:right="288"/>
        <w:jc w:val="center"/>
        <w:rPr>
          <w:rFonts w:eastAsia="Times New Roman" w:cstheme="minorHAnsi"/>
        </w:rPr>
      </w:pPr>
      <w:r>
        <w:rPr>
          <w:rFonts w:eastAsia="Times New Roman" w:cstheme="minorHAnsi"/>
        </w:rPr>
        <w:lastRenderedPageBreak/>
        <w:t xml:space="preserve">Figure 1. Flexible </w:t>
      </w:r>
      <w:r w:rsidR="00E56D19">
        <w:rPr>
          <w:rFonts w:eastAsia="Times New Roman" w:cstheme="minorHAnsi"/>
        </w:rPr>
        <w:t xml:space="preserve">production </w:t>
      </w:r>
      <w:r>
        <w:rPr>
          <w:rFonts w:eastAsia="Times New Roman" w:cstheme="minorHAnsi"/>
        </w:rPr>
        <w:t>nesting</w:t>
      </w:r>
      <w:r w:rsidRPr="00A1152A">
        <w:drawing>
          <wp:inline distT="0" distB="0" distL="0" distR="0" wp14:anchorId="771D163B" wp14:editId="47785C9F">
            <wp:extent cx="5943600" cy="3591560"/>
            <wp:effectExtent l="0" t="0" r="0" b="8890"/>
            <wp:docPr id="1797454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591560"/>
                    </a:xfrm>
                    <a:prstGeom prst="rect">
                      <a:avLst/>
                    </a:prstGeom>
                    <a:noFill/>
                    <a:ln>
                      <a:noFill/>
                    </a:ln>
                  </pic:spPr>
                </pic:pic>
              </a:graphicData>
            </a:graphic>
          </wp:inline>
        </w:drawing>
      </w:r>
    </w:p>
    <w:p w14:paraId="5C798164" w14:textId="59D5FC73" w:rsidR="00E77756" w:rsidRDefault="00B01302" w:rsidP="008B3360">
      <w:pPr>
        <w:spacing w:before="120" w:after="120"/>
        <w:ind w:right="288"/>
        <w:jc w:val="both"/>
        <w:rPr>
          <w:rFonts w:eastAsia="Times New Roman" w:cstheme="minorHAnsi"/>
        </w:rPr>
      </w:pPr>
      <w:r>
        <w:rPr>
          <w:rFonts w:eastAsia="Times New Roman" w:cstheme="minorHAnsi"/>
        </w:rPr>
        <w:t>The following figure</w:t>
      </w:r>
      <w:r w:rsidR="00E9221B">
        <w:rPr>
          <w:rFonts w:eastAsia="Times New Roman" w:cstheme="minorHAnsi"/>
        </w:rPr>
        <w:t xml:space="preserve"> (a cutoff)</w:t>
      </w:r>
      <w:r>
        <w:rPr>
          <w:rFonts w:eastAsia="Times New Roman" w:cstheme="minorHAnsi"/>
        </w:rPr>
        <w:t xml:space="preserve"> shows the flexible </w:t>
      </w:r>
      <w:r w:rsidR="00C20431">
        <w:rPr>
          <w:rFonts w:eastAsia="Times New Roman" w:cstheme="minorHAnsi"/>
        </w:rPr>
        <w:t>nesting for the factors of production</w:t>
      </w:r>
      <w:r w:rsidR="00D43FEE">
        <w:rPr>
          <w:rFonts w:eastAsia="Times New Roman" w:cstheme="minorHAnsi"/>
        </w:rPr>
        <w:t xml:space="preserve">. </w:t>
      </w:r>
      <w:r w:rsidR="00E952EC">
        <w:rPr>
          <w:rFonts w:eastAsia="Times New Roman" w:cstheme="minorHAnsi"/>
        </w:rPr>
        <w:t>T</w:t>
      </w:r>
      <w:r w:rsidR="000279A2">
        <w:rPr>
          <w:rFonts w:eastAsia="Times New Roman" w:cstheme="minorHAnsi"/>
        </w:rPr>
        <w:t>hree</w:t>
      </w:r>
      <w:r w:rsidR="00197445">
        <w:rPr>
          <w:rFonts w:eastAsia="Times New Roman" w:cstheme="minorHAnsi"/>
        </w:rPr>
        <w:t xml:space="preserve"> land</w:t>
      </w:r>
      <w:r w:rsidR="00E952EC">
        <w:rPr>
          <w:rFonts w:eastAsia="Times New Roman" w:cstheme="minorHAnsi"/>
        </w:rPr>
        <w:t>s</w:t>
      </w:r>
      <w:r w:rsidR="003C2DC2">
        <w:rPr>
          <w:rFonts w:eastAsia="Times New Roman" w:cstheme="minorHAnsi"/>
        </w:rPr>
        <w:t>,</w:t>
      </w:r>
      <w:r w:rsidR="00197445">
        <w:rPr>
          <w:rFonts w:eastAsia="Times New Roman" w:cstheme="minorHAnsi"/>
        </w:rPr>
        <w:t xml:space="preserve"> </w:t>
      </w:r>
      <w:r w:rsidR="00197445" w:rsidRPr="00D12699">
        <w:rPr>
          <w:rFonts w:eastAsia="Times New Roman" w:cstheme="minorHAnsi"/>
        </w:rPr>
        <w:t>f-lnd</w:t>
      </w:r>
      <w:r w:rsidR="000279A2" w:rsidRPr="00D12699">
        <w:rPr>
          <w:rFonts w:eastAsia="Times New Roman" w:cstheme="minorHAnsi"/>
        </w:rPr>
        <w:t>1</w:t>
      </w:r>
      <w:r w:rsidR="000279A2">
        <w:rPr>
          <w:rFonts w:eastAsia="Times New Roman" w:cstheme="minorHAnsi"/>
          <w:i/>
          <w:iCs/>
        </w:rPr>
        <w:t xml:space="preserve">, </w:t>
      </w:r>
      <w:r w:rsidR="000279A2" w:rsidRPr="00D12699">
        <w:rPr>
          <w:rFonts w:eastAsia="Times New Roman" w:cstheme="minorHAnsi"/>
        </w:rPr>
        <w:t>f-land2</w:t>
      </w:r>
      <w:r w:rsidR="000279A2">
        <w:rPr>
          <w:rFonts w:eastAsia="Times New Roman" w:cstheme="minorHAnsi"/>
          <w:i/>
          <w:iCs/>
        </w:rPr>
        <w:t xml:space="preserve"> </w:t>
      </w:r>
      <w:r w:rsidR="000279A2" w:rsidRPr="00D12699">
        <w:rPr>
          <w:rFonts w:eastAsia="Times New Roman" w:cstheme="minorHAnsi"/>
        </w:rPr>
        <w:t>and f-land3</w:t>
      </w:r>
      <w:r w:rsidR="00CF349D">
        <w:rPr>
          <w:rFonts w:eastAsia="Times New Roman" w:cstheme="minorHAnsi"/>
        </w:rPr>
        <w:t xml:space="preserve"> </w:t>
      </w:r>
      <w:r w:rsidR="00E952EC">
        <w:rPr>
          <w:rFonts w:eastAsia="Times New Roman" w:cstheme="minorHAnsi"/>
        </w:rPr>
        <w:t xml:space="preserve">are </w:t>
      </w:r>
      <w:r w:rsidR="00E04E59">
        <w:rPr>
          <w:rFonts w:eastAsia="Times New Roman" w:cstheme="minorHAnsi"/>
        </w:rPr>
        <w:t xml:space="preserve">supplied to </w:t>
      </w:r>
      <w:r w:rsidR="00CF349D">
        <w:rPr>
          <w:rFonts w:eastAsia="Times New Roman" w:cstheme="minorHAnsi"/>
        </w:rPr>
        <w:t>a-</w:t>
      </w:r>
      <w:proofErr w:type="spellStart"/>
      <w:r w:rsidR="00CF349D">
        <w:rPr>
          <w:rFonts w:eastAsia="Times New Roman" w:cstheme="minorHAnsi"/>
        </w:rPr>
        <w:t>crp</w:t>
      </w:r>
      <w:proofErr w:type="spellEnd"/>
      <w:r w:rsidR="00CF349D">
        <w:rPr>
          <w:rFonts w:eastAsia="Times New Roman" w:cstheme="minorHAnsi"/>
        </w:rPr>
        <w:t>, a-</w:t>
      </w:r>
      <w:proofErr w:type="spellStart"/>
      <w:r w:rsidR="00CF349D">
        <w:rPr>
          <w:rFonts w:eastAsia="Times New Roman" w:cstheme="minorHAnsi"/>
        </w:rPr>
        <w:t>lvs</w:t>
      </w:r>
      <w:proofErr w:type="spellEnd"/>
      <w:r w:rsidR="00CF349D">
        <w:rPr>
          <w:rFonts w:eastAsia="Times New Roman" w:cstheme="minorHAnsi"/>
        </w:rPr>
        <w:t xml:space="preserve"> and a-</w:t>
      </w:r>
      <w:proofErr w:type="spellStart"/>
      <w:r w:rsidR="00CF349D">
        <w:rPr>
          <w:rFonts w:eastAsia="Times New Roman" w:cstheme="minorHAnsi"/>
        </w:rPr>
        <w:t>frs</w:t>
      </w:r>
      <w:proofErr w:type="spellEnd"/>
      <w:r w:rsidR="00CF349D">
        <w:rPr>
          <w:rFonts w:eastAsia="Times New Roman" w:cstheme="minorHAnsi"/>
        </w:rPr>
        <w:t xml:space="preserve"> activities</w:t>
      </w:r>
      <w:r w:rsidR="00E04E59">
        <w:rPr>
          <w:rFonts w:eastAsia="Times New Roman" w:cstheme="minorHAnsi"/>
        </w:rPr>
        <w:t>, respectively</w:t>
      </w:r>
      <w:r w:rsidR="00534E97">
        <w:rPr>
          <w:rFonts w:eastAsia="Times New Roman" w:cstheme="minorHAnsi"/>
        </w:rPr>
        <w:t xml:space="preserve"> with </w:t>
      </w:r>
      <w:r w:rsidR="00C5189F">
        <w:rPr>
          <w:rFonts w:eastAsia="Times New Roman" w:cstheme="minorHAnsi"/>
        </w:rPr>
        <w:t>zero (eps)</w:t>
      </w:r>
      <w:r w:rsidR="00534E97">
        <w:rPr>
          <w:rFonts w:eastAsia="Times New Roman" w:cstheme="minorHAnsi"/>
        </w:rPr>
        <w:t xml:space="preserve"> elasticities </w:t>
      </w:r>
      <w:r w:rsidR="00550172">
        <w:rPr>
          <w:rFonts w:eastAsia="Times New Roman" w:cstheme="minorHAnsi"/>
        </w:rPr>
        <w:t>with respect to real rental price</w:t>
      </w:r>
      <w:r w:rsidR="005075F7">
        <w:rPr>
          <w:rFonts w:eastAsia="Times New Roman" w:cstheme="minorHAnsi"/>
        </w:rPr>
        <w:t xml:space="preserve"> as </w:t>
      </w:r>
      <w:r w:rsidR="00651079">
        <w:rPr>
          <w:rFonts w:eastAsia="Times New Roman" w:cstheme="minorHAnsi"/>
        </w:rPr>
        <w:t>given</w:t>
      </w:r>
      <w:r w:rsidR="005075F7">
        <w:rPr>
          <w:rFonts w:eastAsia="Times New Roman" w:cstheme="minorHAnsi"/>
        </w:rPr>
        <w:t xml:space="preserve"> exogenous in this application</w:t>
      </w:r>
      <w:r w:rsidR="00C5189F">
        <w:rPr>
          <w:rFonts w:eastAsia="Times New Roman" w:cstheme="minorHAnsi"/>
        </w:rPr>
        <w:t>.</w:t>
      </w:r>
    </w:p>
    <w:p w14:paraId="0C61B550" w14:textId="7D09EB5D" w:rsidR="008074D2" w:rsidRDefault="00E77756" w:rsidP="001E1C1A">
      <w:pPr>
        <w:spacing w:before="120" w:after="360"/>
        <w:ind w:right="288"/>
        <w:jc w:val="center"/>
        <w:rPr>
          <w:rFonts w:eastAsia="Times New Roman" w:cstheme="minorHAnsi"/>
        </w:rPr>
      </w:pPr>
      <w:r>
        <w:rPr>
          <w:rFonts w:eastAsia="Times New Roman" w:cstheme="minorHAnsi"/>
        </w:rPr>
        <w:t>Figure 2. Flexible nesting for production factors</w:t>
      </w:r>
      <w:r w:rsidR="00BA1B3C">
        <w:rPr>
          <w:rFonts w:eastAsia="Times New Roman" w:cstheme="minorHAnsi"/>
        </w:rPr>
        <w:t xml:space="preserve"> </w:t>
      </w:r>
      <w:r w:rsidR="00C35872">
        <w:rPr>
          <w:rFonts w:eastAsia="Times New Roman" w:cstheme="minorHAnsi"/>
        </w:rPr>
        <w:t xml:space="preserve">  </w:t>
      </w:r>
      <w:r w:rsidR="009E3829" w:rsidRPr="009E3829">
        <w:drawing>
          <wp:inline distT="0" distB="0" distL="0" distR="0" wp14:anchorId="379CE3D2" wp14:editId="3A880715">
            <wp:extent cx="5943600" cy="3028950"/>
            <wp:effectExtent l="0" t="0" r="0" b="0"/>
            <wp:docPr id="7997249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028950"/>
                    </a:xfrm>
                    <a:prstGeom prst="rect">
                      <a:avLst/>
                    </a:prstGeom>
                    <a:noFill/>
                    <a:ln>
                      <a:noFill/>
                    </a:ln>
                  </pic:spPr>
                </pic:pic>
              </a:graphicData>
            </a:graphic>
          </wp:inline>
        </w:drawing>
      </w:r>
    </w:p>
    <w:p w14:paraId="5E2CEC99" w14:textId="77777777" w:rsidR="009C20F0" w:rsidRDefault="009C20F0" w:rsidP="008B3360">
      <w:pPr>
        <w:spacing w:before="120" w:after="120"/>
        <w:ind w:right="288"/>
        <w:jc w:val="both"/>
        <w:rPr>
          <w:rFonts w:eastAsia="Times New Roman" w:cstheme="minorHAnsi"/>
        </w:rPr>
      </w:pPr>
    </w:p>
    <w:p w14:paraId="06C5888B" w14:textId="77777777" w:rsidR="009C20F0" w:rsidRDefault="009C20F0" w:rsidP="00BE11E4">
      <w:pPr>
        <w:pStyle w:val="Heading3"/>
        <w:rPr>
          <w:rFonts w:eastAsia="Times New Roman"/>
        </w:rPr>
      </w:pPr>
      <w:r>
        <w:rPr>
          <w:rFonts w:eastAsia="Times New Roman"/>
        </w:rPr>
        <w:lastRenderedPageBreak/>
        <w:t>Baseline</w:t>
      </w:r>
    </w:p>
    <w:p w14:paraId="38AC38B8" w14:textId="2429A0C2" w:rsidR="00607D03" w:rsidRDefault="00A30FDC" w:rsidP="008B3360">
      <w:pPr>
        <w:spacing w:before="120" w:after="120"/>
        <w:ind w:right="288"/>
        <w:jc w:val="both"/>
        <w:rPr>
          <w:rFonts w:eastAsia="Times New Roman" w:cstheme="minorHAnsi"/>
        </w:rPr>
      </w:pPr>
      <w:r>
        <w:rPr>
          <w:rFonts w:eastAsia="Times New Roman" w:cstheme="minorHAnsi"/>
        </w:rPr>
        <w:t>In the baseline run</w:t>
      </w:r>
      <w:r w:rsidR="00062260">
        <w:rPr>
          <w:rFonts w:eastAsia="Times New Roman" w:cstheme="minorHAnsi"/>
        </w:rPr>
        <w:t xml:space="preserve"> until 2070</w:t>
      </w:r>
      <w:r w:rsidR="00162FD0">
        <w:rPr>
          <w:rFonts w:eastAsia="Times New Roman" w:cstheme="minorHAnsi"/>
        </w:rPr>
        <w:t xml:space="preserve"> from 2015</w:t>
      </w:r>
      <w:r>
        <w:rPr>
          <w:rFonts w:eastAsia="Times New Roman" w:cstheme="minorHAnsi"/>
        </w:rPr>
        <w:t xml:space="preserve">, </w:t>
      </w:r>
      <w:r w:rsidR="00062260">
        <w:rPr>
          <w:rFonts w:eastAsia="Times New Roman" w:cstheme="minorHAnsi"/>
        </w:rPr>
        <w:t xml:space="preserve">we impose the GDP growth rates. </w:t>
      </w:r>
      <w:r w:rsidR="008340C6">
        <w:rPr>
          <w:rFonts w:eastAsia="Times New Roman" w:cstheme="minorHAnsi"/>
        </w:rPr>
        <w:t xml:space="preserve">In exchange, the economywide </w:t>
      </w:r>
      <w:r w:rsidR="00CD25F3">
        <w:rPr>
          <w:rFonts w:eastAsia="Times New Roman" w:cstheme="minorHAnsi"/>
        </w:rPr>
        <w:t xml:space="preserve">total factor productivity </w:t>
      </w:r>
      <w:r w:rsidR="00607D03">
        <w:rPr>
          <w:rFonts w:eastAsia="Times New Roman" w:cstheme="minorHAnsi"/>
        </w:rPr>
        <w:t>is endogenous</w:t>
      </w:r>
      <w:r w:rsidR="000220B6">
        <w:rPr>
          <w:rFonts w:eastAsia="Times New Roman" w:cstheme="minorHAnsi"/>
        </w:rPr>
        <w:t>.</w:t>
      </w:r>
      <w:r w:rsidR="002869A5">
        <w:rPr>
          <w:rFonts w:eastAsia="Times New Roman" w:cstheme="minorHAnsi"/>
        </w:rPr>
        <w:t xml:space="preserve"> Consequently, GDP increases in 17.7 folds</w:t>
      </w:r>
      <w:r w:rsidR="00B45340">
        <w:rPr>
          <w:rFonts w:eastAsia="Times New Roman" w:cstheme="minorHAnsi"/>
        </w:rPr>
        <w:t>.</w:t>
      </w:r>
      <w:r w:rsidR="00487C52">
        <w:rPr>
          <w:rFonts w:eastAsia="Times New Roman" w:cstheme="minorHAnsi"/>
        </w:rPr>
        <w:t xml:space="preserve"> Population follows the UN projection and increases from </w:t>
      </w:r>
      <w:r w:rsidR="00C84CBC">
        <w:rPr>
          <w:rFonts w:eastAsia="Times New Roman" w:cstheme="minorHAnsi"/>
        </w:rPr>
        <w:t>1.322 billion to 1.690</w:t>
      </w:r>
      <w:r w:rsidR="00A601EA">
        <w:rPr>
          <w:rFonts w:eastAsia="Times New Roman" w:cstheme="minorHAnsi"/>
        </w:rPr>
        <w:t>.</w:t>
      </w:r>
      <w:r w:rsidR="00DF2D15">
        <w:rPr>
          <w:rFonts w:eastAsia="Times New Roman" w:cstheme="minorHAnsi"/>
        </w:rPr>
        <w:t xml:space="preserve"> </w:t>
      </w:r>
      <w:r w:rsidR="009201FA">
        <w:rPr>
          <w:rFonts w:eastAsia="Times New Roman" w:cstheme="minorHAnsi"/>
        </w:rPr>
        <w:t xml:space="preserve">We impose the upper-limit on the government debt-to-GDP ratio at 90 percent so that if the </w:t>
      </w:r>
      <w:r w:rsidR="00F32553">
        <w:rPr>
          <w:rFonts w:eastAsia="Times New Roman" w:cstheme="minorHAnsi"/>
        </w:rPr>
        <w:t>actual debt-to-GDP ratio reaches it, the government spending</w:t>
      </w:r>
      <w:r w:rsidR="00F8375B">
        <w:rPr>
          <w:rFonts w:eastAsia="Times New Roman" w:cstheme="minorHAnsi"/>
        </w:rPr>
        <w:t>s are adjusted.</w:t>
      </w:r>
      <w:r w:rsidR="00F32553">
        <w:rPr>
          <w:rFonts w:eastAsia="Times New Roman" w:cstheme="minorHAnsi"/>
        </w:rPr>
        <w:t xml:space="preserve"> </w:t>
      </w:r>
      <w:r w:rsidR="00EE4F5A">
        <w:rPr>
          <w:rFonts w:eastAsia="Times New Roman" w:cstheme="minorHAnsi"/>
        </w:rPr>
        <w:t>The transfers from the rest-of-the-world follows the population</w:t>
      </w:r>
      <w:r w:rsidR="006D144C">
        <w:rPr>
          <w:rFonts w:eastAsia="Times New Roman" w:cstheme="minorHAnsi"/>
        </w:rPr>
        <w:t xml:space="preserve"> dynamics.</w:t>
      </w:r>
      <w:r w:rsidR="00EE4F5A">
        <w:rPr>
          <w:rFonts w:eastAsia="Times New Roman" w:cstheme="minorHAnsi"/>
        </w:rPr>
        <w:t xml:space="preserve"> </w:t>
      </w:r>
      <w:r w:rsidR="007467AD">
        <w:rPr>
          <w:rFonts w:eastAsia="Times New Roman" w:cstheme="minorHAnsi"/>
        </w:rPr>
        <w:t xml:space="preserve">The ratio of </w:t>
      </w:r>
      <w:r w:rsidR="006D144C">
        <w:rPr>
          <w:rFonts w:eastAsia="Times New Roman" w:cstheme="minorHAnsi"/>
        </w:rPr>
        <w:t>n</w:t>
      </w:r>
      <w:r w:rsidR="007467AD">
        <w:rPr>
          <w:rFonts w:eastAsia="Times New Roman" w:cstheme="minorHAnsi"/>
        </w:rPr>
        <w:t xml:space="preserve">ominal foreign saving and GDP </w:t>
      </w:r>
      <w:r w:rsidR="006D144C">
        <w:rPr>
          <w:rFonts w:eastAsia="Times New Roman" w:cstheme="minorHAnsi"/>
        </w:rPr>
        <w:t>remains at its initial value</w:t>
      </w:r>
      <w:r w:rsidR="007467AD">
        <w:rPr>
          <w:rFonts w:eastAsia="Times New Roman" w:cstheme="minorHAnsi"/>
        </w:rPr>
        <w:t>.</w:t>
      </w:r>
      <w:r w:rsidR="0045522B">
        <w:rPr>
          <w:rFonts w:eastAsia="Times New Roman" w:cstheme="minorHAnsi"/>
        </w:rPr>
        <w:t xml:space="preserve"> </w:t>
      </w:r>
      <w:r w:rsidR="00D355F4">
        <w:rPr>
          <w:rFonts w:eastAsia="Times New Roman" w:cstheme="minorHAnsi"/>
        </w:rPr>
        <w:t xml:space="preserve">We also assume that the land </w:t>
      </w:r>
      <w:r w:rsidR="00FB79A9">
        <w:rPr>
          <w:rFonts w:eastAsia="Times New Roman" w:cstheme="minorHAnsi"/>
        </w:rPr>
        <w:t xml:space="preserve">use does not change in the </w:t>
      </w:r>
      <w:r w:rsidR="00FE471D">
        <w:rPr>
          <w:rFonts w:eastAsia="Times New Roman" w:cstheme="minorHAnsi"/>
        </w:rPr>
        <w:t xml:space="preserve">relevant </w:t>
      </w:r>
      <w:r w:rsidR="00FB79A9">
        <w:rPr>
          <w:rFonts w:eastAsia="Times New Roman" w:cstheme="minorHAnsi"/>
        </w:rPr>
        <w:t>activities.</w:t>
      </w:r>
      <w:r w:rsidR="00CD25F3">
        <w:rPr>
          <w:rFonts w:eastAsia="Times New Roman" w:cstheme="minorHAnsi"/>
        </w:rPr>
        <w:t xml:space="preserve"> </w:t>
      </w:r>
    </w:p>
    <w:p w14:paraId="64B03C9A" w14:textId="114249C5" w:rsidR="009C20F0" w:rsidRDefault="009C20F0" w:rsidP="00BE11E4">
      <w:pPr>
        <w:pStyle w:val="Heading3"/>
        <w:rPr>
          <w:rFonts w:eastAsia="Times New Roman"/>
        </w:rPr>
      </w:pPr>
      <w:r>
        <w:rPr>
          <w:rFonts w:eastAsia="Times New Roman"/>
        </w:rPr>
        <w:t>Scenarios and shocks</w:t>
      </w:r>
    </w:p>
    <w:p w14:paraId="5C52ED2A" w14:textId="374D977B" w:rsidR="00210BF2" w:rsidRDefault="00A06509" w:rsidP="008B3360">
      <w:pPr>
        <w:spacing w:before="120" w:after="120"/>
        <w:ind w:right="288"/>
        <w:jc w:val="both"/>
        <w:rPr>
          <w:rFonts w:eastAsia="Times New Roman" w:cstheme="minorHAnsi"/>
        </w:rPr>
      </w:pPr>
      <w:r>
        <w:rPr>
          <w:rFonts w:eastAsia="Times New Roman" w:cstheme="minorHAnsi"/>
        </w:rPr>
        <w:t xml:space="preserve">The following table has the </w:t>
      </w:r>
      <w:r w:rsidR="009D00D9">
        <w:rPr>
          <w:rFonts w:eastAsia="Times New Roman" w:cstheme="minorHAnsi"/>
        </w:rPr>
        <w:t xml:space="preserve">supply shocks </w:t>
      </w:r>
      <w:r w:rsidR="00DE2527">
        <w:rPr>
          <w:rFonts w:eastAsia="Times New Roman" w:cstheme="minorHAnsi"/>
        </w:rPr>
        <w:t xml:space="preserve">(in million ha) </w:t>
      </w:r>
      <w:r w:rsidR="009D00D9">
        <w:rPr>
          <w:rFonts w:eastAsia="Times New Roman" w:cstheme="minorHAnsi"/>
        </w:rPr>
        <w:t>to the respective lands</w:t>
      </w:r>
      <w:r w:rsidR="00DE2527">
        <w:rPr>
          <w:rFonts w:eastAsia="Times New Roman" w:cstheme="minorHAnsi"/>
        </w:rPr>
        <w:t xml:space="preserve"> in each scenario</w:t>
      </w:r>
      <w:r w:rsidR="009D00D9">
        <w:rPr>
          <w:rFonts w:eastAsia="Times New Roman" w:cstheme="minorHAnsi"/>
        </w:rPr>
        <w:t>.</w:t>
      </w:r>
    </w:p>
    <w:p w14:paraId="59B6F9D2" w14:textId="29260843" w:rsidR="00CE2DB3" w:rsidRDefault="00CE2DB3" w:rsidP="00BE11E4">
      <w:pPr>
        <w:spacing w:before="120" w:after="120"/>
        <w:ind w:right="288"/>
        <w:jc w:val="center"/>
        <w:rPr>
          <w:rFonts w:eastAsia="Times New Roman" w:cstheme="minorHAnsi"/>
        </w:rPr>
      </w:pPr>
      <w:r>
        <w:rPr>
          <w:rFonts w:eastAsia="Times New Roman" w:cstheme="minorHAnsi"/>
        </w:rPr>
        <w:t xml:space="preserve">Table 1. </w:t>
      </w:r>
      <w:r w:rsidR="00A96143">
        <w:rPr>
          <w:rFonts w:eastAsia="Times New Roman" w:cstheme="minorHAnsi"/>
        </w:rPr>
        <w:t>L</w:t>
      </w:r>
      <w:r>
        <w:rPr>
          <w:rFonts w:eastAsia="Times New Roman" w:cstheme="minorHAnsi"/>
        </w:rPr>
        <w:t>and use changes</w:t>
      </w:r>
      <w:r w:rsidR="00826006">
        <w:rPr>
          <w:rFonts w:eastAsia="Times New Roman" w:cstheme="minorHAnsi"/>
        </w:rPr>
        <w:t xml:space="preserve"> by scenarios (in million ha)</w:t>
      </w:r>
    </w:p>
    <w:p w14:paraId="68032DBA" w14:textId="6FDF05F3" w:rsidR="00A06509" w:rsidRDefault="00A06509" w:rsidP="008B3360">
      <w:pPr>
        <w:spacing w:before="120" w:after="120"/>
        <w:ind w:right="288"/>
        <w:jc w:val="both"/>
        <w:rPr>
          <w:rFonts w:eastAsia="Times New Roman" w:cstheme="minorHAnsi"/>
        </w:rPr>
      </w:pPr>
      <w:r w:rsidRPr="00A06509">
        <w:rPr>
          <w:noProof/>
        </w:rPr>
        <w:drawing>
          <wp:inline distT="0" distB="0" distL="0" distR="0" wp14:anchorId="15BFC627" wp14:editId="4A042996">
            <wp:extent cx="5943600" cy="13328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332865"/>
                    </a:xfrm>
                    <a:prstGeom prst="rect">
                      <a:avLst/>
                    </a:prstGeom>
                    <a:noFill/>
                    <a:ln>
                      <a:noFill/>
                    </a:ln>
                  </pic:spPr>
                </pic:pic>
              </a:graphicData>
            </a:graphic>
          </wp:inline>
        </w:drawing>
      </w:r>
    </w:p>
    <w:p w14:paraId="3C40EEF1" w14:textId="409DA59D" w:rsidR="00A96143" w:rsidRDefault="00412E87" w:rsidP="008B3360">
      <w:pPr>
        <w:spacing w:before="120" w:after="120"/>
        <w:ind w:right="288"/>
        <w:jc w:val="both"/>
        <w:rPr>
          <w:rFonts w:eastAsia="Times New Roman" w:cstheme="minorHAnsi"/>
        </w:rPr>
      </w:pPr>
      <w:r>
        <w:rPr>
          <w:rFonts w:eastAsia="Times New Roman" w:cstheme="minorHAnsi"/>
        </w:rPr>
        <w:t>The following table has the positive feedback shocks</w:t>
      </w:r>
      <w:r w:rsidR="001F2C71">
        <w:rPr>
          <w:rFonts w:eastAsia="Times New Roman" w:cstheme="minorHAnsi"/>
        </w:rPr>
        <w:t xml:space="preserve"> </w:t>
      </w:r>
      <w:r w:rsidR="00F738E6">
        <w:rPr>
          <w:rFonts w:eastAsia="Times New Roman" w:cstheme="minorHAnsi"/>
        </w:rPr>
        <w:t>(</w:t>
      </w:r>
      <w:r w:rsidR="00314AE1">
        <w:rPr>
          <w:rFonts w:eastAsia="Times New Roman" w:cstheme="minorHAnsi"/>
        </w:rPr>
        <w:t>percentage changes</w:t>
      </w:r>
      <w:r w:rsidR="00F738E6">
        <w:rPr>
          <w:rFonts w:eastAsia="Times New Roman" w:cstheme="minorHAnsi"/>
        </w:rPr>
        <w:t>)</w:t>
      </w:r>
      <w:r w:rsidR="00314AE1">
        <w:rPr>
          <w:rFonts w:eastAsia="Times New Roman" w:cstheme="minorHAnsi"/>
        </w:rPr>
        <w:t xml:space="preserve"> </w:t>
      </w:r>
      <w:r w:rsidR="00F738E6">
        <w:rPr>
          <w:rFonts w:eastAsia="Times New Roman" w:cstheme="minorHAnsi"/>
        </w:rPr>
        <w:t>to</w:t>
      </w:r>
      <w:r w:rsidR="0091095E">
        <w:rPr>
          <w:rFonts w:eastAsia="Times New Roman" w:cstheme="minorHAnsi"/>
        </w:rPr>
        <w:t xml:space="preserve"> </w:t>
      </w:r>
      <w:r w:rsidR="00F738E6">
        <w:rPr>
          <w:rFonts w:eastAsia="Times New Roman" w:cstheme="minorHAnsi"/>
        </w:rPr>
        <w:t xml:space="preserve">the </w:t>
      </w:r>
      <w:r w:rsidR="0091095E">
        <w:rPr>
          <w:rFonts w:eastAsia="Times New Roman" w:cstheme="minorHAnsi"/>
        </w:rPr>
        <w:t xml:space="preserve">productivity </w:t>
      </w:r>
      <w:r w:rsidR="00F5728C">
        <w:rPr>
          <w:rFonts w:eastAsia="Times New Roman" w:cstheme="minorHAnsi"/>
        </w:rPr>
        <w:t xml:space="preserve">of </w:t>
      </w:r>
      <w:r w:rsidR="0091095E">
        <w:rPr>
          <w:rFonts w:eastAsia="Times New Roman" w:cstheme="minorHAnsi"/>
        </w:rPr>
        <w:t xml:space="preserve">the value-added nest </w:t>
      </w:r>
      <w:r w:rsidR="00F5728C">
        <w:rPr>
          <w:rFonts w:eastAsia="Times New Roman" w:cstheme="minorHAnsi"/>
        </w:rPr>
        <w:t xml:space="preserve">in the </w:t>
      </w:r>
      <w:r w:rsidR="0091095E">
        <w:rPr>
          <w:rFonts w:eastAsia="Times New Roman" w:cstheme="minorHAnsi"/>
        </w:rPr>
        <w:t>crop acti</w:t>
      </w:r>
      <w:r w:rsidR="00CF1848">
        <w:rPr>
          <w:rFonts w:eastAsia="Times New Roman" w:cstheme="minorHAnsi"/>
        </w:rPr>
        <w:t>vity</w:t>
      </w:r>
      <w:r w:rsidR="00267272">
        <w:rPr>
          <w:rFonts w:eastAsia="Times New Roman" w:cstheme="minorHAnsi"/>
        </w:rPr>
        <w:t>.</w:t>
      </w:r>
    </w:p>
    <w:p w14:paraId="74C09D10" w14:textId="246B0EFA" w:rsidR="00A96143" w:rsidRDefault="00A96143" w:rsidP="00BE11E4">
      <w:pPr>
        <w:spacing w:before="120" w:after="120"/>
        <w:ind w:right="288"/>
        <w:jc w:val="center"/>
        <w:rPr>
          <w:rFonts w:eastAsia="Times New Roman" w:cstheme="minorHAnsi"/>
        </w:rPr>
      </w:pPr>
      <w:r>
        <w:rPr>
          <w:rFonts w:eastAsia="Times New Roman" w:cstheme="minorHAnsi"/>
        </w:rPr>
        <w:t xml:space="preserve">Table 2. </w:t>
      </w:r>
      <w:r w:rsidR="009D523E">
        <w:rPr>
          <w:rFonts w:eastAsia="Times New Roman" w:cstheme="minorHAnsi"/>
        </w:rPr>
        <w:t xml:space="preserve">ESS shocks from the </w:t>
      </w:r>
      <w:proofErr w:type="spellStart"/>
      <w:r w:rsidR="009D523E">
        <w:rPr>
          <w:rFonts w:eastAsia="Times New Roman" w:cstheme="minorHAnsi"/>
        </w:rPr>
        <w:t>InVEST</w:t>
      </w:r>
      <w:proofErr w:type="spellEnd"/>
      <w:r w:rsidR="009D523E">
        <w:rPr>
          <w:rFonts w:eastAsia="Times New Roman" w:cstheme="minorHAnsi"/>
        </w:rPr>
        <w:t xml:space="preserve"> model (%)</w:t>
      </w:r>
    </w:p>
    <w:p w14:paraId="503C8B0A" w14:textId="77939B7A" w:rsidR="00DE2527" w:rsidRPr="00DD5E12" w:rsidRDefault="00412E87" w:rsidP="008B3360">
      <w:pPr>
        <w:spacing w:before="120" w:after="120"/>
        <w:ind w:right="288"/>
        <w:jc w:val="both"/>
        <w:rPr>
          <w:rFonts w:eastAsia="Times New Roman" w:cstheme="minorHAnsi"/>
        </w:rPr>
      </w:pPr>
      <w:r w:rsidRPr="00412E87">
        <w:rPr>
          <w:noProof/>
        </w:rPr>
        <w:drawing>
          <wp:inline distT="0" distB="0" distL="0" distR="0" wp14:anchorId="7CCC5898" wp14:editId="552E4F3E">
            <wp:extent cx="5943600" cy="1031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031875"/>
                    </a:xfrm>
                    <a:prstGeom prst="rect">
                      <a:avLst/>
                    </a:prstGeom>
                    <a:noFill/>
                    <a:ln>
                      <a:noFill/>
                    </a:ln>
                  </pic:spPr>
                </pic:pic>
              </a:graphicData>
            </a:graphic>
          </wp:inline>
        </w:drawing>
      </w:r>
    </w:p>
    <w:p w14:paraId="1E28BB82" w14:textId="63FB5BE8" w:rsidR="001D6BBF" w:rsidRDefault="00503E16" w:rsidP="008B3360">
      <w:pPr>
        <w:jc w:val="both"/>
      </w:pPr>
      <w:r>
        <w:t>T</w:t>
      </w:r>
      <w:r w:rsidR="002A5CF4">
        <w:t>he cost of the</w:t>
      </w:r>
      <w:r w:rsidR="001D6BBF">
        <w:t xml:space="preserve"> investment </w:t>
      </w:r>
      <w:r w:rsidR="00A2373E">
        <w:t>is</w:t>
      </w:r>
      <w:r w:rsidR="003449C6">
        <w:t xml:space="preserve"> </w:t>
      </w:r>
      <w:r>
        <w:t xml:space="preserve">considered as nonproductive </w:t>
      </w:r>
      <w:r w:rsidR="00A2373E">
        <w:t xml:space="preserve">as it does not </w:t>
      </w:r>
      <w:r w:rsidR="003449C6">
        <w:t xml:space="preserve">increase </w:t>
      </w:r>
      <w:r w:rsidR="000173B2">
        <w:t xml:space="preserve">the </w:t>
      </w:r>
      <w:r w:rsidR="003449C6">
        <w:t>capital stock</w:t>
      </w:r>
      <w:r w:rsidR="000173B2">
        <w:t xml:space="preserve"> of the economy</w:t>
      </w:r>
      <w:r w:rsidR="003449C6">
        <w:t>.</w:t>
      </w:r>
      <w:r w:rsidR="00A2373E">
        <w:t xml:space="preserve"> Rather, it increases the land uses as in Table 1. </w:t>
      </w:r>
      <w:r w:rsidR="0044246C">
        <w:t xml:space="preserve">15% of </w:t>
      </w:r>
      <w:r w:rsidR="001A7358">
        <w:t>the investment</w:t>
      </w:r>
      <w:r w:rsidR="0044246C">
        <w:t xml:space="preserve"> is financed by </w:t>
      </w:r>
      <w:r w:rsidR="009A7512">
        <w:t>foreign sources so that foreign saving to GDP ratio is adjusted.</w:t>
      </w:r>
    </w:p>
    <w:p w14:paraId="1D0D0F0F" w14:textId="542768B2" w:rsidR="009C20F0" w:rsidRDefault="009C20F0" w:rsidP="00BE11E4">
      <w:pPr>
        <w:pStyle w:val="Heading3"/>
      </w:pPr>
      <w:r>
        <w:t>Simulations results</w:t>
      </w:r>
    </w:p>
    <w:p w14:paraId="6B2183B2" w14:textId="5006D74E" w:rsidR="00BA4238" w:rsidRDefault="00BA4238" w:rsidP="008B3360">
      <w:pPr>
        <w:jc w:val="both"/>
      </w:pPr>
      <w:r>
        <w:t xml:space="preserve">The following table </w:t>
      </w:r>
      <w:r w:rsidR="00443540">
        <w:t>compares GDP in market prices in different scenarios.</w:t>
      </w:r>
      <w:r w:rsidR="00AA5D48">
        <w:t xml:space="preserve"> </w:t>
      </w:r>
      <w:r w:rsidR="00443540">
        <w:t xml:space="preserve"> </w:t>
      </w:r>
    </w:p>
    <w:p w14:paraId="75E94D9D" w14:textId="3EE85DC5" w:rsidR="00A96143" w:rsidRPr="00152BE8" w:rsidRDefault="00A96143" w:rsidP="008B3360">
      <w:pPr>
        <w:spacing w:before="120" w:after="240"/>
        <w:jc w:val="both"/>
      </w:pPr>
      <w:r>
        <w:t>Table 1</w:t>
      </w:r>
      <w:r w:rsidRPr="5FE9900A">
        <w:t xml:space="preserve"> presents </w:t>
      </w:r>
      <w:r>
        <w:t xml:space="preserve">the </w:t>
      </w:r>
      <w:r w:rsidRPr="5FE9900A">
        <w:t>impacts on key economic indicators as a difference from the BASE scenario in four time slices: 2030, 2047 (100 years since India’s Independence), 2050 and 2070. In the year 2070, the NDC scenario would be GDP enhancing and compared with the BASE in that year, US</w:t>
      </w:r>
      <w:r>
        <w:t xml:space="preserve"> </w:t>
      </w:r>
      <w:r w:rsidRPr="5FE9900A">
        <w:t>$8</w:t>
      </w:r>
      <w:r>
        <w:t>26</w:t>
      </w:r>
      <w:r w:rsidRPr="5FE9900A">
        <w:t xml:space="preserve"> billion greater. The NDC scenario would result in a US</w:t>
      </w:r>
      <w:r>
        <w:t xml:space="preserve"> </w:t>
      </w:r>
      <w:r w:rsidRPr="5FE9900A">
        <w:t>$1</w:t>
      </w:r>
      <w:r>
        <w:t>6</w:t>
      </w:r>
      <w:r w:rsidRPr="5FE9900A">
        <w:t>,</w:t>
      </w:r>
      <w:r>
        <w:t>647</w:t>
      </w:r>
      <w:r w:rsidRPr="5FE9900A">
        <w:t xml:space="preserve"> billion increase in cumulative GDP by 2070 (</w:t>
      </w:r>
      <w:r>
        <w:t xml:space="preserve">Table </w:t>
      </w:r>
      <w:r w:rsidR="00EC6214">
        <w:t>3</w:t>
      </w:r>
      <w:r w:rsidRPr="5FE9900A">
        <w:t xml:space="preserve"> and </w:t>
      </w:r>
      <w:r>
        <w:t xml:space="preserve">Figure </w:t>
      </w:r>
      <w:r w:rsidR="00EC6214">
        <w:t>3</w:t>
      </w:r>
      <w:r w:rsidRPr="5FE9900A">
        <w:t>). To understand these impacts in relative terms, India’s agricultural sector GDP in the base year of the modelling exercise was US</w:t>
      </w:r>
      <w:r>
        <w:t xml:space="preserve"> </w:t>
      </w:r>
      <w:r w:rsidRPr="5FE9900A">
        <w:t xml:space="preserve">$396 billion. The </w:t>
      </w:r>
      <w:proofErr w:type="spellStart"/>
      <w:r w:rsidRPr="5FE9900A">
        <w:t>NDC+Forest</w:t>
      </w:r>
      <w:proofErr w:type="spellEnd"/>
      <w:r w:rsidRPr="5FE9900A">
        <w:t xml:space="preserve"> Restoration scenario would generate a </w:t>
      </w:r>
      <w:r w:rsidRPr="5FE9900A">
        <w:lastRenderedPageBreak/>
        <w:t xml:space="preserve">cumulative </w:t>
      </w:r>
      <w:bookmarkStart w:id="0" w:name="_Hlk146431800"/>
      <w:r w:rsidRPr="5FE9900A">
        <w:t>US</w:t>
      </w:r>
      <w:r>
        <w:t xml:space="preserve"> </w:t>
      </w:r>
      <w:r w:rsidRPr="5FE9900A">
        <w:t>$1</w:t>
      </w:r>
      <w:r>
        <w:t>9</w:t>
      </w:r>
      <w:r w:rsidRPr="5FE9900A">
        <w:t>,</w:t>
      </w:r>
      <w:r>
        <w:t>982</w:t>
      </w:r>
      <w:r w:rsidRPr="5FE9900A">
        <w:t xml:space="preserve"> billion in additional GDP with respect to the BASE</w:t>
      </w:r>
      <w:bookmarkEnd w:id="0"/>
      <w:r w:rsidRPr="5FE9900A">
        <w:t xml:space="preserve">. </w:t>
      </w:r>
      <w:r>
        <w:t xml:space="preserve">Figure </w:t>
      </w:r>
      <w:r w:rsidR="006D4EB6">
        <w:t>4</w:t>
      </w:r>
      <w:r w:rsidRPr="5FE9900A">
        <w:t xml:space="preserve"> and </w:t>
      </w:r>
      <w:r>
        <w:t xml:space="preserve">Figure </w:t>
      </w:r>
      <w:r w:rsidR="006D4EB6">
        <w:t>5</w:t>
      </w:r>
      <w:r w:rsidRPr="5FE9900A">
        <w:t xml:space="preserve"> present the trajectory of GDP as a difference from the BASE for the entire period in percent and USD terms.</w:t>
      </w:r>
    </w:p>
    <w:p w14:paraId="1253686A" w14:textId="77777777" w:rsidR="00A96143" w:rsidRDefault="00A96143" w:rsidP="008B3360">
      <w:pPr>
        <w:jc w:val="both"/>
      </w:pPr>
      <w:bookmarkStart w:id="1" w:name="_Hlk125788942"/>
      <w:r w:rsidRPr="5FE9900A">
        <w:t>Impacts on employment would be favorable with jobs growing by 0.0</w:t>
      </w:r>
      <w:r>
        <w:t>1</w:t>
      </w:r>
      <w:r w:rsidRPr="5FE9900A">
        <w:t xml:space="preserve"> percent more by 2070 as a difference from BASE.</w:t>
      </w:r>
      <w:bookmarkEnd w:id="1"/>
    </w:p>
    <w:p w14:paraId="24D95F09" w14:textId="2040A1E2" w:rsidR="00A96143" w:rsidRPr="00A96143" w:rsidRDefault="00A96143" w:rsidP="001856B0">
      <w:pPr>
        <w:pStyle w:val="Caption"/>
      </w:pPr>
      <w:r w:rsidRPr="00A96143">
        <w:t xml:space="preserve">Table </w:t>
      </w:r>
      <w:r w:rsidR="006D4EB6">
        <w:t>3</w:t>
      </w:r>
      <w:r w:rsidRPr="00A96143">
        <w:t xml:space="preserve">. Scenario impacts on macroeconomic indicators </w:t>
      </w:r>
      <w:r w:rsidR="00794A6A">
        <w:t>(</w:t>
      </w:r>
      <w:r w:rsidRPr="00A96143">
        <w:t>difference from the BASE in billions of USD</w:t>
      </w:r>
      <w:r w:rsidR="00794A6A">
        <w:t>)</w:t>
      </w:r>
    </w:p>
    <w:tbl>
      <w:tblPr>
        <w:tblStyle w:val="TableGrid"/>
        <w:tblW w:w="9805" w:type="dxa"/>
        <w:tblLook w:val="04A0" w:firstRow="1" w:lastRow="0" w:firstColumn="1" w:lastColumn="0" w:noHBand="0" w:noVBand="1"/>
      </w:tblPr>
      <w:tblGrid>
        <w:gridCol w:w="1676"/>
        <w:gridCol w:w="686"/>
        <w:gridCol w:w="683"/>
        <w:gridCol w:w="681"/>
        <w:gridCol w:w="681"/>
        <w:gridCol w:w="681"/>
        <w:gridCol w:w="681"/>
        <w:gridCol w:w="681"/>
        <w:gridCol w:w="681"/>
        <w:gridCol w:w="681"/>
        <w:gridCol w:w="681"/>
        <w:gridCol w:w="681"/>
        <w:gridCol w:w="631"/>
      </w:tblGrid>
      <w:tr w:rsidR="00C9093E" w:rsidRPr="00EB7449" w14:paraId="005FE7BF" w14:textId="77777777" w:rsidTr="009B1E3B">
        <w:tc>
          <w:tcPr>
            <w:tcW w:w="1676" w:type="dxa"/>
            <w:tcBorders>
              <w:right w:val="single" w:sz="4" w:space="0" w:color="auto"/>
            </w:tcBorders>
          </w:tcPr>
          <w:p w14:paraId="143EC255" w14:textId="77777777" w:rsidR="00C9093E" w:rsidRPr="00EB7449" w:rsidRDefault="00C9093E" w:rsidP="008B3360">
            <w:pPr>
              <w:ind w:left="610"/>
              <w:jc w:val="both"/>
              <w:rPr>
                <w:rFonts w:ascii="Calibri" w:hAnsi="Calibri" w:cs="Calibri"/>
                <w:color w:val="000000" w:themeColor="text1"/>
                <w:sz w:val="16"/>
                <w:szCs w:val="16"/>
              </w:rPr>
            </w:pPr>
            <w:r w:rsidRPr="00EB7449">
              <w:rPr>
                <w:rFonts w:ascii="Calibri" w:hAnsi="Calibri" w:cs="Calibri"/>
                <w:color w:val="000000" w:themeColor="text1"/>
                <w:sz w:val="16"/>
                <w:szCs w:val="16"/>
              </w:rPr>
              <w:t xml:space="preserve">        Year</w:t>
            </w:r>
          </w:p>
        </w:tc>
        <w:tc>
          <w:tcPr>
            <w:tcW w:w="686" w:type="dxa"/>
            <w:tcBorders>
              <w:top w:val="single" w:sz="4" w:space="0" w:color="auto"/>
              <w:left w:val="single" w:sz="4" w:space="0" w:color="auto"/>
            </w:tcBorders>
          </w:tcPr>
          <w:p w14:paraId="46B1EEED"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2030</w:t>
            </w:r>
          </w:p>
        </w:tc>
        <w:tc>
          <w:tcPr>
            <w:tcW w:w="683" w:type="dxa"/>
            <w:tcBorders>
              <w:top w:val="single" w:sz="4" w:space="0" w:color="auto"/>
            </w:tcBorders>
          </w:tcPr>
          <w:p w14:paraId="3327CED8"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2047</w:t>
            </w:r>
          </w:p>
        </w:tc>
        <w:tc>
          <w:tcPr>
            <w:tcW w:w="681" w:type="dxa"/>
            <w:tcBorders>
              <w:top w:val="single" w:sz="4" w:space="0" w:color="auto"/>
            </w:tcBorders>
          </w:tcPr>
          <w:p w14:paraId="1936F8A8"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2050</w:t>
            </w:r>
          </w:p>
        </w:tc>
        <w:tc>
          <w:tcPr>
            <w:tcW w:w="681" w:type="dxa"/>
            <w:tcBorders>
              <w:top w:val="single" w:sz="4" w:space="0" w:color="auto"/>
              <w:right w:val="single" w:sz="4" w:space="0" w:color="auto"/>
            </w:tcBorders>
          </w:tcPr>
          <w:p w14:paraId="6CEE03BE"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2070</w:t>
            </w:r>
          </w:p>
        </w:tc>
        <w:tc>
          <w:tcPr>
            <w:tcW w:w="681" w:type="dxa"/>
            <w:tcBorders>
              <w:left w:val="single" w:sz="4" w:space="0" w:color="auto"/>
            </w:tcBorders>
          </w:tcPr>
          <w:p w14:paraId="02129181"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2030</w:t>
            </w:r>
          </w:p>
        </w:tc>
        <w:tc>
          <w:tcPr>
            <w:tcW w:w="681" w:type="dxa"/>
          </w:tcPr>
          <w:p w14:paraId="1D64B08C"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2047</w:t>
            </w:r>
          </w:p>
        </w:tc>
        <w:tc>
          <w:tcPr>
            <w:tcW w:w="681" w:type="dxa"/>
          </w:tcPr>
          <w:p w14:paraId="3AD5A48F"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2050</w:t>
            </w:r>
          </w:p>
        </w:tc>
        <w:tc>
          <w:tcPr>
            <w:tcW w:w="681" w:type="dxa"/>
          </w:tcPr>
          <w:p w14:paraId="3116C72F"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2070</w:t>
            </w:r>
          </w:p>
        </w:tc>
        <w:tc>
          <w:tcPr>
            <w:tcW w:w="681" w:type="dxa"/>
          </w:tcPr>
          <w:p w14:paraId="51E4299E"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2030</w:t>
            </w:r>
          </w:p>
        </w:tc>
        <w:tc>
          <w:tcPr>
            <w:tcW w:w="681" w:type="dxa"/>
          </w:tcPr>
          <w:p w14:paraId="391D808B"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2047</w:t>
            </w:r>
          </w:p>
        </w:tc>
        <w:tc>
          <w:tcPr>
            <w:tcW w:w="681" w:type="dxa"/>
          </w:tcPr>
          <w:p w14:paraId="3BD92EC9"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2050</w:t>
            </w:r>
          </w:p>
        </w:tc>
        <w:tc>
          <w:tcPr>
            <w:tcW w:w="631" w:type="dxa"/>
          </w:tcPr>
          <w:p w14:paraId="15E4AA24"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2070</w:t>
            </w:r>
          </w:p>
        </w:tc>
      </w:tr>
      <w:tr w:rsidR="00C9093E" w:rsidRPr="00DC20A3" w14:paraId="1E8166E6" w14:textId="77777777" w:rsidTr="009B1E3B">
        <w:tc>
          <w:tcPr>
            <w:tcW w:w="1676" w:type="dxa"/>
            <w:tcBorders>
              <w:right w:val="single" w:sz="4" w:space="0" w:color="auto"/>
            </w:tcBorders>
          </w:tcPr>
          <w:p w14:paraId="7A4A347E" w14:textId="77777777" w:rsidR="00C9093E" w:rsidRPr="00EB7449" w:rsidRDefault="00C9093E" w:rsidP="008B3360">
            <w:pPr>
              <w:ind w:left="610"/>
              <w:jc w:val="both"/>
              <w:rPr>
                <w:rFonts w:ascii="Calibri" w:hAnsi="Calibri" w:cs="Calibri"/>
                <w:color w:val="000000" w:themeColor="text1"/>
                <w:sz w:val="16"/>
                <w:szCs w:val="16"/>
              </w:rPr>
            </w:pPr>
            <w:r w:rsidRPr="00EB7449">
              <w:rPr>
                <w:rFonts w:ascii="Calibri" w:hAnsi="Calibri" w:cs="Calibri"/>
                <w:color w:val="000000" w:themeColor="text1"/>
                <w:sz w:val="16"/>
                <w:szCs w:val="16"/>
              </w:rPr>
              <w:t xml:space="preserve">        Scenario</w:t>
            </w:r>
          </w:p>
        </w:tc>
        <w:tc>
          <w:tcPr>
            <w:tcW w:w="2731" w:type="dxa"/>
            <w:gridSpan w:val="4"/>
            <w:tcBorders>
              <w:left w:val="single" w:sz="4" w:space="0" w:color="auto"/>
              <w:right w:val="single" w:sz="4" w:space="0" w:color="auto"/>
            </w:tcBorders>
          </w:tcPr>
          <w:p w14:paraId="0BCCC921"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NDC</w:t>
            </w:r>
          </w:p>
        </w:tc>
        <w:tc>
          <w:tcPr>
            <w:tcW w:w="2724" w:type="dxa"/>
            <w:gridSpan w:val="4"/>
            <w:tcBorders>
              <w:left w:val="single" w:sz="4" w:space="0" w:color="auto"/>
            </w:tcBorders>
          </w:tcPr>
          <w:p w14:paraId="4A4CA285"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Forest Restoration</w:t>
            </w:r>
          </w:p>
        </w:tc>
        <w:tc>
          <w:tcPr>
            <w:tcW w:w="2674" w:type="dxa"/>
            <w:gridSpan w:val="4"/>
          </w:tcPr>
          <w:p w14:paraId="7903B69C"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NDC + Forest Restoration</w:t>
            </w:r>
          </w:p>
        </w:tc>
      </w:tr>
      <w:tr w:rsidR="00C9093E" w:rsidRPr="00DC20A3" w14:paraId="7955BC97" w14:textId="77777777" w:rsidTr="009B1E3B">
        <w:tc>
          <w:tcPr>
            <w:tcW w:w="1676" w:type="dxa"/>
            <w:tcBorders>
              <w:right w:val="single" w:sz="4" w:space="0" w:color="auto"/>
            </w:tcBorders>
          </w:tcPr>
          <w:p w14:paraId="65555281"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GDP</w:t>
            </w:r>
          </w:p>
        </w:tc>
        <w:tc>
          <w:tcPr>
            <w:tcW w:w="686" w:type="dxa"/>
            <w:tcBorders>
              <w:left w:val="single" w:sz="4" w:space="0" w:color="auto"/>
            </w:tcBorders>
          </w:tcPr>
          <w:p w14:paraId="154B0D9C"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45</w:t>
            </w:r>
          </w:p>
        </w:tc>
        <w:tc>
          <w:tcPr>
            <w:tcW w:w="683" w:type="dxa"/>
          </w:tcPr>
          <w:p w14:paraId="7B55DEFA"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345</w:t>
            </w:r>
          </w:p>
        </w:tc>
        <w:tc>
          <w:tcPr>
            <w:tcW w:w="681" w:type="dxa"/>
          </w:tcPr>
          <w:p w14:paraId="28581DB3"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394</w:t>
            </w:r>
          </w:p>
        </w:tc>
        <w:tc>
          <w:tcPr>
            <w:tcW w:w="681" w:type="dxa"/>
            <w:tcBorders>
              <w:right w:val="single" w:sz="4" w:space="0" w:color="auto"/>
            </w:tcBorders>
          </w:tcPr>
          <w:p w14:paraId="57781FB0"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826</w:t>
            </w:r>
          </w:p>
        </w:tc>
        <w:tc>
          <w:tcPr>
            <w:tcW w:w="681" w:type="dxa"/>
            <w:tcBorders>
              <w:left w:val="single" w:sz="4" w:space="0" w:color="auto"/>
            </w:tcBorders>
          </w:tcPr>
          <w:p w14:paraId="36647D9A"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(4)</w:t>
            </w:r>
          </w:p>
        </w:tc>
        <w:tc>
          <w:tcPr>
            <w:tcW w:w="681" w:type="dxa"/>
          </w:tcPr>
          <w:p w14:paraId="48334E8B"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109</w:t>
            </w:r>
          </w:p>
        </w:tc>
        <w:tc>
          <w:tcPr>
            <w:tcW w:w="681" w:type="dxa"/>
          </w:tcPr>
          <w:p w14:paraId="7358FCEA"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122</w:t>
            </w:r>
          </w:p>
        </w:tc>
        <w:tc>
          <w:tcPr>
            <w:tcW w:w="681" w:type="dxa"/>
          </w:tcPr>
          <w:p w14:paraId="37EB95B8"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217</w:t>
            </w:r>
          </w:p>
        </w:tc>
        <w:tc>
          <w:tcPr>
            <w:tcW w:w="681" w:type="dxa"/>
          </w:tcPr>
          <w:p w14:paraId="63DB7F4B"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45</w:t>
            </w:r>
          </w:p>
        </w:tc>
        <w:tc>
          <w:tcPr>
            <w:tcW w:w="681" w:type="dxa"/>
          </w:tcPr>
          <w:p w14:paraId="76AF5D13"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393</w:t>
            </w:r>
          </w:p>
        </w:tc>
        <w:tc>
          <w:tcPr>
            <w:tcW w:w="681" w:type="dxa"/>
          </w:tcPr>
          <w:p w14:paraId="40929345"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456</w:t>
            </w:r>
          </w:p>
        </w:tc>
        <w:tc>
          <w:tcPr>
            <w:tcW w:w="631" w:type="dxa"/>
          </w:tcPr>
          <w:p w14:paraId="52289129"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1,079</w:t>
            </w:r>
          </w:p>
        </w:tc>
      </w:tr>
      <w:tr w:rsidR="00C9093E" w:rsidRPr="00DC20A3" w14:paraId="7843F0D9" w14:textId="77777777" w:rsidTr="009B1E3B">
        <w:tc>
          <w:tcPr>
            <w:tcW w:w="1676" w:type="dxa"/>
            <w:tcBorders>
              <w:right w:val="single" w:sz="4" w:space="0" w:color="auto"/>
            </w:tcBorders>
          </w:tcPr>
          <w:p w14:paraId="6930DFDE"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Private Consumption</w:t>
            </w:r>
          </w:p>
        </w:tc>
        <w:tc>
          <w:tcPr>
            <w:tcW w:w="686" w:type="dxa"/>
            <w:tcBorders>
              <w:left w:val="single" w:sz="4" w:space="0" w:color="auto"/>
            </w:tcBorders>
          </w:tcPr>
          <w:p w14:paraId="130940F6"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53</w:t>
            </w:r>
          </w:p>
        </w:tc>
        <w:tc>
          <w:tcPr>
            <w:tcW w:w="683" w:type="dxa"/>
          </w:tcPr>
          <w:p w14:paraId="650DD3C3"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346</w:t>
            </w:r>
          </w:p>
        </w:tc>
        <w:tc>
          <w:tcPr>
            <w:tcW w:w="681" w:type="dxa"/>
          </w:tcPr>
          <w:p w14:paraId="5E81DB18"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(7)</w:t>
            </w:r>
          </w:p>
        </w:tc>
        <w:tc>
          <w:tcPr>
            <w:tcW w:w="681" w:type="dxa"/>
            <w:tcBorders>
              <w:right w:val="single" w:sz="4" w:space="0" w:color="auto"/>
            </w:tcBorders>
          </w:tcPr>
          <w:p w14:paraId="36BF2034"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820</w:t>
            </w:r>
          </w:p>
        </w:tc>
        <w:tc>
          <w:tcPr>
            <w:tcW w:w="681" w:type="dxa"/>
            <w:tcBorders>
              <w:left w:val="single" w:sz="4" w:space="0" w:color="auto"/>
            </w:tcBorders>
          </w:tcPr>
          <w:p w14:paraId="5D4347BA"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(2)</w:t>
            </w:r>
          </w:p>
        </w:tc>
        <w:tc>
          <w:tcPr>
            <w:tcW w:w="681" w:type="dxa"/>
          </w:tcPr>
          <w:p w14:paraId="7923866E"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66</w:t>
            </w:r>
          </w:p>
        </w:tc>
        <w:tc>
          <w:tcPr>
            <w:tcW w:w="681" w:type="dxa"/>
          </w:tcPr>
          <w:p w14:paraId="62E91E53"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84</w:t>
            </w:r>
          </w:p>
        </w:tc>
        <w:tc>
          <w:tcPr>
            <w:tcW w:w="681" w:type="dxa"/>
          </w:tcPr>
          <w:p w14:paraId="243D3371"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190</w:t>
            </w:r>
          </w:p>
        </w:tc>
        <w:tc>
          <w:tcPr>
            <w:tcW w:w="681" w:type="dxa"/>
          </w:tcPr>
          <w:p w14:paraId="5AEB2EFF"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50</w:t>
            </w:r>
          </w:p>
        </w:tc>
        <w:tc>
          <w:tcPr>
            <w:tcW w:w="681" w:type="dxa"/>
          </w:tcPr>
          <w:p w14:paraId="0B76C847"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387</w:t>
            </w:r>
          </w:p>
        </w:tc>
        <w:tc>
          <w:tcPr>
            <w:tcW w:w="681" w:type="dxa"/>
          </w:tcPr>
          <w:p w14:paraId="66EE04E3"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458</w:t>
            </w:r>
          </w:p>
        </w:tc>
        <w:tc>
          <w:tcPr>
            <w:tcW w:w="631" w:type="dxa"/>
          </w:tcPr>
          <w:p w14:paraId="543E620A"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989</w:t>
            </w:r>
          </w:p>
        </w:tc>
      </w:tr>
      <w:tr w:rsidR="00C9093E" w:rsidRPr="00DC20A3" w14:paraId="4B6E4C54" w14:textId="77777777" w:rsidTr="009B1E3B">
        <w:tc>
          <w:tcPr>
            <w:tcW w:w="1676" w:type="dxa"/>
            <w:tcBorders>
              <w:right w:val="single" w:sz="4" w:space="0" w:color="auto"/>
            </w:tcBorders>
          </w:tcPr>
          <w:p w14:paraId="617B9F27"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 xml:space="preserve">Investment </w:t>
            </w:r>
          </w:p>
        </w:tc>
        <w:tc>
          <w:tcPr>
            <w:tcW w:w="686" w:type="dxa"/>
            <w:tcBorders>
              <w:left w:val="single" w:sz="4" w:space="0" w:color="auto"/>
            </w:tcBorders>
          </w:tcPr>
          <w:p w14:paraId="5E9591C7"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4</w:t>
            </w:r>
          </w:p>
        </w:tc>
        <w:tc>
          <w:tcPr>
            <w:tcW w:w="683" w:type="dxa"/>
          </w:tcPr>
          <w:p w14:paraId="2B066DBD"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9</w:t>
            </w:r>
          </w:p>
        </w:tc>
        <w:tc>
          <w:tcPr>
            <w:tcW w:w="681" w:type="dxa"/>
          </w:tcPr>
          <w:p w14:paraId="30ACBB76"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(1)</w:t>
            </w:r>
          </w:p>
        </w:tc>
        <w:tc>
          <w:tcPr>
            <w:tcW w:w="681" w:type="dxa"/>
            <w:tcBorders>
              <w:right w:val="single" w:sz="4" w:space="0" w:color="auto"/>
            </w:tcBorders>
          </w:tcPr>
          <w:p w14:paraId="6DA06280"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(13)</w:t>
            </w:r>
          </w:p>
        </w:tc>
        <w:tc>
          <w:tcPr>
            <w:tcW w:w="681" w:type="dxa"/>
            <w:tcBorders>
              <w:left w:val="single" w:sz="4" w:space="0" w:color="auto"/>
            </w:tcBorders>
          </w:tcPr>
          <w:p w14:paraId="3CEFB107"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0</w:t>
            </w:r>
          </w:p>
        </w:tc>
        <w:tc>
          <w:tcPr>
            <w:tcW w:w="681" w:type="dxa"/>
          </w:tcPr>
          <w:p w14:paraId="52671C01"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49</w:t>
            </w:r>
          </w:p>
        </w:tc>
        <w:tc>
          <w:tcPr>
            <w:tcW w:w="681" w:type="dxa"/>
          </w:tcPr>
          <w:p w14:paraId="58AA309F"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46</w:t>
            </w:r>
          </w:p>
        </w:tc>
        <w:tc>
          <w:tcPr>
            <w:tcW w:w="681" w:type="dxa"/>
          </w:tcPr>
          <w:p w14:paraId="141830EF"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23</w:t>
            </w:r>
          </w:p>
        </w:tc>
        <w:tc>
          <w:tcPr>
            <w:tcW w:w="681" w:type="dxa"/>
          </w:tcPr>
          <w:p w14:paraId="7F1A0D3F"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8</w:t>
            </w:r>
          </w:p>
        </w:tc>
        <w:tc>
          <w:tcPr>
            <w:tcW w:w="681" w:type="dxa"/>
          </w:tcPr>
          <w:p w14:paraId="257B3495"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17</w:t>
            </w:r>
          </w:p>
        </w:tc>
        <w:tc>
          <w:tcPr>
            <w:tcW w:w="681" w:type="dxa"/>
          </w:tcPr>
          <w:p w14:paraId="029CF400"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10</w:t>
            </w:r>
          </w:p>
        </w:tc>
        <w:tc>
          <w:tcPr>
            <w:tcW w:w="631" w:type="dxa"/>
          </w:tcPr>
          <w:p w14:paraId="5A495C7F"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42</w:t>
            </w:r>
          </w:p>
        </w:tc>
      </w:tr>
      <w:tr w:rsidR="00C9093E" w:rsidRPr="00DC20A3" w14:paraId="5B3CD9D4" w14:textId="77777777" w:rsidTr="009B1E3B">
        <w:tc>
          <w:tcPr>
            <w:tcW w:w="1676" w:type="dxa"/>
            <w:tcBorders>
              <w:right w:val="single" w:sz="4" w:space="0" w:color="auto"/>
            </w:tcBorders>
          </w:tcPr>
          <w:p w14:paraId="61731B57"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Exports</w:t>
            </w:r>
          </w:p>
        </w:tc>
        <w:tc>
          <w:tcPr>
            <w:tcW w:w="686" w:type="dxa"/>
            <w:tcBorders>
              <w:left w:val="single" w:sz="4" w:space="0" w:color="auto"/>
            </w:tcBorders>
          </w:tcPr>
          <w:p w14:paraId="17ECB6DE"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(47)</w:t>
            </w:r>
          </w:p>
        </w:tc>
        <w:tc>
          <w:tcPr>
            <w:tcW w:w="683" w:type="dxa"/>
          </w:tcPr>
          <w:p w14:paraId="6F302974"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(195)</w:t>
            </w:r>
          </w:p>
        </w:tc>
        <w:tc>
          <w:tcPr>
            <w:tcW w:w="681" w:type="dxa"/>
          </w:tcPr>
          <w:p w14:paraId="25B339EF"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(246)</w:t>
            </w:r>
          </w:p>
        </w:tc>
        <w:tc>
          <w:tcPr>
            <w:tcW w:w="681" w:type="dxa"/>
            <w:tcBorders>
              <w:right w:val="single" w:sz="4" w:space="0" w:color="auto"/>
            </w:tcBorders>
          </w:tcPr>
          <w:p w14:paraId="67C243CA"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(742)</w:t>
            </w:r>
          </w:p>
        </w:tc>
        <w:tc>
          <w:tcPr>
            <w:tcW w:w="681" w:type="dxa"/>
            <w:tcBorders>
              <w:left w:val="single" w:sz="4" w:space="0" w:color="auto"/>
            </w:tcBorders>
          </w:tcPr>
          <w:p w14:paraId="22AF7E8A"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(14)</w:t>
            </w:r>
          </w:p>
        </w:tc>
        <w:tc>
          <w:tcPr>
            <w:tcW w:w="681" w:type="dxa"/>
          </w:tcPr>
          <w:p w14:paraId="41964C06"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(26)</w:t>
            </w:r>
          </w:p>
        </w:tc>
        <w:tc>
          <w:tcPr>
            <w:tcW w:w="681" w:type="dxa"/>
          </w:tcPr>
          <w:p w14:paraId="3DEF5E7E"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(39)</w:t>
            </w:r>
          </w:p>
        </w:tc>
        <w:tc>
          <w:tcPr>
            <w:tcW w:w="681" w:type="dxa"/>
          </w:tcPr>
          <w:p w14:paraId="2308D939"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(195)</w:t>
            </w:r>
          </w:p>
        </w:tc>
        <w:tc>
          <w:tcPr>
            <w:tcW w:w="681" w:type="dxa"/>
          </w:tcPr>
          <w:p w14:paraId="25822432"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(51)</w:t>
            </w:r>
          </w:p>
        </w:tc>
        <w:tc>
          <w:tcPr>
            <w:tcW w:w="681" w:type="dxa"/>
          </w:tcPr>
          <w:p w14:paraId="0CB34664"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(201)</w:t>
            </w:r>
          </w:p>
        </w:tc>
        <w:tc>
          <w:tcPr>
            <w:tcW w:w="681" w:type="dxa"/>
          </w:tcPr>
          <w:p w14:paraId="54A034F5"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(252)</w:t>
            </w:r>
          </w:p>
        </w:tc>
        <w:tc>
          <w:tcPr>
            <w:tcW w:w="631" w:type="dxa"/>
          </w:tcPr>
          <w:p w14:paraId="211C718C"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(643)</w:t>
            </w:r>
          </w:p>
        </w:tc>
      </w:tr>
      <w:tr w:rsidR="00C9093E" w:rsidRPr="00DC20A3" w14:paraId="47F15301" w14:textId="77777777" w:rsidTr="009B1E3B">
        <w:tc>
          <w:tcPr>
            <w:tcW w:w="1676" w:type="dxa"/>
            <w:tcBorders>
              <w:right w:val="single" w:sz="4" w:space="0" w:color="auto"/>
            </w:tcBorders>
          </w:tcPr>
          <w:p w14:paraId="487D8F47"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Imports</w:t>
            </w:r>
          </w:p>
        </w:tc>
        <w:tc>
          <w:tcPr>
            <w:tcW w:w="686" w:type="dxa"/>
            <w:tcBorders>
              <w:left w:val="single" w:sz="4" w:space="0" w:color="auto"/>
            </w:tcBorders>
          </w:tcPr>
          <w:p w14:paraId="13EE7AE6"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(43)</w:t>
            </w:r>
          </w:p>
        </w:tc>
        <w:tc>
          <w:tcPr>
            <w:tcW w:w="683" w:type="dxa"/>
          </w:tcPr>
          <w:p w14:paraId="3EED96CE"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(186)</w:t>
            </w:r>
          </w:p>
        </w:tc>
        <w:tc>
          <w:tcPr>
            <w:tcW w:w="681" w:type="dxa"/>
          </w:tcPr>
          <w:p w14:paraId="3BBF4117"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(236)</w:t>
            </w:r>
          </w:p>
        </w:tc>
        <w:tc>
          <w:tcPr>
            <w:tcW w:w="681" w:type="dxa"/>
            <w:tcBorders>
              <w:right w:val="single" w:sz="4" w:space="0" w:color="auto"/>
            </w:tcBorders>
          </w:tcPr>
          <w:p w14:paraId="3330EA8B"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(704)</w:t>
            </w:r>
          </w:p>
        </w:tc>
        <w:tc>
          <w:tcPr>
            <w:tcW w:w="681" w:type="dxa"/>
            <w:tcBorders>
              <w:left w:val="single" w:sz="4" w:space="0" w:color="auto"/>
            </w:tcBorders>
          </w:tcPr>
          <w:p w14:paraId="76A2B281"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(12)</w:t>
            </w:r>
          </w:p>
        </w:tc>
        <w:tc>
          <w:tcPr>
            <w:tcW w:w="681" w:type="dxa"/>
          </w:tcPr>
          <w:p w14:paraId="5AA7012A"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(27)</w:t>
            </w:r>
          </w:p>
        </w:tc>
        <w:tc>
          <w:tcPr>
            <w:tcW w:w="681" w:type="dxa"/>
          </w:tcPr>
          <w:p w14:paraId="53E47D4D"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(40)</w:t>
            </w:r>
          </w:p>
        </w:tc>
        <w:tc>
          <w:tcPr>
            <w:tcW w:w="681" w:type="dxa"/>
          </w:tcPr>
          <w:p w14:paraId="7FA7D307"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(199)</w:t>
            </w:r>
          </w:p>
        </w:tc>
        <w:tc>
          <w:tcPr>
            <w:tcW w:w="681" w:type="dxa"/>
          </w:tcPr>
          <w:p w14:paraId="6457AE80"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(45)</w:t>
            </w:r>
          </w:p>
        </w:tc>
        <w:tc>
          <w:tcPr>
            <w:tcW w:w="681" w:type="dxa"/>
          </w:tcPr>
          <w:p w14:paraId="12CE4130"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(189)</w:t>
            </w:r>
          </w:p>
        </w:tc>
        <w:tc>
          <w:tcPr>
            <w:tcW w:w="681" w:type="dxa"/>
          </w:tcPr>
          <w:p w14:paraId="0DA79C5E"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(238)</w:t>
            </w:r>
          </w:p>
        </w:tc>
        <w:tc>
          <w:tcPr>
            <w:tcW w:w="631" w:type="dxa"/>
          </w:tcPr>
          <w:p w14:paraId="72267206"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(613)</w:t>
            </w:r>
          </w:p>
        </w:tc>
      </w:tr>
      <w:tr w:rsidR="00C9093E" w:rsidRPr="00DC20A3" w14:paraId="0020BB5E" w14:textId="77777777" w:rsidTr="009B1E3B">
        <w:tc>
          <w:tcPr>
            <w:tcW w:w="1676" w:type="dxa"/>
            <w:tcBorders>
              <w:right w:val="single" w:sz="4" w:space="0" w:color="auto"/>
            </w:tcBorders>
          </w:tcPr>
          <w:p w14:paraId="100A2CE6" w14:textId="77777777" w:rsidR="00C9093E" w:rsidRPr="00EB7449" w:rsidRDefault="00C9093E" w:rsidP="008B3360">
            <w:pPr>
              <w:jc w:val="both"/>
              <w:rPr>
                <w:rFonts w:ascii="Calibri" w:hAnsi="Calibri" w:cs="Calibri"/>
                <w:color w:val="000000" w:themeColor="text1"/>
                <w:sz w:val="16"/>
                <w:szCs w:val="16"/>
              </w:rPr>
            </w:pPr>
            <w:r w:rsidRPr="00EB7449">
              <w:rPr>
                <w:rFonts w:ascii="Calibri" w:hAnsi="Calibri" w:cs="Calibri"/>
                <w:color w:val="000000" w:themeColor="text1"/>
                <w:sz w:val="16"/>
                <w:szCs w:val="16"/>
              </w:rPr>
              <w:t>Employment (</w:t>
            </w:r>
            <w:proofErr w:type="spellStart"/>
            <w:r w:rsidRPr="00EB7449">
              <w:rPr>
                <w:rFonts w:ascii="Calibri" w:hAnsi="Calibri" w:cs="Calibri"/>
                <w:color w:val="000000" w:themeColor="text1"/>
                <w:sz w:val="16"/>
                <w:szCs w:val="16"/>
              </w:rPr>
              <w:t>mlln</w:t>
            </w:r>
            <w:proofErr w:type="spellEnd"/>
            <w:r w:rsidRPr="00EB7449">
              <w:rPr>
                <w:rFonts w:ascii="Calibri" w:hAnsi="Calibri" w:cs="Calibri"/>
                <w:color w:val="000000" w:themeColor="text1"/>
                <w:sz w:val="16"/>
                <w:szCs w:val="16"/>
              </w:rPr>
              <w:t>)</w:t>
            </w:r>
          </w:p>
        </w:tc>
        <w:tc>
          <w:tcPr>
            <w:tcW w:w="686" w:type="dxa"/>
            <w:tcBorders>
              <w:left w:val="single" w:sz="4" w:space="0" w:color="auto"/>
              <w:bottom w:val="single" w:sz="4" w:space="0" w:color="auto"/>
            </w:tcBorders>
          </w:tcPr>
          <w:p w14:paraId="71693DBB"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0.1</w:t>
            </w:r>
          </w:p>
        </w:tc>
        <w:tc>
          <w:tcPr>
            <w:tcW w:w="683" w:type="dxa"/>
            <w:tcBorders>
              <w:bottom w:val="single" w:sz="4" w:space="0" w:color="auto"/>
            </w:tcBorders>
          </w:tcPr>
          <w:p w14:paraId="6D722864"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7.6</w:t>
            </w:r>
          </w:p>
        </w:tc>
        <w:tc>
          <w:tcPr>
            <w:tcW w:w="681" w:type="dxa"/>
            <w:tcBorders>
              <w:bottom w:val="single" w:sz="4" w:space="0" w:color="auto"/>
            </w:tcBorders>
          </w:tcPr>
          <w:p w14:paraId="4F846F1A"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7.9</w:t>
            </w:r>
          </w:p>
        </w:tc>
        <w:tc>
          <w:tcPr>
            <w:tcW w:w="681" w:type="dxa"/>
            <w:tcBorders>
              <w:bottom w:val="single" w:sz="4" w:space="0" w:color="auto"/>
              <w:right w:val="single" w:sz="4" w:space="0" w:color="auto"/>
            </w:tcBorders>
          </w:tcPr>
          <w:p w14:paraId="26A70C24" w14:textId="77777777" w:rsidR="00C9093E" w:rsidRPr="00C309A2" w:rsidRDefault="00C9093E" w:rsidP="008B3360">
            <w:pPr>
              <w:jc w:val="both"/>
              <w:rPr>
                <w:rFonts w:ascii="Calibri" w:hAnsi="Calibri" w:cs="Calibri"/>
                <w:color w:val="657C9C" w:themeColor="text2" w:themeTint="BF"/>
                <w:sz w:val="16"/>
                <w:szCs w:val="16"/>
              </w:rPr>
            </w:pPr>
            <w:r w:rsidRPr="00C309A2">
              <w:rPr>
                <w:rFonts w:ascii="Calibri" w:hAnsi="Calibri" w:cs="Calibri"/>
                <w:color w:val="657C9C" w:themeColor="text2" w:themeTint="BF"/>
                <w:sz w:val="16"/>
                <w:szCs w:val="16"/>
              </w:rPr>
              <w:t>6.9</w:t>
            </w:r>
          </w:p>
        </w:tc>
        <w:tc>
          <w:tcPr>
            <w:tcW w:w="681" w:type="dxa"/>
            <w:tcBorders>
              <w:left w:val="single" w:sz="4" w:space="0" w:color="auto"/>
            </w:tcBorders>
          </w:tcPr>
          <w:p w14:paraId="718996CB"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-0.1</w:t>
            </w:r>
          </w:p>
        </w:tc>
        <w:tc>
          <w:tcPr>
            <w:tcW w:w="681" w:type="dxa"/>
          </w:tcPr>
          <w:p w14:paraId="466AE228"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1.6</w:t>
            </w:r>
          </w:p>
        </w:tc>
        <w:tc>
          <w:tcPr>
            <w:tcW w:w="681" w:type="dxa"/>
          </w:tcPr>
          <w:p w14:paraId="0D72EE7A"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1.6</w:t>
            </w:r>
          </w:p>
        </w:tc>
        <w:tc>
          <w:tcPr>
            <w:tcW w:w="681" w:type="dxa"/>
          </w:tcPr>
          <w:p w14:paraId="0D337EE9" w14:textId="77777777" w:rsidR="00C9093E" w:rsidRPr="00C309A2" w:rsidRDefault="00C9093E" w:rsidP="008B3360">
            <w:pPr>
              <w:jc w:val="both"/>
              <w:rPr>
                <w:rFonts w:ascii="Calibri" w:hAnsi="Calibri" w:cs="Calibri"/>
                <w:color w:val="C45911" w:themeColor="accent2" w:themeShade="BF"/>
                <w:sz w:val="16"/>
                <w:szCs w:val="16"/>
              </w:rPr>
            </w:pPr>
            <w:r w:rsidRPr="00C309A2">
              <w:rPr>
                <w:rFonts w:ascii="Calibri" w:hAnsi="Calibri" w:cs="Calibri"/>
                <w:color w:val="C45911" w:themeColor="accent2" w:themeShade="BF"/>
                <w:sz w:val="16"/>
                <w:szCs w:val="16"/>
              </w:rPr>
              <w:t>1.6</w:t>
            </w:r>
          </w:p>
        </w:tc>
        <w:tc>
          <w:tcPr>
            <w:tcW w:w="681" w:type="dxa"/>
          </w:tcPr>
          <w:p w14:paraId="0B987A27"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0.0</w:t>
            </w:r>
          </w:p>
        </w:tc>
        <w:tc>
          <w:tcPr>
            <w:tcW w:w="681" w:type="dxa"/>
          </w:tcPr>
          <w:p w14:paraId="7392E4E9"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7.0</w:t>
            </w:r>
          </w:p>
        </w:tc>
        <w:tc>
          <w:tcPr>
            <w:tcW w:w="681" w:type="dxa"/>
          </w:tcPr>
          <w:p w14:paraId="6564A811"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7.4</w:t>
            </w:r>
          </w:p>
        </w:tc>
        <w:tc>
          <w:tcPr>
            <w:tcW w:w="631" w:type="dxa"/>
          </w:tcPr>
          <w:p w14:paraId="619083E4" w14:textId="77777777" w:rsidR="00C9093E" w:rsidRPr="00C309A2" w:rsidRDefault="00C9093E" w:rsidP="008B3360">
            <w:pPr>
              <w:jc w:val="both"/>
              <w:rPr>
                <w:rFonts w:ascii="Calibri" w:hAnsi="Calibri" w:cs="Calibri"/>
                <w:color w:val="767171" w:themeColor="background2" w:themeShade="80"/>
                <w:sz w:val="16"/>
                <w:szCs w:val="16"/>
              </w:rPr>
            </w:pPr>
            <w:r w:rsidRPr="00C309A2">
              <w:rPr>
                <w:rFonts w:ascii="Calibri" w:hAnsi="Calibri" w:cs="Calibri"/>
                <w:color w:val="767171" w:themeColor="background2" w:themeShade="80"/>
                <w:sz w:val="16"/>
                <w:szCs w:val="16"/>
              </w:rPr>
              <w:t>6.8</w:t>
            </w:r>
          </w:p>
        </w:tc>
      </w:tr>
    </w:tbl>
    <w:p w14:paraId="421F9C69" w14:textId="7288D91D" w:rsidR="00A96143" w:rsidRDefault="00A96143" w:rsidP="008B3360">
      <w:pPr>
        <w:jc w:val="both"/>
        <w:rPr>
          <w:sz w:val="18"/>
          <w:szCs w:val="18"/>
        </w:rPr>
      </w:pPr>
      <w:r w:rsidRPr="007B500D">
        <w:rPr>
          <w:sz w:val="18"/>
          <w:szCs w:val="18"/>
        </w:rPr>
        <w:t xml:space="preserve">Source: </w:t>
      </w:r>
      <w:r>
        <w:rPr>
          <w:sz w:val="18"/>
          <w:szCs w:val="18"/>
        </w:rPr>
        <w:t>MANAGE-WB</w:t>
      </w:r>
      <w:r w:rsidRPr="007B500D">
        <w:rPr>
          <w:sz w:val="18"/>
          <w:szCs w:val="18"/>
        </w:rPr>
        <w:t xml:space="preserve"> estimation</w:t>
      </w:r>
    </w:p>
    <w:p w14:paraId="40787805" w14:textId="286BFAAC" w:rsidR="00A96143" w:rsidRPr="00FF67E8" w:rsidRDefault="00A96143" w:rsidP="001856B0">
      <w:pPr>
        <w:pStyle w:val="Caption"/>
      </w:pPr>
      <w:bookmarkStart w:id="2" w:name="_Ref156534764"/>
      <w:bookmarkStart w:id="3" w:name="_Ref156534745"/>
      <w:r w:rsidRPr="00FF67E8">
        <w:t xml:space="preserve">Figure </w:t>
      </w:r>
      <w:bookmarkEnd w:id="2"/>
      <w:r w:rsidR="00794A6A">
        <w:t>3</w:t>
      </w:r>
      <w:r w:rsidRPr="00FF67E8">
        <w:t>. GDP as a pe</w:t>
      </w:r>
      <w:r>
        <w:t>r</w:t>
      </w:r>
      <w:r w:rsidRPr="00FF67E8">
        <w:t>cent difference from BASE</w:t>
      </w:r>
      <w:bookmarkEnd w:id="3"/>
      <w:r>
        <w:t xml:space="preserve"> </w:t>
      </w:r>
    </w:p>
    <w:p w14:paraId="68A11C13" w14:textId="77777777" w:rsidR="00A96143" w:rsidRDefault="00A96143" w:rsidP="00BE11E4">
      <w:pPr>
        <w:spacing w:after="0"/>
        <w:ind w:left="1440" w:firstLine="720"/>
        <w:jc w:val="both"/>
        <w:rPr>
          <w:sz w:val="18"/>
          <w:szCs w:val="18"/>
        </w:rPr>
      </w:pPr>
      <w:r>
        <w:rPr>
          <w:noProof/>
          <w:sz w:val="18"/>
          <w:szCs w:val="18"/>
        </w:rPr>
        <w:drawing>
          <wp:inline distT="0" distB="0" distL="0" distR="0" wp14:anchorId="0320C9CC" wp14:editId="298D1655">
            <wp:extent cx="3397716" cy="2055571"/>
            <wp:effectExtent l="0" t="0" r="0" b="1905"/>
            <wp:docPr id="1083476517" name="Picture 7" descr="A graph of different types of forest resto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76517" name="Picture 7" descr="A graph of different types of forest restoration&#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15866" cy="2066552"/>
                    </a:xfrm>
                    <a:prstGeom prst="rect">
                      <a:avLst/>
                    </a:prstGeom>
                    <a:noFill/>
                  </pic:spPr>
                </pic:pic>
              </a:graphicData>
            </a:graphic>
          </wp:inline>
        </w:drawing>
      </w:r>
    </w:p>
    <w:p w14:paraId="07BEF0F4" w14:textId="77777777" w:rsidR="00A96143" w:rsidRDefault="00A96143" w:rsidP="00BE11E4">
      <w:pPr>
        <w:jc w:val="center"/>
        <w:rPr>
          <w:sz w:val="18"/>
          <w:szCs w:val="18"/>
        </w:rPr>
      </w:pPr>
      <w:r w:rsidRPr="00DB0474">
        <w:rPr>
          <w:i/>
          <w:iCs/>
          <w:sz w:val="18"/>
          <w:szCs w:val="18"/>
        </w:rPr>
        <w:t>Source</w:t>
      </w:r>
      <w:r w:rsidRPr="007B500D">
        <w:rPr>
          <w:sz w:val="18"/>
          <w:szCs w:val="18"/>
        </w:rPr>
        <w:t xml:space="preserve">: </w:t>
      </w:r>
      <w:r>
        <w:rPr>
          <w:sz w:val="18"/>
          <w:szCs w:val="18"/>
        </w:rPr>
        <w:t>MANAGE-WB</w:t>
      </w:r>
      <w:r w:rsidRPr="007B500D">
        <w:rPr>
          <w:sz w:val="18"/>
          <w:szCs w:val="18"/>
        </w:rPr>
        <w:t xml:space="preserve"> estimation</w:t>
      </w:r>
    </w:p>
    <w:p w14:paraId="432E7145" w14:textId="538DCEF8" w:rsidR="00A96143" w:rsidRPr="00FF67E8" w:rsidRDefault="00A96143" w:rsidP="001856B0">
      <w:pPr>
        <w:pStyle w:val="Caption"/>
      </w:pPr>
      <w:bookmarkStart w:id="4" w:name="_Ref156535811"/>
      <w:r w:rsidRPr="00FF67E8">
        <w:t xml:space="preserve">Figure </w:t>
      </w:r>
      <w:bookmarkEnd w:id="4"/>
      <w:r w:rsidR="00746C47">
        <w:t>4</w:t>
      </w:r>
      <w:r w:rsidRPr="00FF67E8">
        <w:t>. GDP as a difference from the BASE in millions of USD</w:t>
      </w:r>
    </w:p>
    <w:p w14:paraId="67BC397C" w14:textId="77777777" w:rsidR="00A96143" w:rsidRDefault="00A96143" w:rsidP="00BE11E4">
      <w:pPr>
        <w:spacing w:after="0"/>
        <w:ind w:left="1440" w:firstLine="720"/>
        <w:jc w:val="both"/>
        <w:rPr>
          <w:sz w:val="18"/>
          <w:szCs w:val="18"/>
        </w:rPr>
      </w:pPr>
      <w:r>
        <w:rPr>
          <w:noProof/>
          <w:sz w:val="18"/>
          <w:szCs w:val="18"/>
        </w:rPr>
        <w:drawing>
          <wp:inline distT="0" distB="0" distL="0" distR="0" wp14:anchorId="05089C02" wp14:editId="249E8C8E">
            <wp:extent cx="3445459" cy="2071093"/>
            <wp:effectExtent l="0" t="0" r="3175" b="5715"/>
            <wp:docPr id="1527295120" name="Picture 8" descr="A graph showing the growth of the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95120" name="Picture 8" descr="A graph showing the growth of the fores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0900" cy="2074364"/>
                    </a:xfrm>
                    <a:prstGeom prst="rect">
                      <a:avLst/>
                    </a:prstGeom>
                    <a:noFill/>
                  </pic:spPr>
                </pic:pic>
              </a:graphicData>
            </a:graphic>
          </wp:inline>
        </w:drawing>
      </w:r>
    </w:p>
    <w:p w14:paraId="3AF62695" w14:textId="77777777" w:rsidR="00A96143" w:rsidRDefault="00A96143" w:rsidP="00BE11E4">
      <w:pPr>
        <w:jc w:val="center"/>
        <w:rPr>
          <w:sz w:val="18"/>
          <w:szCs w:val="18"/>
        </w:rPr>
      </w:pPr>
      <w:r w:rsidRPr="00DB0474">
        <w:rPr>
          <w:i/>
          <w:iCs/>
          <w:sz w:val="18"/>
          <w:szCs w:val="18"/>
        </w:rPr>
        <w:t>Source</w:t>
      </w:r>
      <w:r w:rsidRPr="007B500D">
        <w:rPr>
          <w:sz w:val="18"/>
          <w:szCs w:val="18"/>
        </w:rPr>
        <w:t xml:space="preserve">: </w:t>
      </w:r>
      <w:r>
        <w:rPr>
          <w:sz w:val="18"/>
          <w:szCs w:val="18"/>
        </w:rPr>
        <w:t>MANAGE-WB</w:t>
      </w:r>
      <w:r w:rsidRPr="007B500D">
        <w:rPr>
          <w:sz w:val="18"/>
          <w:szCs w:val="18"/>
        </w:rPr>
        <w:t xml:space="preserve"> estimation</w:t>
      </w:r>
    </w:p>
    <w:p w14:paraId="1033087C" w14:textId="568C8A21" w:rsidR="00A96143" w:rsidRPr="00DA682E" w:rsidRDefault="00DA682E" w:rsidP="008B3360">
      <w:pPr>
        <w:jc w:val="both"/>
        <w:rPr>
          <w:rFonts w:ascii="Calibri" w:hAnsi="Calibri" w:cs="Calibri"/>
          <w:iCs/>
        </w:rPr>
      </w:pPr>
      <w:r w:rsidRPr="00DA682E">
        <w:lastRenderedPageBreak/>
        <w:t>The following table shows</w:t>
      </w:r>
      <w:r>
        <w:rPr>
          <w:rFonts w:ascii="Calibri" w:hAnsi="Calibri" w:cs="Calibri"/>
          <w:iCs/>
        </w:rPr>
        <w:t xml:space="preserve"> the impact of the </w:t>
      </w:r>
      <w:r w:rsidR="00352EFF">
        <w:rPr>
          <w:rFonts w:ascii="Calibri" w:hAnsi="Calibri" w:cs="Calibri"/>
          <w:iCs/>
        </w:rPr>
        <w:t>regulating ecosystem services</w:t>
      </w:r>
      <w:r>
        <w:rPr>
          <w:rFonts w:ascii="Calibri" w:hAnsi="Calibri" w:cs="Calibri"/>
          <w:iCs/>
        </w:rPr>
        <w:t>. In doing so, we shoc</w:t>
      </w:r>
      <w:r w:rsidR="00B90FF4">
        <w:rPr>
          <w:rFonts w:ascii="Calibri" w:hAnsi="Calibri" w:cs="Calibri"/>
          <w:iCs/>
        </w:rPr>
        <w:t>k</w:t>
      </w:r>
      <w:r>
        <w:rPr>
          <w:rFonts w:ascii="Calibri" w:hAnsi="Calibri" w:cs="Calibri"/>
          <w:iCs/>
        </w:rPr>
        <w:t xml:space="preserve"> the pro</w:t>
      </w:r>
      <w:r w:rsidR="00B90FF4">
        <w:rPr>
          <w:rFonts w:ascii="Calibri" w:hAnsi="Calibri" w:cs="Calibri"/>
          <w:iCs/>
        </w:rPr>
        <w:t>d</w:t>
      </w:r>
      <w:r>
        <w:rPr>
          <w:rFonts w:ascii="Calibri" w:hAnsi="Calibri" w:cs="Calibri"/>
          <w:iCs/>
        </w:rPr>
        <w:t>u</w:t>
      </w:r>
      <w:r w:rsidR="00B90FF4">
        <w:rPr>
          <w:rFonts w:ascii="Calibri" w:hAnsi="Calibri" w:cs="Calibri"/>
          <w:iCs/>
        </w:rPr>
        <w:t>ctivit</w:t>
      </w:r>
      <w:r>
        <w:rPr>
          <w:rFonts w:ascii="Calibri" w:hAnsi="Calibri" w:cs="Calibri"/>
          <w:iCs/>
        </w:rPr>
        <w:t xml:space="preserve">y </w:t>
      </w:r>
      <w:r w:rsidR="00B90FF4">
        <w:rPr>
          <w:rFonts w:ascii="Calibri" w:hAnsi="Calibri" w:cs="Calibri"/>
          <w:iCs/>
        </w:rPr>
        <w:t xml:space="preserve">of </w:t>
      </w:r>
      <w:r>
        <w:rPr>
          <w:rFonts w:ascii="Calibri" w:hAnsi="Calibri" w:cs="Calibri"/>
          <w:iCs/>
        </w:rPr>
        <w:t>the</w:t>
      </w:r>
      <w:r w:rsidR="00B90FF4">
        <w:rPr>
          <w:rFonts w:ascii="Calibri" w:hAnsi="Calibri" w:cs="Calibri"/>
          <w:iCs/>
        </w:rPr>
        <w:t xml:space="preserve"> crop activities with those in Table 2</w:t>
      </w:r>
      <w:r w:rsidR="006D5CB1">
        <w:rPr>
          <w:rFonts w:ascii="Calibri" w:hAnsi="Calibri" w:cs="Calibri"/>
          <w:iCs/>
        </w:rPr>
        <w:t xml:space="preserve"> with the same fixed use of lands as in the BASE</w:t>
      </w:r>
      <w:r w:rsidR="00B90FF4">
        <w:rPr>
          <w:rFonts w:ascii="Calibri" w:hAnsi="Calibri" w:cs="Calibri"/>
          <w:iCs/>
        </w:rPr>
        <w:t>.</w:t>
      </w:r>
      <w:r w:rsidR="00EC696B">
        <w:rPr>
          <w:rFonts w:ascii="Calibri" w:hAnsi="Calibri" w:cs="Calibri"/>
          <w:iCs/>
        </w:rPr>
        <w:t xml:space="preserve"> There are no other shocks.</w:t>
      </w:r>
      <w:r w:rsidR="00B90FF4">
        <w:rPr>
          <w:rFonts w:ascii="Calibri" w:hAnsi="Calibri" w:cs="Calibri"/>
          <w:iCs/>
        </w:rPr>
        <w:t xml:space="preserve"> </w:t>
      </w:r>
      <w:r>
        <w:rPr>
          <w:rFonts w:ascii="Calibri" w:hAnsi="Calibri" w:cs="Calibri"/>
          <w:iCs/>
        </w:rPr>
        <w:t xml:space="preserve"> </w:t>
      </w:r>
      <w:r w:rsidRPr="00DA682E">
        <w:rPr>
          <w:rFonts w:ascii="Calibri" w:hAnsi="Calibri" w:cs="Calibri"/>
          <w:iCs/>
        </w:rPr>
        <w:t xml:space="preserve"> </w:t>
      </w:r>
    </w:p>
    <w:p w14:paraId="37F15FB6" w14:textId="2CDCBE74" w:rsidR="00F22691" w:rsidRPr="00F22691" w:rsidRDefault="00F22691" w:rsidP="001856B0">
      <w:pPr>
        <w:spacing w:after="120"/>
        <w:jc w:val="center"/>
        <w:rPr>
          <w:rFonts w:ascii="Calibri" w:hAnsi="Calibri" w:cs="Calibri"/>
          <w:iCs/>
        </w:rPr>
      </w:pPr>
      <w:r w:rsidRPr="00F22691">
        <w:rPr>
          <w:rFonts w:ascii="Calibri" w:hAnsi="Calibri" w:cs="Calibri"/>
          <w:iCs/>
        </w:rPr>
        <w:t xml:space="preserve">Table </w:t>
      </w:r>
      <w:r w:rsidRPr="00F22691">
        <w:rPr>
          <w:rFonts w:ascii="Calibri" w:hAnsi="Calibri" w:cs="Calibri"/>
          <w:iCs/>
        </w:rPr>
        <w:t>4</w:t>
      </w:r>
      <w:r w:rsidRPr="00F22691">
        <w:rPr>
          <w:rFonts w:ascii="Calibri" w:hAnsi="Calibri" w:cs="Calibri"/>
          <w:iCs/>
        </w:rPr>
        <w:t xml:space="preserve">. </w:t>
      </w:r>
      <w:r w:rsidR="00352EFF">
        <w:rPr>
          <w:rFonts w:ascii="Calibri" w:hAnsi="Calibri" w:cs="Calibri"/>
          <w:iCs/>
        </w:rPr>
        <w:t>Impact of r</w:t>
      </w:r>
      <w:r w:rsidRPr="00F22691">
        <w:rPr>
          <w:rFonts w:ascii="Calibri" w:hAnsi="Calibri" w:cs="Calibri"/>
          <w:iCs/>
        </w:rPr>
        <w:t xml:space="preserve">egulating services (% difference from the </w:t>
      </w:r>
      <w:r>
        <w:rPr>
          <w:rFonts w:ascii="Calibri" w:hAnsi="Calibri" w:cs="Calibri"/>
          <w:iCs/>
        </w:rPr>
        <w:t>BASE</w:t>
      </w:r>
      <w:r w:rsidRPr="00F22691">
        <w:rPr>
          <w:rFonts w:ascii="Calibri" w:hAnsi="Calibri" w:cs="Calibri"/>
          <w:iCs/>
        </w:rPr>
        <w:t>)</w:t>
      </w:r>
    </w:p>
    <w:tbl>
      <w:tblPr>
        <w:tblW w:w="5000" w:type="pct"/>
        <w:tblLook w:val="04A0" w:firstRow="1" w:lastRow="0" w:firstColumn="1" w:lastColumn="0" w:noHBand="0" w:noVBand="1"/>
      </w:tblPr>
      <w:tblGrid>
        <w:gridCol w:w="2023"/>
        <w:gridCol w:w="1618"/>
        <w:gridCol w:w="3127"/>
        <w:gridCol w:w="860"/>
        <w:gridCol w:w="860"/>
        <w:gridCol w:w="862"/>
      </w:tblGrid>
      <w:tr w:rsidR="00F22691" w:rsidRPr="001B6EAC" w14:paraId="2BE0434C" w14:textId="77777777" w:rsidTr="009B1E3B">
        <w:trPr>
          <w:trHeight w:val="285"/>
        </w:trPr>
        <w:tc>
          <w:tcPr>
            <w:tcW w:w="3619" w:type="pct"/>
            <w:gridSpan w:val="3"/>
            <w:tcBorders>
              <w:top w:val="single" w:sz="4" w:space="0" w:color="auto"/>
              <w:left w:val="single" w:sz="4" w:space="0" w:color="auto"/>
              <w:bottom w:val="nil"/>
              <w:right w:val="nil"/>
            </w:tcBorders>
            <w:shd w:val="clear" w:color="auto" w:fill="auto"/>
            <w:noWrap/>
            <w:vAlign w:val="bottom"/>
            <w:hideMark/>
          </w:tcPr>
          <w:p w14:paraId="06A75138"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Regulating ecosystem services (% change in GDP from the baseline)</w:t>
            </w:r>
          </w:p>
        </w:tc>
        <w:tc>
          <w:tcPr>
            <w:tcW w:w="460" w:type="pct"/>
            <w:tcBorders>
              <w:top w:val="single" w:sz="4" w:space="0" w:color="auto"/>
              <w:left w:val="nil"/>
              <w:bottom w:val="nil"/>
              <w:right w:val="nil"/>
            </w:tcBorders>
            <w:shd w:val="clear" w:color="auto" w:fill="auto"/>
            <w:noWrap/>
            <w:vAlign w:val="bottom"/>
            <w:hideMark/>
          </w:tcPr>
          <w:p w14:paraId="5BE384AB"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460" w:type="pct"/>
            <w:tcBorders>
              <w:top w:val="single" w:sz="4" w:space="0" w:color="auto"/>
              <w:left w:val="nil"/>
              <w:bottom w:val="nil"/>
              <w:right w:val="nil"/>
            </w:tcBorders>
            <w:shd w:val="clear" w:color="auto" w:fill="auto"/>
            <w:noWrap/>
            <w:vAlign w:val="bottom"/>
            <w:hideMark/>
          </w:tcPr>
          <w:p w14:paraId="42657E38"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461" w:type="pct"/>
            <w:tcBorders>
              <w:top w:val="single" w:sz="4" w:space="0" w:color="auto"/>
              <w:left w:val="nil"/>
              <w:bottom w:val="nil"/>
              <w:right w:val="single" w:sz="4" w:space="0" w:color="auto"/>
            </w:tcBorders>
            <w:shd w:val="clear" w:color="auto" w:fill="auto"/>
            <w:noWrap/>
            <w:vAlign w:val="bottom"/>
            <w:hideMark/>
          </w:tcPr>
          <w:p w14:paraId="4AA80BFA"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r>
      <w:tr w:rsidR="00F22691" w:rsidRPr="001B6EAC" w14:paraId="305168F5"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55828D67"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0C779D9C"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Crop pollination</w:t>
            </w:r>
          </w:p>
        </w:tc>
        <w:tc>
          <w:tcPr>
            <w:tcW w:w="1672" w:type="pct"/>
            <w:tcBorders>
              <w:top w:val="nil"/>
              <w:left w:val="nil"/>
              <w:bottom w:val="nil"/>
              <w:right w:val="nil"/>
            </w:tcBorders>
            <w:shd w:val="clear" w:color="auto" w:fill="auto"/>
            <w:noWrap/>
            <w:vAlign w:val="bottom"/>
            <w:hideMark/>
          </w:tcPr>
          <w:p w14:paraId="63E62071" w14:textId="77777777" w:rsidR="00F22691" w:rsidRPr="001B6EAC" w:rsidRDefault="00F22691" w:rsidP="008B3360">
            <w:pPr>
              <w:spacing w:after="0" w:line="240" w:lineRule="auto"/>
              <w:jc w:val="both"/>
              <w:rPr>
                <w:rFonts w:ascii="Calibri" w:eastAsia="Times New Roman" w:hAnsi="Calibri" w:cs="Calibri"/>
                <w:sz w:val="18"/>
                <w:szCs w:val="18"/>
              </w:rPr>
            </w:pPr>
          </w:p>
        </w:tc>
        <w:tc>
          <w:tcPr>
            <w:tcW w:w="460" w:type="pct"/>
            <w:tcBorders>
              <w:top w:val="nil"/>
              <w:left w:val="nil"/>
              <w:bottom w:val="nil"/>
              <w:right w:val="nil"/>
            </w:tcBorders>
            <w:shd w:val="clear" w:color="auto" w:fill="auto"/>
            <w:noWrap/>
            <w:vAlign w:val="bottom"/>
            <w:hideMark/>
          </w:tcPr>
          <w:p w14:paraId="0E7786CA" w14:textId="77777777" w:rsidR="00F22691" w:rsidRPr="001B6EAC" w:rsidRDefault="00F22691" w:rsidP="008B3360">
            <w:pPr>
              <w:spacing w:after="0" w:line="240" w:lineRule="auto"/>
              <w:jc w:val="both"/>
              <w:rPr>
                <w:rFonts w:ascii="Calibri" w:eastAsia="Times New Roman" w:hAnsi="Calibri" w:cs="Calibri"/>
                <w:sz w:val="18"/>
                <w:szCs w:val="18"/>
              </w:rPr>
            </w:pPr>
          </w:p>
        </w:tc>
        <w:tc>
          <w:tcPr>
            <w:tcW w:w="460" w:type="pct"/>
            <w:tcBorders>
              <w:top w:val="nil"/>
              <w:left w:val="nil"/>
              <w:bottom w:val="nil"/>
              <w:right w:val="nil"/>
            </w:tcBorders>
            <w:shd w:val="clear" w:color="auto" w:fill="auto"/>
            <w:noWrap/>
            <w:vAlign w:val="bottom"/>
            <w:hideMark/>
          </w:tcPr>
          <w:p w14:paraId="1A7AB0E7" w14:textId="77777777" w:rsidR="00F22691" w:rsidRPr="001B6EAC" w:rsidRDefault="00F22691" w:rsidP="008B3360">
            <w:pPr>
              <w:spacing w:after="0" w:line="240" w:lineRule="auto"/>
              <w:jc w:val="both"/>
              <w:rPr>
                <w:rFonts w:ascii="Calibri" w:eastAsia="Times New Roman" w:hAnsi="Calibri" w:cs="Calibri"/>
                <w:sz w:val="18"/>
                <w:szCs w:val="18"/>
              </w:rPr>
            </w:pPr>
          </w:p>
        </w:tc>
        <w:tc>
          <w:tcPr>
            <w:tcW w:w="461" w:type="pct"/>
            <w:tcBorders>
              <w:top w:val="nil"/>
              <w:left w:val="nil"/>
              <w:bottom w:val="nil"/>
              <w:right w:val="single" w:sz="4" w:space="0" w:color="auto"/>
            </w:tcBorders>
            <w:shd w:val="clear" w:color="auto" w:fill="auto"/>
            <w:noWrap/>
            <w:vAlign w:val="bottom"/>
            <w:hideMark/>
          </w:tcPr>
          <w:p w14:paraId="6FE14643"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 </w:t>
            </w:r>
          </w:p>
        </w:tc>
      </w:tr>
      <w:tr w:rsidR="00F22691" w:rsidRPr="001B6EAC" w14:paraId="7EF68628"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3E345925"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794CA79F" w14:textId="77777777" w:rsidR="00F22691" w:rsidRPr="001B6EAC" w:rsidRDefault="00F22691" w:rsidP="008B3360">
            <w:pPr>
              <w:spacing w:after="0" w:line="240" w:lineRule="auto"/>
              <w:jc w:val="both"/>
              <w:rPr>
                <w:rFonts w:ascii="Calibri" w:eastAsia="Times New Roman" w:hAnsi="Calibri" w:cs="Calibri"/>
                <w:color w:val="000000"/>
                <w:sz w:val="18"/>
                <w:szCs w:val="18"/>
              </w:rPr>
            </w:pPr>
          </w:p>
        </w:tc>
        <w:tc>
          <w:tcPr>
            <w:tcW w:w="1672" w:type="pct"/>
            <w:tcBorders>
              <w:top w:val="nil"/>
              <w:left w:val="nil"/>
              <w:bottom w:val="nil"/>
              <w:right w:val="nil"/>
            </w:tcBorders>
            <w:shd w:val="clear" w:color="auto" w:fill="auto"/>
            <w:noWrap/>
            <w:vAlign w:val="bottom"/>
            <w:hideMark/>
          </w:tcPr>
          <w:p w14:paraId="0CC76E09"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NDC</w:t>
            </w:r>
          </w:p>
        </w:tc>
        <w:tc>
          <w:tcPr>
            <w:tcW w:w="460" w:type="pct"/>
            <w:tcBorders>
              <w:top w:val="nil"/>
              <w:left w:val="nil"/>
              <w:bottom w:val="nil"/>
              <w:right w:val="nil"/>
            </w:tcBorders>
            <w:shd w:val="clear" w:color="auto" w:fill="auto"/>
            <w:noWrap/>
            <w:vAlign w:val="bottom"/>
            <w:hideMark/>
          </w:tcPr>
          <w:p w14:paraId="59D4F8B4"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0.08%</w:t>
            </w:r>
          </w:p>
        </w:tc>
        <w:tc>
          <w:tcPr>
            <w:tcW w:w="460" w:type="pct"/>
            <w:tcBorders>
              <w:top w:val="nil"/>
              <w:left w:val="nil"/>
              <w:bottom w:val="nil"/>
              <w:right w:val="nil"/>
            </w:tcBorders>
            <w:shd w:val="clear" w:color="auto" w:fill="auto"/>
            <w:noWrap/>
            <w:vAlign w:val="bottom"/>
            <w:hideMark/>
          </w:tcPr>
          <w:p w14:paraId="5A55FC63"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0.08%</w:t>
            </w:r>
          </w:p>
        </w:tc>
        <w:tc>
          <w:tcPr>
            <w:tcW w:w="461" w:type="pct"/>
            <w:tcBorders>
              <w:top w:val="nil"/>
              <w:left w:val="nil"/>
              <w:bottom w:val="nil"/>
              <w:right w:val="single" w:sz="4" w:space="0" w:color="auto"/>
            </w:tcBorders>
            <w:shd w:val="clear" w:color="auto" w:fill="auto"/>
            <w:noWrap/>
            <w:vAlign w:val="bottom"/>
            <w:hideMark/>
          </w:tcPr>
          <w:p w14:paraId="2FC04A7E"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0.07%</w:t>
            </w:r>
          </w:p>
        </w:tc>
      </w:tr>
      <w:tr w:rsidR="00F22691" w:rsidRPr="001B6EAC" w14:paraId="548A6455"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5285AA2F"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6CDEBE70" w14:textId="77777777" w:rsidR="00F22691" w:rsidRPr="001B6EAC" w:rsidRDefault="00F22691" w:rsidP="008B3360">
            <w:pPr>
              <w:spacing w:after="0" w:line="240" w:lineRule="auto"/>
              <w:jc w:val="both"/>
              <w:rPr>
                <w:rFonts w:ascii="Calibri" w:eastAsia="Times New Roman" w:hAnsi="Calibri" w:cs="Calibri"/>
                <w:color w:val="000000"/>
                <w:sz w:val="18"/>
                <w:szCs w:val="18"/>
              </w:rPr>
            </w:pPr>
          </w:p>
        </w:tc>
        <w:tc>
          <w:tcPr>
            <w:tcW w:w="1672" w:type="pct"/>
            <w:tcBorders>
              <w:top w:val="nil"/>
              <w:left w:val="nil"/>
              <w:bottom w:val="nil"/>
              <w:right w:val="nil"/>
            </w:tcBorders>
            <w:shd w:val="clear" w:color="auto" w:fill="auto"/>
            <w:noWrap/>
            <w:vAlign w:val="bottom"/>
            <w:hideMark/>
          </w:tcPr>
          <w:p w14:paraId="383CC812"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Forest Restoration</w:t>
            </w:r>
          </w:p>
        </w:tc>
        <w:tc>
          <w:tcPr>
            <w:tcW w:w="460" w:type="pct"/>
            <w:tcBorders>
              <w:top w:val="nil"/>
              <w:left w:val="nil"/>
              <w:bottom w:val="nil"/>
              <w:right w:val="nil"/>
            </w:tcBorders>
            <w:shd w:val="clear" w:color="auto" w:fill="auto"/>
            <w:noWrap/>
            <w:vAlign w:val="bottom"/>
            <w:hideMark/>
          </w:tcPr>
          <w:p w14:paraId="0ED43E46"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0.00%</w:t>
            </w:r>
          </w:p>
        </w:tc>
        <w:tc>
          <w:tcPr>
            <w:tcW w:w="460" w:type="pct"/>
            <w:tcBorders>
              <w:top w:val="nil"/>
              <w:left w:val="nil"/>
              <w:bottom w:val="nil"/>
              <w:right w:val="nil"/>
            </w:tcBorders>
            <w:shd w:val="clear" w:color="auto" w:fill="auto"/>
            <w:noWrap/>
            <w:vAlign w:val="bottom"/>
            <w:hideMark/>
          </w:tcPr>
          <w:p w14:paraId="7F65ADD6"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0.00%</w:t>
            </w:r>
          </w:p>
        </w:tc>
        <w:tc>
          <w:tcPr>
            <w:tcW w:w="461" w:type="pct"/>
            <w:tcBorders>
              <w:top w:val="nil"/>
              <w:left w:val="nil"/>
              <w:bottom w:val="nil"/>
              <w:right w:val="single" w:sz="4" w:space="0" w:color="auto"/>
            </w:tcBorders>
            <w:shd w:val="clear" w:color="auto" w:fill="auto"/>
            <w:noWrap/>
            <w:vAlign w:val="bottom"/>
            <w:hideMark/>
          </w:tcPr>
          <w:p w14:paraId="7ACAE399"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0.00%</w:t>
            </w:r>
          </w:p>
        </w:tc>
      </w:tr>
      <w:tr w:rsidR="00F22691" w:rsidRPr="001B6EAC" w14:paraId="3E2DE59B"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5C38058A"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6C397837" w14:textId="77777777" w:rsidR="00F22691" w:rsidRPr="001B6EAC" w:rsidRDefault="00F22691" w:rsidP="008B3360">
            <w:pPr>
              <w:spacing w:after="0" w:line="240" w:lineRule="auto"/>
              <w:jc w:val="both"/>
              <w:rPr>
                <w:rFonts w:ascii="Calibri" w:eastAsia="Times New Roman" w:hAnsi="Calibri" w:cs="Calibri"/>
                <w:color w:val="000000"/>
                <w:sz w:val="18"/>
                <w:szCs w:val="18"/>
              </w:rPr>
            </w:pPr>
          </w:p>
        </w:tc>
        <w:tc>
          <w:tcPr>
            <w:tcW w:w="1672" w:type="pct"/>
            <w:tcBorders>
              <w:top w:val="nil"/>
              <w:left w:val="nil"/>
              <w:bottom w:val="nil"/>
              <w:right w:val="nil"/>
            </w:tcBorders>
            <w:shd w:val="clear" w:color="auto" w:fill="auto"/>
            <w:noWrap/>
            <w:vAlign w:val="bottom"/>
            <w:hideMark/>
          </w:tcPr>
          <w:p w14:paraId="73C5C432" w14:textId="77777777" w:rsidR="00F22691" w:rsidRPr="001B6EAC" w:rsidRDefault="00F22691" w:rsidP="008B3360">
            <w:pPr>
              <w:spacing w:after="0" w:line="240" w:lineRule="auto"/>
              <w:jc w:val="both"/>
              <w:rPr>
                <w:rFonts w:ascii="Calibri" w:eastAsia="Times New Roman" w:hAnsi="Calibri" w:cs="Calibri"/>
                <w:color w:val="000000"/>
                <w:sz w:val="18"/>
                <w:szCs w:val="18"/>
              </w:rPr>
            </w:pPr>
            <w:proofErr w:type="spellStart"/>
            <w:r w:rsidRPr="001B6EAC">
              <w:rPr>
                <w:rFonts w:ascii="Calibri" w:eastAsia="Times New Roman" w:hAnsi="Calibri" w:cs="Calibri"/>
                <w:color w:val="000000"/>
                <w:sz w:val="18"/>
                <w:szCs w:val="18"/>
              </w:rPr>
              <w:t>NDC+Forest</w:t>
            </w:r>
            <w:proofErr w:type="spellEnd"/>
            <w:r w:rsidRPr="001B6EAC">
              <w:rPr>
                <w:rFonts w:ascii="Calibri" w:eastAsia="Times New Roman" w:hAnsi="Calibri" w:cs="Calibri"/>
                <w:color w:val="000000"/>
                <w:sz w:val="18"/>
                <w:szCs w:val="18"/>
              </w:rPr>
              <w:t xml:space="preserve"> Restoration</w:t>
            </w:r>
          </w:p>
        </w:tc>
        <w:tc>
          <w:tcPr>
            <w:tcW w:w="460" w:type="pct"/>
            <w:tcBorders>
              <w:top w:val="nil"/>
              <w:left w:val="nil"/>
              <w:bottom w:val="nil"/>
              <w:right w:val="nil"/>
            </w:tcBorders>
            <w:shd w:val="clear" w:color="auto" w:fill="auto"/>
            <w:noWrap/>
            <w:vAlign w:val="bottom"/>
            <w:hideMark/>
          </w:tcPr>
          <w:p w14:paraId="0504B9DD"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0.08%</w:t>
            </w:r>
          </w:p>
        </w:tc>
        <w:tc>
          <w:tcPr>
            <w:tcW w:w="460" w:type="pct"/>
            <w:tcBorders>
              <w:top w:val="nil"/>
              <w:left w:val="nil"/>
              <w:bottom w:val="nil"/>
              <w:right w:val="nil"/>
            </w:tcBorders>
            <w:shd w:val="clear" w:color="auto" w:fill="auto"/>
            <w:noWrap/>
            <w:vAlign w:val="bottom"/>
            <w:hideMark/>
          </w:tcPr>
          <w:p w14:paraId="215B04F7"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0.15%</w:t>
            </w:r>
          </w:p>
        </w:tc>
        <w:tc>
          <w:tcPr>
            <w:tcW w:w="461" w:type="pct"/>
            <w:tcBorders>
              <w:top w:val="nil"/>
              <w:left w:val="nil"/>
              <w:bottom w:val="nil"/>
              <w:right w:val="single" w:sz="4" w:space="0" w:color="auto"/>
            </w:tcBorders>
            <w:shd w:val="clear" w:color="auto" w:fill="auto"/>
            <w:noWrap/>
            <w:vAlign w:val="bottom"/>
            <w:hideMark/>
          </w:tcPr>
          <w:p w14:paraId="3BDA3B9E"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0.14%</w:t>
            </w:r>
          </w:p>
        </w:tc>
      </w:tr>
      <w:tr w:rsidR="00F22691" w:rsidRPr="001B6EAC" w14:paraId="631E6CBA"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01CE308C"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5E29180A"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Erosion mitigation</w:t>
            </w:r>
          </w:p>
        </w:tc>
        <w:tc>
          <w:tcPr>
            <w:tcW w:w="1672" w:type="pct"/>
            <w:tcBorders>
              <w:top w:val="nil"/>
              <w:left w:val="nil"/>
              <w:bottom w:val="nil"/>
              <w:right w:val="nil"/>
            </w:tcBorders>
            <w:shd w:val="clear" w:color="auto" w:fill="auto"/>
            <w:noWrap/>
            <w:vAlign w:val="bottom"/>
            <w:hideMark/>
          </w:tcPr>
          <w:p w14:paraId="698C25C7" w14:textId="77777777" w:rsidR="00F22691" w:rsidRPr="001B6EAC" w:rsidRDefault="00F22691" w:rsidP="008B3360">
            <w:pPr>
              <w:spacing w:after="0" w:line="240" w:lineRule="auto"/>
              <w:jc w:val="both"/>
              <w:rPr>
                <w:rFonts w:ascii="Calibri" w:eastAsia="Times New Roman" w:hAnsi="Calibri" w:cs="Calibri"/>
                <w:sz w:val="18"/>
                <w:szCs w:val="18"/>
              </w:rPr>
            </w:pPr>
          </w:p>
        </w:tc>
        <w:tc>
          <w:tcPr>
            <w:tcW w:w="460" w:type="pct"/>
            <w:tcBorders>
              <w:top w:val="nil"/>
              <w:left w:val="nil"/>
              <w:bottom w:val="nil"/>
              <w:right w:val="nil"/>
            </w:tcBorders>
            <w:shd w:val="clear" w:color="auto" w:fill="auto"/>
            <w:noWrap/>
            <w:vAlign w:val="bottom"/>
            <w:hideMark/>
          </w:tcPr>
          <w:p w14:paraId="40923496" w14:textId="77777777" w:rsidR="00F22691" w:rsidRPr="001B6EAC" w:rsidRDefault="00F22691" w:rsidP="008B3360">
            <w:pPr>
              <w:spacing w:after="0" w:line="240" w:lineRule="auto"/>
              <w:jc w:val="both"/>
              <w:rPr>
                <w:rFonts w:ascii="Calibri" w:eastAsia="Times New Roman" w:hAnsi="Calibri" w:cs="Calibri"/>
                <w:sz w:val="18"/>
                <w:szCs w:val="18"/>
              </w:rPr>
            </w:pPr>
          </w:p>
        </w:tc>
        <w:tc>
          <w:tcPr>
            <w:tcW w:w="460" w:type="pct"/>
            <w:tcBorders>
              <w:top w:val="nil"/>
              <w:left w:val="nil"/>
              <w:bottom w:val="nil"/>
              <w:right w:val="nil"/>
            </w:tcBorders>
            <w:shd w:val="clear" w:color="auto" w:fill="auto"/>
            <w:noWrap/>
            <w:vAlign w:val="bottom"/>
            <w:hideMark/>
          </w:tcPr>
          <w:p w14:paraId="43F82A8B" w14:textId="77777777" w:rsidR="00F22691" w:rsidRPr="001B6EAC" w:rsidRDefault="00F22691" w:rsidP="008B3360">
            <w:pPr>
              <w:spacing w:after="0" w:line="240" w:lineRule="auto"/>
              <w:jc w:val="both"/>
              <w:rPr>
                <w:rFonts w:ascii="Calibri" w:eastAsia="Times New Roman" w:hAnsi="Calibri" w:cs="Calibri"/>
                <w:sz w:val="18"/>
                <w:szCs w:val="18"/>
              </w:rPr>
            </w:pPr>
          </w:p>
        </w:tc>
        <w:tc>
          <w:tcPr>
            <w:tcW w:w="461" w:type="pct"/>
            <w:tcBorders>
              <w:top w:val="nil"/>
              <w:left w:val="nil"/>
              <w:bottom w:val="nil"/>
              <w:right w:val="single" w:sz="4" w:space="0" w:color="auto"/>
            </w:tcBorders>
            <w:shd w:val="clear" w:color="auto" w:fill="auto"/>
            <w:noWrap/>
            <w:vAlign w:val="bottom"/>
            <w:hideMark/>
          </w:tcPr>
          <w:p w14:paraId="2284FE59" w14:textId="77777777" w:rsidR="00F22691" w:rsidRPr="001B6EAC" w:rsidRDefault="00F22691" w:rsidP="008B3360">
            <w:pPr>
              <w:spacing w:after="0" w:line="240" w:lineRule="auto"/>
              <w:jc w:val="both"/>
              <w:rPr>
                <w:rFonts w:ascii="Calibri" w:eastAsia="Times New Roman" w:hAnsi="Calibri" w:cs="Calibri"/>
                <w:sz w:val="18"/>
                <w:szCs w:val="18"/>
              </w:rPr>
            </w:pPr>
            <w:r w:rsidRPr="001B6EAC">
              <w:rPr>
                <w:rFonts w:ascii="Calibri" w:eastAsia="Times New Roman" w:hAnsi="Calibri" w:cs="Calibri"/>
                <w:sz w:val="18"/>
                <w:szCs w:val="18"/>
              </w:rPr>
              <w:t> </w:t>
            </w:r>
          </w:p>
        </w:tc>
      </w:tr>
      <w:tr w:rsidR="00F22691" w:rsidRPr="001B6EAC" w14:paraId="123056B5"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213E17F4"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6629B332" w14:textId="77777777" w:rsidR="00F22691" w:rsidRPr="001B6EAC" w:rsidRDefault="00F22691" w:rsidP="008B3360">
            <w:pPr>
              <w:spacing w:after="0" w:line="240" w:lineRule="auto"/>
              <w:jc w:val="both"/>
              <w:rPr>
                <w:rFonts w:ascii="Calibri" w:eastAsia="Times New Roman" w:hAnsi="Calibri" w:cs="Calibri"/>
                <w:color w:val="000000"/>
                <w:sz w:val="18"/>
                <w:szCs w:val="18"/>
              </w:rPr>
            </w:pPr>
          </w:p>
        </w:tc>
        <w:tc>
          <w:tcPr>
            <w:tcW w:w="1672" w:type="pct"/>
            <w:tcBorders>
              <w:top w:val="nil"/>
              <w:left w:val="nil"/>
              <w:bottom w:val="nil"/>
              <w:right w:val="nil"/>
            </w:tcBorders>
            <w:shd w:val="clear" w:color="auto" w:fill="auto"/>
            <w:noWrap/>
            <w:vAlign w:val="bottom"/>
            <w:hideMark/>
          </w:tcPr>
          <w:p w14:paraId="68CC70E9"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NDC</w:t>
            </w:r>
          </w:p>
        </w:tc>
        <w:tc>
          <w:tcPr>
            <w:tcW w:w="460" w:type="pct"/>
            <w:tcBorders>
              <w:top w:val="nil"/>
              <w:left w:val="nil"/>
              <w:bottom w:val="nil"/>
              <w:right w:val="nil"/>
            </w:tcBorders>
            <w:shd w:val="clear" w:color="auto" w:fill="auto"/>
            <w:noWrap/>
            <w:vAlign w:val="bottom"/>
            <w:hideMark/>
          </w:tcPr>
          <w:p w14:paraId="06147C21"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0.15%</w:t>
            </w:r>
          </w:p>
        </w:tc>
        <w:tc>
          <w:tcPr>
            <w:tcW w:w="460" w:type="pct"/>
            <w:tcBorders>
              <w:top w:val="nil"/>
              <w:left w:val="nil"/>
              <w:bottom w:val="nil"/>
              <w:right w:val="nil"/>
            </w:tcBorders>
            <w:shd w:val="clear" w:color="auto" w:fill="auto"/>
            <w:noWrap/>
            <w:vAlign w:val="bottom"/>
            <w:hideMark/>
          </w:tcPr>
          <w:p w14:paraId="5AEABD87"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0.14%</w:t>
            </w:r>
          </w:p>
        </w:tc>
        <w:tc>
          <w:tcPr>
            <w:tcW w:w="461" w:type="pct"/>
            <w:tcBorders>
              <w:top w:val="nil"/>
              <w:left w:val="nil"/>
              <w:bottom w:val="nil"/>
              <w:right w:val="single" w:sz="4" w:space="0" w:color="auto"/>
            </w:tcBorders>
            <w:shd w:val="clear" w:color="auto" w:fill="auto"/>
            <w:noWrap/>
            <w:vAlign w:val="bottom"/>
            <w:hideMark/>
          </w:tcPr>
          <w:p w14:paraId="7A75BF14"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0.09%</w:t>
            </w:r>
          </w:p>
        </w:tc>
      </w:tr>
      <w:tr w:rsidR="00F22691" w:rsidRPr="001B6EAC" w14:paraId="27D7BCA2" w14:textId="77777777" w:rsidTr="00352EFF">
        <w:trPr>
          <w:trHeight w:val="285"/>
        </w:trPr>
        <w:tc>
          <w:tcPr>
            <w:tcW w:w="1082" w:type="pct"/>
            <w:tcBorders>
              <w:top w:val="nil"/>
              <w:left w:val="single" w:sz="4" w:space="0" w:color="auto"/>
              <w:bottom w:val="nil"/>
              <w:right w:val="nil"/>
            </w:tcBorders>
            <w:shd w:val="clear" w:color="auto" w:fill="auto"/>
            <w:noWrap/>
            <w:vAlign w:val="bottom"/>
            <w:hideMark/>
          </w:tcPr>
          <w:p w14:paraId="637B1BB8"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nil"/>
              <w:right w:val="nil"/>
            </w:tcBorders>
            <w:shd w:val="clear" w:color="auto" w:fill="auto"/>
            <w:noWrap/>
            <w:vAlign w:val="bottom"/>
            <w:hideMark/>
          </w:tcPr>
          <w:p w14:paraId="04E34401" w14:textId="77777777" w:rsidR="00F22691" w:rsidRPr="001B6EAC" w:rsidRDefault="00F22691" w:rsidP="008B3360">
            <w:pPr>
              <w:spacing w:after="0" w:line="240" w:lineRule="auto"/>
              <w:jc w:val="both"/>
              <w:rPr>
                <w:rFonts w:ascii="Calibri" w:eastAsia="Times New Roman" w:hAnsi="Calibri" w:cs="Calibri"/>
                <w:color w:val="000000"/>
                <w:sz w:val="18"/>
                <w:szCs w:val="18"/>
              </w:rPr>
            </w:pPr>
          </w:p>
        </w:tc>
        <w:tc>
          <w:tcPr>
            <w:tcW w:w="1672" w:type="pct"/>
            <w:tcBorders>
              <w:top w:val="nil"/>
              <w:left w:val="nil"/>
              <w:bottom w:val="nil"/>
              <w:right w:val="nil"/>
            </w:tcBorders>
            <w:shd w:val="clear" w:color="auto" w:fill="auto"/>
            <w:noWrap/>
            <w:vAlign w:val="bottom"/>
            <w:hideMark/>
          </w:tcPr>
          <w:p w14:paraId="1DB48BE5"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Forest Restoration</w:t>
            </w:r>
          </w:p>
        </w:tc>
        <w:tc>
          <w:tcPr>
            <w:tcW w:w="460" w:type="pct"/>
            <w:tcBorders>
              <w:top w:val="nil"/>
              <w:left w:val="nil"/>
              <w:bottom w:val="nil"/>
              <w:right w:val="nil"/>
            </w:tcBorders>
            <w:shd w:val="clear" w:color="auto" w:fill="auto"/>
            <w:noWrap/>
            <w:vAlign w:val="bottom"/>
            <w:hideMark/>
          </w:tcPr>
          <w:p w14:paraId="32678624"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0.01%</w:t>
            </w:r>
          </w:p>
        </w:tc>
        <w:tc>
          <w:tcPr>
            <w:tcW w:w="460" w:type="pct"/>
            <w:tcBorders>
              <w:top w:val="nil"/>
              <w:left w:val="nil"/>
              <w:bottom w:val="nil"/>
              <w:right w:val="nil"/>
            </w:tcBorders>
            <w:shd w:val="clear" w:color="auto" w:fill="auto"/>
            <w:noWrap/>
            <w:vAlign w:val="bottom"/>
            <w:hideMark/>
          </w:tcPr>
          <w:p w14:paraId="4891E486"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0.07%</w:t>
            </w:r>
          </w:p>
        </w:tc>
        <w:tc>
          <w:tcPr>
            <w:tcW w:w="461" w:type="pct"/>
            <w:tcBorders>
              <w:top w:val="nil"/>
              <w:left w:val="nil"/>
              <w:bottom w:val="nil"/>
              <w:right w:val="single" w:sz="4" w:space="0" w:color="auto"/>
            </w:tcBorders>
            <w:shd w:val="clear" w:color="auto" w:fill="auto"/>
            <w:noWrap/>
            <w:vAlign w:val="bottom"/>
            <w:hideMark/>
          </w:tcPr>
          <w:p w14:paraId="1FF8D388"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0.05%</w:t>
            </w:r>
          </w:p>
        </w:tc>
      </w:tr>
      <w:tr w:rsidR="00F22691" w:rsidRPr="001B6EAC" w14:paraId="433A162D" w14:textId="77777777" w:rsidTr="00352EFF">
        <w:trPr>
          <w:trHeight w:val="285"/>
        </w:trPr>
        <w:tc>
          <w:tcPr>
            <w:tcW w:w="1082" w:type="pct"/>
            <w:tcBorders>
              <w:top w:val="nil"/>
              <w:left w:val="single" w:sz="4" w:space="0" w:color="auto"/>
              <w:bottom w:val="single" w:sz="4" w:space="0" w:color="auto"/>
              <w:right w:val="nil"/>
            </w:tcBorders>
            <w:shd w:val="clear" w:color="auto" w:fill="auto"/>
            <w:noWrap/>
            <w:vAlign w:val="bottom"/>
            <w:hideMark/>
          </w:tcPr>
          <w:p w14:paraId="1A6C5D7C"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865" w:type="pct"/>
            <w:tcBorders>
              <w:top w:val="nil"/>
              <w:left w:val="nil"/>
              <w:bottom w:val="single" w:sz="4" w:space="0" w:color="auto"/>
              <w:right w:val="nil"/>
            </w:tcBorders>
            <w:shd w:val="clear" w:color="auto" w:fill="auto"/>
            <w:noWrap/>
            <w:vAlign w:val="bottom"/>
            <w:hideMark/>
          </w:tcPr>
          <w:p w14:paraId="4A4B0E3A"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 </w:t>
            </w:r>
          </w:p>
        </w:tc>
        <w:tc>
          <w:tcPr>
            <w:tcW w:w="1672" w:type="pct"/>
            <w:tcBorders>
              <w:top w:val="nil"/>
              <w:left w:val="nil"/>
              <w:bottom w:val="single" w:sz="4" w:space="0" w:color="auto"/>
              <w:right w:val="nil"/>
            </w:tcBorders>
            <w:shd w:val="clear" w:color="auto" w:fill="auto"/>
            <w:noWrap/>
            <w:vAlign w:val="bottom"/>
            <w:hideMark/>
          </w:tcPr>
          <w:p w14:paraId="3C6D990B" w14:textId="77777777" w:rsidR="00F22691" w:rsidRPr="001B6EAC" w:rsidRDefault="00F22691" w:rsidP="008B3360">
            <w:pPr>
              <w:spacing w:after="0" w:line="240" w:lineRule="auto"/>
              <w:jc w:val="both"/>
              <w:rPr>
                <w:rFonts w:ascii="Calibri" w:eastAsia="Times New Roman" w:hAnsi="Calibri" w:cs="Calibri"/>
                <w:color w:val="000000"/>
                <w:sz w:val="18"/>
                <w:szCs w:val="18"/>
              </w:rPr>
            </w:pPr>
            <w:proofErr w:type="spellStart"/>
            <w:r w:rsidRPr="001B6EAC">
              <w:rPr>
                <w:rFonts w:ascii="Calibri" w:eastAsia="Times New Roman" w:hAnsi="Calibri" w:cs="Calibri"/>
                <w:color w:val="000000"/>
                <w:sz w:val="18"/>
                <w:szCs w:val="18"/>
              </w:rPr>
              <w:t>NDC+Forest</w:t>
            </w:r>
            <w:proofErr w:type="spellEnd"/>
            <w:r w:rsidRPr="001B6EAC">
              <w:rPr>
                <w:rFonts w:ascii="Calibri" w:eastAsia="Times New Roman" w:hAnsi="Calibri" w:cs="Calibri"/>
                <w:color w:val="000000"/>
                <w:sz w:val="18"/>
                <w:szCs w:val="18"/>
              </w:rPr>
              <w:t xml:space="preserve"> Restoration</w:t>
            </w:r>
          </w:p>
        </w:tc>
        <w:tc>
          <w:tcPr>
            <w:tcW w:w="460" w:type="pct"/>
            <w:tcBorders>
              <w:top w:val="nil"/>
              <w:left w:val="nil"/>
              <w:bottom w:val="single" w:sz="4" w:space="0" w:color="auto"/>
              <w:right w:val="nil"/>
            </w:tcBorders>
            <w:shd w:val="clear" w:color="auto" w:fill="auto"/>
            <w:noWrap/>
            <w:vAlign w:val="bottom"/>
            <w:hideMark/>
          </w:tcPr>
          <w:p w14:paraId="539509E5"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0.17%</w:t>
            </w:r>
          </w:p>
        </w:tc>
        <w:tc>
          <w:tcPr>
            <w:tcW w:w="460" w:type="pct"/>
            <w:tcBorders>
              <w:top w:val="nil"/>
              <w:left w:val="nil"/>
              <w:bottom w:val="single" w:sz="4" w:space="0" w:color="auto"/>
              <w:right w:val="nil"/>
            </w:tcBorders>
            <w:shd w:val="clear" w:color="auto" w:fill="auto"/>
            <w:noWrap/>
            <w:vAlign w:val="bottom"/>
            <w:hideMark/>
          </w:tcPr>
          <w:p w14:paraId="17A97A4C"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0.31%</w:t>
            </w:r>
          </w:p>
        </w:tc>
        <w:tc>
          <w:tcPr>
            <w:tcW w:w="461" w:type="pct"/>
            <w:tcBorders>
              <w:top w:val="nil"/>
              <w:left w:val="nil"/>
              <w:bottom w:val="single" w:sz="4" w:space="0" w:color="auto"/>
              <w:right w:val="single" w:sz="4" w:space="0" w:color="auto"/>
            </w:tcBorders>
            <w:shd w:val="clear" w:color="auto" w:fill="auto"/>
            <w:noWrap/>
            <w:vAlign w:val="bottom"/>
            <w:hideMark/>
          </w:tcPr>
          <w:p w14:paraId="5BC582DC" w14:textId="77777777" w:rsidR="00F22691" w:rsidRPr="001B6EAC" w:rsidRDefault="00F22691" w:rsidP="008B3360">
            <w:pPr>
              <w:spacing w:after="0" w:line="240" w:lineRule="auto"/>
              <w:jc w:val="both"/>
              <w:rPr>
                <w:rFonts w:ascii="Calibri" w:eastAsia="Times New Roman" w:hAnsi="Calibri" w:cs="Calibri"/>
                <w:color w:val="000000"/>
                <w:sz w:val="18"/>
                <w:szCs w:val="18"/>
              </w:rPr>
            </w:pPr>
            <w:r w:rsidRPr="001B6EAC">
              <w:rPr>
                <w:rFonts w:ascii="Calibri" w:eastAsia="Times New Roman" w:hAnsi="Calibri" w:cs="Calibri"/>
                <w:color w:val="000000"/>
                <w:sz w:val="18"/>
                <w:szCs w:val="18"/>
              </w:rPr>
              <w:t>0.21%</w:t>
            </w:r>
          </w:p>
        </w:tc>
      </w:tr>
    </w:tbl>
    <w:p w14:paraId="7E47E8DB" w14:textId="2C10C650" w:rsidR="008A5913" w:rsidRDefault="00A52C2C" w:rsidP="00BE11E4">
      <w:pPr>
        <w:pStyle w:val="Heading2"/>
        <w:spacing w:before="240"/>
        <w:rPr>
          <w:rFonts w:eastAsia="Times New Roman"/>
        </w:rPr>
      </w:pPr>
      <w:r>
        <w:rPr>
          <w:rFonts w:eastAsia="Times New Roman"/>
        </w:rPr>
        <w:t xml:space="preserve">Application 2: </w:t>
      </w:r>
      <w:r w:rsidR="001D411E">
        <w:rPr>
          <w:rFonts w:eastAsia="Times New Roman"/>
        </w:rPr>
        <w:t xml:space="preserve">Endogenous </w:t>
      </w:r>
      <w:r w:rsidR="00D57086">
        <w:rPr>
          <w:rFonts w:eastAsia="Times New Roman"/>
        </w:rPr>
        <w:t>land allocation</w:t>
      </w:r>
    </w:p>
    <w:p w14:paraId="33A1509F" w14:textId="1FE068CF" w:rsidR="00A300AD" w:rsidRDefault="00D60039" w:rsidP="008B3360">
      <w:pPr>
        <w:jc w:val="both"/>
        <w:rPr>
          <w:rFonts w:eastAsia="Times New Roman" w:cstheme="minorHAnsi"/>
        </w:rPr>
      </w:pPr>
      <w:r>
        <w:rPr>
          <w:rFonts w:eastAsia="Times New Roman" w:cstheme="minorHAnsi"/>
        </w:rPr>
        <w:t>We</w:t>
      </w:r>
      <w:r w:rsidR="00AB383A">
        <w:rPr>
          <w:rFonts w:eastAsia="Times New Roman" w:cstheme="minorHAnsi"/>
        </w:rPr>
        <w:t xml:space="preserve"> test MANAGE-WB in different scenarios</w:t>
      </w:r>
      <w:r w:rsidR="00480736">
        <w:rPr>
          <w:rFonts w:eastAsia="Times New Roman" w:cstheme="minorHAnsi"/>
        </w:rPr>
        <w:t xml:space="preserve"> in which </w:t>
      </w:r>
      <w:r w:rsidR="00D57086">
        <w:rPr>
          <w:rFonts w:eastAsia="Times New Roman" w:cstheme="minorHAnsi"/>
        </w:rPr>
        <w:t xml:space="preserve">a </w:t>
      </w:r>
      <w:r w:rsidR="00480736">
        <w:rPr>
          <w:rFonts w:eastAsia="Times New Roman" w:cstheme="minorHAnsi"/>
        </w:rPr>
        <w:t xml:space="preserve">land allocation mechanism </w:t>
      </w:r>
      <w:r w:rsidR="00335B1A">
        <w:rPr>
          <w:rFonts w:eastAsia="Times New Roman" w:cstheme="minorHAnsi"/>
        </w:rPr>
        <w:t xml:space="preserve">is </w:t>
      </w:r>
      <w:r w:rsidR="00480736">
        <w:rPr>
          <w:rFonts w:eastAsia="Times New Roman" w:cstheme="minorHAnsi"/>
        </w:rPr>
        <w:t xml:space="preserve">partially and fully endogenous to the changes in economic environment. </w:t>
      </w:r>
      <w:r w:rsidR="00BF5575">
        <w:rPr>
          <w:rFonts w:eastAsia="Times New Roman" w:cstheme="minorHAnsi"/>
        </w:rPr>
        <w:t xml:space="preserve">We consider </w:t>
      </w:r>
      <w:r w:rsidR="00C958E0">
        <w:rPr>
          <w:rFonts w:eastAsia="Times New Roman" w:cstheme="minorHAnsi"/>
        </w:rPr>
        <w:t xml:space="preserve">a </w:t>
      </w:r>
      <w:r w:rsidR="00B936AC">
        <w:rPr>
          <w:rFonts w:eastAsia="Times New Roman" w:cstheme="minorHAnsi"/>
        </w:rPr>
        <w:t>h</w:t>
      </w:r>
      <w:r w:rsidR="00BB4F09" w:rsidRPr="00BB4F09">
        <w:rPr>
          <w:rFonts w:eastAsia="Times New Roman" w:cstheme="minorHAnsi"/>
        </w:rPr>
        <w:t>ypothetical policy intervention</w:t>
      </w:r>
      <w:r w:rsidR="00C734B2">
        <w:rPr>
          <w:rFonts w:eastAsia="Times New Roman" w:cstheme="minorHAnsi"/>
        </w:rPr>
        <w:t xml:space="preserve"> – </w:t>
      </w:r>
      <w:r w:rsidR="00C958E0">
        <w:rPr>
          <w:rFonts w:eastAsia="Times New Roman" w:cstheme="minorHAnsi"/>
        </w:rPr>
        <w:t xml:space="preserve">the subsidy rate </w:t>
      </w:r>
      <w:r w:rsidR="00BE13F3">
        <w:rPr>
          <w:rFonts w:eastAsia="Times New Roman" w:cstheme="minorHAnsi"/>
        </w:rPr>
        <w:t xml:space="preserve">to the crop sector increases in </w:t>
      </w:r>
      <w:r w:rsidR="00C734B2">
        <w:rPr>
          <w:rFonts w:eastAsia="Times New Roman" w:cstheme="minorHAnsi"/>
        </w:rPr>
        <w:t>5</w:t>
      </w:r>
      <w:r w:rsidR="00BE13F3">
        <w:rPr>
          <w:rFonts w:eastAsia="Times New Roman" w:cstheme="minorHAnsi"/>
        </w:rPr>
        <w:t xml:space="preserve"> </w:t>
      </w:r>
      <w:r w:rsidR="00D66256">
        <w:rPr>
          <w:rFonts w:eastAsia="Times New Roman" w:cstheme="minorHAnsi"/>
        </w:rPr>
        <w:t>fold</w:t>
      </w:r>
      <w:r w:rsidR="00BE13F3">
        <w:rPr>
          <w:rFonts w:eastAsia="Times New Roman" w:cstheme="minorHAnsi"/>
        </w:rPr>
        <w:t>s</w:t>
      </w:r>
      <w:r w:rsidR="00D66256">
        <w:rPr>
          <w:rFonts w:eastAsia="Times New Roman" w:cstheme="minorHAnsi"/>
        </w:rPr>
        <w:t xml:space="preserve"> </w:t>
      </w:r>
      <w:r w:rsidR="00C958E0">
        <w:rPr>
          <w:rFonts w:eastAsia="Times New Roman" w:cstheme="minorHAnsi"/>
        </w:rPr>
        <w:t>permanent</w:t>
      </w:r>
      <w:r w:rsidR="00BE13F3">
        <w:rPr>
          <w:rFonts w:eastAsia="Times New Roman" w:cstheme="minorHAnsi"/>
        </w:rPr>
        <w:t xml:space="preserve">ly </w:t>
      </w:r>
      <w:r w:rsidR="00D66256">
        <w:rPr>
          <w:rFonts w:eastAsia="Times New Roman" w:cstheme="minorHAnsi"/>
        </w:rPr>
        <w:t>in 2026</w:t>
      </w:r>
      <w:r w:rsidR="00A300AD">
        <w:rPr>
          <w:rFonts w:eastAsia="Times New Roman" w:cstheme="minorHAnsi"/>
        </w:rPr>
        <w:t xml:space="preserve"> in </w:t>
      </w:r>
      <w:r w:rsidR="00A322BB">
        <w:rPr>
          <w:rFonts w:eastAsia="Times New Roman" w:cstheme="minorHAnsi"/>
        </w:rPr>
        <w:t xml:space="preserve">the following </w:t>
      </w:r>
      <w:r w:rsidR="00A300AD">
        <w:rPr>
          <w:rFonts w:eastAsia="Times New Roman" w:cstheme="minorHAnsi"/>
        </w:rPr>
        <w:t>three scenarios</w:t>
      </w:r>
      <w:r w:rsidR="00C958E0">
        <w:rPr>
          <w:rFonts w:eastAsia="Times New Roman" w:cstheme="minorHAnsi"/>
        </w:rPr>
        <w:t>.</w:t>
      </w:r>
      <w:r w:rsidR="00D66256">
        <w:rPr>
          <w:rFonts w:eastAsia="Times New Roman" w:cstheme="minorHAnsi"/>
        </w:rPr>
        <w:t xml:space="preserve"> </w:t>
      </w:r>
    </w:p>
    <w:p w14:paraId="3875814C" w14:textId="231CB39B" w:rsidR="00A300AD" w:rsidRDefault="00411599" w:rsidP="008B3360">
      <w:pPr>
        <w:pStyle w:val="ListParagraph"/>
        <w:numPr>
          <w:ilvl w:val="0"/>
          <w:numId w:val="9"/>
        </w:numPr>
        <w:jc w:val="both"/>
        <w:rPr>
          <w:rFonts w:eastAsia="Times New Roman" w:cstheme="minorHAnsi"/>
        </w:rPr>
      </w:pPr>
      <w:r>
        <w:rPr>
          <w:rFonts w:eastAsia="Times New Roman" w:cstheme="minorHAnsi"/>
        </w:rPr>
        <w:t xml:space="preserve">Scenario 1: The </w:t>
      </w:r>
      <w:r w:rsidR="00FE314B">
        <w:rPr>
          <w:rFonts w:eastAsia="Times New Roman" w:cstheme="minorHAnsi"/>
        </w:rPr>
        <w:t xml:space="preserve">aggregate </w:t>
      </w:r>
      <w:r>
        <w:rPr>
          <w:rFonts w:eastAsia="Times New Roman" w:cstheme="minorHAnsi"/>
        </w:rPr>
        <w:t xml:space="preserve">land </w:t>
      </w:r>
      <w:r w:rsidR="00FE314B">
        <w:rPr>
          <w:rFonts w:eastAsia="Times New Roman" w:cstheme="minorHAnsi"/>
        </w:rPr>
        <w:t>supply</w:t>
      </w:r>
      <w:r>
        <w:rPr>
          <w:rFonts w:eastAsia="Times New Roman" w:cstheme="minorHAnsi"/>
        </w:rPr>
        <w:t xml:space="preserve"> remains constant</w:t>
      </w:r>
      <w:r w:rsidR="0074600A">
        <w:rPr>
          <w:rFonts w:eastAsia="Times New Roman" w:cstheme="minorHAnsi"/>
        </w:rPr>
        <w:t xml:space="preserve">. However, the land use between </w:t>
      </w:r>
      <w:r w:rsidR="00885D8C">
        <w:rPr>
          <w:rFonts w:eastAsia="Times New Roman" w:cstheme="minorHAnsi"/>
        </w:rPr>
        <w:t xml:space="preserve">crops, livestock and forest </w:t>
      </w:r>
      <w:r w:rsidR="0074600A">
        <w:rPr>
          <w:rFonts w:eastAsia="Times New Roman" w:cstheme="minorHAnsi"/>
        </w:rPr>
        <w:t>is endogenous</w:t>
      </w:r>
      <w:r w:rsidR="00A62940">
        <w:rPr>
          <w:rFonts w:eastAsia="Times New Roman" w:cstheme="minorHAnsi"/>
        </w:rPr>
        <w:t xml:space="preserve"> depending on the relative rental rates</w:t>
      </w:r>
      <w:r w:rsidR="0074600A">
        <w:rPr>
          <w:rFonts w:eastAsia="Times New Roman" w:cstheme="minorHAnsi"/>
        </w:rPr>
        <w:t xml:space="preserve">. </w:t>
      </w:r>
    </w:p>
    <w:p w14:paraId="25771EA4" w14:textId="2C94FFA0" w:rsidR="00040E02" w:rsidRDefault="0074600A" w:rsidP="008B3360">
      <w:pPr>
        <w:pStyle w:val="ListParagraph"/>
        <w:numPr>
          <w:ilvl w:val="0"/>
          <w:numId w:val="9"/>
        </w:numPr>
        <w:jc w:val="both"/>
        <w:rPr>
          <w:rFonts w:eastAsia="Times New Roman" w:cstheme="minorHAnsi"/>
        </w:rPr>
      </w:pPr>
      <w:r>
        <w:rPr>
          <w:rFonts w:eastAsia="Times New Roman" w:cstheme="minorHAnsi"/>
        </w:rPr>
        <w:t xml:space="preserve">Scenario 2: The </w:t>
      </w:r>
      <w:r w:rsidR="00112347">
        <w:rPr>
          <w:rFonts w:eastAsia="Times New Roman" w:cstheme="minorHAnsi"/>
        </w:rPr>
        <w:t>aggregate</w:t>
      </w:r>
      <w:r>
        <w:rPr>
          <w:rFonts w:eastAsia="Times New Roman" w:cstheme="minorHAnsi"/>
        </w:rPr>
        <w:t xml:space="preserve"> land </w:t>
      </w:r>
      <w:r w:rsidR="00112347">
        <w:rPr>
          <w:rFonts w:eastAsia="Times New Roman" w:cstheme="minorHAnsi"/>
        </w:rPr>
        <w:t xml:space="preserve">supply </w:t>
      </w:r>
      <w:r>
        <w:rPr>
          <w:rFonts w:eastAsia="Times New Roman" w:cstheme="minorHAnsi"/>
        </w:rPr>
        <w:t xml:space="preserve">is endogenous – i.e., </w:t>
      </w:r>
      <w:r w:rsidR="00112347">
        <w:rPr>
          <w:rFonts w:eastAsia="Times New Roman" w:cstheme="minorHAnsi"/>
        </w:rPr>
        <w:t xml:space="preserve">it </w:t>
      </w:r>
      <w:r>
        <w:rPr>
          <w:rFonts w:eastAsia="Times New Roman" w:cstheme="minorHAnsi"/>
        </w:rPr>
        <w:t xml:space="preserve">is an isoelastic function of the </w:t>
      </w:r>
      <w:r w:rsidR="00531A6F">
        <w:rPr>
          <w:rFonts w:eastAsia="Times New Roman" w:cstheme="minorHAnsi"/>
        </w:rPr>
        <w:t xml:space="preserve">economywide </w:t>
      </w:r>
      <w:r>
        <w:rPr>
          <w:rFonts w:eastAsia="Times New Roman" w:cstheme="minorHAnsi"/>
        </w:rPr>
        <w:t>real rental rate with an elasticity of 0.2.</w:t>
      </w:r>
      <w:r w:rsidR="003A36EF">
        <w:rPr>
          <w:rFonts w:eastAsia="Times New Roman" w:cstheme="minorHAnsi"/>
        </w:rPr>
        <w:t xml:space="preserve"> </w:t>
      </w:r>
      <w:r w:rsidR="003A36EF" w:rsidRPr="00BB4F09">
        <w:rPr>
          <w:rFonts w:eastAsia="Times New Roman" w:cstheme="minorHAnsi"/>
        </w:rPr>
        <w:t>The allocation of land between uses (crops, livestock and forest) was also endogenous.</w:t>
      </w:r>
    </w:p>
    <w:p w14:paraId="11B30BD2" w14:textId="2D8952C5" w:rsidR="00BB4F09" w:rsidRPr="0094563F" w:rsidRDefault="00040E02" w:rsidP="008B3360">
      <w:pPr>
        <w:pStyle w:val="ListParagraph"/>
        <w:numPr>
          <w:ilvl w:val="0"/>
          <w:numId w:val="9"/>
        </w:numPr>
        <w:jc w:val="both"/>
        <w:rPr>
          <w:rFonts w:eastAsia="Times New Roman" w:cstheme="minorHAnsi"/>
        </w:rPr>
      </w:pPr>
      <w:r>
        <w:rPr>
          <w:rFonts w:eastAsia="Times New Roman" w:cstheme="minorHAnsi"/>
        </w:rPr>
        <w:t>Scenario 3: Same as scenario 2, but the supply elasticity is 0.5.</w:t>
      </w:r>
      <w:r w:rsidR="0074600A">
        <w:rPr>
          <w:rFonts w:eastAsia="Times New Roman" w:cstheme="minorHAnsi"/>
        </w:rPr>
        <w:t xml:space="preserve"> </w:t>
      </w:r>
      <w:r w:rsidR="003A36EF" w:rsidRPr="00BB4F09">
        <w:rPr>
          <w:rFonts w:eastAsia="Times New Roman" w:cstheme="minorHAnsi"/>
        </w:rPr>
        <w:t>The allocation of land between uses (crops, livestock and forest) was also endogenous.</w:t>
      </w:r>
      <w:r w:rsidR="00BB4F09" w:rsidRPr="0094563F">
        <w:rPr>
          <w:rFonts w:eastAsia="Times New Roman" w:cstheme="minorHAnsi"/>
          <w:i/>
          <w:iCs/>
        </w:rPr>
        <w:t> </w:t>
      </w:r>
      <w:r w:rsidR="00BB4F09" w:rsidRPr="0094563F">
        <w:rPr>
          <w:rFonts w:eastAsia="Times New Roman" w:cstheme="minorHAnsi"/>
        </w:rPr>
        <w:t> </w:t>
      </w:r>
    </w:p>
    <w:p w14:paraId="4ABB9D81" w14:textId="3E1BDF80" w:rsidR="0094563F" w:rsidRDefault="003A36EF" w:rsidP="008B3360">
      <w:pPr>
        <w:jc w:val="both"/>
        <w:rPr>
          <w:rFonts w:eastAsia="Times New Roman" w:cstheme="minorHAnsi"/>
        </w:rPr>
      </w:pPr>
      <w:r>
        <w:rPr>
          <w:rFonts w:eastAsia="Times New Roman" w:cstheme="minorHAnsi"/>
        </w:rPr>
        <w:t xml:space="preserve">In the three scenarios, </w:t>
      </w:r>
      <w:r w:rsidR="0094563F" w:rsidRPr="00BB4F09">
        <w:rPr>
          <w:rFonts w:eastAsia="Times New Roman" w:cstheme="minorHAnsi"/>
        </w:rPr>
        <w:t>the LULC</w:t>
      </w:r>
      <w:r w:rsidR="00C73515">
        <w:rPr>
          <w:rFonts w:eastAsia="Times New Roman" w:cstheme="minorHAnsi"/>
        </w:rPr>
        <w:t xml:space="preserve"> (Dyna-CLUE)</w:t>
      </w:r>
      <w:r w:rsidR="0094563F" w:rsidRPr="00BB4F09">
        <w:rPr>
          <w:rFonts w:eastAsia="Times New Roman" w:cstheme="minorHAnsi"/>
        </w:rPr>
        <w:t xml:space="preserve"> and the ES</w:t>
      </w:r>
      <w:r w:rsidR="00C73515">
        <w:rPr>
          <w:rFonts w:eastAsia="Times New Roman" w:cstheme="minorHAnsi"/>
        </w:rPr>
        <w:t>M</w:t>
      </w:r>
      <w:r w:rsidR="0094563F" w:rsidRPr="00BB4F09">
        <w:rPr>
          <w:rFonts w:eastAsia="Times New Roman" w:cstheme="minorHAnsi"/>
        </w:rPr>
        <w:t xml:space="preserve"> </w:t>
      </w:r>
      <w:r w:rsidR="00C73515">
        <w:rPr>
          <w:rFonts w:eastAsia="Times New Roman" w:cstheme="minorHAnsi"/>
        </w:rPr>
        <w:t>(</w:t>
      </w:r>
      <w:proofErr w:type="spellStart"/>
      <w:r w:rsidR="00C73515">
        <w:rPr>
          <w:rFonts w:eastAsia="Times New Roman" w:cstheme="minorHAnsi"/>
        </w:rPr>
        <w:t>In</w:t>
      </w:r>
      <w:r w:rsidR="00466F7E">
        <w:rPr>
          <w:rFonts w:eastAsia="Times New Roman" w:cstheme="minorHAnsi"/>
        </w:rPr>
        <w:t>VEST</w:t>
      </w:r>
      <w:proofErr w:type="spellEnd"/>
      <w:r w:rsidR="00C73515">
        <w:rPr>
          <w:rFonts w:eastAsia="Times New Roman" w:cstheme="minorHAnsi"/>
        </w:rPr>
        <w:t xml:space="preserve">) </w:t>
      </w:r>
      <w:r w:rsidR="0094563F" w:rsidRPr="00BB4F09">
        <w:rPr>
          <w:rFonts w:eastAsia="Times New Roman" w:cstheme="minorHAnsi"/>
        </w:rPr>
        <w:t>models were interacted on a periodic (5-year) basis. For each period, erosion and pollination shocks were calculated and inputted into the MANAGE-WB model. The changes in E</w:t>
      </w:r>
      <w:r w:rsidR="00466F7E">
        <w:rPr>
          <w:rFonts w:eastAsia="Times New Roman" w:cstheme="minorHAnsi"/>
        </w:rPr>
        <w:t>S</w:t>
      </w:r>
      <w:r w:rsidR="0094563F" w:rsidRPr="00BB4F09">
        <w:rPr>
          <w:rFonts w:eastAsia="Times New Roman" w:cstheme="minorHAnsi"/>
        </w:rPr>
        <w:t xml:space="preserve">S flows affect economic outcomes through the erosion mitigation and crop pollination impacts on the productivity of </w:t>
      </w:r>
      <w:r w:rsidR="00466F7E">
        <w:rPr>
          <w:rFonts w:eastAsia="Times New Roman" w:cstheme="minorHAnsi"/>
        </w:rPr>
        <w:t xml:space="preserve">the </w:t>
      </w:r>
      <w:r w:rsidR="0094563F" w:rsidRPr="00BB4F09">
        <w:rPr>
          <w:rFonts w:eastAsia="Times New Roman" w:cstheme="minorHAnsi"/>
        </w:rPr>
        <w:t>crop</w:t>
      </w:r>
      <w:r w:rsidR="00466F7E">
        <w:rPr>
          <w:rFonts w:eastAsia="Times New Roman" w:cstheme="minorHAnsi"/>
        </w:rPr>
        <w:t xml:space="preserve"> sector</w:t>
      </w:r>
      <w:r w:rsidR="0094563F" w:rsidRPr="00BB4F09">
        <w:rPr>
          <w:rFonts w:eastAsia="Times New Roman" w:cstheme="minorHAnsi"/>
        </w:rPr>
        <w:t>. </w:t>
      </w:r>
    </w:p>
    <w:p w14:paraId="08A95C05" w14:textId="6241C793" w:rsidR="00037E80" w:rsidRDefault="00037E80" w:rsidP="008B3360">
      <w:pPr>
        <w:jc w:val="both"/>
        <w:rPr>
          <w:rFonts w:eastAsia="Times New Roman" w:cstheme="minorHAnsi"/>
        </w:rPr>
      </w:pPr>
      <w:r>
        <w:rPr>
          <w:rFonts w:eastAsia="Times New Roman" w:cstheme="minorHAnsi"/>
        </w:rPr>
        <w:t>Figures 5-</w:t>
      </w:r>
      <w:r w:rsidR="00B90D67">
        <w:rPr>
          <w:rFonts w:eastAsia="Times New Roman" w:cstheme="minorHAnsi"/>
        </w:rPr>
        <w:t>6</w:t>
      </w:r>
      <w:r>
        <w:rPr>
          <w:rFonts w:eastAsia="Times New Roman" w:cstheme="minorHAnsi"/>
        </w:rPr>
        <w:t xml:space="preserve"> show the changes in </w:t>
      </w:r>
      <w:r w:rsidR="004E2840">
        <w:rPr>
          <w:rFonts w:eastAsia="Times New Roman" w:cstheme="minorHAnsi"/>
        </w:rPr>
        <w:t>cropland, pastureland</w:t>
      </w:r>
      <w:r w:rsidR="00B90D67">
        <w:rPr>
          <w:rFonts w:eastAsia="Times New Roman" w:cstheme="minorHAnsi"/>
        </w:rPr>
        <w:t>,</w:t>
      </w:r>
      <w:r w:rsidR="004E2840">
        <w:rPr>
          <w:rFonts w:eastAsia="Times New Roman" w:cstheme="minorHAnsi"/>
        </w:rPr>
        <w:t xml:space="preserve"> forest </w:t>
      </w:r>
      <w:r w:rsidR="00B90D67">
        <w:rPr>
          <w:rFonts w:eastAsia="Times New Roman" w:cstheme="minorHAnsi"/>
        </w:rPr>
        <w:t xml:space="preserve">and total land </w:t>
      </w:r>
      <w:r w:rsidR="004E2840">
        <w:rPr>
          <w:rFonts w:eastAsia="Times New Roman" w:cstheme="minorHAnsi"/>
        </w:rPr>
        <w:t xml:space="preserve">in the three scenarios. </w:t>
      </w:r>
      <w:r w:rsidR="005D632E">
        <w:rPr>
          <w:rFonts w:eastAsia="Times New Roman" w:cstheme="minorHAnsi"/>
        </w:rPr>
        <w:t>As the total land is fixed, the increase in the subsidy rate in the crop sectors increases the demand for cropland</w:t>
      </w:r>
      <w:r w:rsidR="00884C3C">
        <w:rPr>
          <w:rFonts w:eastAsia="Times New Roman" w:cstheme="minorHAnsi"/>
        </w:rPr>
        <w:t xml:space="preserve"> which reduces the pastureland and forest in Scenario 1. In Scenario 2, the</w:t>
      </w:r>
      <w:r w:rsidR="002B0B79">
        <w:rPr>
          <w:rFonts w:eastAsia="Times New Roman" w:cstheme="minorHAnsi"/>
        </w:rPr>
        <w:t xml:space="preserve"> cropland expands more by reducing pastureland and forest</w:t>
      </w:r>
      <w:r w:rsidR="000023BA">
        <w:rPr>
          <w:rFonts w:eastAsia="Times New Roman" w:cstheme="minorHAnsi"/>
        </w:rPr>
        <w:t>.</w:t>
      </w:r>
      <w:r w:rsidR="002B0B79">
        <w:rPr>
          <w:rFonts w:eastAsia="Times New Roman" w:cstheme="minorHAnsi"/>
        </w:rPr>
        <w:t xml:space="preserve"> </w:t>
      </w:r>
      <w:r w:rsidR="004E2840">
        <w:rPr>
          <w:rFonts w:eastAsia="Times New Roman" w:cstheme="minorHAnsi"/>
        </w:rPr>
        <w:t xml:space="preserve">As </w:t>
      </w:r>
      <w:r w:rsidR="00246E74">
        <w:rPr>
          <w:rFonts w:eastAsia="Times New Roman" w:cstheme="minorHAnsi"/>
        </w:rPr>
        <w:t xml:space="preserve">can be </w:t>
      </w:r>
      <w:r w:rsidR="004E2840">
        <w:rPr>
          <w:rFonts w:eastAsia="Times New Roman" w:cstheme="minorHAnsi"/>
        </w:rPr>
        <w:t xml:space="preserve">seen, the changes are </w:t>
      </w:r>
      <w:r w:rsidR="00F64C0D">
        <w:rPr>
          <w:rFonts w:eastAsia="Times New Roman" w:cstheme="minorHAnsi"/>
        </w:rPr>
        <w:t xml:space="preserve">more profound in scenario </w:t>
      </w:r>
      <w:r w:rsidR="007822DB">
        <w:rPr>
          <w:rFonts w:eastAsia="Times New Roman" w:cstheme="minorHAnsi"/>
        </w:rPr>
        <w:t>3</w:t>
      </w:r>
      <w:r w:rsidR="00F64C0D">
        <w:rPr>
          <w:rFonts w:eastAsia="Times New Roman" w:cstheme="minorHAnsi"/>
        </w:rPr>
        <w:t>.</w:t>
      </w:r>
    </w:p>
    <w:p w14:paraId="56DFA858" w14:textId="77777777" w:rsidR="00246E74" w:rsidRDefault="00246E74">
      <w:pPr>
        <w:rPr>
          <w:rFonts w:eastAsia="Times New Roman" w:cstheme="minorHAnsi"/>
        </w:rPr>
      </w:pPr>
      <w:r>
        <w:rPr>
          <w:rFonts w:eastAsia="Times New Roman" w:cstheme="minorHAnsi"/>
        </w:rPr>
        <w:br w:type="page"/>
      </w:r>
    </w:p>
    <w:p w14:paraId="175E54E1" w14:textId="109247F8" w:rsidR="00884C19" w:rsidRDefault="00884C19" w:rsidP="00246E74">
      <w:pPr>
        <w:jc w:val="center"/>
        <w:rPr>
          <w:rFonts w:eastAsia="Times New Roman" w:cstheme="minorHAnsi"/>
        </w:rPr>
      </w:pPr>
      <w:r>
        <w:rPr>
          <w:rFonts w:eastAsia="Times New Roman" w:cstheme="minorHAnsi"/>
        </w:rPr>
        <w:lastRenderedPageBreak/>
        <w:t>Figure 5. Cropland</w:t>
      </w:r>
      <w:r w:rsidR="00B90D67">
        <w:rPr>
          <w:rFonts w:eastAsia="Times New Roman" w:cstheme="minorHAnsi"/>
        </w:rPr>
        <w:t xml:space="preserve"> and pastureland</w:t>
      </w:r>
    </w:p>
    <w:tbl>
      <w:tblPr>
        <w:tblStyle w:val="TableGrid"/>
        <w:tblW w:w="0" w:type="auto"/>
        <w:tblLook w:val="04A0" w:firstRow="1" w:lastRow="0" w:firstColumn="1" w:lastColumn="0" w:noHBand="0" w:noVBand="1"/>
      </w:tblPr>
      <w:tblGrid>
        <w:gridCol w:w="4555"/>
        <w:gridCol w:w="65"/>
        <w:gridCol w:w="4730"/>
      </w:tblGrid>
      <w:tr w:rsidR="00956E4F" w14:paraId="716281EA" w14:textId="77777777" w:rsidTr="00BA78C5">
        <w:tc>
          <w:tcPr>
            <w:tcW w:w="4590" w:type="dxa"/>
          </w:tcPr>
          <w:p w14:paraId="67F1B742" w14:textId="4A70EF4C" w:rsidR="00956E4F" w:rsidRDefault="00B90D67" w:rsidP="008B3360">
            <w:pPr>
              <w:jc w:val="both"/>
              <w:rPr>
                <w:rFonts w:eastAsia="Times New Roman" w:cstheme="minorHAnsi"/>
              </w:rPr>
            </w:pPr>
            <w:r>
              <w:rPr>
                <w:noProof/>
              </w:rPr>
              <w:drawing>
                <wp:inline distT="0" distB="0" distL="0" distR="0" wp14:anchorId="699912EB" wp14:editId="0CE038E1">
                  <wp:extent cx="2934268" cy="1978925"/>
                  <wp:effectExtent l="0" t="0" r="0" b="2540"/>
                  <wp:docPr id="1177360765" name="Chart 1">
                    <a:extLst xmlns:a="http://schemas.openxmlformats.org/drawingml/2006/main">
                      <a:ext uri="{FF2B5EF4-FFF2-40B4-BE49-F238E27FC236}">
                        <a16:creationId xmlns:a16="http://schemas.microsoft.com/office/drawing/2014/main" id="{DFCFEDAF-C43B-C84C-CFAA-13C248668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760" w:type="dxa"/>
            <w:gridSpan w:val="2"/>
          </w:tcPr>
          <w:p w14:paraId="3F105A3C" w14:textId="1010780D" w:rsidR="00956E4F" w:rsidRDefault="00B90D67" w:rsidP="008B3360">
            <w:pPr>
              <w:jc w:val="both"/>
              <w:rPr>
                <w:rFonts w:eastAsia="Times New Roman" w:cstheme="minorHAnsi"/>
              </w:rPr>
            </w:pPr>
            <w:r>
              <w:rPr>
                <w:noProof/>
              </w:rPr>
              <w:drawing>
                <wp:inline distT="0" distB="0" distL="0" distR="0" wp14:anchorId="62DA4278" wp14:editId="4B6EC5D9">
                  <wp:extent cx="3084811" cy="1965277"/>
                  <wp:effectExtent l="0" t="0" r="1905" b="16510"/>
                  <wp:docPr id="380639842" name="Chart 1">
                    <a:extLst xmlns:a="http://schemas.openxmlformats.org/drawingml/2006/main">
                      <a:ext uri="{FF2B5EF4-FFF2-40B4-BE49-F238E27FC236}">
                        <a16:creationId xmlns:a16="http://schemas.microsoft.com/office/drawing/2014/main" id="{BBC5A06A-9967-15F4-10FF-F0FA7F2C5D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E332DB" w14:paraId="4BF56DB3" w14:textId="77777777" w:rsidTr="00B36640">
        <w:tc>
          <w:tcPr>
            <w:tcW w:w="4686" w:type="dxa"/>
            <w:gridSpan w:val="2"/>
          </w:tcPr>
          <w:p w14:paraId="452B794F" w14:textId="487863A8" w:rsidR="00B90D67" w:rsidRDefault="00B90D67" w:rsidP="008B3360">
            <w:pPr>
              <w:jc w:val="both"/>
              <w:rPr>
                <w:rFonts w:eastAsia="Times New Roman" w:cstheme="minorHAnsi"/>
              </w:rPr>
            </w:pPr>
            <w:r>
              <w:rPr>
                <w:noProof/>
              </w:rPr>
              <w:drawing>
                <wp:inline distT="0" distB="0" distL="0" distR="0" wp14:anchorId="4D94122D" wp14:editId="6726DDFA">
                  <wp:extent cx="2777319" cy="1876425"/>
                  <wp:effectExtent l="0" t="0" r="4445" b="9525"/>
                  <wp:docPr id="1436776774" name="Chart 1">
                    <a:extLst xmlns:a="http://schemas.openxmlformats.org/drawingml/2006/main">
                      <a:ext uri="{FF2B5EF4-FFF2-40B4-BE49-F238E27FC236}">
                        <a16:creationId xmlns:a16="http://schemas.microsoft.com/office/drawing/2014/main" id="{18968902-7B97-566B-CD9A-EF9C6CFADE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664" w:type="dxa"/>
          </w:tcPr>
          <w:p w14:paraId="2FD9A756" w14:textId="7186F3AB" w:rsidR="00B90D67" w:rsidRDefault="00B36640" w:rsidP="008B3360">
            <w:pPr>
              <w:jc w:val="both"/>
              <w:rPr>
                <w:rFonts w:eastAsia="Times New Roman" w:cstheme="minorHAnsi"/>
              </w:rPr>
            </w:pPr>
            <w:r>
              <w:rPr>
                <w:noProof/>
              </w:rPr>
              <w:drawing>
                <wp:inline distT="0" distB="0" distL="0" distR="0" wp14:anchorId="613ED20B" wp14:editId="3C51975C">
                  <wp:extent cx="2791536" cy="1876425"/>
                  <wp:effectExtent l="0" t="0" r="8890" b="9525"/>
                  <wp:docPr id="1135113859" name="Chart 1">
                    <a:extLst xmlns:a="http://schemas.openxmlformats.org/drawingml/2006/main">
                      <a:ext uri="{FF2B5EF4-FFF2-40B4-BE49-F238E27FC236}">
                        <a16:creationId xmlns:a16="http://schemas.microsoft.com/office/drawing/2014/main" id="{175957D8-E6DC-D5EB-E625-EAA12FABC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53C00897" w14:textId="77777777" w:rsidR="00846FC4" w:rsidRDefault="00846FC4" w:rsidP="008B3360">
      <w:pPr>
        <w:jc w:val="both"/>
        <w:rPr>
          <w:rFonts w:eastAsia="Times New Roman" w:cstheme="minorHAnsi"/>
        </w:rPr>
      </w:pPr>
    </w:p>
    <w:p w14:paraId="29C455E8" w14:textId="0528404D" w:rsidR="00956E4F" w:rsidRDefault="00846FC4" w:rsidP="008B3360">
      <w:pPr>
        <w:jc w:val="both"/>
        <w:rPr>
          <w:rFonts w:eastAsia="Times New Roman" w:cstheme="minorHAnsi"/>
        </w:rPr>
      </w:pPr>
      <w:r>
        <w:rPr>
          <w:rFonts w:eastAsia="Times New Roman" w:cstheme="minorHAnsi"/>
        </w:rPr>
        <w:t xml:space="preserve">The changes in </w:t>
      </w:r>
      <w:r w:rsidR="00310393">
        <w:rPr>
          <w:rFonts w:eastAsia="Times New Roman" w:cstheme="minorHAnsi"/>
        </w:rPr>
        <w:t xml:space="preserve">the </w:t>
      </w:r>
      <w:r>
        <w:rPr>
          <w:rFonts w:eastAsia="Times New Roman" w:cstheme="minorHAnsi"/>
        </w:rPr>
        <w:t>land use</w:t>
      </w:r>
      <w:r w:rsidR="00310393">
        <w:rPr>
          <w:rFonts w:eastAsia="Times New Roman" w:cstheme="minorHAnsi"/>
        </w:rPr>
        <w:t xml:space="preserve"> </w:t>
      </w:r>
      <w:r w:rsidR="00A55799">
        <w:rPr>
          <w:rFonts w:eastAsia="Times New Roman" w:cstheme="minorHAnsi"/>
        </w:rPr>
        <w:t xml:space="preserve">in the </w:t>
      </w:r>
      <w:proofErr w:type="spellStart"/>
      <w:r w:rsidR="00A55799">
        <w:rPr>
          <w:rFonts w:eastAsia="Times New Roman" w:cstheme="minorHAnsi"/>
        </w:rPr>
        <w:t>InVEST</w:t>
      </w:r>
      <w:proofErr w:type="spellEnd"/>
      <w:r w:rsidR="00A55799">
        <w:rPr>
          <w:rFonts w:eastAsia="Times New Roman" w:cstheme="minorHAnsi"/>
        </w:rPr>
        <w:t xml:space="preserve"> model through Dyna-CLUE </w:t>
      </w:r>
      <w:r w:rsidR="00310393">
        <w:rPr>
          <w:rFonts w:eastAsia="Times New Roman" w:cstheme="minorHAnsi"/>
        </w:rPr>
        <w:t>create the following regulating ecosystem services</w:t>
      </w:r>
      <w:r w:rsidR="00A55799">
        <w:rPr>
          <w:rFonts w:eastAsia="Times New Roman" w:cstheme="minorHAnsi"/>
        </w:rPr>
        <w:t xml:space="preserve"> – soil erosion and crop pollination</w:t>
      </w:r>
      <w:r w:rsidR="00310393">
        <w:rPr>
          <w:rFonts w:eastAsia="Times New Roman" w:cstheme="minorHAnsi"/>
        </w:rPr>
        <w:t>.</w:t>
      </w:r>
      <w:r w:rsidR="00A55799">
        <w:rPr>
          <w:rFonts w:eastAsia="Times New Roman" w:cstheme="minorHAnsi"/>
        </w:rPr>
        <w:t xml:space="preserve"> </w:t>
      </w:r>
      <w:r w:rsidR="003A626D">
        <w:rPr>
          <w:rFonts w:eastAsia="Times New Roman" w:cstheme="minorHAnsi"/>
        </w:rPr>
        <w:t>These are percentage changes</w:t>
      </w:r>
      <w:r w:rsidR="00011FA7">
        <w:rPr>
          <w:rFonts w:eastAsia="Times New Roman" w:cstheme="minorHAnsi"/>
        </w:rPr>
        <w:t xml:space="preserve"> that </w:t>
      </w:r>
      <w:r w:rsidR="003A626D">
        <w:rPr>
          <w:rFonts w:eastAsia="Times New Roman" w:cstheme="minorHAnsi"/>
        </w:rPr>
        <w:t xml:space="preserve">affect the productivity of the crop sector. </w:t>
      </w:r>
      <w:r w:rsidR="00310393">
        <w:rPr>
          <w:rFonts w:eastAsia="Times New Roman" w:cstheme="minorHAnsi"/>
        </w:rPr>
        <w:t xml:space="preserve"> </w:t>
      </w:r>
    </w:p>
    <w:p w14:paraId="3B5A0498" w14:textId="551AB7E4" w:rsidR="00011FA7" w:rsidRDefault="00011FA7" w:rsidP="00246E74">
      <w:pPr>
        <w:jc w:val="center"/>
        <w:rPr>
          <w:rFonts w:eastAsia="Times New Roman" w:cstheme="minorHAnsi"/>
        </w:rPr>
      </w:pPr>
      <w:r>
        <w:rPr>
          <w:rFonts w:eastAsia="Times New Roman" w:cstheme="minorHAnsi"/>
        </w:rPr>
        <w:t xml:space="preserve">Figure 6. </w:t>
      </w:r>
      <w:r w:rsidR="00363451">
        <w:rPr>
          <w:rFonts w:eastAsia="Times New Roman" w:cstheme="minorHAnsi"/>
        </w:rPr>
        <w:t xml:space="preserve">Regulating ecosystem services from the </w:t>
      </w:r>
      <w:proofErr w:type="spellStart"/>
      <w:r w:rsidR="00363451">
        <w:rPr>
          <w:rFonts w:eastAsia="Times New Roman" w:cstheme="minorHAnsi"/>
        </w:rPr>
        <w:t>InVEST</w:t>
      </w:r>
      <w:proofErr w:type="spellEnd"/>
      <w:r w:rsidR="00363451">
        <w:rPr>
          <w:rFonts w:eastAsia="Times New Roman" w:cstheme="minorHAnsi"/>
        </w:rPr>
        <w:t xml:space="preserve"> model (%)</w:t>
      </w:r>
    </w:p>
    <w:tbl>
      <w:tblPr>
        <w:tblStyle w:val="TableGrid"/>
        <w:tblW w:w="0" w:type="auto"/>
        <w:tblLook w:val="04A0" w:firstRow="1" w:lastRow="0" w:firstColumn="1" w:lastColumn="0" w:noHBand="0" w:noVBand="1"/>
      </w:tblPr>
      <w:tblGrid>
        <w:gridCol w:w="4543"/>
        <w:gridCol w:w="4807"/>
      </w:tblGrid>
      <w:tr w:rsidR="00A55799" w14:paraId="78CF4346" w14:textId="77777777" w:rsidTr="00A55799">
        <w:tc>
          <w:tcPr>
            <w:tcW w:w="4675" w:type="dxa"/>
          </w:tcPr>
          <w:p w14:paraId="028F2B96" w14:textId="1A31C14F" w:rsidR="00A55799" w:rsidRDefault="00A55799" w:rsidP="008B3360">
            <w:pPr>
              <w:jc w:val="both"/>
              <w:rPr>
                <w:rFonts w:eastAsia="Times New Roman" w:cstheme="minorHAnsi"/>
              </w:rPr>
            </w:pPr>
            <w:r>
              <w:rPr>
                <w:noProof/>
              </w:rPr>
              <w:drawing>
                <wp:inline distT="0" distB="0" distL="0" distR="0" wp14:anchorId="01D1B351" wp14:editId="208FC71D">
                  <wp:extent cx="2804615" cy="1726441"/>
                  <wp:effectExtent l="0" t="0" r="15240" b="7620"/>
                  <wp:docPr id="447054360" name="Chart 1">
                    <a:extLst xmlns:a="http://schemas.openxmlformats.org/drawingml/2006/main">
                      <a:ext uri="{FF2B5EF4-FFF2-40B4-BE49-F238E27FC236}">
                        <a16:creationId xmlns:a16="http://schemas.microsoft.com/office/drawing/2014/main" id="{B98B1B93-10D8-F727-65BD-25D8BD7D24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75" w:type="dxa"/>
          </w:tcPr>
          <w:p w14:paraId="4987C64D" w14:textId="4D59EBD0" w:rsidR="00A55799" w:rsidRDefault="00A55799" w:rsidP="008B3360">
            <w:pPr>
              <w:jc w:val="both"/>
              <w:rPr>
                <w:rFonts w:eastAsia="Times New Roman" w:cstheme="minorHAnsi"/>
              </w:rPr>
            </w:pPr>
            <w:r>
              <w:rPr>
                <w:noProof/>
              </w:rPr>
              <w:drawing>
                <wp:inline distT="0" distB="0" distL="0" distR="0" wp14:anchorId="0DB863CE" wp14:editId="2ADBDFCC">
                  <wp:extent cx="2983742" cy="1733265"/>
                  <wp:effectExtent l="0" t="0" r="7620" b="635"/>
                  <wp:docPr id="2013635746" name="Chart 1">
                    <a:extLst xmlns:a="http://schemas.openxmlformats.org/drawingml/2006/main">
                      <a:ext uri="{FF2B5EF4-FFF2-40B4-BE49-F238E27FC236}">
                        <a16:creationId xmlns:a16="http://schemas.microsoft.com/office/drawing/2014/main" id="{5EA7FBDD-DC36-A98E-8DB3-5013F8BD49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bl>
    <w:p w14:paraId="00CD4448" w14:textId="77777777" w:rsidR="00A55799" w:rsidRDefault="00A55799" w:rsidP="008B3360">
      <w:pPr>
        <w:jc w:val="both"/>
        <w:rPr>
          <w:rFonts w:eastAsia="Times New Roman" w:cstheme="minorHAnsi"/>
        </w:rPr>
      </w:pPr>
    </w:p>
    <w:p w14:paraId="35117261" w14:textId="21D7E9BE" w:rsidR="00E56342" w:rsidRDefault="00AD7CE5" w:rsidP="008B3360">
      <w:pPr>
        <w:jc w:val="both"/>
        <w:rPr>
          <w:rFonts w:eastAsia="Times New Roman" w:cstheme="minorHAnsi"/>
        </w:rPr>
      </w:pPr>
      <w:r>
        <w:rPr>
          <w:rFonts w:eastAsia="Times New Roman" w:cstheme="minorHAnsi"/>
        </w:rPr>
        <w:t>The following figure shows the impact of the policy on GDP</w:t>
      </w:r>
      <w:r w:rsidR="008C5DF3">
        <w:rPr>
          <w:rFonts w:eastAsia="Times New Roman" w:cstheme="minorHAnsi"/>
        </w:rPr>
        <w:t xml:space="preserve">. The </w:t>
      </w:r>
      <w:r w:rsidR="00A679D3">
        <w:rPr>
          <w:rFonts w:eastAsia="Times New Roman" w:cstheme="minorHAnsi"/>
        </w:rPr>
        <w:t xml:space="preserve">figure on the </w:t>
      </w:r>
      <w:r w:rsidR="008C5DF3">
        <w:rPr>
          <w:rFonts w:eastAsia="Times New Roman" w:cstheme="minorHAnsi"/>
        </w:rPr>
        <w:t>LHS</w:t>
      </w:r>
      <w:r w:rsidR="00A679D3">
        <w:rPr>
          <w:rFonts w:eastAsia="Times New Roman" w:cstheme="minorHAnsi"/>
        </w:rPr>
        <w:t xml:space="preserve"> shows the percentage deviation of GDP from </w:t>
      </w:r>
      <w:r w:rsidR="000F03B9">
        <w:rPr>
          <w:rFonts w:eastAsia="Times New Roman" w:cstheme="minorHAnsi"/>
        </w:rPr>
        <w:t xml:space="preserve">the </w:t>
      </w:r>
      <w:r w:rsidR="00670E24">
        <w:rPr>
          <w:rFonts w:eastAsia="Times New Roman" w:cstheme="minorHAnsi"/>
        </w:rPr>
        <w:t>base</w:t>
      </w:r>
      <w:r w:rsidR="00A679D3">
        <w:rPr>
          <w:rFonts w:eastAsia="Times New Roman" w:cstheme="minorHAnsi"/>
        </w:rPr>
        <w:t>line in each scenario</w:t>
      </w:r>
      <w:r w:rsidR="004C10DF">
        <w:rPr>
          <w:rFonts w:eastAsia="Times New Roman" w:cstheme="minorHAnsi"/>
        </w:rPr>
        <w:t xml:space="preserve"> which is </w:t>
      </w:r>
      <w:r w:rsidR="002A46DC">
        <w:rPr>
          <w:rFonts w:eastAsia="Times New Roman" w:cstheme="minorHAnsi"/>
        </w:rPr>
        <w:t>the total impact including th</w:t>
      </w:r>
      <w:r w:rsidR="004C10DF">
        <w:rPr>
          <w:rFonts w:eastAsia="Times New Roman" w:cstheme="minorHAnsi"/>
        </w:rPr>
        <w:t xml:space="preserve">at </w:t>
      </w:r>
      <w:r w:rsidR="002A46DC">
        <w:rPr>
          <w:rFonts w:eastAsia="Times New Roman" w:cstheme="minorHAnsi"/>
        </w:rPr>
        <w:t xml:space="preserve">of the ecosystem services. </w:t>
      </w:r>
      <w:r w:rsidR="00E7018E">
        <w:rPr>
          <w:rFonts w:eastAsia="Times New Roman" w:cstheme="minorHAnsi"/>
        </w:rPr>
        <w:t>The RHS shows the differen</w:t>
      </w:r>
      <w:r w:rsidR="00775C54">
        <w:rPr>
          <w:rFonts w:eastAsia="Times New Roman" w:cstheme="minorHAnsi"/>
        </w:rPr>
        <w:t>ce</w:t>
      </w:r>
      <w:r w:rsidR="00E7018E">
        <w:rPr>
          <w:rFonts w:eastAsia="Times New Roman" w:cstheme="minorHAnsi"/>
        </w:rPr>
        <w:t xml:space="preserve"> between</w:t>
      </w:r>
      <w:r w:rsidR="00775C54">
        <w:rPr>
          <w:rFonts w:eastAsia="Times New Roman" w:cstheme="minorHAnsi"/>
        </w:rPr>
        <w:t xml:space="preserve"> the ones with and without the regulating ecosystem services</w:t>
      </w:r>
      <w:r w:rsidR="00903300">
        <w:rPr>
          <w:rFonts w:eastAsia="Times New Roman" w:cstheme="minorHAnsi"/>
        </w:rPr>
        <w:t xml:space="preserve"> in </w:t>
      </w:r>
      <w:r w:rsidR="0032361D">
        <w:rPr>
          <w:rFonts w:eastAsia="Times New Roman" w:cstheme="minorHAnsi"/>
        </w:rPr>
        <w:t>s</w:t>
      </w:r>
      <w:r w:rsidR="00903300">
        <w:rPr>
          <w:rFonts w:eastAsia="Times New Roman" w:cstheme="minorHAnsi"/>
        </w:rPr>
        <w:t>cenario 3</w:t>
      </w:r>
      <w:r w:rsidR="00775C54">
        <w:rPr>
          <w:rFonts w:eastAsia="Times New Roman" w:cstheme="minorHAnsi"/>
        </w:rPr>
        <w:t xml:space="preserve">. </w:t>
      </w:r>
      <w:r w:rsidR="00E56342">
        <w:rPr>
          <w:rFonts w:eastAsia="Times New Roman" w:cstheme="minorHAnsi"/>
        </w:rPr>
        <w:t xml:space="preserve">As can be seen, the difference is small at this </w:t>
      </w:r>
      <w:r w:rsidR="00AE7B2B">
        <w:rPr>
          <w:rFonts w:eastAsia="Times New Roman" w:cstheme="minorHAnsi"/>
        </w:rPr>
        <w:t xml:space="preserve">aggregate </w:t>
      </w:r>
      <w:r w:rsidR="00E56342">
        <w:rPr>
          <w:rFonts w:eastAsia="Times New Roman" w:cstheme="minorHAnsi"/>
        </w:rPr>
        <w:t>level.</w:t>
      </w:r>
    </w:p>
    <w:p w14:paraId="1FAAFD44" w14:textId="77777777" w:rsidR="00E56342" w:rsidRDefault="00E56342" w:rsidP="008B3360">
      <w:pPr>
        <w:jc w:val="both"/>
        <w:rPr>
          <w:rFonts w:eastAsia="Times New Roman" w:cstheme="minorHAnsi"/>
        </w:rPr>
      </w:pPr>
    </w:p>
    <w:p w14:paraId="578FA2E5" w14:textId="00806EA2" w:rsidR="004362A8" w:rsidRDefault="00E56342" w:rsidP="00AE7B2B">
      <w:pPr>
        <w:jc w:val="center"/>
        <w:rPr>
          <w:rFonts w:eastAsia="Times New Roman" w:cstheme="minorHAnsi"/>
        </w:rPr>
      </w:pPr>
      <w:r>
        <w:rPr>
          <w:rFonts w:eastAsia="Times New Roman" w:cstheme="minorHAnsi"/>
        </w:rPr>
        <w:t>Figure 7. GDP impact (% deviation BASE)</w:t>
      </w:r>
    </w:p>
    <w:tbl>
      <w:tblPr>
        <w:tblStyle w:val="TableGrid"/>
        <w:tblW w:w="0" w:type="auto"/>
        <w:tblLook w:val="04A0" w:firstRow="1" w:lastRow="0" w:firstColumn="1" w:lastColumn="0" w:noHBand="0" w:noVBand="1"/>
      </w:tblPr>
      <w:tblGrid>
        <w:gridCol w:w="4560"/>
        <w:gridCol w:w="4790"/>
      </w:tblGrid>
      <w:tr w:rsidR="008C5DF3" w14:paraId="31273833" w14:textId="77777777" w:rsidTr="008C5DF3">
        <w:tc>
          <w:tcPr>
            <w:tcW w:w="4364" w:type="dxa"/>
          </w:tcPr>
          <w:p w14:paraId="039BAB71" w14:textId="7DCC6828" w:rsidR="00430DB5" w:rsidRDefault="008C5DF3" w:rsidP="008B3360">
            <w:pPr>
              <w:jc w:val="both"/>
              <w:rPr>
                <w:rFonts w:eastAsia="Times New Roman" w:cstheme="minorHAnsi"/>
              </w:rPr>
            </w:pPr>
            <w:r>
              <w:rPr>
                <w:noProof/>
              </w:rPr>
              <w:drawing>
                <wp:inline distT="0" distB="0" distL="0" distR="0" wp14:anchorId="25C4B0C8" wp14:editId="7930D131">
                  <wp:extent cx="2866030" cy="1801495"/>
                  <wp:effectExtent l="0" t="0" r="10795" b="8255"/>
                  <wp:docPr id="1255684539" name="Chart 1">
                    <a:extLst xmlns:a="http://schemas.openxmlformats.org/drawingml/2006/main">
                      <a:ext uri="{FF2B5EF4-FFF2-40B4-BE49-F238E27FC236}">
                        <a16:creationId xmlns:a16="http://schemas.microsoft.com/office/drawing/2014/main" id="{991D57EC-B12D-89AA-E190-71B669414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986" w:type="dxa"/>
          </w:tcPr>
          <w:p w14:paraId="060CB923" w14:textId="69871191" w:rsidR="00430DB5" w:rsidRDefault="00430DB5" w:rsidP="008B3360">
            <w:pPr>
              <w:jc w:val="both"/>
              <w:rPr>
                <w:rFonts w:eastAsia="Times New Roman" w:cstheme="minorHAnsi"/>
              </w:rPr>
            </w:pPr>
            <w:r>
              <w:rPr>
                <w:noProof/>
              </w:rPr>
              <w:drawing>
                <wp:inline distT="0" distB="0" distL="0" distR="0" wp14:anchorId="7DB9C435" wp14:editId="5C8D820A">
                  <wp:extent cx="3027528" cy="1801504"/>
                  <wp:effectExtent l="0" t="0" r="1905" b="8255"/>
                  <wp:docPr id="473251407" name="Chart 1">
                    <a:extLst xmlns:a="http://schemas.openxmlformats.org/drawingml/2006/main">
                      <a:ext uri="{FF2B5EF4-FFF2-40B4-BE49-F238E27FC236}">
                        <a16:creationId xmlns:a16="http://schemas.microsoft.com/office/drawing/2014/main" id="{A031067A-AB98-4E13-16CB-E2461BB4F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62737F89" w14:textId="77777777" w:rsidR="0032361D" w:rsidRDefault="0032361D" w:rsidP="008B3360">
      <w:pPr>
        <w:jc w:val="both"/>
        <w:rPr>
          <w:rFonts w:eastAsia="Times New Roman" w:cstheme="minorHAnsi"/>
        </w:rPr>
      </w:pPr>
    </w:p>
    <w:p w14:paraId="03163F70" w14:textId="118C4D72" w:rsidR="003145CF" w:rsidRDefault="00903300" w:rsidP="008B3360">
      <w:pPr>
        <w:jc w:val="both"/>
        <w:rPr>
          <w:rFonts w:eastAsia="Times New Roman" w:cstheme="minorHAnsi"/>
        </w:rPr>
      </w:pPr>
      <w:r>
        <w:rPr>
          <w:rFonts w:eastAsia="Times New Roman" w:cstheme="minorHAnsi"/>
        </w:rPr>
        <w:t xml:space="preserve">Although the impact of the regulating ecosystem services </w:t>
      </w:r>
      <w:r w:rsidR="0032361D">
        <w:rPr>
          <w:rFonts w:eastAsia="Times New Roman" w:cstheme="minorHAnsi"/>
        </w:rPr>
        <w:t xml:space="preserve">is small </w:t>
      </w:r>
      <w:r w:rsidR="0061661B">
        <w:rPr>
          <w:rFonts w:eastAsia="Times New Roman" w:cstheme="minorHAnsi"/>
        </w:rPr>
        <w:t>on</w:t>
      </w:r>
      <w:r w:rsidR="0032361D">
        <w:rPr>
          <w:rFonts w:eastAsia="Times New Roman" w:cstheme="minorHAnsi"/>
        </w:rPr>
        <w:t xml:space="preserve"> macroeconomic </w:t>
      </w:r>
      <w:r w:rsidR="0061661B">
        <w:rPr>
          <w:rFonts w:eastAsia="Times New Roman" w:cstheme="minorHAnsi"/>
        </w:rPr>
        <w:t>indicators</w:t>
      </w:r>
      <w:r w:rsidR="00621967">
        <w:rPr>
          <w:rFonts w:eastAsia="Times New Roman" w:cstheme="minorHAnsi"/>
        </w:rPr>
        <w:t>, the impact can be significant at the micro levels. The following figure shows the impact on the sectoral output</w:t>
      </w:r>
      <w:r w:rsidR="00A934AE">
        <w:rPr>
          <w:rFonts w:eastAsia="Times New Roman" w:cstheme="minorHAnsi"/>
        </w:rPr>
        <w:t xml:space="preserve"> in 2050</w:t>
      </w:r>
      <w:r w:rsidR="00621967">
        <w:rPr>
          <w:rFonts w:eastAsia="Times New Roman" w:cstheme="minorHAnsi"/>
        </w:rPr>
        <w:t>.</w:t>
      </w:r>
      <w:r w:rsidR="00B4705B">
        <w:rPr>
          <w:rFonts w:eastAsia="Times New Roman" w:cstheme="minorHAnsi"/>
        </w:rPr>
        <w:t xml:space="preserve"> If the model allows, </w:t>
      </w:r>
      <w:r w:rsidR="00D76FFD">
        <w:rPr>
          <w:rFonts w:eastAsia="Times New Roman" w:cstheme="minorHAnsi"/>
        </w:rPr>
        <w:t xml:space="preserve">a </w:t>
      </w:r>
      <w:r w:rsidR="00B4705B">
        <w:rPr>
          <w:rFonts w:eastAsia="Times New Roman" w:cstheme="minorHAnsi"/>
        </w:rPr>
        <w:t xml:space="preserve">further analysis could be conducted at the regional level where the ESS could have more </w:t>
      </w:r>
      <w:r w:rsidR="009E28A5">
        <w:rPr>
          <w:rFonts w:eastAsia="Times New Roman" w:cstheme="minorHAnsi"/>
        </w:rPr>
        <w:t xml:space="preserve">profound effect. </w:t>
      </w:r>
      <w:r w:rsidR="00B4705B">
        <w:rPr>
          <w:rFonts w:eastAsia="Times New Roman" w:cstheme="minorHAnsi"/>
        </w:rPr>
        <w:t xml:space="preserve"> </w:t>
      </w:r>
    </w:p>
    <w:p w14:paraId="5EF7ED67" w14:textId="1AC98087" w:rsidR="00A934AE" w:rsidRDefault="00A934AE" w:rsidP="005E2BBD">
      <w:pPr>
        <w:jc w:val="center"/>
        <w:rPr>
          <w:rFonts w:eastAsia="Times New Roman" w:cstheme="minorHAnsi"/>
        </w:rPr>
      </w:pPr>
      <w:r>
        <w:rPr>
          <w:rFonts w:eastAsia="Times New Roman" w:cstheme="minorHAnsi"/>
        </w:rPr>
        <w:t>Figure 8. Impact of regulating ESS on sectoral output (% deviation from no-ESS scenario)</w:t>
      </w:r>
    </w:p>
    <w:p w14:paraId="778B1587" w14:textId="09AF44E4" w:rsidR="00C01CFB" w:rsidRPr="00F05B6B" w:rsidRDefault="00C01CFB" w:rsidP="008B3360">
      <w:pPr>
        <w:jc w:val="both"/>
        <w:rPr>
          <w:rFonts w:eastAsia="Times New Roman" w:cstheme="minorHAnsi"/>
        </w:rPr>
      </w:pPr>
      <w:r>
        <w:rPr>
          <w:noProof/>
        </w:rPr>
        <w:drawing>
          <wp:inline distT="0" distB="0" distL="0" distR="0" wp14:anchorId="23F29D3F" wp14:editId="4BFE666B">
            <wp:extent cx="5943600" cy="2218690"/>
            <wp:effectExtent l="0" t="0" r="0" b="10160"/>
            <wp:docPr id="599996071" name="Chart 1">
              <a:extLst xmlns:a="http://schemas.openxmlformats.org/drawingml/2006/main">
                <a:ext uri="{FF2B5EF4-FFF2-40B4-BE49-F238E27FC236}">
                  <a16:creationId xmlns:a16="http://schemas.microsoft.com/office/drawing/2014/main" id="{FF9B8EE2-F1C7-44E4-AF08-F2651FE5C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8745CF" w14:textId="18FE55D9" w:rsidR="00983611" w:rsidRDefault="00983611" w:rsidP="00983611">
      <w:pPr>
        <w:pStyle w:val="Heading1"/>
        <w:rPr>
          <w:rFonts w:eastAsia="Times New Roman"/>
        </w:rPr>
      </w:pPr>
      <w:r>
        <w:rPr>
          <w:rFonts w:eastAsia="Times New Roman"/>
        </w:rPr>
        <w:t>Conclusions</w:t>
      </w:r>
    </w:p>
    <w:p w14:paraId="4938B756" w14:textId="77777777" w:rsidR="00C26E05" w:rsidRDefault="007F085F" w:rsidP="008B3360">
      <w:pPr>
        <w:jc w:val="both"/>
        <w:rPr>
          <w:rFonts w:eastAsia="Times New Roman" w:cstheme="minorHAnsi"/>
        </w:rPr>
      </w:pPr>
      <w:r>
        <w:rPr>
          <w:rFonts w:eastAsia="Times New Roman" w:cstheme="minorHAnsi"/>
        </w:rPr>
        <w:t xml:space="preserve">This technical paper aims to show </w:t>
      </w:r>
      <w:r w:rsidR="001864B9">
        <w:rPr>
          <w:rFonts w:eastAsia="Times New Roman" w:cstheme="minorHAnsi"/>
        </w:rPr>
        <w:t xml:space="preserve">the details of extensions of </w:t>
      </w:r>
      <w:r w:rsidR="000B5E52">
        <w:rPr>
          <w:rFonts w:eastAsia="Times New Roman" w:cstheme="minorHAnsi"/>
        </w:rPr>
        <w:t>t</w:t>
      </w:r>
      <w:r>
        <w:rPr>
          <w:rFonts w:eastAsia="Times New Roman" w:cstheme="minorHAnsi"/>
        </w:rPr>
        <w:t xml:space="preserve">he MANAGE-WB model </w:t>
      </w:r>
      <w:r w:rsidR="000B5E52">
        <w:rPr>
          <w:rFonts w:eastAsia="Times New Roman" w:cstheme="minorHAnsi"/>
        </w:rPr>
        <w:t>with the LULC</w:t>
      </w:r>
      <w:r w:rsidR="00F61052">
        <w:rPr>
          <w:rFonts w:eastAsia="Times New Roman" w:cstheme="minorHAnsi"/>
        </w:rPr>
        <w:t xml:space="preserve"> accounts </w:t>
      </w:r>
      <w:r w:rsidR="008F06C1">
        <w:rPr>
          <w:rFonts w:eastAsia="Times New Roman" w:cstheme="minorHAnsi"/>
        </w:rPr>
        <w:t xml:space="preserve">(GTAP-AEZ data base and flexible </w:t>
      </w:r>
      <w:proofErr w:type="spellStart"/>
      <w:r w:rsidR="008F06C1">
        <w:rPr>
          <w:rFonts w:eastAsia="Times New Roman" w:cstheme="minorHAnsi"/>
        </w:rPr>
        <w:t>nestings</w:t>
      </w:r>
      <w:proofErr w:type="spellEnd"/>
      <w:r w:rsidR="008F06C1">
        <w:rPr>
          <w:rFonts w:eastAsia="Times New Roman" w:cstheme="minorHAnsi"/>
        </w:rPr>
        <w:t xml:space="preserve">) </w:t>
      </w:r>
      <w:r w:rsidR="00F61052">
        <w:rPr>
          <w:rFonts w:eastAsia="Times New Roman" w:cstheme="minorHAnsi"/>
        </w:rPr>
        <w:t xml:space="preserve">and its </w:t>
      </w:r>
      <w:r w:rsidR="009B0B42">
        <w:rPr>
          <w:rFonts w:eastAsia="Times New Roman" w:cstheme="minorHAnsi"/>
        </w:rPr>
        <w:t xml:space="preserve">pilot </w:t>
      </w:r>
      <w:r w:rsidR="00F61052">
        <w:rPr>
          <w:rFonts w:eastAsia="Times New Roman" w:cstheme="minorHAnsi"/>
        </w:rPr>
        <w:t xml:space="preserve">applications. </w:t>
      </w:r>
    </w:p>
    <w:p w14:paraId="6B68E7D6" w14:textId="7F966F4C" w:rsidR="00BB4F09" w:rsidRPr="00BB4F09" w:rsidRDefault="00BB4F09" w:rsidP="008B3360">
      <w:pPr>
        <w:jc w:val="both"/>
        <w:rPr>
          <w:rFonts w:eastAsia="Times New Roman" w:cstheme="minorHAnsi"/>
        </w:rPr>
      </w:pPr>
      <w:r w:rsidRPr="00BB4F09">
        <w:rPr>
          <w:rFonts w:eastAsia="Times New Roman" w:cstheme="minorHAnsi"/>
        </w:rPr>
        <w:t>The pilot application</w:t>
      </w:r>
      <w:r w:rsidR="009B0B42">
        <w:rPr>
          <w:rFonts w:eastAsia="Times New Roman" w:cstheme="minorHAnsi"/>
        </w:rPr>
        <w:t>s</w:t>
      </w:r>
      <w:r w:rsidRPr="00BB4F09">
        <w:rPr>
          <w:rFonts w:eastAsia="Times New Roman" w:cstheme="minorHAnsi"/>
        </w:rPr>
        <w:t xml:space="preserve"> </w:t>
      </w:r>
      <w:r w:rsidR="009B0B42">
        <w:rPr>
          <w:rFonts w:eastAsia="Times New Roman" w:cstheme="minorHAnsi"/>
        </w:rPr>
        <w:t>i</w:t>
      </w:r>
      <w:r w:rsidRPr="00BB4F09">
        <w:rPr>
          <w:rFonts w:eastAsia="Times New Roman" w:cstheme="minorHAnsi"/>
        </w:rPr>
        <w:t xml:space="preserve">ndicate that the economywide impacts of polices leading to changes in the regulating ecosystems services </w:t>
      </w:r>
      <w:r w:rsidR="00291723">
        <w:rPr>
          <w:rFonts w:eastAsia="Times New Roman" w:cstheme="minorHAnsi"/>
        </w:rPr>
        <w:t xml:space="preserve">could be </w:t>
      </w:r>
      <w:r w:rsidRPr="00BB4F09">
        <w:rPr>
          <w:rFonts w:eastAsia="Times New Roman" w:cstheme="minorHAnsi"/>
        </w:rPr>
        <w:t>limited.</w:t>
      </w:r>
      <w:r w:rsidR="00291723">
        <w:rPr>
          <w:rFonts w:eastAsia="Times New Roman" w:cstheme="minorHAnsi"/>
        </w:rPr>
        <w:t xml:space="preserve"> </w:t>
      </w:r>
      <w:r w:rsidR="00AB7DC0">
        <w:rPr>
          <w:rFonts w:eastAsia="Times New Roman" w:cstheme="minorHAnsi"/>
        </w:rPr>
        <w:t xml:space="preserve">The reasons are in two folds. </w:t>
      </w:r>
      <w:r w:rsidR="00C56A23">
        <w:rPr>
          <w:rFonts w:eastAsia="Times New Roman" w:cstheme="minorHAnsi"/>
        </w:rPr>
        <w:t>First, t</w:t>
      </w:r>
      <w:r w:rsidRPr="00BB4F09">
        <w:rPr>
          <w:rFonts w:eastAsia="Times New Roman" w:cstheme="minorHAnsi"/>
        </w:rPr>
        <w:t xml:space="preserve">he share of </w:t>
      </w:r>
      <w:r w:rsidR="00AB7DC0">
        <w:rPr>
          <w:rFonts w:eastAsia="Times New Roman" w:cstheme="minorHAnsi"/>
        </w:rPr>
        <w:t xml:space="preserve">crop sector </w:t>
      </w:r>
      <w:r w:rsidR="00BA5F3B">
        <w:rPr>
          <w:rFonts w:eastAsia="Times New Roman" w:cstheme="minorHAnsi"/>
        </w:rPr>
        <w:t xml:space="preserve">affected by ESS </w:t>
      </w:r>
      <w:r w:rsidR="00AB7DC0">
        <w:rPr>
          <w:rFonts w:eastAsia="Times New Roman" w:cstheme="minorHAnsi"/>
        </w:rPr>
        <w:t>i</w:t>
      </w:r>
      <w:r w:rsidRPr="00BB4F09">
        <w:rPr>
          <w:rFonts w:eastAsia="Times New Roman" w:cstheme="minorHAnsi"/>
        </w:rPr>
        <w:t xml:space="preserve">s </w:t>
      </w:r>
      <w:r w:rsidR="00AB7DC0">
        <w:rPr>
          <w:rFonts w:eastAsia="Times New Roman" w:cstheme="minorHAnsi"/>
        </w:rPr>
        <w:t>small</w:t>
      </w:r>
      <w:r w:rsidRPr="00BB4F09">
        <w:rPr>
          <w:rFonts w:eastAsia="Times New Roman" w:cstheme="minorHAnsi"/>
        </w:rPr>
        <w:t xml:space="preserve">. Second, there are many other ecosystem services </w:t>
      </w:r>
      <w:r w:rsidR="00856FB7">
        <w:rPr>
          <w:rFonts w:eastAsia="Times New Roman" w:cstheme="minorHAnsi"/>
        </w:rPr>
        <w:t>are not accounted for</w:t>
      </w:r>
      <w:r w:rsidRPr="00BB4F09">
        <w:rPr>
          <w:rFonts w:eastAsia="Times New Roman" w:cstheme="minorHAnsi"/>
        </w:rPr>
        <w:t xml:space="preserve">. </w:t>
      </w:r>
      <w:r w:rsidR="00DE167D">
        <w:rPr>
          <w:rFonts w:eastAsia="Times New Roman" w:cstheme="minorHAnsi"/>
        </w:rPr>
        <w:t>T</w:t>
      </w:r>
      <w:r w:rsidRPr="00BB4F09">
        <w:rPr>
          <w:rFonts w:eastAsia="Times New Roman" w:cstheme="minorHAnsi"/>
        </w:rPr>
        <w:t>he impact of erosion reduction and sediment control on the economy go beyond crop productivity</w:t>
      </w:r>
      <w:r w:rsidR="004F31BA">
        <w:rPr>
          <w:rFonts w:eastAsia="Times New Roman" w:cstheme="minorHAnsi"/>
        </w:rPr>
        <w:t>.</w:t>
      </w:r>
      <w:r w:rsidRPr="00BB4F09">
        <w:rPr>
          <w:rFonts w:eastAsia="Times New Roman" w:cstheme="minorHAnsi"/>
        </w:rPr>
        <w:t xml:space="preserve"> </w:t>
      </w:r>
      <w:r w:rsidR="00426436">
        <w:rPr>
          <w:rFonts w:eastAsia="Times New Roman" w:cstheme="minorHAnsi"/>
        </w:rPr>
        <w:t>O</w:t>
      </w:r>
      <w:r w:rsidRPr="00BB4F09">
        <w:rPr>
          <w:rFonts w:eastAsia="Times New Roman" w:cstheme="minorHAnsi"/>
        </w:rPr>
        <w:t xml:space="preserve">ther prominent impact channels include livestock sector productivity hydropower generation capacity, irrigation reservoir capacity, water quality. Forests and agroforestry also help control inland flooding and thus reduce damages to assets. Importantly, they also help regulate seasonal water availability for </w:t>
      </w:r>
      <w:r w:rsidRPr="00BB4F09">
        <w:rPr>
          <w:rFonts w:eastAsia="Times New Roman" w:cstheme="minorHAnsi"/>
        </w:rPr>
        <w:lastRenderedPageBreak/>
        <w:t>downstream uses in agriculture and drinking water provision. Furthermore, forest and other vegetation also help purify water which averts cost of water purification. A complete inclusion of the ecosystem services and impact channels would allow a much more comprehensive account of the contributions to the economy.   </w:t>
      </w:r>
    </w:p>
    <w:p w14:paraId="792532A3" w14:textId="28D42D22" w:rsidR="003E6E1D" w:rsidRPr="002A5CF4" w:rsidRDefault="00560472" w:rsidP="008B3360">
      <w:pPr>
        <w:jc w:val="both"/>
      </w:pPr>
      <w:r>
        <w:rPr>
          <w:rFonts w:eastAsia="Times New Roman" w:cstheme="minorHAnsi"/>
        </w:rPr>
        <w:t xml:space="preserve">Although the macroeconomic impacts policy through the regulating ecosystem services are small, </w:t>
      </w:r>
      <w:r w:rsidR="005F1412">
        <w:rPr>
          <w:rFonts w:eastAsia="Times New Roman" w:cstheme="minorHAnsi"/>
        </w:rPr>
        <w:t>the impacts at the microeconomic levels</w:t>
      </w:r>
      <w:r w:rsidR="005C34C3">
        <w:rPr>
          <w:rFonts w:eastAsia="Times New Roman" w:cstheme="minorHAnsi"/>
        </w:rPr>
        <w:t xml:space="preserve"> could be much larger. For instance, </w:t>
      </w:r>
      <w:r w:rsidR="00CB7650">
        <w:rPr>
          <w:rFonts w:eastAsia="Times New Roman" w:cstheme="minorHAnsi"/>
        </w:rPr>
        <w:t xml:space="preserve">the crop pollination and soil erosion shocks in the hypothetical policy scenario </w:t>
      </w:r>
      <w:r w:rsidR="00A9076E">
        <w:rPr>
          <w:rFonts w:eastAsia="Times New Roman" w:cstheme="minorHAnsi"/>
        </w:rPr>
        <w:t>(</w:t>
      </w:r>
      <w:r w:rsidR="007B5E67">
        <w:rPr>
          <w:rFonts w:eastAsia="Times New Roman" w:cstheme="minorHAnsi"/>
        </w:rPr>
        <w:t>subsidy increase to crops activities</w:t>
      </w:r>
      <w:r w:rsidR="00A9076E">
        <w:rPr>
          <w:rFonts w:eastAsia="Times New Roman" w:cstheme="minorHAnsi"/>
        </w:rPr>
        <w:t>) for India</w:t>
      </w:r>
      <w:r w:rsidR="007B5E67">
        <w:rPr>
          <w:rFonts w:eastAsia="Times New Roman" w:cstheme="minorHAnsi"/>
        </w:rPr>
        <w:t xml:space="preserve"> could have significant effect on those </w:t>
      </w:r>
      <w:r w:rsidR="00362688">
        <w:rPr>
          <w:rFonts w:eastAsia="Times New Roman" w:cstheme="minorHAnsi"/>
        </w:rPr>
        <w:t xml:space="preserve">operating in the crops activities. In addition, </w:t>
      </w:r>
      <w:r w:rsidR="00EF7C7A">
        <w:rPr>
          <w:rFonts w:eastAsia="Times New Roman" w:cstheme="minorHAnsi"/>
        </w:rPr>
        <w:t>the subregional impacts could be considerable on the wellbeing of the households and workers.</w:t>
      </w:r>
      <w:r w:rsidR="005F1412">
        <w:rPr>
          <w:rFonts w:eastAsia="Times New Roman" w:cstheme="minorHAnsi"/>
        </w:rPr>
        <w:t xml:space="preserve"> </w:t>
      </w:r>
      <w:r w:rsidR="00922B1C">
        <w:rPr>
          <w:rFonts w:eastAsia="Times New Roman" w:cstheme="minorHAnsi"/>
        </w:rPr>
        <w:t xml:space="preserve"> </w:t>
      </w:r>
      <w:r w:rsidR="00396534">
        <w:rPr>
          <w:rFonts w:eastAsia="Times New Roman" w:cstheme="minorHAnsi"/>
        </w:rPr>
        <w:t xml:space="preserve"> </w:t>
      </w:r>
      <w:r w:rsidR="00CD4B66">
        <w:rPr>
          <w:rFonts w:eastAsia="Times New Roman" w:cstheme="minorHAnsi"/>
        </w:rPr>
        <w:t xml:space="preserve"> </w:t>
      </w:r>
      <w:r w:rsidR="00C76D74">
        <w:rPr>
          <w:rFonts w:eastAsia="Times New Roman" w:cstheme="minorHAnsi"/>
        </w:rPr>
        <w:t xml:space="preserve"> </w:t>
      </w:r>
    </w:p>
    <w:p w14:paraId="356C4495" w14:textId="5C602709" w:rsidR="005C2E43" w:rsidRPr="00806425" w:rsidRDefault="005C2E43" w:rsidP="008B3360">
      <w:pPr>
        <w:jc w:val="both"/>
        <w:rPr>
          <w:b/>
          <w:bCs/>
        </w:rPr>
      </w:pPr>
      <w:r w:rsidRPr="00806425">
        <w:rPr>
          <w:b/>
          <w:bCs/>
        </w:rPr>
        <w:t>References</w:t>
      </w:r>
    </w:p>
    <w:p w14:paraId="483A6A53" w14:textId="07DDB38D" w:rsidR="001F66F4" w:rsidRDefault="001F66F4" w:rsidP="008B3360">
      <w:pPr>
        <w:jc w:val="both"/>
      </w:pPr>
      <w:r w:rsidRPr="001F66F4">
        <w:t>Beyene, L, M., Britz, W., Christensen, M., Dudu, H., Galindev, R., 2024. MANAGE-WB: The Mitigation, Adaptation and New Technologies Applied General Equilibrium Model of the World Bank. https://thedocs.worldbank.org/en/doc/77351105a334213c64122e44c2efe523-0500072021/related/MANAGE-WB-Documentation.pdf </w:t>
      </w:r>
    </w:p>
    <w:p w14:paraId="158FEA96" w14:textId="5B00C961" w:rsidR="005C2E43" w:rsidRDefault="005C2E43" w:rsidP="008B3360">
      <w:pPr>
        <w:jc w:val="both"/>
      </w:pPr>
      <w:r w:rsidRPr="00806425">
        <w:t xml:space="preserve">Lee, H. L., Hertel, T. W., Rose, S., &amp; Avetisyan, M. (2009). An integrated global land use data base for CGE analysis of climate policy options. </w:t>
      </w:r>
      <w:r w:rsidRPr="00806425">
        <w:rPr>
          <w:i/>
          <w:iCs/>
        </w:rPr>
        <w:t>Economic analysis of land use in global climate change policy</w:t>
      </w:r>
      <w:r w:rsidRPr="00806425">
        <w:t xml:space="preserve">, </w:t>
      </w:r>
      <w:r w:rsidRPr="00806425">
        <w:rPr>
          <w:i/>
          <w:iCs/>
        </w:rPr>
        <w:t>42</w:t>
      </w:r>
      <w:r w:rsidRPr="00806425">
        <w:t>, 72-88</w:t>
      </w:r>
    </w:p>
    <w:p w14:paraId="4D2749E5" w14:textId="77777777" w:rsidR="005C2E43" w:rsidRDefault="005C2E43" w:rsidP="008B3360">
      <w:pPr>
        <w:jc w:val="both"/>
      </w:pPr>
      <w:r w:rsidRPr="00806425">
        <w:t xml:space="preserve">Aguiar, A., </w:t>
      </w:r>
      <w:proofErr w:type="spellStart"/>
      <w:r w:rsidRPr="00806425">
        <w:t>Chepeliev</w:t>
      </w:r>
      <w:proofErr w:type="spellEnd"/>
      <w:r w:rsidRPr="00806425">
        <w:t xml:space="preserve">, M., </w:t>
      </w:r>
      <w:proofErr w:type="spellStart"/>
      <w:r w:rsidRPr="00806425">
        <w:t>Corong</w:t>
      </w:r>
      <w:proofErr w:type="spellEnd"/>
      <w:r w:rsidRPr="00806425">
        <w:t xml:space="preserve">, E., &amp; van der Mensbrugghe, D. (2022). The global trade analysis project (GTAP) data base: Version 11. </w:t>
      </w:r>
      <w:r>
        <w:rPr>
          <w:i/>
          <w:iCs/>
        </w:rPr>
        <w:t>Journal of Global Economic Analysis</w:t>
      </w:r>
      <w:r>
        <w:t xml:space="preserve">, </w:t>
      </w:r>
      <w:r>
        <w:rPr>
          <w:i/>
          <w:iCs/>
        </w:rPr>
        <w:t>7</w:t>
      </w:r>
      <w:r>
        <w:t>(2)</w:t>
      </w:r>
    </w:p>
    <w:p w14:paraId="774AA204" w14:textId="77777777" w:rsidR="005C2E43" w:rsidRDefault="005C2E43" w:rsidP="008B3360">
      <w:pPr>
        <w:jc w:val="both"/>
      </w:pPr>
      <w:r w:rsidRPr="00FA6CC7">
        <w:t xml:space="preserve">FAO (1996). </w:t>
      </w:r>
      <w:proofErr w:type="spellStart"/>
      <w:r w:rsidRPr="00FA6CC7">
        <w:t>Agro</w:t>
      </w:r>
      <w:proofErr w:type="spellEnd"/>
      <w:r w:rsidRPr="00FA6CC7">
        <w:t xml:space="preserve">-ecological Zoning. Guidelines. FAO Soils Bulletin 73, 78 pp. Soil Resources, Management and Conservation Service, FAO Land and Water Development Division. Food and Agriculture Organization of the United Nations, Rome, Italy. </w:t>
      </w:r>
      <w:r>
        <w:t>ISBN 92-5-103890-2</w:t>
      </w:r>
    </w:p>
    <w:p w14:paraId="7EE40782" w14:textId="71C0D50D" w:rsidR="001A7DB6" w:rsidRPr="00B52FAA" w:rsidRDefault="008A6678" w:rsidP="008B3360">
      <w:pPr>
        <w:spacing w:before="120" w:after="120"/>
        <w:ind w:right="288"/>
        <w:jc w:val="both"/>
        <w:rPr>
          <w:rFonts w:cstheme="minorHAnsi"/>
          <w:b/>
          <w:bCs/>
        </w:rPr>
      </w:pPr>
      <w:r w:rsidRPr="008A6678">
        <w:rPr>
          <w:rFonts w:cstheme="minorHAnsi"/>
        </w:rPr>
        <w:t>Banerjee</w:t>
      </w:r>
      <w:r>
        <w:rPr>
          <w:rFonts w:cstheme="minorHAnsi"/>
        </w:rPr>
        <w:t>, O.,</w:t>
      </w:r>
      <w:r w:rsidRPr="008A6678">
        <w:rPr>
          <w:rFonts w:cstheme="minorHAnsi"/>
        </w:rPr>
        <w:t xml:space="preserve"> Cicowiez</w:t>
      </w:r>
      <w:r w:rsidR="0096608E">
        <w:rPr>
          <w:rFonts w:cstheme="minorHAnsi"/>
        </w:rPr>
        <w:t>, M</w:t>
      </w:r>
      <w:r w:rsidR="00AD429F">
        <w:rPr>
          <w:rFonts w:cstheme="minorHAnsi"/>
        </w:rPr>
        <w:t>., and others?</w:t>
      </w:r>
      <w:r w:rsidR="0096608E">
        <w:rPr>
          <w:rFonts w:cstheme="minorHAnsi"/>
        </w:rPr>
        <w:t xml:space="preserve"> (2023).</w:t>
      </w:r>
      <w:r w:rsidRPr="008A6678">
        <w:rPr>
          <w:rFonts w:eastAsia="Times New Roman" w:cstheme="minorHAnsi"/>
        </w:rPr>
        <w:t xml:space="preserve"> </w:t>
      </w:r>
      <w:r w:rsidR="001A7DB6" w:rsidRPr="00B52FAA">
        <w:rPr>
          <w:rFonts w:eastAsia="Times New Roman" w:cstheme="minorHAnsi"/>
        </w:rPr>
        <w:t>Integrating Natural Capital in Evidence-Based Public Policy Making in India</w:t>
      </w:r>
      <w:r w:rsidR="0096608E">
        <w:rPr>
          <w:rFonts w:eastAsia="Times New Roman" w:cstheme="minorHAnsi"/>
        </w:rPr>
        <w:t>, draft</w:t>
      </w:r>
    </w:p>
    <w:p w14:paraId="6B273F5D" w14:textId="77777777" w:rsidR="005949B5" w:rsidRPr="00FA6CC7" w:rsidRDefault="005949B5" w:rsidP="008B3360">
      <w:pPr>
        <w:jc w:val="both"/>
      </w:pPr>
    </w:p>
    <w:p w14:paraId="077EE6C1" w14:textId="77777777" w:rsidR="00BE6914" w:rsidRDefault="00BE6914" w:rsidP="008B3360">
      <w:pPr>
        <w:jc w:val="both"/>
      </w:pPr>
    </w:p>
    <w:p w14:paraId="27268187" w14:textId="77777777" w:rsidR="000C1621" w:rsidRDefault="000C1621" w:rsidP="008B3360">
      <w:pPr>
        <w:jc w:val="both"/>
      </w:pPr>
    </w:p>
    <w:p w14:paraId="2235C453" w14:textId="3D9ECA29" w:rsidR="00376E74" w:rsidRDefault="00996646" w:rsidP="008B3360">
      <w:pPr>
        <w:jc w:val="both"/>
      </w:pPr>
      <w:r>
        <w:t xml:space="preserve">    </w:t>
      </w:r>
      <w:r w:rsidR="00453A36">
        <w:t xml:space="preserve">    </w:t>
      </w:r>
      <w:r w:rsidR="00376E74">
        <w:t xml:space="preserve">   </w:t>
      </w:r>
    </w:p>
    <w:sectPr w:rsidR="00376E74">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28EF0" w14:textId="77777777" w:rsidR="00F243DD" w:rsidRDefault="00F243DD" w:rsidP="000C1621">
      <w:pPr>
        <w:spacing w:after="0" w:line="240" w:lineRule="auto"/>
      </w:pPr>
      <w:r>
        <w:separator/>
      </w:r>
    </w:p>
  </w:endnote>
  <w:endnote w:type="continuationSeparator" w:id="0">
    <w:p w14:paraId="014B388D" w14:textId="77777777" w:rsidR="00F243DD" w:rsidRDefault="00F243DD" w:rsidP="000C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853485"/>
      <w:docPartObj>
        <w:docPartGallery w:val="Page Numbers (Bottom of Page)"/>
        <w:docPartUnique/>
      </w:docPartObj>
    </w:sdtPr>
    <w:sdtEndPr>
      <w:rPr>
        <w:noProof/>
      </w:rPr>
    </w:sdtEndPr>
    <w:sdtContent>
      <w:p w14:paraId="33B73C41" w14:textId="131601B2" w:rsidR="006A4E94" w:rsidRDefault="006A4E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772322" w14:textId="77777777" w:rsidR="006A4E94" w:rsidRDefault="006A4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8EC79" w14:textId="77777777" w:rsidR="00F243DD" w:rsidRDefault="00F243DD" w:rsidP="000C1621">
      <w:pPr>
        <w:spacing w:after="0" w:line="240" w:lineRule="auto"/>
      </w:pPr>
      <w:r>
        <w:separator/>
      </w:r>
    </w:p>
  </w:footnote>
  <w:footnote w:type="continuationSeparator" w:id="0">
    <w:p w14:paraId="4CF8211C" w14:textId="77777777" w:rsidR="00F243DD" w:rsidRDefault="00F243DD" w:rsidP="000C1621">
      <w:pPr>
        <w:spacing w:after="0" w:line="240" w:lineRule="auto"/>
      </w:pPr>
      <w:r>
        <w:continuationSeparator/>
      </w:r>
    </w:p>
  </w:footnote>
  <w:footnote w:id="1">
    <w:p w14:paraId="505045B1" w14:textId="00B63276" w:rsidR="000C1621" w:rsidRDefault="000C1621" w:rsidP="006802A5">
      <w:pPr>
        <w:pStyle w:val="FootnoteText"/>
        <w:jc w:val="both"/>
      </w:pPr>
      <w:r>
        <w:rPr>
          <w:rStyle w:val="FootnoteReference"/>
        </w:rPr>
        <w:footnoteRef/>
      </w:r>
      <w:r>
        <w:t xml:space="preserve"> </w:t>
      </w:r>
      <w:r w:rsidRPr="003F567C">
        <w:t>The concept of the AEZs was developed by the FAO (FAO 1996) to categorize land by bio-physical attributes relating to soil and climate and is closely related to efforts to provide geo-referenced data for crop modelling at global scale (</w:t>
      </w:r>
      <w:hyperlink r:id="rId1" w:history="1">
        <w:r w:rsidRPr="003F567C">
          <w:rPr>
            <w:rStyle w:val="Hyperlink"/>
          </w:rPr>
          <w:t>https://gaez.fao.org/</w:t>
        </w:r>
      </w:hyperlink>
      <w:r w:rsidRPr="003F567C">
        <w:t>).</w:t>
      </w:r>
      <w:r>
        <w:t xml:space="preserve"> </w:t>
      </w:r>
      <w:r w:rsidRPr="003F567C">
        <w:t>Compared to rather fine-grained categorization by the FAO, the GTAP center uses a highly aggregated one</w:t>
      </w:r>
      <w:r>
        <w:t>.</w:t>
      </w:r>
    </w:p>
  </w:footnote>
  <w:footnote w:id="2">
    <w:p w14:paraId="6E5C1F75" w14:textId="77777777" w:rsidR="00275EDB" w:rsidRPr="00275EDB" w:rsidRDefault="00275EDB" w:rsidP="00275EDB">
      <w:pPr>
        <w:rPr>
          <w:sz w:val="20"/>
          <w:szCs w:val="20"/>
        </w:rPr>
      </w:pPr>
      <w:r w:rsidRPr="00275EDB">
        <w:rPr>
          <w:rStyle w:val="FootnoteReference"/>
          <w:sz w:val="20"/>
          <w:szCs w:val="20"/>
        </w:rPr>
        <w:footnoteRef/>
      </w:r>
      <w:r w:rsidRPr="00275EDB">
        <w:rPr>
          <w:sz w:val="20"/>
          <w:szCs w:val="20"/>
        </w:rPr>
        <w:t xml:space="preserve"> The area of managed forest cover is based on accessibility criteria and derived by GIS analysis. It is important to note that the data base codes do not cover the area of natural forest. It is estimated here as the difference between the total area of an AEZ polygon and the reported areas.</w:t>
      </w:r>
    </w:p>
    <w:p w14:paraId="3C5DE57A" w14:textId="5F2FCB08" w:rsidR="00275EDB" w:rsidRDefault="00275EDB">
      <w:pPr>
        <w:pStyle w:val="FootnoteText"/>
      </w:pPr>
    </w:p>
  </w:footnote>
  <w:footnote w:id="3">
    <w:p w14:paraId="530EC860" w14:textId="675DDBE6" w:rsidR="001A79A0" w:rsidRPr="00994D50" w:rsidRDefault="001A79A0" w:rsidP="00994D50">
      <w:pPr>
        <w:spacing w:before="120" w:after="120"/>
        <w:ind w:right="288"/>
        <w:rPr>
          <w:rFonts w:eastAsia="Times New Roman" w:cstheme="minorHAnsi"/>
          <w:sz w:val="20"/>
          <w:szCs w:val="20"/>
        </w:rPr>
      </w:pPr>
      <w:r>
        <w:rPr>
          <w:rStyle w:val="FootnoteReference"/>
        </w:rPr>
        <w:footnoteRef/>
      </w:r>
      <w:r>
        <w:t xml:space="preserve"> </w:t>
      </w:r>
      <w:r w:rsidR="00B261A0" w:rsidRPr="00994D50">
        <w:rPr>
          <w:sz w:val="20"/>
          <w:szCs w:val="20"/>
        </w:rPr>
        <w:t xml:space="preserve">Note that Figure 1 is a cutoff. </w:t>
      </w:r>
      <w:r w:rsidR="002D4C8D" w:rsidRPr="00994D50">
        <w:rPr>
          <w:rFonts w:eastAsia="Times New Roman" w:cstheme="minorHAnsi"/>
          <w:sz w:val="20"/>
          <w:szCs w:val="20"/>
        </w:rPr>
        <w:t xml:space="preserve">All the remaining commodities except for electricity are in </w:t>
      </w:r>
      <w:r w:rsidR="00B261A0" w:rsidRPr="00994D50">
        <w:rPr>
          <w:rFonts w:eastAsia="Times New Roman" w:cstheme="minorHAnsi"/>
          <w:sz w:val="20"/>
          <w:szCs w:val="20"/>
        </w:rPr>
        <w:t xml:space="preserve">the </w:t>
      </w:r>
      <w:proofErr w:type="spellStart"/>
      <w:r w:rsidR="002D4C8D" w:rsidRPr="00994D50">
        <w:rPr>
          <w:rFonts w:eastAsia="Times New Roman" w:cstheme="minorHAnsi"/>
          <w:sz w:val="20"/>
          <w:szCs w:val="20"/>
        </w:rPr>
        <w:t>nd</w:t>
      </w:r>
      <w:proofErr w:type="spellEnd"/>
      <w:r w:rsidR="002D4C8D" w:rsidRPr="00994D50">
        <w:rPr>
          <w:rFonts w:eastAsia="Times New Roman" w:cstheme="minorHAnsi"/>
          <w:sz w:val="20"/>
          <w:szCs w:val="20"/>
        </w:rPr>
        <w:t xml:space="preserve"> (intermediate)</w:t>
      </w:r>
      <w:r w:rsidR="00B261A0" w:rsidRPr="00994D50">
        <w:rPr>
          <w:rFonts w:eastAsia="Times New Roman" w:cstheme="minorHAnsi"/>
          <w:sz w:val="20"/>
          <w:szCs w:val="20"/>
        </w:rPr>
        <w:t xml:space="preserve"> nest</w:t>
      </w:r>
      <w:r w:rsidR="002D4C8D" w:rsidRPr="00994D50">
        <w:rPr>
          <w:rFonts w:eastAsia="Times New Roman" w:cstheme="minorHAnsi"/>
          <w:sz w:val="20"/>
          <w:szCs w:val="20"/>
        </w:rPr>
        <w:t xml:space="preserve"> while electricity is in </w:t>
      </w:r>
      <w:proofErr w:type="spellStart"/>
      <w:r w:rsidR="002D4C8D" w:rsidRPr="00994D50">
        <w:rPr>
          <w:rFonts w:eastAsia="Times New Roman" w:cstheme="minorHAnsi"/>
          <w:sz w:val="20"/>
          <w:szCs w:val="20"/>
        </w:rPr>
        <w:t>nrgER</w:t>
      </w:r>
      <w:proofErr w:type="spellEnd"/>
      <w:r w:rsidR="002D4C8D" w:rsidRPr="00994D50">
        <w:rPr>
          <w:rFonts w:eastAsia="Times New Roman" w:cstheme="minorHAnsi"/>
          <w:sz w:val="20"/>
          <w:szCs w:val="20"/>
        </w:rPr>
        <w:t>.</w:t>
      </w:r>
      <w:r w:rsidR="002D4C8D" w:rsidRPr="00994D50">
        <w:rPr>
          <w:rFonts w:eastAsia="Times New Roman" w:cstheme="minorHAnsi"/>
          <w:sz w:val="20"/>
          <w:szCs w:val="20"/>
        </w:rPr>
        <w:t xml:space="preserve"> </w:t>
      </w:r>
      <w:r w:rsidRPr="00994D50">
        <w:rPr>
          <w:rFonts w:eastAsia="Times New Roman" w:cstheme="minorHAnsi"/>
          <w:sz w:val="20"/>
          <w:szCs w:val="20"/>
        </w:rPr>
        <w:t xml:space="preserve">The first column indicates that this nesting applies to all activities. An analyst can create a sector-specific nesting by spelling out the name of the </w:t>
      </w:r>
      <w:r w:rsidR="003846C8" w:rsidRPr="00994D50">
        <w:rPr>
          <w:rFonts w:eastAsia="Times New Roman" w:cstheme="minorHAnsi"/>
          <w:sz w:val="20"/>
          <w:szCs w:val="20"/>
        </w:rPr>
        <w:t>activities</w:t>
      </w:r>
      <w:r w:rsidRPr="00994D50">
        <w:rPr>
          <w:rFonts w:eastAsia="Times New Roman" w:cstheme="minorHAnsi"/>
          <w:sz w:val="20"/>
          <w:szCs w:val="20"/>
        </w:rPr>
        <w:t xml:space="preserve"> followed by this general nesting.</w:t>
      </w:r>
      <w:r w:rsidR="00994D50" w:rsidRPr="00994D50">
        <w:rPr>
          <w:rFonts w:eastAsia="Times New Roman" w:cstheme="minorHAnsi"/>
          <w:sz w:val="20"/>
          <w:szCs w:val="20"/>
        </w:rPr>
        <w:t xml:space="preserve"> </w:t>
      </w:r>
      <w:r w:rsidR="00994D50" w:rsidRPr="00994D50">
        <w:rPr>
          <w:rFonts w:eastAsia="Times New Roman" w:cstheme="minorHAnsi"/>
          <w:sz w:val="20"/>
          <w:szCs w:val="20"/>
        </w:rPr>
        <w:t>The elasticities of substitution (</w:t>
      </w:r>
      <w:proofErr w:type="spellStart"/>
      <w:r w:rsidR="00994D50" w:rsidRPr="00994D50">
        <w:rPr>
          <w:rFonts w:eastAsia="Times New Roman" w:cstheme="minorHAnsi"/>
          <w:sz w:val="20"/>
          <w:szCs w:val="20"/>
        </w:rPr>
        <w:t>subselas</w:t>
      </w:r>
      <w:proofErr w:type="spellEnd"/>
      <w:r w:rsidR="00994D50" w:rsidRPr="00994D50">
        <w:rPr>
          <w:rFonts w:eastAsia="Times New Roman" w:cstheme="minorHAnsi"/>
          <w:sz w:val="20"/>
          <w:szCs w:val="20"/>
        </w:rPr>
        <w:t xml:space="preserve">) for the value-added nest by activities are the same as those in the GTAP which are defined in </w:t>
      </w:r>
      <w:r w:rsidR="00E56D19">
        <w:rPr>
          <w:rFonts w:eastAsia="Times New Roman" w:cstheme="minorHAnsi"/>
          <w:sz w:val="20"/>
          <w:szCs w:val="20"/>
        </w:rPr>
        <w:t xml:space="preserve">the </w:t>
      </w:r>
      <w:proofErr w:type="spellStart"/>
      <w:r w:rsidR="00994D50" w:rsidRPr="00994D50">
        <w:rPr>
          <w:rFonts w:eastAsia="Times New Roman" w:cstheme="minorHAnsi"/>
          <w:sz w:val="20"/>
          <w:szCs w:val="20"/>
        </w:rPr>
        <w:t>actPar</w:t>
      </w:r>
      <w:proofErr w:type="spellEnd"/>
      <w:r w:rsidR="00E56D19">
        <w:rPr>
          <w:rFonts w:eastAsia="Times New Roman" w:cstheme="minorHAnsi"/>
          <w:sz w:val="20"/>
          <w:szCs w:val="20"/>
        </w:rPr>
        <w:t xml:space="preserve"> sheet</w:t>
      </w:r>
      <w:r w:rsidR="00994D50" w:rsidRPr="00994D50">
        <w:rPr>
          <w:rFonts w:eastAsia="Times New Roman" w:cstheme="minorHAnsi"/>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20F"/>
    <w:multiLevelType w:val="multilevel"/>
    <w:tmpl w:val="C6C2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72BF0"/>
    <w:multiLevelType w:val="multilevel"/>
    <w:tmpl w:val="95C89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B652D2"/>
    <w:multiLevelType w:val="multilevel"/>
    <w:tmpl w:val="2DD4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12796"/>
    <w:multiLevelType w:val="hybridMultilevel"/>
    <w:tmpl w:val="A45CF0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447201"/>
    <w:multiLevelType w:val="hybridMultilevel"/>
    <w:tmpl w:val="BEA0ACC2"/>
    <w:lvl w:ilvl="0" w:tplc="0407000F">
      <w:start w:val="1"/>
      <w:numFmt w:val="decimal"/>
      <w:lvlText w:val="%1."/>
      <w:lvlJc w:val="left"/>
      <w:pPr>
        <w:ind w:left="773" w:hanging="360"/>
      </w:pPr>
    </w:lvl>
    <w:lvl w:ilvl="1" w:tplc="04070019" w:tentative="1">
      <w:start w:val="1"/>
      <w:numFmt w:val="lowerLetter"/>
      <w:lvlText w:val="%2."/>
      <w:lvlJc w:val="left"/>
      <w:pPr>
        <w:ind w:left="1493" w:hanging="360"/>
      </w:pPr>
    </w:lvl>
    <w:lvl w:ilvl="2" w:tplc="0407001B" w:tentative="1">
      <w:start w:val="1"/>
      <w:numFmt w:val="lowerRoman"/>
      <w:lvlText w:val="%3."/>
      <w:lvlJc w:val="right"/>
      <w:pPr>
        <w:ind w:left="2213" w:hanging="180"/>
      </w:pPr>
    </w:lvl>
    <w:lvl w:ilvl="3" w:tplc="0407000F" w:tentative="1">
      <w:start w:val="1"/>
      <w:numFmt w:val="decimal"/>
      <w:lvlText w:val="%4."/>
      <w:lvlJc w:val="left"/>
      <w:pPr>
        <w:ind w:left="2933" w:hanging="360"/>
      </w:pPr>
    </w:lvl>
    <w:lvl w:ilvl="4" w:tplc="04070019" w:tentative="1">
      <w:start w:val="1"/>
      <w:numFmt w:val="lowerLetter"/>
      <w:lvlText w:val="%5."/>
      <w:lvlJc w:val="left"/>
      <w:pPr>
        <w:ind w:left="3653" w:hanging="360"/>
      </w:pPr>
    </w:lvl>
    <w:lvl w:ilvl="5" w:tplc="0407001B" w:tentative="1">
      <w:start w:val="1"/>
      <w:numFmt w:val="lowerRoman"/>
      <w:lvlText w:val="%6."/>
      <w:lvlJc w:val="right"/>
      <w:pPr>
        <w:ind w:left="4373" w:hanging="180"/>
      </w:pPr>
    </w:lvl>
    <w:lvl w:ilvl="6" w:tplc="0407000F" w:tentative="1">
      <w:start w:val="1"/>
      <w:numFmt w:val="decimal"/>
      <w:lvlText w:val="%7."/>
      <w:lvlJc w:val="left"/>
      <w:pPr>
        <w:ind w:left="5093" w:hanging="360"/>
      </w:pPr>
    </w:lvl>
    <w:lvl w:ilvl="7" w:tplc="04070019" w:tentative="1">
      <w:start w:val="1"/>
      <w:numFmt w:val="lowerLetter"/>
      <w:lvlText w:val="%8."/>
      <w:lvlJc w:val="left"/>
      <w:pPr>
        <w:ind w:left="5813" w:hanging="360"/>
      </w:pPr>
    </w:lvl>
    <w:lvl w:ilvl="8" w:tplc="0407001B" w:tentative="1">
      <w:start w:val="1"/>
      <w:numFmt w:val="lowerRoman"/>
      <w:lvlText w:val="%9."/>
      <w:lvlJc w:val="right"/>
      <w:pPr>
        <w:ind w:left="6533" w:hanging="180"/>
      </w:pPr>
    </w:lvl>
  </w:abstractNum>
  <w:abstractNum w:abstractNumId="5" w15:restartNumberingAfterBreak="0">
    <w:nsid w:val="3E0875AA"/>
    <w:multiLevelType w:val="multilevel"/>
    <w:tmpl w:val="AAD6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74104E"/>
    <w:multiLevelType w:val="hybridMultilevel"/>
    <w:tmpl w:val="7D161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225439"/>
    <w:multiLevelType w:val="hybridMultilevel"/>
    <w:tmpl w:val="A5FE96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539546E"/>
    <w:multiLevelType w:val="hybridMultilevel"/>
    <w:tmpl w:val="7C96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354367">
    <w:abstractNumId w:val="4"/>
  </w:num>
  <w:num w:numId="2" w16cid:durableId="928349767">
    <w:abstractNumId w:val="3"/>
  </w:num>
  <w:num w:numId="3" w16cid:durableId="894465521">
    <w:abstractNumId w:val="7"/>
  </w:num>
  <w:num w:numId="4" w16cid:durableId="1862470981">
    <w:abstractNumId w:val="6"/>
  </w:num>
  <w:num w:numId="5" w16cid:durableId="1052146365">
    <w:abstractNumId w:val="1"/>
  </w:num>
  <w:num w:numId="6" w16cid:durableId="1677072665">
    <w:abstractNumId w:val="2"/>
  </w:num>
  <w:num w:numId="7" w16cid:durableId="1076829293">
    <w:abstractNumId w:val="0"/>
  </w:num>
  <w:num w:numId="8" w16cid:durableId="1683628797">
    <w:abstractNumId w:val="5"/>
  </w:num>
  <w:num w:numId="9" w16cid:durableId="2109420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E74"/>
    <w:rsid w:val="000023BA"/>
    <w:rsid w:val="00004721"/>
    <w:rsid w:val="00007E56"/>
    <w:rsid w:val="00011E4D"/>
    <w:rsid w:val="00011FA7"/>
    <w:rsid w:val="0001690C"/>
    <w:rsid w:val="000173B2"/>
    <w:rsid w:val="000220B6"/>
    <w:rsid w:val="000238F7"/>
    <w:rsid w:val="000279A2"/>
    <w:rsid w:val="00027B58"/>
    <w:rsid w:val="00030A0D"/>
    <w:rsid w:val="000341A1"/>
    <w:rsid w:val="000370C0"/>
    <w:rsid w:val="00037E80"/>
    <w:rsid w:val="00040E02"/>
    <w:rsid w:val="00045B22"/>
    <w:rsid w:val="00054E7F"/>
    <w:rsid w:val="00062260"/>
    <w:rsid w:val="000702FE"/>
    <w:rsid w:val="00072E60"/>
    <w:rsid w:val="00075296"/>
    <w:rsid w:val="00080606"/>
    <w:rsid w:val="00082A42"/>
    <w:rsid w:val="0008407D"/>
    <w:rsid w:val="000857B1"/>
    <w:rsid w:val="00085B5B"/>
    <w:rsid w:val="0008674E"/>
    <w:rsid w:val="00093D02"/>
    <w:rsid w:val="000946CE"/>
    <w:rsid w:val="0009733A"/>
    <w:rsid w:val="00097B97"/>
    <w:rsid w:val="000A48E6"/>
    <w:rsid w:val="000B0BF6"/>
    <w:rsid w:val="000B206A"/>
    <w:rsid w:val="000B26A4"/>
    <w:rsid w:val="000B3797"/>
    <w:rsid w:val="000B5E52"/>
    <w:rsid w:val="000C1621"/>
    <w:rsid w:val="000E06E9"/>
    <w:rsid w:val="000E3575"/>
    <w:rsid w:val="000E7915"/>
    <w:rsid w:val="000F03B9"/>
    <w:rsid w:val="000F0F2B"/>
    <w:rsid w:val="000F5BDF"/>
    <w:rsid w:val="00104C30"/>
    <w:rsid w:val="00110265"/>
    <w:rsid w:val="00112347"/>
    <w:rsid w:val="00115BA1"/>
    <w:rsid w:val="00116D04"/>
    <w:rsid w:val="00123F70"/>
    <w:rsid w:val="00124F39"/>
    <w:rsid w:val="00125077"/>
    <w:rsid w:val="00127FCD"/>
    <w:rsid w:val="001357BC"/>
    <w:rsid w:val="0014697E"/>
    <w:rsid w:val="00152AB5"/>
    <w:rsid w:val="00152AFA"/>
    <w:rsid w:val="00154B42"/>
    <w:rsid w:val="0016210E"/>
    <w:rsid w:val="00162FD0"/>
    <w:rsid w:val="00172DEF"/>
    <w:rsid w:val="00175A8F"/>
    <w:rsid w:val="00180DCD"/>
    <w:rsid w:val="00183A3A"/>
    <w:rsid w:val="00184B20"/>
    <w:rsid w:val="001856B0"/>
    <w:rsid w:val="00185BF0"/>
    <w:rsid w:val="001864B9"/>
    <w:rsid w:val="0019283C"/>
    <w:rsid w:val="00192DB6"/>
    <w:rsid w:val="001934D9"/>
    <w:rsid w:val="001959AD"/>
    <w:rsid w:val="00197445"/>
    <w:rsid w:val="001A3C4F"/>
    <w:rsid w:val="001A4DD4"/>
    <w:rsid w:val="001A5B8E"/>
    <w:rsid w:val="001A6515"/>
    <w:rsid w:val="001A7358"/>
    <w:rsid w:val="001A79A0"/>
    <w:rsid w:val="001A7DB6"/>
    <w:rsid w:val="001B4390"/>
    <w:rsid w:val="001C1932"/>
    <w:rsid w:val="001C2642"/>
    <w:rsid w:val="001C3FA4"/>
    <w:rsid w:val="001C778A"/>
    <w:rsid w:val="001D0A38"/>
    <w:rsid w:val="001D0B4F"/>
    <w:rsid w:val="001D0D22"/>
    <w:rsid w:val="001D1748"/>
    <w:rsid w:val="001D2BB5"/>
    <w:rsid w:val="001D3DA5"/>
    <w:rsid w:val="001D411E"/>
    <w:rsid w:val="001D6BBF"/>
    <w:rsid w:val="001E12A6"/>
    <w:rsid w:val="001E1C1A"/>
    <w:rsid w:val="001E4BC8"/>
    <w:rsid w:val="001E6064"/>
    <w:rsid w:val="001E6546"/>
    <w:rsid w:val="001F0408"/>
    <w:rsid w:val="001F2C71"/>
    <w:rsid w:val="001F66F4"/>
    <w:rsid w:val="002024BF"/>
    <w:rsid w:val="00204710"/>
    <w:rsid w:val="00207376"/>
    <w:rsid w:val="00210BF2"/>
    <w:rsid w:val="00213F28"/>
    <w:rsid w:val="002336C5"/>
    <w:rsid w:val="00235C84"/>
    <w:rsid w:val="0023694F"/>
    <w:rsid w:val="002429FF"/>
    <w:rsid w:val="0024535F"/>
    <w:rsid w:val="00246E74"/>
    <w:rsid w:val="00253492"/>
    <w:rsid w:val="00254857"/>
    <w:rsid w:val="002559E8"/>
    <w:rsid w:val="0026120F"/>
    <w:rsid w:val="00267272"/>
    <w:rsid w:val="0026783B"/>
    <w:rsid w:val="002679ED"/>
    <w:rsid w:val="002718CD"/>
    <w:rsid w:val="00272F5E"/>
    <w:rsid w:val="002734EF"/>
    <w:rsid w:val="00275108"/>
    <w:rsid w:val="00275EDB"/>
    <w:rsid w:val="002765D5"/>
    <w:rsid w:val="002774C0"/>
    <w:rsid w:val="00277802"/>
    <w:rsid w:val="00277CD4"/>
    <w:rsid w:val="00282C2B"/>
    <w:rsid w:val="00284A4E"/>
    <w:rsid w:val="0028596A"/>
    <w:rsid w:val="002869A5"/>
    <w:rsid w:val="0028792E"/>
    <w:rsid w:val="00287FE4"/>
    <w:rsid w:val="00291723"/>
    <w:rsid w:val="00292008"/>
    <w:rsid w:val="00293838"/>
    <w:rsid w:val="002A13BE"/>
    <w:rsid w:val="002A24F7"/>
    <w:rsid w:val="002A3609"/>
    <w:rsid w:val="002A46DC"/>
    <w:rsid w:val="002A5CF4"/>
    <w:rsid w:val="002B0B79"/>
    <w:rsid w:val="002B443B"/>
    <w:rsid w:val="002C3EC7"/>
    <w:rsid w:val="002C6BC4"/>
    <w:rsid w:val="002D3C66"/>
    <w:rsid w:val="002D46EA"/>
    <w:rsid w:val="002D4C8D"/>
    <w:rsid w:val="002E4547"/>
    <w:rsid w:val="002E7F0F"/>
    <w:rsid w:val="002F38C2"/>
    <w:rsid w:val="002F60E5"/>
    <w:rsid w:val="00304358"/>
    <w:rsid w:val="003100E3"/>
    <w:rsid w:val="00310393"/>
    <w:rsid w:val="003145CF"/>
    <w:rsid w:val="00314AE1"/>
    <w:rsid w:val="00322524"/>
    <w:rsid w:val="0032361D"/>
    <w:rsid w:val="00335A58"/>
    <w:rsid w:val="00335B1A"/>
    <w:rsid w:val="003361BD"/>
    <w:rsid w:val="00342CF6"/>
    <w:rsid w:val="00344590"/>
    <w:rsid w:val="003449C6"/>
    <w:rsid w:val="003453CA"/>
    <w:rsid w:val="00346A97"/>
    <w:rsid w:val="00352CF9"/>
    <w:rsid w:val="00352EFF"/>
    <w:rsid w:val="0035514A"/>
    <w:rsid w:val="00355EFC"/>
    <w:rsid w:val="00362688"/>
    <w:rsid w:val="0036328F"/>
    <w:rsid w:val="00363451"/>
    <w:rsid w:val="00370126"/>
    <w:rsid w:val="0037038B"/>
    <w:rsid w:val="00371590"/>
    <w:rsid w:val="00376E74"/>
    <w:rsid w:val="00382AF0"/>
    <w:rsid w:val="003846C8"/>
    <w:rsid w:val="00387FE4"/>
    <w:rsid w:val="003909F1"/>
    <w:rsid w:val="00396534"/>
    <w:rsid w:val="0039777E"/>
    <w:rsid w:val="003A36EF"/>
    <w:rsid w:val="003A626D"/>
    <w:rsid w:val="003B25E4"/>
    <w:rsid w:val="003B53B9"/>
    <w:rsid w:val="003B6EB7"/>
    <w:rsid w:val="003C0233"/>
    <w:rsid w:val="003C11C8"/>
    <w:rsid w:val="003C1C30"/>
    <w:rsid w:val="003C2DC2"/>
    <w:rsid w:val="003C336C"/>
    <w:rsid w:val="003C3FFA"/>
    <w:rsid w:val="003C7744"/>
    <w:rsid w:val="003C7759"/>
    <w:rsid w:val="003D05DE"/>
    <w:rsid w:val="003D2C54"/>
    <w:rsid w:val="003D6B99"/>
    <w:rsid w:val="003D709A"/>
    <w:rsid w:val="003E0E60"/>
    <w:rsid w:val="003E255F"/>
    <w:rsid w:val="003E6E1D"/>
    <w:rsid w:val="003E7E68"/>
    <w:rsid w:val="003F1DAE"/>
    <w:rsid w:val="0040672C"/>
    <w:rsid w:val="00410CBC"/>
    <w:rsid w:val="00410F32"/>
    <w:rsid w:val="00410FBB"/>
    <w:rsid w:val="00411599"/>
    <w:rsid w:val="00412E87"/>
    <w:rsid w:val="00420649"/>
    <w:rsid w:val="004236B8"/>
    <w:rsid w:val="00426436"/>
    <w:rsid w:val="0043028F"/>
    <w:rsid w:val="00430DB5"/>
    <w:rsid w:val="00433899"/>
    <w:rsid w:val="00434766"/>
    <w:rsid w:val="00435120"/>
    <w:rsid w:val="004362A8"/>
    <w:rsid w:val="00441743"/>
    <w:rsid w:val="0044246C"/>
    <w:rsid w:val="00443540"/>
    <w:rsid w:val="004445DC"/>
    <w:rsid w:val="0045078A"/>
    <w:rsid w:val="00451880"/>
    <w:rsid w:val="00451ECF"/>
    <w:rsid w:val="004528D9"/>
    <w:rsid w:val="0045390D"/>
    <w:rsid w:val="00453A36"/>
    <w:rsid w:val="0045522B"/>
    <w:rsid w:val="004617CB"/>
    <w:rsid w:val="004631BE"/>
    <w:rsid w:val="00463F77"/>
    <w:rsid w:val="00466F7E"/>
    <w:rsid w:val="00467EFD"/>
    <w:rsid w:val="004729FC"/>
    <w:rsid w:val="00480736"/>
    <w:rsid w:val="00485B3E"/>
    <w:rsid w:val="00486289"/>
    <w:rsid w:val="0048785E"/>
    <w:rsid w:val="00487C52"/>
    <w:rsid w:val="00492565"/>
    <w:rsid w:val="00493B7C"/>
    <w:rsid w:val="004949E7"/>
    <w:rsid w:val="004A5068"/>
    <w:rsid w:val="004A5CAD"/>
    <w:rsid w:val="004B33EB"/>
    <w:rsid w:val="004C10DF"/>
    <w:rsid w:val="004C4290"/>
    <w:rsid w:val="004D17E2"/>
    <w:rsid w:val="004D392C"/>
    <w:rsid w:val="004D63FC"/>
    <w:rsid w:val="004D7209"/>
    <w:rsid w:val="004E245D"/>
    <w:rsid w:val="004E2840"/>
    <w:rsid w:val="004E2FD1"/>
    <w:rsid w:val="004E49EF"/>
    <w:rsid w:val="004E5398"/>
    <w:rsid w:val="004E7632"/>
    <w:rsid w:val="004F31BA"/>
    <w:rsid w:val="004F4C46"/>
    <w:rsid w:val="004F4D6D"/>
    <w:rsid w:val="0050028E"/>
    <w:rsid w:val="00503E16"/>
    <w:rsid w:val="005075F7"/>
    <w:rsid w:val="005163E9"/>
    <w:rsid w:val="00521B0B"/>
    <w:rsid w:val="00521FB9"/>
    <w:rsid w:val="00523714"/>
    <w:rsid w:val="005246A7"/>
    <w:rsid w:val="00524958"/>
    <w:rsid w:val="005255FF"/>
    <w:rsid w:val="005274DF"/>
    <w:rsid w:val="00530577"/>
    <w:rsid w:val="005314F0"/>
    <w:rsid w:val="00531A6F"/>
    <w:rsid w:val="0053253E"/>
    <w:rsid w:val="00534E97"/>
    <w:rsid w:val="00537A93"/>
    <w:rsid w:val="00542216"/>
    <w:rsid w:val="00543793"/>
    <w:rsid w:val="005447CD"/>
    <w:rsid w:val="00544FAC"/>
    <w:rsid w:val="005466CA"/>
    <w:rsid w:val="00550172"/>
    <w:rsid w:val="00552635"/>
    <w:rsid w:val="005541E6"/>
    <w:rsid w:val="00560472"/>
    <w:rsid w:val="0056069A"/>
    <w:rsid w:val="00560F93"/>
    <w:rsid w:val="005648E3"/>
    <w:rsid w:val="00565A35"/>
    <w:rsid w:val="005661D2"/>
    <w:rsid w:val="00572B23"/>
    <w:rsid w:val="00572E52"/>
    <w:rsid w:val="0058124B"/>
    <w:rsid w:val="00582EF6"/>
    <w:rsid w:val="00586FA1"/>
    <w:rsid w:val="0058779A"/>
    <w:rsid w:val="005915AA"/>
    <w:rsid w:val="005949B5"/>
    <w:rsid w:val="005A2BE4"/>
    <w:rsid w:val="005A502B"/>
    <w:rsid w:val="005B29F4"/>
    <w:rsid w:val="005B4E0E"/>
    <w:rsid w:val="005B5C25"/>
    <w:rsid w:val="005C0414"/>
    <w:rsid w:val="005C2E43"/>
    <w:rsid w:val="005C34C3"/>
    <w:rsid w:val="005C6145"/>
    <w:rsid w:val="005D0159"/>
    <w:rsid w:val="005D632E"/>
    <w:rsid w:val="005E26F2"/>
    <w:rsid w:val="005E2BBD"/>
    <w:rsid w:val="005E2FB7"/>
    <w:rsid w:val="005E3ED1"/>
    <w:rsid w:val="005F1412"/>
    <w:rsid w:val="005F365C"/>
    <w:rsid w:val="005F7A5C"/>
    <w:rsid w:val="0060562D"/>
    <w:rsid w:val="00607D03"/>
    <w:rsid w:val="0061661B"/>
    <w:rsid w:val="00621967"/>
    <w:rsid w:val="006235DC"/>
    <w:rsid w:val="00625781"/>
    <w:rsid w:val="0062645D"/>
    <w:rsid w:val="00630795"/>
    <w:rsid w:val="00640DB5"/>
    <w:rsid w:val="00643C31"/>
    <w:rsid w:val="006474B0"/>
    <w:rsid w:val="00650BB0"/>
    <w:rsid w:val="00651079"/>
    <w:rsid w:val="00651663"/>
    <w:rsid w:val="0065469A"/>
    <w:rsid w:val="00665835"/>
    <w:rsid w:val="00667232"/>
    <w:rsid w:val="00670B16"/>
    <w:rsid w:val="00670E24"/>
    <w:rsid w:val="0067503E"/>
    <w:rsid w:val="00675BAF"/>
    <w:rsid w:val="006802A5"/>
    <w:rsid w:val="006825C8"/>
    <w:rsid w:val="0068299E"/>
    <w:rsid w:val="006829CD"/>
    <w:rsid w:val="006833AB"/>
    <w:rsid w:val="006928E3"/>
    <w:rsid w:val="00697C59"/>
    <w:rsid w:val="006A0C95"/>
    <w:rsid w:val="006A1BEA"/>
    <w:rsid w:val="006A4E94"/>
    <w:rsid w:val="006A6422"/>
    <w:rsid w:val="006A697F"/>
    <w:rsid w:val="006B0F49"/>
    <w:rsid w:val="006B0FEF"/>
    <w:rsid w:val="006B3E87"/>
    <w:rsid w:val="006B7B68"/>
    <w:rsid w:val="006C21A4"/>
    <w:rsid w:val="006C5985"/>
    <w:rsid w:val="006C713D"/>
    <w:rsid w:val="006C73CA"/>
    <w:rsid w:val="006D074A"/>
    <w:rsid w:val="006D144C"/>
    <w:rsid w:val="006D2FD8"/>
    <w:rsid w:val="006D477D"/>
    <w:rsid w:val="006D4EB6"/>
    <w:rsid w:val="006D5301"/>
    <w:rsid w:val="006D5CB1"/>
    <w:rsid w:val="006D7BB2"/>
    <w:rsid w:val="006D7F16"/>
    <w:rsid w:val="006E0745"/>
    <w:rsid w:val="006E40BF"/>
    <w:rsid w:val="006E7B45"/>
    <w:rsid w:val="006F38BB"/>
    <w:rsid w:val="006F5482"/>
    <w:rsid w:val="007100F5"/>
    <w:rsid w:val="007305BB"/>
    <w:rsid w:val="0073480F"/>
    <w:rsid w:val="00734D10"/>
    <w:rsid w:val="007430F8"/>
    <w:rsid w:val="0074600A"/>
    <w:rsid w:val="007467AD"/>
    <w:rsid w:val="00746C47"/>
    <w:rsid w:val="0074704E"/>
    <w:rsid w:val="0075010C"/>
    <w:rsid w:val="0075747B"/>
    <w:rsid w:val="00763572"/>
    <w:rsid w:val="00765216"/>
    <w:rsid w:val="0076757A"/>
    <w:rsid w:val="00775C54"/>
    <w:rsid w:val="0078039E"/>
    <w:rsid w:val="007822DB"/>
    <w:rsid w:val="00794A6A"/>
    <w:rsid w:val="00795C59"/>
    <w:rsid w:val="0079767C"/>
    <w:rsid w:val="00797EA2"/>
    <w:rsid w:val="007A6D01"/>
    <w:rsid w:val="007B0108"/>
    <w:rsid w:val="007B1D78"/>
    <w:rsid w:val="007B399E"/>
    <w:rsid w:val="007B4E81"/>
    <w:rsid w:val="007B5E67"/>
    <w:rsid w:val="007B6C80"/>
    <w:rsid w:val="007C318A"/>
    <w:rsid w:val="007D2653"/>
    <w:rsid w:val="007D3411"/>
    <w:rsid w:val="007D44D2"/>
    <w:rsid w:val="007D6DDB"/>
    <w:rsid w:val="007D7632"/>
    <w:rsid w:val="007E1E3D"/>
    <w:rsid w:val="007E4E7B"/>
    <w:rsid w:val="007F085F"/>
    <w:rsid w:val="007F2C07"/>
    <w:rsid w:val="007F5106"/>
    <w:rsid w:val="007F5E29"/>
    <w:rsid w:val="007F675E"/>
    <w:rsid w:val="008074D2"/>
    <w:rsid w:val="008108FC"/>
    <w:rsid w:val="00811810"/>
    <w:rsid w:val="008213FF"/>
    <w:rsid w:val="00824CD0"/>
    <w:rsid w:val="00826006"/>
    <w:rsid w:val="0082607A"/>
    <w:rsid w:val="008274FC"/>
    <w:rsid w:val="008340C6"/>
    <w:rsid w:val="0083765B"/>
    <w:rsid w:val="0084032F"/>
    <w:rsid w:val="00841541"/>
    <w:rsid w:val="00846C4D"/>
    <w:rsid w:val="00846FC4"/>
    <w:rsid w:val="0085117C"/>
    <w:rsid w:val="00856FB7"/>
    <w:rsid w:val="00860DA8"/>
    <w:rsid w:val="008637F0"/>
    <w:rsid w:val="00864A85"/>
    <w:rsid w:val="008726A8"/>
    <w:rsid w:val="00873D5B"/>
    <w:rsid w:val="00875336"/>
    <w:rsid w:val="00875D89"/>
    <w:rsid w:val="008764B3"/>
    <w:rsid w:val="00882702"/>
    <w:rsid w:val="00884C19"/>
    <w:rsid w:val="00884C3C"/>
    <w:rsid w:val="00885D8C"/>
    <w:rsid w:val="00890E69"/>
    <w:rsid w:val="008935D7"/>
    <w:rsid w:val="00893C40"/>
    <w:rsid w:val="008A0BD7"/>
    <w:rsid w:val="008A0EEE"/>
    <w:rsid w:val="008A42D9"/>
    <w:rsid w:val="008A5913"/>
    <w:rsid w:val="008A6678"/>
    <w:rsid w:val="008A6908"/>
    <w:rsid w:val="008B3360"/>
    <w:rsid w:val="008B345F"/>
    <w:rsid w:val="008B430B"/>
    <w:rsid w:val="008B5FD1"/>
    <w:rsid w:val="008B6277"/>
    <w:rsid w:val="008B6F5D"/>
    <w:rsid w:val="008B7285"/>
    <w:rsid w:val="008B7AD1"/>
    <w:rsid w:val="008C4E33"/>
    <w:rsid w:val="008C5DF3"/>
    <w:rsid w:val="008D360A"/>
    <w:rsid w:val="008D4D95"/>
    <w:rsid w:val="008E4C75"/>
    <w:rsid w:val="008E52CD"/>
    <w:rsid w:val="008E7595"/>
    <w:rsid w:val="008F049A"/>
    <w:rsid w:val="008F06C1"/>
    <w:rsid w:val="008F507F"/>
    <w:rsid w:val="00902B42"/>
    <w:rsid w:val="00903300"/>
    <w:rsid w:val="0091095E"/>
    <w:rsid w:val="0091349B"/>
    <w:rsid w:val="009201FA"/>
    <w:rsid w:val="0092022B"/>
    <w:rsid w:val="00921351"/>
    <w:rsid w:val="00922B1C"/>
    <w:rsid w:val="00926E99"/>
    <w:rsid w:val="00933E9C"/>
    <w:rsid w:val="00934D28"/>
    <w:rsid w:val="00935054"/>
    <w:rsid w:val="00936F2A"/>
    <w:rsid w:val="00941F5A"/>
    <w:rsid w:val="0094563F"/>
    <w:rsid w:val="009470F2"/>
    <w:rsid w:val="0095234F"/>
    <w:rsid w:val="00953C36"/>
    <w:rsid w:val="0095508A"/>
    <w:rsid w:val="00956E4F"/>
    <w:rsid w:val="00960993"/>
    <w:rsid w:val="00960B40"/>
    <w:rsid w:val="0096608E"/>
    <w:rsid w:val="0096689E"/>
    <w:rsid w:val="009670ED"/>
    <w:rsid w:val="00976003"/>
    <w:rsid w:val="009761DA"/>
    <w:rsid w:val="00981A5E"/>
    <w:rsid w:val="00983611"/>
    <w:rsid w:val="00994D50"/>
    <w:rsid w:val="00994E73"/>
    <w:rsid w:val="00996646"/>
    <w:rsid w:val="009A5747"/>
    <w:rsid w:val="009A7512"/>
    <w:rsid w:val="009A7DA9"/>
    <w:rsid w:val="009B0B42"/>
    <w:rsid w:val="009B157B"/>
    <w:rsid w:val="009B4EFA"/>
    <w:rsid w:val="009C20F0"/>
    <w:rsid w:val="009C325B"/>
    <w:rsid w:val="009C5CE8"/>
    <w:rsid w:val="009C7644"/>
    <w:rsid w:val="009D00D9"/>
    <w:rsid w:val="009D5079"/>
    <w:rsid w:val="009D523E"/>
    <w:rsid w:val="009D54B9"/>
    <w:rsid w:val="009E28A5"/>
    <w:rsid w:val="009E3829"/>
    <w:rsid w:val="009E5664"/>
    <w:rsid w:val="009F4AA5"/>
    <w:rsid w:val="00A00A2C"/>
    <w:rsid w:val="00A02725"/>
    <w:rsid w:val="00A030A0"/>
    <w:rsid w:val="00A03570"/>
    <w:rsid w:val="00A048E5"/>
    <w:rsid w:val="00A04CC9"/>
    <w:rsid w:val="00A06509"/>
    <w:rsid w:val="00A1152A"/>
    <w:rsid w:val="00A13483"/>
    <w:rsid w:val="00A2373E"/>
    <w:rsid w:val="00A25BA8"/>
    <w:rsid w:val="00A26C58"/>
    <w:rsid w:val="00A300AD"/>
    <w:rsid w:val="00A30FDC"/>
    <w:rsid w:val="00A3137B"/>
    <w:rsid w:val="00A31A43"/>
    <w:rsid w:val="00A322BB"/>
    <w:rsid w:val="00A33479"/>
    <w:rsid w:val="00A410E4"/>
    <w:rsid w:val="00A412B0"/>
    <w:rsid w:val="00A4651C"/>
    <w:rsid w:val="00A506B9"/>
    <w:rsid w:val="00A52C2C"/>
    <w:rsid w:val="00A53A05"/>
    <w:rsid w:val="00A53ECC"/>
    <w:rsid w:val="00A553DD"/>
    <w:rsid w:val="00A55799"/>
    <w:rsid w:val="00A601EA"/>
    <w:rsid w:val="00A6243C"/>
    <w:rsid w:val="00A62940"/>
    <w:rsid w:val="00A62E7F"/>
    <w:rsid w:val="00A679D3"/>
    <w:rsid w:val="00A73AE9"/>
    <w:rsid w:val="00A860EE"/>
    <w:rsid w:val="00A9076E"/>
    <w:rsid w:val="00A92789"/>
    <w:rsid w:val="00A934AE"/>
    <w:rsid w:val="00A9456F"/>
    <w:rsid w:val="00A96143"/>
    <w:rsid w:val="00AA3C77"/>
    <w:rsid w:val="00AA4221"/>
    <w:rsid w:val="00AA494A"/>
    <w:rsid w:val="00AA5D48"/>
    <w:rsid w:val="00AB26D8"/>
    <w:rsid w:val="00AB383A"/>
    <w:rsid w:val="00AB42A5"/>
    <w:rsid w:val="00AB7DC0"/>
    <w:rsid w:val="00AC0248"/>
    <w:rsid w:val="00AC2174"/>
    <w:rsid w:val="00AC5287"/>
    <w:rsid w:val="00AC6209"/>
    <w:rsid w:val="00AC7F53"/>
    <w:rsid w:val="00AD1538"/>
    <w:rsid w:val="00AD1B5B"/>
    <w:rsid w:val="00AD1BE3"/>
    <w:rsid w:val="00AD33A4"/>
    <w:rsid w:val="00AD3E85"/>
    <w:rsid w:val="00AD429F"/>
    <w:rsid w:val="00AD4834"/>
    <w:rsid w:val="00AD4CCA"/>
    <w:rsid w:val="00AD7CE5"/>
    <w:rsid w:val="00AE1D70"/>
    <w:rsid w:val="00AE2859"/>
    <w:rsid w:val="00AE7B2B"/>
    <w:rsid w:val="00AF162D"/>
    <w:rsid w:val="00AF27EB"/>
    <w:rsid w:val="00AF6559"/>
    <w:rsid w:val="00B00E83"/>
    <w:rsid w:val="00B01302"/>
    <w:rsid w:val="00B03BF2"/>
    <w:rsid w:val="00B04DD1"/>
    <w:rsid w:val="00B07995"/>
    <w:rsid w:val="00B1167C"/>
    <w:rsid w:val="00B122E3"/>
    <w:rsid w:val="00B21C1E"/>
    <w:rsid w:val="00B21C93"/>
    <w:rsid w:val="00B24623"/>
    <w:rsid w:val="00B24CD0"/>
    <w:rsid w:val="00B25362"/>
    <w:rsid w:val="00B261A0"/>
    <w:rsid w:val="00B26FCC"/>
    <w:rsid w:val="00B352DF"/>
    <w:rsid w:val="00B355D4"/>
    <w:rsid w:val="00B360D3"/>
    <w:rsid w:val="00B36640"/>
    <w:rsid w:val="00B40823"/>
    <w:rsid w:val="00B45340"/>
    <w:rsid w:val="00B4705B"/>
    <w:rsid w:val="00B47A7A"/>
    <w:rsid w:val="00B515C8"/>
    <w:rsid w:val="00B52FAA"/>
    <w:rsid w:val="00B64768"/>
    <w:rsid w:val="00B663FF"/>
    <w:rsid w:val="00B67A53"/>
    <w:rsid w:val="00B71521"/>
    <w:rsid w:val="00B743F1"/>
    <w:rsid w:val="00B80CEB"/>
    <w:rsid w:val="00B9049B"/>
    <w:rsid w:val="00B90D67"/>
    <w:rsid w:val="00B90FF4"/>
    <w:rsid w:val="00B936AC"/>
    <w:rsid w:val="00B9394C"/>
    <w:rsid w:val="00B95072"/>
    <w:rsid w:val="00B966F9"/>
    <w:rsid w:val="00BA1B3C"/>
    <w:rsid w:val="00BA4238"/>
    <w:rsid w:val="00BA5F3B"/>
    <w:rsid w:val="00BA78C5"/>
    <w:rsid w:val="00BB2237"/>
    <w:rsid w:val="00BB4F09"/>
    <w:rsid w:val="00BB5630"/>
    <w:rsid w:val="00BB5B2E"/>
    <w:rsid w:val="00BB6E94"/>
    <w:rsid w:val="00BC67CC"/>
    <w:rsid w:val="00BC6D0A"/>
    <w:rsid w:val="00BD1DFC"/>
    <w:rsid w:val="00BD7780"/>
    <w:rsid w:val="00BD79FD"/>
    <w:rsid w:val="00BE11E4"/>
    <w:rsid w:val="00BE13F3"/>
    <w:rsid w:val="00BE6914"/>
    <w:rsid w:val="00BF39EA"/>
    <w:rsid w:val="00BF5575"/>
    <w:rsid w:val="00BF6FBF"/>
    <w:rsid w:val="00C00735"/>
    <w:rsid w:val="00C01CFB"/>
    <w:rsid w:val="00C03851"/>
    <w:rsid w:val="00C05743"/>
    <w:rsid w:val="00C11128"/>
    <w:rsid w:val="00C1348A"/>
    <w:rsid w:val="00C14340"/>
    <w:rsid w:val="00C14BD2"/>
    <w:rsid w:val="00C168CB"/>
    <w:rsid w:val="00C20431"/>
    <w:rsid w:val="00C222DC"/>
    <w:rsid w:val="00C23BB3"/>
    <w:rsid w:val="00C26E05"/>
    <w:rsid w:val="00C26F9C"/>
    <w:rsid w:val="00C3450E"/>
    <w:rsid w:val="00C35872"/>
    <w:rsid w:val="00C372FD"/>
    <w:rsid w:val="00C3758D"/>
    <w:rsid w:val="00C44830"/>
    <w:rsid w:val="00C452C8"/>
    <w:rsid w:val="00C459DD"/>
    <w:rsid w:val="00C4633E"/>
    <w:rsid w:val="00C508D2"/>
    <w:rsid w:val="00C5189F"/>
    <w:rsid w:val="00C524C2"/>
    <w:rsid w:val="00C569A0"/>
    <w:rsid w:val="00C56A23"/>
    <w:rsid w:val="00C6348C"/>
    <w:rsid w:val="00C71054"/>
    <w:rsid w:val="00C72CEF"/>
    <w:rsid w:val="00C734B2"/>
    <w:rsid w:val="00C73515"/>
    <w:rsid w:val="00C73FB4"/>
    <w:rsid w:val="00C76D74"/>
    <w:rsid w:val="00C80D03"/>
    <w:rsid w:val="00C84CBC"/>
    <w:rsid w:val="00C9093E"/>
    <w:rsid w:val="00C910E4"/>
    <w:rsid w:val="00C93775"/>
    <w:rsid w:val="00C93FA5"/>
    <w:rsid w:val="00C952D9"/>
    <w:rsid w:val="00C958E0"/>
    <w:rsid w:val="00CA147A"/>
    <w:rsid w:val="00CA22ED"/>
    <w:rsid w:val="00CA4EF7"/>
    <w:rsid w:val="00CA550C"/>
    <w:rsid w:val="00CA5A9E"/>
    <w:rsid w:val="00CA70EC"/>
    <w:rsid w:val="00CA7964"/>
    <w:rsid w:val="00CB291E"/>
    <w:rsid w:val="00CB345B"/>
    <w:rsid w:val="00CB370B"/>
    <w:rsid w:val="00CB75B5"/>
    <w:rsid w:val="00CB7650"/>
    <w:rsid w:val="00CC1259"/>
    <w:rsid w:val="00CC569D"/>
    <w:rsid w:val="00CC70CE"/>
    <w:rsid w:val="00CD1FA1"/>
    <w:rsid w:val="00CD25F3"/>
    <w:rsid w:val="00CD4B66"/>
    <w:rsid w:val="00CE090B"/>
    <w:rsid w:val="00CE2B74"/>
    <w:rsid w:val="00CE2DB3"/>
    <w:rsid w:val="00CE3429"/>
    <w:rsid w:val="00CE35B9"/>
    <w:rsid w:val="00CE3BE2"/>
    <w:rsid w:val="00CF0239"/>
    <w:rsid w:val="00CF1848"/>
    <w:rsid w:val="00CF349D"/>
    <w:rsid w:val="00D11843"/>
    <w:rsid w:val="00D12699"/>
    <w:rsid w:val="00D1743B"/>
    <w:rsid w:val="00D20AEA"/>
    <w:rsid w:val="00D25677"/>
    <w:rsid w:val="00D33AD7"/>
    <w:rsid w:val="00D3469E"/>
    <w:rsid w:val="00D355F4"/>
    <w:rsid w:val="00D43FEE"/>
    <w:rsid w:val="00D44DDE"/>
    <w:rsid w:val="00D464D8"/>
    <w:rsid w:val="00D46FBF"/>
    <w:rsid w:val="00D47D3A"/>
    <w:rsid w:val="00D55A3D"/>
    <w:rsid w:val="00D56E92"/>
    <w:rsid w:val="00D57086"/>
    <w:rsid w:val="00D57B24"/>
    <w:rsid w:val="00D60039"/>
    <w:rsid w:val="00D605D2"/>
    <w:rsid w:val="00D62E40"/>
    <w:rsid w:val="00D651DB"/>
    <w:rsid w:val="00D65971"/>
    <w:rsid w:val="00D65A71"/>
    <w:rsid w:val="00D66256"/>
    <w:rsid w:val="00D70B38"/>
    <w:rsid w:val="00D76FFD"/>
    <w:rsid w:val="00D8779A"/>
    <w:rsid w:val="00D87927"/>
    <w:rsid w:val="00D9069D"/>
    <w:rsid w:val="00DA6286"/>
    <w:rsid w:val="00DA682E"/>
    <w:rsid w:val="00DA7FB5"/>
    <w:rsid w:val="00DC109F"/>
    <w:rsid w:val="00DC4BF5"/>
    <w:rsid w:val="00DD1EF8"/>
    <w:rsid w:val="00DD4DD1"/>
    <w:rsid w:val="00DD5B22"/>
    <w:rsid w:val="00DD5E12"/>
    <w:rsid w:val="00DD646D"/>
    <w:rsid w:val="00DE1525"/>
    <w:rsid w:val="00DE167D"/>
    <w:rsid w:val="00DE2527"/>
    <w:rsid w:val="00DE5A03"/>
    <w:rsid w:val="00DF2D15"/>
    <w:rsid w:val="00DF5329"/>
    <w:rsid w:val="00DF7EFD"/>
    <w:rsid w:val="00E04D45"/>
    <w:rsid w:val="00E04E59"/>
    <w:rsid w:val="00E0555F"/>
    <w:rsid w:val="00E05BBD"/>
    <w:rsid w:val="00E13921"/>
    <w:rsid w:val="00E1426C"/>
    <w:rsid w:val="00E16100"/>
    <w:rsid w:val="00E21570"/>
    <w:rsid w:val="00E25367"/>
    <w:rsid w:val="00E271CD"/>
    <w:rsid w:val="00E332DB"/>
    <w:rsid w:val="00E337DA"/>
    <w:rsid w:val="00E34FFA"/>
    <w:rsid w:val="00E377DD"/>
    <w:rsid w:val="00E406D6"/>
    <w:rsid w:val="00E41D5E"/>
    <w:rsid w:val="00E41E30"/>
    <w:rsid w:val="00E45AE6"/>
    <w:rsid w:val="00E55E92"/>
    <w:rsid w:val="00E56342"/>
    <w:rsid w:val="00E5659A"/>
    <w:rsid w:val="00E56D19"/>
    <w:rsid w:val="00E577E3"/>
    <w:rsid w:val="00E64FA8"/>
    <w:rsid w:val="00E655B3"/>
    <w:rsid w:val="00E7018E"/>
    <w:rsid w:val="00E75052"/>
    <w:rsid w:val="00E75BF3"/>
    <w:rsid w:val="00E77756"/>
    <w:rsid w:val="00E8086D"/>
    <w:rsid w:val="00E81987"/>
    <w:rsid w:val="00E84111"/>
    <w:rsid w:val="00E9221B"/>
    <w:rsid w:val="00E952EC"/>
    <w:rsid w:val="00E95462"/>
    <w:rsid w:val="00E967DE"/>
    <w:rsid w:val="00EA2A57"/>
    <w:rsid w:val="00EA40F3"/>
    <w:rsid w:val="00EB006C"/>
    <w:rsid w:val="00EB1763"/>
    <w:rsid w:val="00EB43FF"/>
    <w:rsid w:val="00EB4DE6"/>
    <w:rsid w:val="00EB615C"/>
    <w:rsid w:val="00EC1284"/>
    <w:rsid w:val="00EC2164"/>
    <w:rsid w:val="00EC53EB"/>
    <w:rsid w:val="00EC6214"/>
    <w:rsid w:val="00EC696B"/>
    <w:rsid w:val="00EC69B0"/>
    <w:rsid w:val="00ED00E8"/>
    <w:rsid w:val="00EE1216"/>
    <w:rsid w:val="00EE21C4"/>
    <w:rsid w:val="00EE4F5A"/>
    <w:rsid w:val="00EE5C59"/>
    <w:rsid w:val="00EF0A26"/>
    <w:rsid w:val="00EF1AF8"/>
    <w:rsid w:val="00EF1EDA"/>
    <w:rsid w:val="00EF2EE8"/>
    <w:rsid w:val="00EF7C7A"/>
    <w:rsid w:val="00F05B6B"/>
    <w:rsid w:val="00F05C0B"/>
    <w:rsid w:val="00F112FE"/>
    <w:rsid w:val="00F147B3"/>
    <w:rsid w:val="00F1502D"/>
    <w:rsid w:val="00F173AA"/>
    <w:rsid w:val="00F208C2"/>
    <w:rsid w:val="00F2143B"/>
    <w:rsid w:val="00F22691"/>
    <w:rsid w:val="00F23C48"/>
    <w:rsid w:val="00F243DD"/>
    <w:rsid w:val="00F31FB6"/>
    <w:rsid w:val="00F32553"/>
    <w:rsid w:val="00F33A3A"/>
    <w:rsid w:val="00F3536E"/>
    <w:rsid w:val="00F3648D"/>
    <w:rsid w:val="00F43D4C"/>
    <w:rsid w:val="00F459AB"/>
    <w:rsid w:val="00F46D94"/>
    <w:rsid w:val="00F57243"/>
    <w:rsid w:val="00F5728C"/>
    <w:rsid w:val="00F576B2"/>
    <w:rsid w:val="00F61052"/>
    <w:rsid w:val="00F61BC4"/>
    <w:rsid w:val="00F64C0D"/>
    <w:rsid w:val="00F711D7"/>
    <w:rsid w:val="00F738E6"/>
    <w:rsid w:val="00F76DF8"/>
    <w:rsid w:val="00F77F5D"/>
    <w:rsid w:val="00F8375B"/>
    <w:rsid w:val="00F861CA"/>
    <w:rsid w:val="00F86887"/>
    <w:rsid w:val="00F92A5C"/>
    <w:rsid w:val="00F975AB"/>
    <w:rsid w:val="00FA4DD0"/>
    <w:rsid w:val="00FA72DC"/>
    <w:rsid w:val="00FB79A9"/>
    <w:rsid w:val="00FC190A"/>
    <w:rsid w:val="00FC2E94"/>
    <w:rsid w:val="00FD006A"/>
    <w:rsid w:val="00FD2E3B"/>
    <w:rsid w:val="00FE314B"/>
    <w:rsid w:val="00FE471D"/>
    <w:rsid w:val="00FE68A6"/>
    <w:rsid w:val="00FF0071"/>
    <w:rsid w:val="00FF6F54"/>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868A"/>
  <w15:chartTrackingRefBased/>
  <w15:docId w15:val="{E7635F33-BA77-4AE8-9658-98EC6B80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7E2"/>
    <w:pPr>
      <w:keepNext/>
      <w:keepLines/>
      <w:spacing w:before="240" w:after="0"/>
      <w:outlineLvl w:val="0"/>
    </w:pPr>
    <w:rPr>
      <w:rFonts w:asciiTheme="majorHAnsi" w:eastAsiaTheme="majorEastAsia" w:hAnsiTheme="majorHAnsi" w:cstheme="majorBidi"/>
      <w:color w:val="2F5496" w:themeColor="accent1" w:themeShade="BF"/>
      <w:kern w:val="2"/>
      <w:sz w:val="32"/>
      <w:szCs w:val="32"/>
      <w:lang w:val="de-DE"/>
      <w14:ligatures w14:val="standardContextual"/>
    </w:rPr>
  </w:style>
  <w:style w:type="paragraph" w:styleId="Heading2">
    <w:name w:val="heading 2"/>
    <w:basedOn w:val="Normal"/>
    <w:next w:val="Normal"/>
    <w:link w:val="Heading2Char"/>
    <w:uiPriority w:val="9"/>
    <w:unhideWhenUsed/>
    <w:qFormat/>
    <w:rsid w:val="00086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11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1621"/>
    <w:rPr>
      <w:color w:val="0563C1" w:themeColor="hyperlink"/>
      <w:u w:val="single"/>
    </w:rPr>
  </w:style>
  <w:style w:type="paragraph" w:styleId="FootnoteText">
    <w:name w:val="footnote text"/>
    <w:aliases w:val="Texto nota pie Car Car Car,Footnote Text1,fn,Footnote Text Char1 Char,Footnote Text Char Char Char,Footnote Text Char1,Footnote Text Char Char Char Char,Footnote Text Char2,Footnote Text Char Char1,Footnote Text Char Char1 Char,ft,Geneva 9"/>
    <w:basedOn w:val="Normal"/>
    <w:link w:val="FootnoteTextChar"/>
    <w:uiPriority w:val="99"/>
    <w:unhideWhenUsed/>
    <w:qFormat/>
    <w:rsid w:val="000C1621"/>
    <w:pPr>
      <w:spacing w:after="0" w:line="240" w:lineRule="auto"/>
    </w:pPr>
    <w:rPr>
      <w:sz w:val="20"/>
      <w:szCs w:val="20"/>
    </w:rPr>
  </w:style>
  <w:style w:type="character" w:customStyle="1" w:styleId="FootnoteTextChar">
    <w:name w:val="Footnote Text Char"/>
    <w:aliases w:val="Texto nota pie Car Car Car Char,Footnote Text1 Char,fn Char,Footnote Text Char1 Char Char,Footnote Text Char Char Char Char1,Footnote Text Char1 Char1,Footnote Text Char Char Char Char Char,Footnote Text Char2 Char,ft Char"/>
    <w:basedOn w:val="DefaultParagraphFont"/>
    <w:link w:val="FootnoteText"/>
    <w:uiPriority w:val="99"/>
    <w:qFormat/>
    <w:rsid w:val="000C1621"/>
    <w:rPr>
      <w:sz w:val="20"/>
      <w:szCs w:val="20"/>
    </w:rPr>
  </w:style>
  <w:style w:type="character" w:styleId="FootnoteReference">
    <w:name w:val="footnote reference"/>
    <w:aliases w:val="referencia nota al pie,ftref,16 Point,Superscript 6 Point,Footnotes refss,Appel note de bas de page,4_G,Ref. de nota al pie2,BVI fnr,Footnote symbol,Footnote,Footnote number,f,Ref. de nota al pie.,FC,Nota de pie,Ref,de nota al pie,fr"/>
    <w:basedOn w:val="DefaultParagraphFont"/>
    <w:link w:val="ftrefCharCharCharCharCharCharCharCharChar"/>
    <w:uiPriority w:val="99"/>
    <w:unhideWhenUsed/>
    <w:qFormat/>
    <w:rsid w:val="000C1621"/>
    <w:rPr>
      <w:vertAlign w:val="superscript"/>
    </w:rPr>
  </w:style>
  <w:style w:type="paragraph" w:styleId="ListParagraph">
    <w:name w:val="List Paragraph"/>
    <w:basedOn w:val="Normal"/>
    <w:uiPriority w:val="34"/>
    <w:qFormat/>
    <w:rsid w:val="000C1621"/>
    <w:pPr>
      <w:ind w:left="720"/>
      <w:contextualSpacing/>
    </w:pPr>
    <w:rPr>
      <w:kern w:val="2"/>
      <w:lang w:val="de-DE"/>
      <w14:ligatures w14:val="standardContextual"/>
    </w:rPr>
  </w:style>
  <w:style w:type="paragraph" w:styleId="NormalWeb">
    <w:name w:val="Normal (Web)"/>
    <w:basedOn w:val="Normal"/>
    <w:uiPriority w:val="99"/>
    <w:semiHidden/>
    <w:unhideWhenUsed/>
    <w:rsid w:val="006E07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D17E2"/>
    <w:rPr>
      <w:rFonts w:asciiTheme="majorHAnsi" w:eastAsiaTheme="majorEastAsia" w:hAnsiTheme="majorHAnsi" w:cstheme="majorBidi"/>
      <w:color w:val="2F5496" w:themeColor="accent1" w:themeShade="BF"/>
      <w:kern w:val="2"/>
      <w:sz w:val="32"/>
      <w:szCs w:val="32"/>
      <w:lang w:val="de-DE"/>
      <w14:ligatures w14:val="standardContextual"/>
    </w:rPr>
  </w:style>
  <w:style w:type="character" w:customStyle="1" w:styleId="Heading2Char">
    <w:name w:val="Heading 2 Char"/>
    <w:basedOn w:val="DefaultParagraphFont"/>
    <w:link w:val="Heading2"/>
    <w:uiPriority w:val="9"/>
    <w:rsid w:val="0008674E"/>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autoRedefine/>
    <w:uiPriority w:val="35"/>
    <w:unhideWhenUsed/>
    <w:qFormat/>
    <w:rsid w:val="001856B0"/>
    <w:pPr>
      <w:keepNext/>
      <w:spacing w:after="120" w:line="240" w:lineRule="auto"/>
      <w:jc w:val="center"/>
    </w:pPr>
    <w:rPr>
      <w:rFonts w:cstheme="minorHAnsi"/>
      <w:iCs/>
    </w:rPr>
  </w:style>
  <w:style w:type="paragraph" w:customStyle="1" w:styleId="ftrefCharCharCharCharCharCharCharCharChar">
    <w:name w:val="ftref Char Char Char Char Char Char Char Char Char"/>
    <w:basedOn w:val="Normal"/>
    <w:link w:val="FootnoteReference"/>
    <w:uiPriority w:val="99"/>
    <w:rsid w:val="00E75052"/>
    <w:pPr>
      <w:spacing w:after="0" w:line="240" w:lineRule="exact"/>
      <w:jc w:val="both"/>
    </w:pPr>
    <w:rPr>
      <w:vertAlign w:val="superscript"/>
    </w:rPr>
  </w:style>
  <w:style w:type="paragraph" w:styleId="Header">
    <w:name w:val="header"/>
    <w:basedOn w:val="Normal"/>
    <w:link w:val="HeaderChar"/>
    <w:uiPriority w:val="99"/>
    <w:unhideWhenUsed/>
    <w:rsid w:val="006A4E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E94"/>
  </w:style>
  <w:style w:type="paragraph" w:styleId="Footer">
    <w:name w:val="footer"/>
    <w:basedOn w:val="Normal"/>
    <w:link w:val="FooterChar"/>
    <w:uiPriority w:val="99"/>
    <w:unhideWhenUsed/>
    <w:rsid w:val="006A4E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E94"/>
  </w:style>
  <w:style w:type="table" w:styleId="TableGrid">
    <w:name w:val="Table Grid"/>
    <w:basedOn w:val="TableNormal"/>
    <w:uiPriority w:val="39"/>
    <w:rsid w:val="00C9093E"/>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BE11E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00467">
      <w:bodyDiv w:val="1"/>
      <w:marLeft w:val="0"/>
      <w:marRight w:val="0"/>
      <w:marTop w:val="0"/>
      <w:marBottom w:val="0"/>
      <w:divBdr>
        <w:top w:val="none" w:sz="0" w:space="0" w:color="auto"/>
        <w:left w:val="none" w:sz="0" w:space="0" w:color="auto"/>
        <w:bottom w:val="none" w:sz="0" w:space="0" w:color="auto"/>
        <w:right w:val="none" w:sz="0" w:space="0" w:color="auto"/>
      </w:divBdr>
      <w:divsChild>
        <w:div w:id="1231234693">
          <w:marLeft w:val="0"/>
          <w:marRight w:val="0"/>
          <w:marTop w:val="0"/>
          <w:marBottom w:val="0"/>
          <w:divBdr>
            <w:top w:val="none" w:sz="0" w:space="0" w:color="auto"/>
            <w:left w:val="none" w:sz="0" w:space="0" w:color="auto"/>
            <w:bottom w:val="none" w:sz="0" w:space="0" w:color="auto"/>
            <w:right w:val="none" w:sz="0" w:space="0" w:color="auto"/>
          </w:divBdr>
          <w:divsChild>
            <w:div w:id="524103207">
              <w:marLeft w:val="0"/>
              <w:marRight w:val="0"/>
              <w:marTop w:val="0"/>
              <w:marBottom w:val="0"/>
              <w:divBdr>
                <w:top w:val="none" w:sz="0" w:space="0" w:color="auto"/>
                <w:left w:val="none" w:sz="0" w:space="0" w:color="auto"/>
                <w:bottom w:val="none" w:sz="0" w:space="0" w:color="auto"/>
                <w:right w:val="none" w:sz="0" w:space="0" w:color="auto"/>
              </w:divBdr>
            </w:div>
            <w:div w:id="828519770">
              <w:marLeft w:val="0"/>
              <w:marRight w:val="0"/>
              <w:marTop w:val="0"/>
              <w:marBottom w:val="0"/>
              <w:divBdr>
                <w:top w:val="none" w:sz="0" w:space="0" w:color="auto"/>
                <w:left w:val="none" w:sz="0" w:space="0" w:color="auto"/>
                <w:bottom w:val="none" w:sz="0" w:space="0" w:color="auto"/>
                <w:right w:val="none" w:sz="0" w:space="0" w:color="auto"/>
              </w:divBdr>
            </w:div>
            <w:div w:id="1373963893">
              <w:marLeft w:val="0"/>
              <w:marRight w:val="0"/>
              <w:marTop w:val="0"/>
              <w:marBottom w:val="0"/>
              <w:divBdr>
                <w:top w:val="none" w:sz="0" w:space="0" w:color="auto"/>
                <w:left w:val="none" w:sz="0" w:space="0" w:color="auto"/>
                <w:bottom w:val="none" w:sz="0" w:space="0" w:color="auto"/>
                <w:right w:val="none" w:sz="0" w:space="0" w:color="auto"/>
              </w:divBdr>
            </w:div>
            <w:div w:id="1110466495">
              <w:marLeft w:val="0"/>
              <w:marRight w:val="0"/>
              <w:marTop w:val="0"/>
              <w:marBottom w:val="0"/>
              <w:divBdr>
                <w:top w:val="none" w:sz="0" w:space="0" w:color="auto"/>
                <w:left w:val="none" w:sz="0" w:space="0" w:color="auto"/>
                <w:bottom w:val="none" w:sz="0" w:space="0" w:color="auto"/>
                <w:right w:val="none" w:sz="0" w:space="0" w:color="auto"/>
              </w:divBdr>
            </w:div>
            <w:div w:id="977342435">
              <w:marLeft w:val="0"/>
              <w:marRight w:val="0"/>
              <w:marTop w:val="0"/>
              <w:marBottom w:val="0"/>
              <w:divBdr>
                <w:top w:val="none" w:sz="0" w:space="0" w:color="auto"/>
                <w:left w:val="none" w:sz="0" w:space="0" w:color="auto"/>
                <w:bottom w:val="none" w:sz="0" w:space="0" w:color="auto"/>
                <w:right w:val="none" w:sz="0" w:space="0" w:color="auto"/>
              </w:divBdr>
            </w:div>
            <w:div w:id="1941182055">
              <w:marLeft w:val="0"/>
              <w:marRight w:val="0"/>
              <w:marTop w:val="0"/>
              <w:marBottom w:val="0"/>
              <w:divBdr>
                <w:top w:val="none" w:sz="0" w:space="0" w:color="auto"/>
                <w:left w:val="none" w:sz="0" w:space="0" w:color="auto"/>
                <w:bottom w:val="none" w:sz="0" w:space="0" w:color="auto"/>
                <w:right w:val="none" w:sz="0" w:space="0" w:color="auto"/>
              </w:divBdr>
            </w:div>
            <w:div w:id="198781421">
              <w:marLeft w:val="0"/>
              <w:marRight w:val="0"/>
              <w:marTop w:val="0"/>
              <w:marBottom w:val="0"/>
              <w:divBdr>
                <w:top w:val="none" w:sz="0" w:space="0" w:color="auto"/>
                <w:left w:val="none" w:sz="0" w:space="0" w:color="auto"/>
                <w:bottom w:val="none" w:sz="0" w:space="0" w:color="auto"/>
                <w:right w:val="none" w:sz="0" w:space="0" w:color="auto"/>
              </w:divBdr>
            </w:div>
            <w:div w:id="1979021551">
              <w:marLeft w:val="0"/>
              <w:marRight w:val="0"/>
              <w:marTop w:val="0"/>
              <w:marBottom w:val="0"/>
              <w:divBdr>
                <w:top w:val="none" w:sz="0" w:space="0" w:color="auto"/>
                <w:left w:val="none" w:sz="0" w:space="0" w:color="auto"/>
                <w:bottom w:val="none" w:sz="0" w:space="0" w:color="auto"/>
                <w:right w:val="none" w:sz="0" w:space="0" w:color="auto"/>
              </w:divBdr>
            </w:div>
            <w:div w:id="180558910">
              <w:marLeft w:val="0"/>
              <w:marRight w:val="0"/>
              <w:marTop w:val="0"/>
              <w:marBottom w:val="0"/>
              <w:divBdr>
                <w:top w:val="none" w:sz="0" w:space="0" w:color="auto"/>
                <w:left w:val="none" w:sz="0" w:space="0" w:color="auto"/>
                <w:bottom w:val="none" w:sz="0" w:space="0" w:color="auto"/>
                <w:right w:val="none" w:sz="0" w:space="0" w:color="auto"/>
              </w:divBdr>
            </w:div>
            <w:div w:id="3673020">
              <w:marLeft w:val="0"/>
              <w:marRight w:val="0"/>
              <w:marTop w:val="0"/>
              <w:marBottom w:val="0"/>
              <w:divBdr>
                <w:top w:val="none" w:sz="0" w:space="0" w:color="auto"/>
                <w:left w:val="none" w:sz="0" w:space="0" w:color="auto"/>
                <w:bottom w:val="none" w:sz="0" w:space="0" w:color="auto"/>
                <w:right w:val="none" w:sz="0" w:space="0" w:color="auto"/>
              </w:divBdr>
            </w:div>
            <w:div w:id="1199464565">
              <w:marLeft w:val="0"/>
              <w:marRight w:val="0"/>
              <w:marTop w:val="0"/>
              <w:marBottom w:val="0"/>
              <w:divBdr>
                <w:top w:val="none" w:sz="0" w:space="0" w:color="auto"/>
                <w:left w:val="none" w:sz="0" w:space="0" w:color="auto"/>
                <w:bottom w:val="none" w:sz="0" w:space="0" w:color="auto"/>
                <w:right w:val="none" w:sz="0" w:space="0" w:color="auto"/>
              </w:divBdr>
            </w:div>
            <w:div w:id="1100829388">
              <w:marLeft w:val="0"/>
              <w:marRight w:val="0"/>
              <w:marTop w:val="0"/>
              <w:marBottom w:val="0"/>
              <w:divBdr>
                <w:top w:val="none" w:sz="0" w:space="0" w:color="auto"/>
                <w:left w:val="none" w:sz="0" w:space="0" w:color="auto"/>
                <w:bottom w:val="none" w:sz="0" w:space="0" w:color="auto"/>
                <w:right w:val="none" w:sz="0" w:space="0" w:color="auto"/>
              </w:divBdr>
            </w:div>
            <w:div w:id="97726301">
              <w:marLeft w:val="0"/>
              <w:marRight w:val="0"/>
              <w:marTop w:val="0"/>
              <w:marBottom w:val="0"/>
              <w:divBdr>
                <w:top w:val="none" w:sz="0" w:space="0" w:color="auto"/>
                <w:left w:val="none" w:sz="0" w:space="0" w:color="auto"/>
                <w:bottom w:val="none" w:sz="0" w:space="0" w:color="auto"/>
                <w:right w:val="none" w:sz="0" w:space="0" w:color="auto"/>
              </w:divBdr>
            </w:div>
            <w:div w:id="550120479">
              <w:marLeft w:val="0"/>
              <w:marRight w:val="0"/>
              <w:marTop w:val="0"/>
              <w:marBottom w:val="0"/>
              <w:divBdr>
                <w:top w:val="none" w:sz="0" w:space="0" w:color="auto"/>
                <w:left w:val="none" w:sz="0" w:space="0" w:color="auto"/>
                <w:bottom w:val="none" w:sz="0" w:space="0" w:color="auto"/>
                <w:right w:val="none" w:sz="0" w:space="0" w:color="auto"/>
              </w:divBdr>
            </w:div>
            <w:div w:id="246037433">
              <w:marLeft w:val="0"/>
              <w:marRight w:val="0"/>
              <w:marTop w:val="0"/>
              <w:marBottom w:val="0"/>
              <w:divBdr>
                <w:top w:val="none" w:sz="0" w:space="0" w:color="auto"/>
                <w:left w:val="none" w:sz="0" w:space="0" w:color="auto"/>
                <w:bottom w:val="none" w:sz="0" w:space="0" w:color="auto"/>
                <w:right w:val="none" w:sz="0" w:space="0" w:color="auto"/>
              </w:divBdr>
            </w:div>
            <w:div w:id="885213531">
              <w:marLeft w:val="0"/>
              <w:marRight w:val="0"/>
              <w:marTop w:val="0"/>
              <w:marBottom w:val="0"/>
              <w:divBdr>
                <w:top w:val="none" w:sz="0" w:space="0" w:color="auto"/>
                <w:left w:val="none" w:sz="0" w:space="0" w:color="auto"/>
                <w:bottom w:val="none" w:sz="0" w:space="0" w:color="auto"/>
                <w:right w:val="none" w:sz="0" w:space="0" w:color="auto"/>
              </w:divBdr>
            </w:div>
            <w:div w:id="1364407191">
              <w:marLeft w:val="0"/>
              <w:marRight w:val="0"/>
              <w:marTop w:val="0"/>
              <w:marBottom w:val="0"/>
              <w:divBdr>
                <w:top w:val="none" w:sz="0" w:space="0" w:color="auto"/>
                <w:left w:val="none" w:sz="0" w:space="0" w:color="auto"/>
                <w:bottom w:val="none" w:sz="0" w:space="0" w:color="auto"/>
                <w:right w:val="none" w:sz="0" w:space="0" w:color="auto"/>
              </w:divBdr>
            </w:div>
          </w:divsChild>
        </w:div>
        <w:div w:id="1388143445">
          <w:marLeft w:val="0"/>
          <w:marRight w:val="0"/>
          <w:marTop w:val="0"/>
          <w:marBottom w:val="0"/>
          <w:divBdr>
            <w:top w:val="none" w:sz="0" w:space="0" w:color="auto"/>
            <w:left w:val="none" w:sz="0" w:space="0" w:color="auto"/>
            <w:bottom w:val="none" w:sz="0" w:space="0" w:color="auto"/>
            <w:right w:val="none" w:sz="0" w:space="0" w:color="auto"/>
          </w:divBdr>
        </w:div>
        <w:div w:id="1697268812">
          <w:marLeft w:val="0"/>
          <w:marRight w:val="0"/>
          <w:marTop w:val="0"/>
          <w:marBottom w:val="0"/>
          <w:divBdr>
            <w:top w:val="none" w:sz="0" w:space="0" w:color="auto"/>
            <w:left w:val="none" w:sz="0" w:space="0" w:color="auto"/>
            <w:bottom w:val="none" w:sz="0" w:space="0" w:color="auto"/>
            <w:right w:val="none" w:sz="0" w:space="0" w:color="auto"/>
          </w:divBdr>
        </w:div>
        <w:div w:id="591546851">
          <w:marLeft w:val="0"/>
          <w:marRight w:val="0"/>
          <w:marTop w:val="0"/>
          <w:marBottom w:val="0"/>
          <w:divBdr>
            <w:top w:val="none" w:sz="0" w:space="0" w:color="auto"/>
            <w:left w:val="none" w:sz="0" w:space="0" w:color="auto"/>
            <w:bottom w:val="none" w:sz="0" w:space="0" w:color="auto"/>
            <w:right w:val="none" w:sz="0" w:space="0" w:color="auto"/>
          </w:divBdr>
        </w:div>
        <w:div w:id="898250186">
          <w:marLeft w:val="0"/>
          <w:marRight w:val="0"/>
          <w:marTop w:val="0"/>
          <w:marBottom w:val="0"/>
          <w:divBdr>
            <w:top w:val="none" w:sz="0" w:space="0" w:color="auto"/>
            <w:left w:val="none" w:sz="0" w:space="0" w:color="auto"/>
            <w:bottom w:val="none" w:sz="0" w:space="0" w:color="auto"/>
            <w:right w:val="none" w:sz="0" w:space="0" w:color="auto"/>
          </w:divBdr>
        </w:div>
        <w:div w:id="328219354">
          <w:marLeft w:val="0"/>
          <w:marRight w:val="0"/>
          <w:marTop w:val="0"/>
          <w:marBottom w:val="0"/>
          <w:divBdr>
            <w:top w:val="none" w:sz="0" w:space="0" w:color="auto"/>
            <w:left w:val="none" w:sz="0" w:space="0" w:color="auto"/>
            <w:bottom w:val="none" w:sz="0" w:space="0" w:color="auto"/>
            <w:right w:val="none" w:sz="0" w:space="0" w:color="auto"/>
          </w:divBdr>
        </w:div>
        <w:div w:id="1226650354">
          <w:marLeft w:val="0"/>
          <w:marRight w:val="0"/>
          <w:marTop w:val="0"/>
          <w:marBottom w:val="0"/>
          <w:divBdr>
            <w:top w:val="none" w:sz="0" w:space="0" w:color="auto"/>
            <w:left w:val="none" w:sz="0" w:space="0" w:color="auto"/>
            <w:bottom w:val="none" w:sz="0" w:space="0" w:color="auto"/>
            <w:right w:val="none" w:sz="0" w:space="0" w:color="auto"/>
          </w:divBdr>
        </w:div>
      </w:divsChild>
    </w:div>
    <w:div w:id="152457987">
      <w:bodyDiv w:val="1"/>
      <w:marLeft w:val="0"/>
      <w:marRight w:val="0"/>
      <w:marTop w:val="0"/>
      <w:marBottom w:val="0"/>
      <w:divBdr>
        <w:top w:val="none" w:sz="0" w:space="0" w:color="auto"/>
        <w:left w:val="none" w:sz="0" w:space="0" w:color="auto"/>
        <w:bottom w:val="none" w:sz="0" w:space="0" w:color="auto"/>
        <w:right w:val="none" w:sz="0" w:space="0" w:color="auto"/>
      </w:divBdr>
    </w:div>
    <w:div w:id="549221493">
      <w:bodyDiv w:val="1"/>
      <w:marLeft w:val="0"/>
      <w:marRight w:val="0"/>
      <w:marTop w:val="0"/>
      <w:marBottom w:val="0"/>
      <w:divBdr>
        <w:top w:val="none" w:sz="0" w:space="0" w:color="auto"/>
        <w:left w:val="none" w:sz="0" w:space="0" w:color="auto"/>
        <w:bottom w:val="none" w:sz="0" w:space="0" w:color="auto"/>
        <w:right w:val="none" w:sz="0" w:space="0" w:color="auto"/>
      </w:divBdr>
    </w:div>
    <w:div w:id="556861532">
      <w:bodyDiv w:val="1"/>
      <w:marLeft w:val="0"/>
      <w:marRight w:val="0"/>
      <w:marTop w:val="0"/>
      <w:marBottom w:val="0"/>
      <w:divBdr>
        <w:top w:val="none" w:sz="0" w:space="0" w:color="auto"/>
        <w:left w:val="none" w:sz="0" w:space="0" w:color="auto"/>
        <w:bottom w:val="none" w:sz="0" w:space="0" w:color="auto"/>
        <w:right w:val="none" w:sz="0" w:space="0" w:color="auto"/>
      </w:divBdr>
    </w:div>
    <w:div w:id="863249369">
      <w:bodyDiv w:val="1"/>
      <w:marLeft w:val="0"/>
      <w:marRight w:val="0"/>
      <w:marTop w:val="0"/>
      <w:marBottom w:val="0"/>
      <w:divBdr>
        <w:top w:val="none" w:sz="0" w:space="0" w:color="auto"/>
        <w:left w:val="none" w:sz="0" w:space="0" w:color="auto"/>
        <w:bottom w:val="none" w:sz="0" w:space="0" w:color="auto"/>
        <w:right w:val="none" w:sz="0" w:space="0" w:color="auto"/>
      </w:divBdr>
    </w:div>
    <w:div w:id="1043670391">
      <w:bodyDiv w:val="1"/>
      <w:marLeft w:val="0"/>
      <w:marRight w:val="0"/>
      <w:marTop w:val="0"/>
      <w:marBottom w:val="0"/>
      <w:divBdr>
        <w:top w:val="none" w:sz="0" w:space="0" w:color="auto"/>
        <w:left w:val="none" w:sz="0" w:space="0" w:color="auto"/>
        <w:bottom w:val="none" w:sz="0" w:space="0" w:color="auto"/>
        <w:right w:val="none" w:sz="0" w:space="0" w:color="auto"/>
      </w:divBdr>
    </w:div>
    <w:div w:id="1551267411">
      <w:bodyDiv w:val="1"/>
      <w:marLeft w:val="0"/>
      <w:marRight w:val="0"/>
      <w:marTop w:val="0"/>
      <w:marBottom w:val="0"/>
      <w:divBdr>
        <w:top w:val="none" w:sz="0" w:space="0" w:color="auto"/>
        <w:left w:val="none" w:sz="0" w:space="0" w:color="auto"/>
        <w:bottom w:val="none" w:sz="0" w:space="0" w:color="auto"/>
        <w:right w:val="none" w:sz="0" w:space="0" w:color="auto"/>
      </w:divBdr>
      <w:divsChild>
        <w:div w:id="1216743071">
          <w:marLeft w:val="0"/>
          <w:marRight w:val="0"/>
          <w:marTop w:val="0"/>
          <w:marBottom w:val="0"/>
          <w:divBdr>
            <w:top w:val="none" w:sz="0" w:space="0" w:color="auto"/>
            <w:left w:val="none" w:sz="0" w:space="0" w:color="auto"/>
            <w:bottom w:val="none" w:sz="0" w:space="0" w:color="auto"/>
            <w:right w:val="none" w:sz="0" w:space="0" w:color="auto"/>
          </w:divBdr>
        </w:div>
        <w:div w:id="335501904">
          <w:marLeft w:val="0"/>
          <w:marRight w:val="0"/>
          <w:marTop w:val="0"/>
          <w:marBottom w:val="0"/>
          <w:divBdr>
            <w:top w:val="none" w:sz="0" w:space="0" w:color="auto"/>
            <w:left w:val="none" w:sz="0" w:space="0" w:color="auto"/>
            <w:bottom w:val="none" w:sz="0" w:space="0" w:color="auto"/>
            <w:right w:val="none" w:sz="0" w:space="0" w:color="auto"/>
          </w:divBdr>
        </w:div>
        <w:div w:id="1273316544">
          <w:marLeft w:val="0"/>
          <w:marRight w:val="0"/>
          <w:marTop w:val="0"/>
          <w:marBottom w:val="0"/>
          <w:divBdr>
            <w:top w:val="none" w:sz="0" w:space="0" w:color="auto"/>
            <w:left w:val="none" w:sz="0" w:space="0" w:color="auto"/>
            <w:bottom w:val="none" w:sz="0" w:space="0" w:color="auto"/>
            <w:right w:val="none" w:sz="0" w:space="0" w:color="auto"/>
          </w:divBdr>
        </w:div>
        <w:div w:id="694118945">
          <w:marLeft w:val="0"/>
          <w:marRight w:val="0"/>
          <w:marTop w:val="0"/>
          <w:marBottom w:val="0"/>
          <w:divBdr>
            <w:top w:val="none" w:sz="0" w:space="0" w:color="auto"/>
            <w:left w:val="none" w:sz="0" w:space="0" w:color="auto"/>
            <w:bottom w:val="none" w:sz="0" w:space="0" w:color="auto"/>
            <w:right w:val="none" w:sz="0" w:space="0" w:color="auto"/>
          </w:divBdr>
        </w:div>
        <w:div w:id="475293771">
          <w:marLeft w:val="0"/>
          <w:marRight w:val="0"/>
          <w:marTop w:val="0"/>
          <w:marBottom w:val="0"/>
          <w:divBdr>
            <w:top w:val="none" w:sz="0" w:space="0" w:color="auto"/>
            <w:left w:val="none" w:sz="0" w:space="0" w:color="auto"/>
            <w:bottom w:val="none" w:sz="0" w:space="0" w:color="auto"/>
            <w:right w:val="none" w:sz="0" w:space="0" w:color="auto"/>
          </w:divBdr>
        </w:div>
        <w:div w:id="1500119866">
          <w:marLeft w:val="0"/>
          <w:marRight w:val="0"/>
          <w:marTop w:val="0"/>
          <w:marBottom w:val="0"/>
          <w:divBdr>
            <w:top w:val="none" w:sz="0" w:space="0" w:color="auto"/>
            <w:left w:val="none" w:sz="0" w:space="0" w:color="auto"/>
            <w:bottom w:val="none" w:sz="0" w:space="0" w:color="auto"/>
            <w:right w:val="none" w:sz="0" w:space="0" w:color="auto"/>
          </w:divBdr>
          <w:divsChild>
            <w:div w:id="1390105915">
              <w:marLeft w:val="-75"/>
              <w:marRight w:val="0"/>
              <w:marTop w:val="30"/>
              <w:marBottom w:val="30"/>
              <w:divBdr>
                <w:top w:val="none" w:sz="0" w:space="0" w:color="auto"/>
                <w:left w:val="none" w:sz="0" w:space="0" w:color="auto"/>
                <w:bottom w:val="none" w:sz="0" w:space="0" w:color="auto"/>
                <w:right w:val="none" w:sz="0" w:space="0" w:color="auto"/>
              </w:divBdr>
              <w:divsChild>
                <w:div w:id="1850414173">
                  <w:marLeft w:val="0"/>
                  <w:marRight w:val="0"/>
                  <w:marTop w:val="0"/>
                  <w:marBottom w:val="0"/>
                  <w:divBdr>
                    <w:top w:val="none" w:sz="0" w:space="0" w:color="auto"/>
                    <w:left w:val="none" w:sz="0" w:space="0" w:color="auto"/>
                    <w:bottom w:val="none" w:sz="0" w:space="0" w:color="auto"/>
                    <w:right w:val="none" w:sz="0" w:space="0" w:color="auto"/>
                  </w:divBdr>
                  <w:divsChild>
                    <w:div w:id="489833850">
                      <w:marLeft w:val="0"/>
                      <w:marRight w:val="0"/>
                      <w:marTop w:val="0"/>
                      <w:marBottom w:val="0"/>
                      <w:divBdr>
                        <w:top w:val="none" w:sz="0" w:space="0" w:color="auto"/>
                        <w:left w:val="none" w:sz="0" w:space="0" w:color="auto"/>
                        <w:bottom w:val="none" w:sz="0" w:space="0" w:color="auto"/>
                        <w:right w:val="none" w:sz="0" w:space="0" w:color="auto"/>
                      </w:divBdr>
                    </w:div>
                  </w:divsChild>
                </w:div>
                <w:div w:id="1342901948">
                  <w:marLeft w:val="0"/>
                  <w:marRight w:val="0"/>
                  <w:marTop w:val="0"/>
                  <w:marBottom w:val="0"/>
                  <w:divBdr>
                    <w:top w:val="none" w:sz="0" w:space="0" w:color="auto"/>
                    <w:left w:val="none" w:sz="0" w:space="0" w:color="auto"/>
                    <w:bottom w:val="none" w:sz="0" w:space="0" w:color="auto"/>
                    <w:right w:val="none" w:sz="0" w:space="0" w:color="auto"/>
                  </w:divBdr>
                  <w:divsChild>
                    <w:div w:id="8298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4825">
          <w:marLeft w:val="0"/>
          <w:marRight w:val="0"/>
          <w:marTop w:val="0"/>
          <w:marBottom w:val="0"/>
          <w:divBdr>
            <w:top w:val="none" w:sz="0" w:space="0" w:color="auto"/>
            <w:left w:val="none" w:sz="0" w:space="0" w:color="auto"/>
            <w:bottom w:val="none" w:sz="0" w:space="0" w:color="auto"/>
            <w:right w:val="none" w:sz="0" w:space="0" w:color="auto"/>
          </w:divBdr>
        </w:div>
        <w:div w:id="1076441921">
          <w:marLeft w:val="0"/>
          <w:marRight w:val="0"/>
          <w:marTop w:val="0"/>
          <w:marBottom w:val="0"/>
          <w:divBdr>
            <w:top w:val="none" w:sz="0" w:space="0" w:color="auto"/>
            <w:left w:val="none" w:sz="0" w:space="0" w:color="auto"/>
            <w:bottom w:val="none" w:sz="0" w:space="0" w:color="auto"/>
            <w:right w:val="none" w:sz="0" w:space="0" w:color="auto"/>
          </w:divBdr>
        </w:div>
        <w:div w:id="1860002645">
          <w:marLeft w:val="0"/>
          <w:marRight w:val="0"/>
          <w:marTop w:val="0"/>
          <w:marBottom w:val="0"/>
          <w:divBdr>
            <w:top w:val="none" w:sz="0" w:space="0" w:color="auto"/>
            <w:left w:val="none" w:sz="0" w:space="0" w:color="auto"/>
            <w:bottom w:val="none" w:sz="0" w:space="0" w:color="auto"/>
            <w:right w:val="none" w:sz="0" w:space="0" w:color="auto"/>
          </w:divBdr>
        </w:div>
        <w:div w:id="446512814">
          <w:marLeft w:val="0"/>
          <w:marRight w:val="0"/>
          <w:marTop w:val="0"/>
          <w:marBottom w:val="0"/>
          <w:divBdr>
            <w:top w:val="none" w:sz="0" w:space="0" w:color="auto"/>
            <w:left w:val="none" w:sz="0" w:space="0" w:color="auto"/>
            <w:bottom w:val="none" w:sz="0" w:space="0" w:color="auto"/>
            <w:right w:val="none" w:sz="0" w:space="0" w:color="auto"/>
          </w:divBdr>
          <w:divsChild>
            <w:div w:id="1019234810">
              <w:marLeft w:val="-75"/>
              <w:marRight w:val="0"/>
              <w:marTop w:val="30"/>
              <w:marBottom w:val="30"/>
              <w:divBdr>
                <w:top w:val="none" w:sz="0" w:space="0" w:color="auto"/>
                <w:left w:val="none" w:sz="0" w:space="0" w:color="auto"/>
                <w:bottom w:val="none" w:sz="0" w:space="0" w:color="auto"/>
                <w:right w:val="none" w:sz="0" w:space="0" w:color="auto"/>
              </w:divBdr>
              <w:divsChild>
                <w:div w:id="1905949043">
                  <w:marLeft w:val="0"/>
                  <w:marRight w:val="0"/>
                  <w:marTop w:val="0"/>
                  <w:marBottom w:val="0"/>
                  <w:divBdr>
                    <w:top w:val="none" w:sz="0" w:space="0" w:color="auto"/>
                    <w:left w:val="none" w:sz="0" w:space="0" w:color="auto"/>
                    <w:bottom w:val="none" w:sz="0" w:space="0" w:color="auto"/>
                    <w:right w:val="none" w:sz="0" w:space="0" w:color="auto"/>
                  </w:divBdr>
                  <w:divsChild>
                    <w:div w:id="1276404265">
                      <w:marLeft w:val="0"/>
                      <w:marRight w:val="0"/>
                      <w:marTop w:val="0"/>
                      <w:marBottom w:val="0"/>
                      <w:divBdr>
                        <w:top w:val="none" w:sz="0" w:space="0" w:color="auto"/>
                        <w:left w:val="none" w:sz="0" w:space="0" w:color="auto"/>
                        <w:bottom w:val="none" w:sz="0" w:space="0" w:color="auto"/>
                        <w:right w:val="none" w:sz="0" w:space="0" w:color="auto"/>
                      </w:divBdr>
                    </w:div>
                  </w:divsChild>
                </w:div>
                <w:div w:id="1521813512">
                  <w:marLeft w:val="0"/>
                  <w:marRight w:val="0"/>
                  <w:marTop w:val="0"/>
                  <w:marBottom w:val="0"/>
                  <w:divBdr>
                    <w:top w:val="none" w:sz="0" w:space="0" w:color="auto"/>
                    <w:left w:val="none" w:sz="0" w:space="0" w:color="auto"/>
                    <w:bottom w:val="none" w:sz="0" w:space="0" w:color="auto"/>
                    <w:right w:val="none" w:sz="0" w:space="0" w:color="auto"/>
                  </w:divBdr>
                  <w:divsChild>
                    <w:div w:id="125312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3877">
          <w:marLeft w:val="0"/>
          <w:marRight w:val="0"/>
          <w:marTop w:val="0"/>
          <w:marBottom w:val="0"/>
          <w:divBdr>
            <w:top w:val="none" w:sz="0" w:space="0" w:color="auto"/>
            <w:left w:val="none" w:sz="0" w:space="0" w:color="auto"/>
            <w:bottom w:val="none" w:sz="0" w:space="0" w:color="auto"/>
            <w:right w:val="none" w:sz="0" w:space="0" w:color="auto"/>
          </w:divBdr>
        </w:div>
        <w:div w:id="91900972">
          <w:marLeft w:val="0"/>
          <w:marRight w:val="0"/>
          <w:marTop w:val="0"/>
          <w:marBottom w:val="0"/>
          <w:divBdr>
            <w:top w:val="none" w:sz="0" w:space="0" w:color="auto"/>
            <w:left w:val="none" w:sz="0" w:space="0" w:color="auto"/>
            <w:bottom w:val="none" w:sz="0" w:space="0" w:color="auto"/>
            <w:right w:val="none" w:sz="0" w:space="0" w:color="auto"/>
          </w:divBdr>
        </w:div>
        <w:div w:id="1121654075">
          <w:marLeft w:val="0"/>
          <w:marRight w:val="0"/>
          <w:marTop w:val="0"/>
          <w:marBottom w:val="0"/>
          <w:divBdr>
            <w:top w:val="none" w:sz="0" w:space="0" w:color="auto"/>
            <w:left w:val="none" w:sz="0" w:space="0" w:color="auto"/>
            <w:bottom w:val="none" w:sz="0" w:space="0" w:color="auto"/>
            <w:right w:val="none" w:sz="0" w:space="0" w:color="auto"/>
          </w:divBdr>
          <w:divsChild>
            <w:div w:id="291400179">
              <w:marLeft w:val="-75"/>
              <w:marRight w:val="0"/>
              <w:marTop w:val="30"/>
              <w:marBottom w:val="30"/>
              <w:divBdr>
                <w:top w:val="none" w:sz="0" w:space="0" w:color="auto"/>
                <w:left w:val="none" w:sz="0" w:space="0" w:color="auto"/>
                <w:bottom w:val="none" w:sz="0" w:space="0" w:color="auto"/>
                <w:right w:val="none" w:sz="0" w:space="0" w:color="auto"/>
              </w:divBdr>
              <w:divsChild>
                <w:div w:id="769007480">
                  <w:marLeft w:val="0"/>
                  <w:marRight w:val="0"/>
                  <w:marTop w:val="0"/>
                  <w:marBottom w:val="0"/>
                  <w:divBdr>
                    <w:top w:val="none" w:sz="0" w:space="0" w:color="auto"/>
                    <w:left w:val="none" w:sz="0" w:space="0" w:color="auto"/>
                    <w:bottom w:val="none" w:sz="0" w:space="0" w:color="auto"/>
                    <w:right w:val="none" w:sz="0" w:space="0" w:color="auto"/>
                  </w:divBdr>
                  <w:divsChild>
                    <w:div w:id="1545747835">
                      <w:marLeft w:val="0"/>
                      <w:marRight w:val="0"/>
                      <w:marTop w:val="0"/>
                      <w:marBottom w:val="0"/>
                      <w:divBdr>
                        <w:top w:val="none" w:sz="0" w:space="0" w:color="auto"/>
                        <w:left w:val="none" w:sz="0" w:space="0" w:color="auto"/>
                        <w:bottom w:val="none" w:sz="0" w:space="0" w:color="auto"/>
                        <w:right w:val="none" w:sz="0" w:space="0" w:color="auto"/>
                      </w:divBdr>
                    </w:div>
                  </w:divsChild>
                </w:div>
                <w:div w:id="1292177115">
                  <w:marLeft w:val="0"/>
                  <w:marRight w:val="0"/>
                  <w:marTop w:val="0"/>
                  <w:marBottom w:val="0"/>
                  <w:divBdr>
                    <w:top w:val="none" w:sz="0" w:space="0" w:color="auto"/>
                    <w:left w:val="none" w:sz="0" w:space="0" w:color="auto"/>
                    <w:bottom w:val="none" w:sz="0" w:space="0" w:color="auto"/>
                    <w:right w:val="none" w:sz="0" w:space="0" w:color="auto"/>
                  </w:divBdr>
                  <w:divsChild>
                    <w:div w:id="11698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72840">
          <w:marLeft w:val="0"/>
          <w:marRight w:val="0"/>
          <w:marTop w:val="0"/>
          <w:marBottom w:val="0"/>
          <w:divBdr>
            <w:top w:val="none" w:sz="0" w:space="0" w:color="auto"/>
            <w:left w:val="none" w:sz="0" w:space="0" w:color="auto"/>
            <w:bottom w:val="none" w:sz="0" w:space="0" w:color="auto"/>
            <w:right w:val="none" w:sz="0" w:space="0" w:color="auto"/>
          </w:divBdr>
        </w:div>
        <w:div w:id="760033525">
          <w:marLeft w:val="0"/>
          <w:marRight w:val="0"/>
          <w:marTop w:val="0"/>
          <w:marBottom w:val="0"/>
          <w:divBdr>
            <w:top w:val="none" w:sz="0" w:space="0" w:color="auto"/>
            <w:left w:val="none" w:sz="0" w:space="0" w:color="auto"/>
            <w:bottom w:val="none" w:sz="0" w:space="0" w:color="auto"/>
            <w:right w:val="none" w:sz="0" w:space="0" w:color="auto"/>
          </w:divBdr>
        </w:div>
        <w:div w:id="653602343">
          <w:marLeft w:val="0"/>
          <w:marRight w:val="0"/>
          <w:marTop w:val="0"/>
          <w:marBottom w:val="0"/>
          <w:divBdr>
            <w:top w:val="none" w:sz="0" w:space="0" w:color="auto"/>
            <w:left w:val="none" w:sz="0" w:space="0" w:color="auto"/>
            <w:bottom w:val="none" w:sz="0" w:space="0" w:color="auto"/>
            <w:right w:val="none" w:sz="0" w:space="0" w:color="auto"/>
          </w:divBdr>
          <w:divsChild>
            <w:div w:id="1095900660">
              <w:marLeft w:val="-75"/>
              <w:marRight w:val="0"/>
              <w:marTop w:val="30"/>
              <w:marBottom w:val="30"/>
              <w:divBdr>
                <w:top w:val="none" w:sz="0" w:space="0" w:color="auto"/>
                <w:left w:val="none" w:sz="0" w:space="0" w:color="auto"/>
                <w:bottom w:val="none" w:sz="0" w:space="0" w:color="auto"/>
                <w:right w:val="none" w:sz="0" w:space="0" w:color="auto"/>
              </w:divBdr>
              <w:divsChild>
                <w:div w:id="814882054">
                  <w:marLeft w:val="0"/>
                  <w:marRight w:val="0"/>
                  <w:marTop w:val="0"/>
                  <w:marBottom w:val="0"/>
                  <w:divBdr>
                    <w:top w:val="none" w:sz="0" w:space="0" w:color="auto"/>
                    <w:left w:val="none" w:sz="0" w:space="0" w:color="auto"/>
                    <w:bottom w:val="none" w:sz="0" w:space="0" w:color="auto"/>
                    <w:right w:val="none" w:sz="0" w:space="0" w:color="auto"/>
                  </w:divBdr>
                  <w:divsChild>
                    <w:div w:id="1306086368">
                      <w:marLeft w:val="0"/>
                      <w:marRight w:val="0"/>
                      <w:marTop w:val="0"/>
                      <w:marBottom w:val="0"/>
                      <w:divBdr>
                        <w:top w:val="none" w:sz="0" w:space="0" w:color="auto"/>
                        <w:left w:val="none" w:sz="0" w:space="0" w:color="auto"/>
                        <w:bottom w:val="none" w:sz="0" w:space="0" w:color="auto"/>
                        <w:right w:val="none" w:sz="0" w:space="0" w:color="auto"/>
                      </w:divBdr>
                    </w:div>
                    <w:div w:id="1585917433">
                      <w:marLeft w:val="0"/>
                      <w:marRight w:val="0"/>
                      <w:marTop w:val="0"/>
                      <w:marBottom w:val="0"/>
                      <w:divBdr>
                        <w:top w:val="none" w:sz="0" w:space="0" w:color="auto"/>
                        <w:left w:val="none" w:sz="0" w:space="0" w:color="auto"/>
                        <w:bottom w:val="none" w:sz="0" w:space="0" w:color="auto"/>
                        <w:right w:val="none" w:sz="0" w:space="0" w:color="auto"/>
                      </w:divBdr>
                    </w:div>
                  </w:divsChild>
                </w:div>
                <w:div w:id="1764523535">
                  <w:marLeft w:val="0"/>
                  <w:marRight w:val="0"/>
                  <w:marTop w:val="0"/>
                  <w:marBottom w:val="0"/>
                  <w:divBdr>
                    <w:top w:val="none" w:sz="0" w:space="0" w:color="auto"/>
                    <w:left w:val="none" w:sz="0" w:space="0" w:color="auto"/>
                    <w:bottom w:val="none" w:sz="0" w:space="0" w:color="auto"/>
                    <w:right w:val="none" w:sz="0" w:space="0" w:color="auto"/>
                  </w:divBdr>
                  <w:divsChild>
                    <w:div w:id="20078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3351">
          <w:marLeft w:val="0"/>
          <w:marRight w:val="0"/>
          <w:marTop w:val="0"/>
          <w:marBottom w:val="0"/>
          <w:divBdr>
            <w:top w:val="none" w:sz="0" w:space="0" w:color="auto"/>
            <w:left w:val="none" w:sz="0" w:space="0" w:color="auto"/>
            <w:bottom w:val="none" w:sz="0" w:space="0" w:color="auto"/>
            <w:right w:val="none" w:sz="0" w:space="0" w:color="auto"/>
          </w:divBdr>
        </w:div>
        <w:div w:id="1393890411">
          <w:marLeft w:val="0"/>
          <w:marRight w:val="0"/>
          <w:marTop w:val="0"/>
          <w:marBottom w:val="0"/>
          <w:divBdr>
            <w:top w:val="none" w:sz="0" w:space="0" w:color="auto"/>
            <w:left w:val="none" w:sz="0" w:space="0" w:color="auto"/>
            <w:bottom w:val="none" w:sz="0" w:space="0" w:color="auto"/>
            <w:right w:val="none" w:sz="0" w:space="0" w:color="auto"/>
          </w:divBdr>
        </w:div>
      </w:divsChild>
    </w:div>
    <w:div w:id="1624387048">
      <w:bodyDiv w:val="1"/>
      <w:marLeft w:val="0"/>
      <w:marRight w:val="0"/>
      <w:marTop w:val="0"/>
      <w:marBottom w:val="0"/>
      <w:divBdr>
        <w:top w:val="none" w:sz="0" w:space="0" w:color="auto"/>
        <w:left w:val="none" w:sz="0" w:space="0" w:color="auto"/>
        <w:bottom w:val="none" w:sz="0" w:space="0" w:color="auto"/>
        <w:right w:val="none" w:sz="0" w:space="0" w:color="auto"/>
      </w:divBdr>
    </w:div>
    <w:div w:id="1900169861">
      <w:bodyDiv w:val="1"/>
      <w:marLeft w:val="0"/>
      <w:marRight w:val="0"/>
      <w:marTop w:val="0"/>
      <w:marBottom w:val="0"/>
      <w:divBdr>
        <w:top w:val="none" w:sz="0" w:space="0" w:color="auto"/>
        <w:left w:val="none" w:sz="0" w:space="0" w:color="auto"/>
        <w:bottom w:val="none" w:sz="0" w:space="0" w:color="auto"/>
        <w:right w:val="none" w:sz="0" w:space="0" w:color="auto"/>
      </w:divBdr>
      <w:divsChild>
        <w:div w:id="398283363">
          <w:marLeft w:val="0"/>
          <w:marRight w:val="0"/>
          <w:marTop w:val="0"/>
          <w:marBottom w:val="0"/>
          <w:divBdr>
            <w:top w:val="none" w:sz="0" w:space="0" w:color="auto"/>
            <w:left w:val="none" w:sz="0" w:space="0" w:color="auto"/>
            <w:bottom w:val="none" w:sz="0" w:space="0" w:color="auto"/>
            <w:right w:val="none" w:sz="0" w:space="0" w:color="auto"/>
          </w:divBdr>
        </w:div>
        <w:div w:id="908616438">
          <w:marLeft w:val="0"/>
          <w:marRight w:val="0"/>
          <w:marTop w:val="0"/>
          <w:marBottom w:val="0"/>
          <w:divBdr>
            <w:top w:val="none" w:sz="0" w:space="0" w:color="auto"/>
            <w:left w:val="none" w:sz="0" w:space="0" w:color="auto"/>
            <w:bottom w:val="none" w:sz="0" w:space="0" w:color="auto"/>
            <w:right w:val="none" w:sz="0" w:space="0" w:color="auto"/>
          </w:divBdr>
        </w:div>
        <w:div w:id="662512262">
          <w:marLeft w:val="0"/>
          <w:marRight w:val="0"/>
          <w:marTop w:val="0"/>
          <w:marBottom w:val="0"/>
          <w:divBdr>
            <w:top w:val="none" w:sz="0" w:space="0" w:color="auto"/>
            <w:left w:val="none" w:sz="0" w:space="0" w:color="auto"/>
            <w:bottom w:val="none" w:sz="0" w:space="0" w:color="auto"/>
            <w:right w:val="none" w:sz="0" w:space="0" w:color="auto"/>
          </w:divBdr>
        </w:div>
        <w:div w:id="2057508699">
          <w:marLeft w:val="0"/>
          <w:marRight w:val="0"/>
          <w:marTop w:val="0"/>
          <w:marBottom w:val="0"/>
          <w:divBdr>
            <w:top w:val="none" w:sz="0" w:space="0" w:color="auto"/>
            <w:left w:val="none" w:sz="0" w:space="0" w:color="auto"/>
            <w:bottom w:val="none" w:sz="0" w:space="0" w:color="auto"/>
            <w:right w:val="none" w:sz="0" w:space="0" w:color="auto"/>
          </w:divBdr>
        </w:div>
        <w:div w:id="9574631">
          <w:marLeft w:val="0"/>
          <w:marRight w:val="0"/>
          <w:marTop w:val="0"/>
          <w:marBottom w:val="0"/>
          <w:divBdr>
            <w:top w:val="none" w:sz="0" w:space="0" w:color="auto"/>
            <w:left w:val="none" w:sz="0" w:space="0" w:color="auto"/>
            <w:bottom w:val="none" w:sz="0" w:space="0" w:color="auto"/>
            <w:right w:val="none" w:sz="0" w:space="0" w:color="auto"/>
          </w:divBdr>
        </w:div>
        <w:div w:id="160780174">
          <w:marLeft w:val="0"/>
          <w:marRight w:val="0"/>
          <w:marTop w:val="0"/>
          <w:marBottom w:val="0"/>
          <w:divBdr>
            <w:top w:val="none" w:sz="0" w:space="0" w:color="auto"/>
            <w:left w:val="none" w:sz="0" w:space="0" w:color="auto"/>
            <w:bottom w:val="none" w:sz="0" w:space="0" w:color="auto"/>
            <w:right w:val="none" w:sz="0" w:space="0" w:color="auto"/>
          </w:divBdr>
          <w:divsChild>
            <w:div w:id="261571355">
              <w:marLeft w:val="-75"/>
              <w:marRight w:val="0"/>
              <w:marTop w:val="30"/>
              <w:marBottom w:val="30"/>
              <w:divBdr>
                <w:top w:val="none" w:sz="0" w:space="0" w:color="auto"/>
                <w:left w:val="none" w:sz="0" w:space="0" w:color="auto"/>
                <w:bottom w:val="none" w:sz="0" w:space="0" w:color="auto"/>
                <w:right w:val="none" w:sz="0" w:space="0" w:color="auto"/>
              </w:divBdr>
              <w:divsChild>
                <w:div w:id="544029127">
                  <w:marLeft w:val="0"/>
                  <w:marRight w:val="0"/>
                  <w:marTop w:val="0"/>
                  <w:marBottom w:val="0"/>
                  <w:divBdr>
                    <w:top w:val="none" w:sz="0" w:space="0" w:color="auto"/>
                    <w:left w:val="none" w:sz="0" w:space="0" w:color="auto"/>
                    <w:bottom w:val="none" w:sz="0" w:space="0" w:color="auto"/>
                    <w:right w:val="none" w:sz="0" w:space="0" w:color="auto"/>
                  </w:divBdr>
                  <w:divsChild>
                    <w:div w:id="1907567500">
                      <w:marLeft w:val="0"/>
                      <w:marRight w:val="0"/>
                      <w:marTop w:val="0"/>
                      <w:marBottom w:val="0"/>
                      <w:divBdr>
                        <w:top w:val="none" w:sz="0" w:space="0" w:color="auto"/>
                        <w:left w:val="none" w:sz="0" w:space="0" w:color="auto"/>
                        <w:bottom w:val="none" w:sz="0" w:space="0" w:color="auto"/>
                        <w:right w:val="none" w:sz="0" w:space="0" w:color="auto"/>
                      </w:divBdr>
                    </w:div>
                  </w:divsChild>
                </w:div>
                <w:div w:id="2066949436">
                  <w:marLeft w:val="0"/>
                  <w:marRight w:val="0"/>
                  <w:marTop w:val="0"/>
                  <w:marBottom w:val="0"/>
                  <w:divBdr>
                    <w:top w:val="none" w:sz="0" w:space="0" w:color="auto"/>
                    <w:left w:val="none" w:sz="0" w:space="0" w:color="auto"/>
                    <w:bottom w:val="none" w:sz="0" w:space="0" w:color="auto"/>
                    <w:right w:val="none" w:sz="0" w:space="0" w:color="auto"/>
                  </w:divBdr>
                  <w:divsChild>
                    <w:div w:id="5001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37488">
          <w:marLeft w:val="0"/>
          <w:marRight w:val="0"/>
          <w:marTop w:val="0"/>
          <w:marBottom w:val="0"/>
          <w:divBdr>
            <w:top w:val="none" w:sz="0" w:space="0" w:color="auto"/>
            <w:left w:val="none" w:sz="0" w:space="0" w:color="auto"/>
            <w:bottom w:val="none" w:sz="0" w:space="0" w:color="auto"/>
            <w:right w:val="none" w:sz="0" w:space="0" w:color="auto"/>
          </w:divBdr>
        </w:div>
        <w:div w:id="561869921">
          <w:marLeft w:val="0"/>
          <w:marRight w:val="0"/>
          <w:marTop w:val="0"/>
          <w:marBottom w:val="0"/>
          <w:divBdr>
            <w:top w:val="none" w:sz="0" w:space="0" w:color="auto"/>
            <w:left w:val="none" w:sz="0" w:space="0" w:color="auto"/>
            <w:bottom w:val="none" w:sz="0" w:space="0" w:color="auto"/>
            <w:right w:val="none" w:sz="0" w:space="0" w:color="auto"/>
          </w:divBdr>
        </w:div>
        <w:div w:id="1164468160">
          <w:marLeft w:val="0"/>
          <w:marRight w:val="0"/>
          <w:marTop w:val="0"/>
          <w:marBottom w:val="0"/>
          <w:divBdr>
            <w:top w:val="none" w:sz="0" w:space="0" w:color="auto"/>
            <w:left w:val="none" w:sz="0" w:space="0" w:color="auto"/>
            <w:bottom w:val="none" w:sz="0" w:space="0" w:color="auto"/>
            <w:right w:val="none" w:sz="0" w:space="0" w:color="auto"/>
          </w:divBdr>
        </w:div>
        <w:div w:id="957882229">
          <w:marLeft w:val="0"/>
          <w:marRight w:val="0"/>
          <w:marTop w:val="0"/>
          <w:marBottom w:val="0"/>
          <w:divBdr>
            <w:top w:val="none" w:sz="0" w:space="0" w:color="auto"/>
            <w:left w:val="none" w:sz="0" w:space="0" w:color="auto"/>
            <w:bottom w:val="none" w:sz="0" w:space="0" w:color="auto"/>
            <w:right w:val="none" w:sz="0" w:space="0" w:color="auto"/>
          </w:divBdr>
          <w:divsChild>
            <w:div w:id="1338848461">
              <w:marLeft w:val="-75"/>
              <w:marRight w:val="0"/>
              <w:marTop w:val="30"/>
              <w:marBottom w:val="30"/>
              <w:divBdr>
                <w:top w:val="none" w:sz="0" w:space="0" w:color="auto"/>
                <w:left w:val="none" w:sz="0" w:space="0" w:color="auto"/>
                <w:bottom w:val="none" w:sz="0" w:space="0" w:color="auto"/>
                <w:right w:val="none" w:sz="0" w:space="0" w:color="auto"/>
              </w:divBdr>
              <w:divsChild>
                <w:div w:id="459298605">
                  <w:marLeft w:val="0"/>
                  <w:marRight w:val="0"/>
                  <w:marTop w:val="0"/>
                  <w:marBottom w:val="0"/>
                  <w:divBdr>
                    <w:top w:val="none" w:sz="0" w:space="0" w:color="auto"/>
                    <w:left w:val="none" w:sz="0" w:space="0" w:color="auto"/>
                    <w:bottom w:val="none" w:sz="0" w:space="0" w:color="auto"/>
                    <w:right w:val="none" w:sz="0" w:space="0" w:color="auto"/>
                  </w:divBdr>
                  <w:divsChild>
                    <w:div w:id="2109962296">
                      <w:marLeft w:val="0"/>
                      <w:marRight w:val="0"/>
                      <w:marTop w:val="0"/>
                      <w:marBottom w:val="0"/>
                      <w:divBdr>
                        <w:top w:val="none" w:sz="0" w:space="0" w:color="auto"/>
                        <w:left w:val="none" w:sz="0" w:space="0" w:color="auto"/>
                        <w:bottom w:val="none" w:sz="0" w:space="0" w:color="auto"/>
                        <w:right w:val="none" w:sz="0" w:space="0" w:color="auto"/>
                      </w:divBdr>
                    </w:div>
                  </w:divsChild>
                </w:div>
                <w:div w:id="1964723290">
                  <w:marLeft w:val="0"/>
                  <w:marRight w:val="0"/>
                  <w:marTop w:val="0"/>
                  <w:marBottom w:val="0"/>
                  <w:divBdr>
                    <w:top w:val="none" w:sz="0" w:space="0" w:color="auto"/>
                    <w:left w:val="none" w:sz="0" w:space="0" w:color="auto"/>
                    <w:bottom w:val="none" w:sz="0" w:space="0" w:color="auto"/>
                    <w:right w:val="none" w:sz="0" w:space="0" w:color="auto"/>
                  </w:divBdr>
                  <w:divsChild>
                    <w:div w:id="20253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08699">
          <w:marLeft w:val="0"/>
          <w:marRight w:val="0"/>
          <w:marTop w:val="0"/>
          <w:marBottom w:val="0"/>
          <w:divBdr>
            <w:top w:val="none" w:sz="0" w:space="0" w:color="auto"/>
            <w:left w:val="none" w:sz="0" w:space="0" w:color="auto"/>
            <w:bottom w:val="none" w:sz="0" w:space="0" w:color="auto"/>
            <w:right w:val="none" w:sz="0" w:space="0" w:color="auto"/>
          </w:divBdr>
        </w:div>
        <w:div w:id="101263824">
          <w:marLeft w:val="0"/>
          <w:marRight w:val="0"/>
          <w:marTop w:val="0"/>
          <w:marBottom w:val="0"/>
          <w:divBdr>
            <w:top w:val="none" w:sz="0" w:space="0" w:color="auto"/>
            <w:left w:val="none" w:sz="0" w:space="0" w:color="auto"/>
            <w:bottom w:val="none" w:sz="0" w:space="0" w:color="auto"/>
            <w:right w:val="none" w:sz="0" w:space="0" w:color="auto"/>
          </w:divBdr>
        </w:div>
        <w:div w:id="2091924111">
          <w:marLeft w:val="0"/>
          <w:marRight w:val="0"/>
          <w:marTop w:val="0"/>
          <w:marBottom w:val="0"/>
          <w:divBdr>
            <w:top w:val="none" w:sz="0" w:space="0" w:color="auto"/>
            <w:left w:val="none" w:sz="0" w:space="0" w:color="auto"/>
            <w:bottom w:val="none" w:sz="0" w:space="0" w:color="auto"/>
            <w:right w:val="none" w:sz="0" w:space="0" w:color="auto"/>
          </w:divBdr>
          <w:divsChild>
            <w:div w:id="1775587146">
              <w:marLeft w:val="-75"/>
              <w:marRight w:val="0"/>
              <w:marTop w:val="30"/>
              <w:marBottom w:val="30"/>
              <w:divBdr>
                <w:top w:val="none" w:sz="0" w:space="0" w:color="auto"/>
                <w:left w:val="none" w:sz="0" w:space="0" w:color="auto"/>
                <w:bottom w:val="none" w:sz="0" w:space="0" w:color="auto"/>
                <w:right w:val="none" w:sz="0" w:space="0" w:color="auto"/>
              </w:divBdr>
              <w:divsChild>
                <w:div w:id="233663243">
                  <w:marLeft w:val="0"/>
                  <w:marRight w:val="0"/>
                  <w:marTop w:val="0"/>
                  <w:marBottom w:val="0"/>
                  <w:divBdr>
                    <w:top w:val="none" w:sz="0" w:space="0" w:color="auto"/>
                    <w:left w:val="none" w:sz="0" w:space="0" w:color="auto"/>
                    <w:bottom w:val="none" w:sz="0" w:space="0" w:color="auto"/>
                    <w:right w:val="none" w:sz="0" w:space="0" w:color="auto"/>
                  </w:divBdr>
                  <w:divsChild>
                    <w:div w:id="911619596">
                      <w:marLeft w:val="0"/>
                      <w:marRight w:val="0"/>
                      <w:marTop w:val="0"/>
                      <w:marBottom w:val="0"/>
                      <w:divBdr>
                        <w:top w:val="none" w:sz="0" w:space="0" w:color="auto"/>
                        <w:left w:val="none" w:sz="0" w:space="0" w:color="auto"/>
                        <w:bottom w:val="none" w:sz="0" w:space="0" w:color="auto"/>
                        <w:right w:val="none" w:sz="0" w:space="0" w:color="auto"/>
                      </w:divBdr>
                    </w:div>
                  </w:divsChild>
                </w:div>
                <w:div w:id="1661927538">
                  <w:marLeft w:val="0"/>
                  <w:marRight w:val="0"/>
                  <w:marTop w:val="0"/>
                  <w:marBottom w:val="0"/>
                  <w:divBdr>
                    <w:top w:val="none" w:sz="0" w:space="0" w:color="auto"/>
                    <w:left w:val="none" w:sz="0" w:space="0" w:color="auto"/>
                    <w:bottom w:val="none" w:sz="0" w:space="0" w:color="auto"/>
                    <w:right w:val="none" w:sz="0" w:space="0" w:color="auto"/>
                  </w:divBdr>
                  <w:divsChild>
                    <w:div w:id="8388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057651">
          <w:marLeft w:val="0"/>
          <w:marRight w:val="0"/>
          <w:marTop w:val="0"/>
          <w:marBottom w:val="0"/>
          <w:divBdr>
            <w:top w:val="none" w:sz="0" w:space="0" w:color="auto"/>
            <w:left w:val="none" w:sz="0" w:space="0" w:color="auto"/>
            <w:bottom w:val="none" w:sz="0" w:space="0" w:color="auto"/>
            <w:right w:val="none" w:sz="0" w:space="0" w:color="auto"/>
          </w:divBdr>
        </w:div>
        <w:div w:id="1320383869">
          <w:marLeft w:val="0"/>
          <w:marRight w:val="0"/>
          <w:marTop w:val="0"/>
          <w:marBottom w:val="0"/>
          <w:divBdr>
            <w:top w:val="none" w:sz="0" w:space="0" w:color="auto"/>
            <w:left w:val="none" w:sz="0" w:space="0" w:color="auto"/>
            <w:bottom w:val="none" w:sz="0" w:space="0" w:color="auto"/>
            <w:right w:val="none" w:sz="0" w:space="0" w:color="auto"/>
          </w:divBdr>
        </w:div>
        <w:div w:id="2025743552">
          <w:marLeft w:val="0"/>
          <w:marRight w:val="0"/>
          <w:marTop w:val="0"/>
          <w:marBottom w:val="0"/>
          <w:divBdr>
            <w:top w:val="none" w:sz="0" w:space="0" w:color="auto"/>
            <w:left w:val="none" w:sz="0" w:space="0" w:color="auto"/>
            <w:bottom w:val="none" w:sz="0" w:space="0" w:color="auto"/>
            <w:right w:val="none" w:sz="0" w:space="0" w:color="auto"/>
          </w:divBdr>
          <w:divsChild>
            <w:div w:id="400568290">
              <w:marLeft w:val="-75"/>
              <w:marRight w:val="0"/>
              <w:marTop w:val="30"/>
              <w:marBottom w:val="30"/>
              <w:divBdr>
                <w:top w:val="none" w:sz="0" w:space="0" w:color="auto"/>
                <w:left w:val="none" w:sz="0" w:space="0" w:color="auto"/>
                <w:bottom w:val="none" w:sz="0" w:space="0" w:color="auto"/>
                <w:right w:val="none" w:sz="0" w:space="0" w:color="auto"/>
              </w:divBdr>
              <w:divsChild>
                <w:div w:id="1125611819">
                  <w:marLeft w:val="0"/>
                  <w:marRight w:val="0"/>
                  <w:marTop w:val="0"/>
                  <w:marBottom w:val="0"/>
                  <w:divBdr>
                    <w:top w:val="none" w:sz="0" w:space="0" w:color="auto"/>
                    <w:left w:val="none" w:sz="0" w:space="0" w:color="auto"/>
                    <w:bottom w:val="none" w:sz="0" w:space="0" w:color="auto"/>
                    <w:right w:val="none" w:sz="0" w:space="0" w:color="auto"/>
                  </w:divBdr>
                  <w:divsChild>
                    <w:div w:id="1968000398">
                      <w:marLeft w:val="0"/>
                      <w:marRight w:val="0"/>
                      <w:marTop w:val="0"/>
                      <w:marBottom w:val="0"/>
                      <w:divBdr>
                        <w:top w:val="none" w:sz="0" w:space="0" w:color="auto"/>
                        <w:left w:val="none" w:sz="0" w:space="0" w:color="auto"/>
                        <w:bottom w:val="none" w:sz="0" w:space="0" w:color="auto"/>
                        <w:right w:val="none" w:sz="0" w:space="0" w:color="auto"/>
                      </w:divBdr>
                    </w:div>
                    <w:div w:id="1509324857">
                      <w:marLeft w:val="0"/>
                      <w:marRight w:val="0"/>
                      <w:marTop w:val="0"/>
                      <w:marBottom w:val="0"/>
                      <w:divBdr>
                        <w:top w:val="none" w:sz="0" w:space="0" w:color="auto"/>
                        <w:left w:val="none" w:sz="0" w:space="0" w:color="auto"/>
                        <w:bottom w:val="none" w:sz="0" w:space="0" w:color="auto"/>
                        <w:right w:val="none" w:sz="0" w:space="0" w:color="auto"/>
                      </w:divBdr>
                    </w:div>
                  </w:divsChild>
                </w:div>
                <w:div w:id="854879154">
                  <w:marLeft w:val="0"/>
                  <w:marRight w:val="0"/>
                  <w:marTop w:val="0"/>
                  <w:marBottom w:val="0"/>
                  <w:divBdr>
                    <w:top w:val="none" w:sz="0" w:space="0" w:color="auto"/>
                    <w:left w:val="none" w:sz="0" w:space="0" w:color="auto"/>
                    <w:bottom w:val="none" w:sz="0" w:space="0" w:color="auto"/>
                    <w:right w:val="none" w:sz="0" w:space="0" w:color="auto"/>
                  </w:divBdr>
                  <w:divsChild>
                    <w:div w:id="3147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80006">
          <w:marLeft w:val="0"/>
          <w:marRight w:val="0"/>
          <w:marTop w:val="0"/>
          <w:marBottom w:val="0"/>
          <w:divBdr>
            <w:top w:val="none" w:sz="0" w:space="0" w:color="auto"/>
            <w:left w:val="none" w:sz="0" w:space="0" w:color="auto"/>
            <w:bottom w:val="none" w:sz="0" w:space="0" w:color="auto"/>
            <w:right w:val="none" w:sz="0" w:space="0" w:color="auto"/>
          </w:divBdr>
        </w:div>
        <w:div w:id="2093506566">
          <w:marLeft w:val="0"/>
          <w:marRight w:val="0"/>
          <w:marTop w:val="0"/>
          <w:marBottom w:val="0"/>
          <w:divBdr>
            <w:top w:val="none" w:sz="0" w:space="0" w:color="auto"/>
            <w:left w:val="none" w:sz="0" w:space="0" w:color="auto"/>
            <w:bottom w:val="none" w:sz="0" w:space="0" w:color="auto"/>
            <w:right w:val="none" w:sz="0" w:space="0" w:color="auto"/>
          </w:divBdr>
        </w:div>
      </w:divsChild>
    </w:div>
    <w:div w:id="1963684260">
      <w:bodyDiv w:val="1"/>
      <w:marLeft w:val="0"/>
      <w:marRight w:val="0"/>
      <w:marTop w:val="0"/>
      <w:marBottom w:val="0"/>
      <w:divBdr>
        <w:top w:val="none" w:sz="0" w:space="0" w:color="auto"/>
        <w:left w:val="none" w:sz="0" w:space="0" w:color="auto"/>
        <w:bottom w:val="none" w:sz="0" w:space="0" w:color="auto"/>
        <w:right w:val="none" w:sz="0" w:space="0" w:color="auto"/>
      </w:divBdr>
      <w:divsChild>
        <w:div w:id="1120035030">
          <w:marLeft w:val="0"/>
          <w:marRight w:val="0"/>
          <w:marTop w:val="0"/>
          <w:marBottom w:val="0"/>
          <w:divBdr>
            <w:top w:val="none" w:sz="0" w:space="0" w:color="auto"/>
            <w:left w:val="none" w:sz="0" w:space="0" w:color="auto"/>
            <w:bottom w:val="none" w:sz="0" w:space="0" w:color="auto"/>
            <w:right w:val="none" w:sz="0" w:space="0" w:color="auto"/>
          </w:divBdr>
          <w:divsChild>
            <w:div w:id="140927845">
              <w:marLeft w:val="0"/>
              <w:marRight w:val="0"/>
              <w:marTop w:val="0"/>
              <w:marBottom w:val="0"/>
              <w:divBdr>
                <w:top w:val="none" w:sz="0" w:space="0" w:color="auto"/>
                <w:left w:val="none" w:sz="0" w:space="0" w:color="auto"/>
                <w:bottom w:val="none" w:sz="0" w:space="0" w:color="auto"/>
                <w:right w:val="none" w:sz="0" w:space="0" w:color="auto"/>
              </w:divBdr>
            </w:div>
            <w:div w:id="1013218233">
              <w:marLeft w:val="0"/>
              <w:marRight w:val="0"/>
              <w:marTop w:val="0"/>
              <w:marBottom w:val="0"/>
              <w:divBdr>
                <w:top w:val="none" w:sz="0" w:space="0" w:color="auto"/>
                <w:left w:val="none" w:sz="0" w:space="0" w:color="auto"/>
                <w:bottom w:val="none" w:sz="0" w:space="0" w:color="auto"/>
                <w:right w:val="none" w:sz="0" w:space="0" w:color="auto"/>
              </w:divBdr>
            </w:div>
            <w:div w:id="308024834">
              <w:marLeft w:val="0"/>
              <w:marRight w:val="0"/>
              <w:marTop w:val="0"/>
              <w:marBottom w:val="0"/>
              <w:divBdr>
                <w:top w:val="none" w:sz="0" w:space="0" w:color="auto"/>
                <w:left w:val="none" w:sz="0" w:space="0" w:color="auto"/>
                <w:bottom w:val="none" w:sz="0" w:space="0" w:color="auto"/>
                <w:right w:val="none" w:sz="0" w:space="0" w:color="auto"/>
              </w:divBdr>
            </w:div>
            <w:div w:id="1232500905">
              <w:marLeft w:val="0"/>
              <w:marRight w:val="0"/>
              <w:marTop w:val="0"/>
              <w:marBottom w:val="0"/>
              <w:divBdr>
                <w:top w:val="none" w:sz="0" w:space="0" w:color="auto"/>
                <w:left w:val="none" w:sz="0" w:space="0" w:color="auto"/>
                <w:bottom w:val="none" w:sz="0" w:space="0" w:color="auto"/>
                <w:right w:val="none" w:sz="0" w:space="0" w:color="auto"/>
              </w:divBdr>
            </w:div>
            <w:div w:id="172452016">
              <w:marLeft w:val="0"/>
              <w:marRight w:val="0"/>
              <w:marTop w:val="0"/>
              <w:marBottom w:val="0"/>
              <w:divBdr>
                <w:top w:val="none" w:sz="0" w:space="0" w:color="auto"/>
                <w:left w:val="none" w:sz="0" w:space="0" w:color="auto"/>
                <w:bottom w:val="none" w:sz="0" w:space="0" w:color="auto"/>
                <w:right w:val="none" w:sz="0" w:space="0" w:color="auto"/>
              </w:divBdr>
            </w:div>
            <w:div w:id="1188103401">
              <w:marLeft w:val="0"/>
              <w:marRight w:val="0"/>
              <w:marTop w:val="0"/>
              <w:marBottom w:val="0"/>
              <w:divBdr>
                <w:top w:val="none" w:sz="0" w:space="0" w:color="auto"/>
                <w:left w:val="none" w:sz="0" w:space="0" w:color="auto"/>
                <w:bottom w:val="none" w:sz="0" w:space="0" w:color="auto"/>
                <w:right w:val="none" w:sz="0" w:space="0" w:color="auto"/>
              </w:divBdr>
            </w:div>
            <w:div w:id="1737585978">
              <w:marLeft w:val="0"/>
              <w:marRight w:val="0"/>
              <w:marTop w:val="0"/>
              <w:marBottom w:val="0"/>
              <w:divBdr>
                <w:top w:val="none" w:sz="0" w:space="0" w:color="auto"/>
                <w:left w:val="none" w:sz="0" w:space="0" w:color="auto"/>
                <w:bottom w:val="none" w:sz="0" w:space="0" w:color="auto"/>
                <w:right w:val="none" w:sz="0" w:space="0" w:color="auto"/>
              </w:divBdr>
            </w:div>
            <w:div w:id="1757242726">
              <w:marLeft w:val="0"/>
              <w:marRight w:val="0"/>
              <w:marTop w:val="0"/>
              <w:marBottom w:val="0"/>
              <w:divBdr>
                <w:top w:val="none" w:sz="0" w:space="0" w:color="auto"/>
                <w:left w:val="none" w:sz="0" w:space="0" w:color="auto"/>
                <w:bottom w:val="none" w:sz="0" w:space="0" w:color="auto"/>
                <w:right w:val="none" w:sz="0" w:space="0" w:color="auto"/>
              </w:divBdr>
            </w:div>
            <w:div w:id="481233803">
              <w:marLeft w:val="0"/>
              <w:marRight w:val="0"/>
              <w:marTop w:val="0"/>
              <w:marBottom w:val="0"/>
              <w:divBdr>
                <w:top w:val="none" w:sz="0" w:space="0" w:color="auto"/>
                <w:left w:val="none" w:sz="0" w:space="0" w:color="auto"/>
                <w:bottom w:val="none" w:sz="0" w:space="0" w:color="auto"/>
                <w:right w:val="none" w:sz="0" w:space="0" w:color="auto"/>
              </w:divBdr>
            </w:div>
            <w:div w:id="1324433065">
              <w:marLeft w:val="0"/>
              <w:marRight w:val="0"/>
              <w:marTop w:val="0"/>
              <w:marBottom w:val="0"/>
              <w:divBdr>
                <w:top w:val="none" w:sz="0" w:space="0" w:color="auto"/>
                <w:left w:val="none" w:sz="0" w:space="0" w:color="auto"/>
                <w:bottom w:val="none" w:sz="0" w:space="0" w:color="auto"/>
                <w:right w:val="none" w:sz="0" w:space="0" w:color="auto"/>
              </w:divBdr>
            </w:div>
            <w:div w:id="1939874638">
              <w:marLeft w:val="0"/>
              <w:marRight w:val="0"/>
              <w:marTop w:val="0"/>
              <w:marBottom w:val="0"/>
              <w:divBdr>
                <w:top w:val="none" w:sz="0" w:space="0" w:color="auto"/>
                <w:left w:val="none" w:sz="0" w:space="0" w:color="auto"/>
                <w:bottom w:val="none" w:sz="0" w:space="0" w:color="auto"/>
                <w:right w:val="none" w:sz="0" w:space="0" w:color="auto"/>
              </w:divBdr>
            </w:div>
            <w:div w:id="2003317390">
              <w:marLeft w:val="0"/>
              <w:marRight w:val="0"/>
              <w:marTop w:val="0"/>
              <w:marBottom w:val="0"/>
              <w:divBdr>
                <w:top w:val="none" w:sz="0" w:space="0" w:color="auto"/>
                <w:left w:val="none" w:sz="0" w:space="0" w:color="auto"/>
                <w:bottom w:val="none" w:sz="0" w:space="0" w:color="auto"/>
                <w:right w:val="none" w:sz="0" w:space="0" w:color="auto"/>
              </w:divBdr>
            </w:div>
            <w:div w:id="347489780">
              <w:marLeft w:val="0"/>
              <w:marRight w:val="0"/>
              <w:marTop w:val="0"/>
              <w:marBottom w:val="0"/>
              <w:divBdr>
                <w:top w:val="none" w:sz="0" w:space="0" w:color="auto"/>
                <w:left w:val="none" w:sz="0" w:space="0" w:color="auto"/>
                <w:bottom w:val="none" w:sz="0" w:space="0" w:color="auto"/>
                <w:right w:val="none" w:sz="0" w:space="0" w:color="auto"/>
              </w:divBdr>
            </w:div>
            <w:div w:id="860895059">
              <w:marLeft w:val="0"/>
              <w:marRight w:val="0"/>
              <w:marTop w:val="0"/>
              <w:marBottom w:val="0"/>
              <w:divBdr>
                <w:top w:val="none" w:sz="0" w:space="0" w:color="auto"/>
                <w:left w:val="none" w:sz="0" w:space="0" w:color="auto"/>
                <w:bottom w:val="none" w:sz="0" w:space="0" w:color="auto"/>
                <w:right w:val="none" w:sz="0" w:space="0" w:color="auto"/>
              </w:divBdr>
            </w:div>
            <w:div w:id="914366012">
              <w:marLeft w:val="0"/>
              <w:marRight w:val="0"/>
              <w:marTop w:val="0"/>
              <w:marBottom w:val="0"/>
              <w:divBdr>
                <w:top w:val="none" w:sz="0" w:space="0" w:color="auto"/>
                <w:left w:val="none" w:sz="0" w:space="0" w:color="auto"/>
                <w:bottom w:val="none" w:sz="0" w:space="0" w:color="auto"/>
                <w:right w:val="none" w:sz="0" w:space="0" w:color="auto"/>
              </w:divBdr>
            </w:div>
            <w:div w:id="1863938264">
              <w:marLeft w:val="0"/>
              <w:marRight w:val="0"/>
              <w:marTop w:val="0"/>
              <w:marBottom w:val="0"/>
              <w:divBdr>
                <w:top w:val="none" w:sz="0" w:space="0" w:color="auto"/>
                <w:left w:val="none" w:sz="0" w:space="0" w:color="auto"/>
                <w:bottom w:val="none" w:sz="0" w:space="0" w:color="auto"/>
                <w:right w:val="none" w:sz="0" w:space="0" w:color="auto"/>
              </w:divBdr>
            </w:div>
            <w:div w:id="635182067">
              <w:marLeft w:val="0"/>
              <w:marRight w:val="0"/>
              <w:marTop w:val="0"/>
              <w:marBottom w:val="0"/>
              <w:divBdr>
                <w:top w:val="none" w:sz="0" w:space="0" w:color="auto"/>
                <w:left w:val="none" w:sz="0" w:space="0" w:color="auto"/>
                <w:bottom w:val="none" w:sz="0" w:space="0" w:color="auto"/>
                <w:right w:val="none" w:sz="0" w:space="0" w:color="auto"/>
              </w:divBdr>
            </w:div>
          </w:divsChild>
        </w:div>
        <w:div w:id="495461241">
          <w:marLeft w:val="0"/>
          <w:marRight w:val="0"/>
          <w:marTop w:val="0"/>
          <w:marBottom w:val="0"/>
          <w:divBdr>
            <w:top w:val="none" w:sz="0" w:space="0" w:color="auto"/>
            <w:left w:val="none" w:sz="0" w:space="0" w:color="auto"/>
            <w:bottom w:val="none" w:sz="0" w:space="0" w:color="auto"/>
            <w:right w:val="none" w:sz="0" w:space="0" w:color="auto"/>
          </w:divBdr>
        </w:div>
        <w:div w:id="1944611870">
          <w:marLeft w:val="0"/>
          <w:marRight w:val="0"/>
          <w:marTop w:val="0"/>
          <w:marBottom w:val="0"/>
          <w:divBdr>
            <w:top w:val="none" w:sz="0" w:space="0" w:color="auto"/>
            <w:left w:val="none" w:sz="0" w:space="0" w:color="auto"/>
            <w:bottom w:val="none" w:sz="0" w:space="0" w:color="auto"/>
            <w:right w:val="none" w:sz="0" w:space="0" w:color="auto"/>
          </w:divBdr>
        </w:div>
        <w:div w:id="1907908511">
          <w:marLeft w:val="0"/>
          <w:marRight w:val="0"/>
          <w:marTop w:val="0"/>
          <w:marBottom w:val="0"/>
          <w:divBdr>
            <w:top w:val="none" w:sz="0" w:space="0" w:color="auto"/>
            <w:left w:val="none" w:sz="0" w:space="0" w:color="auto"/>
            <w:bottom w:val="none" w:sz="0" w:space="0" w:color="auto"/>
            <w:right w:val="none" w:sz="0" w:space="0" w:color="auto"/>
          </w:divBdr>
        </w:div>
        <w:div w:id="1819345264">
          <w:marLeft w:val="0"/>
          <w:marRight w:val="0"/>
          <w:marTop w:val="0"/>
          <w:marBottom w:val="0"/>
          <w:divBdr>
            <w:top w:val="none" w:sz="0" w:space="0" w:color="auto"/>
            <w:left w:val="none" w:sz="0" w:space="0" w:color="auto"/>
            <w:bottom w:val="none" w:sz="0" w:space="0" w:color="auto"/>
            <w:right w:val="none" w:sz="0" w:space="0" w:color="auto"/>
          </w:divBdr>
        </w:div>
        <w:div w:id="562835599">
          <w:marLeft w:val="0"/>
          <w:marRight w:val="0"/>
          <w:marTop w:val="0"/>
          <w:marBottom w:val="0"/>
          <w:divBdr>
            <w:top w:val="none" w:sz="0" w:space="0" w:color="auto"/>
            <w:left w:val="none" w:sz="0" w:space="0" w:color="auto"/>
            <w:bottom w:val="none" w:sz="0" w:space="0" w:color="auto"/>
            <w:right w:val="none" w:sz="0" w:space="0" w:color="auto"/>
          </w:divBdr>
        </w:div>
        <w:div w:id="1934438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hart" Target="charts/chart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chart" Target="charts/chart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chart" Target="charts/chart2.xm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8" Type="http://schemas.openxmlformats.org/officeDocument/2006/relationships/image" Target="media/image1.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gaez.fao.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worldbankgroup-my.sharepoint.com/personal/rgalindev_worldbank_org/Documents/Documents/Natural%20capital%20and%20ecosystem%20services/Task%202-3/to_Onil_Martin/MANAGE_Results_10_11_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Cropland (1000 ha)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'5th Round'!$B$66</c:f>
              <c:strCache>
                <c:ptCount val="1"/>
                <c:pt idx="0">
                  <c:v>Scenario 1</c:v>
                </c:pt>
              </c:strCache>
            </c:strRef>
          </c:tx>
          <c:spPr>
            <a:ln w="19050" cap="rnd">
              <a:solidFill>
                <a:schemeClr val="accent1"/>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Round'!$G$66:$AE$66</c:f>
              <c:numCache>
                <c:formatCode>0</c:formatCode>
                <c:ptCount val="25"/>
                <c:pt idx="0">
                  <c:v>0</c:v>
                </c:pt>
                <c:pt idx="1">
                  <c:v>163.6875</c:v>
                </c:pt>
                <c:pt idx="2">
                  <c:v>164.109375</c:v>
                </c:pt>
                <c:pt idx="3">
                  <c:v>164.953125</c:v>
                </c:pt>
                <c:pt idx="4">
                  <c:v>165.640625</c:v>
                </c:pt>
                <c:pt idx="5">
                  <c:v>168.046875</c:v>
                </c:pt>
                <c:pt idx="6">
                  <c:v>170.40625</c:v>
                </c:pt>
                <c:pt idx="7">
                  <c:v>172.75</c:v>
                </c:pt>
                <c:pt idx="8">
                  <c:v>175.140625</c:v>
                </c:pt>
                <c:pt idx="9">
                  <c:v>177.40625</c:v>
                </c:pt>
                <c:pt idx="10">
                  <c:v>179.78125</c:v>
                </c:pt>
                <c:pt idx="11">
                  <c:v>182.515625</c:v>
                </c:pt>
                <c:pt idx="12">
                  <c:v>185.515625</c:v>
                </c:pt>
                <c:pt idx="13">
                  <c:v>188.6875</c:v>
                </c:pt>
                <c:pt idx="14">
                  <c:v>192.171875</c:v>
                </c:pt>
                <c:pt idx="15">
                  <c:v>195.65625</c:v>
                </c:pt>
                <c:pt idx="16">
                  <c:v>199.21875</c:v>
                </c:pt>
                <c:pt idx="17">
                  <c:v>202.921875</c:v>
                </c:pt>
                <c:pt idx="18">
                  <c:v>206.796875</c:v>
                </c:pt>
                <c:pt idx="19">
                  <c:v>210.921875</c:v>
                </c:pt>
                <c:pt idx="20">
                  <c:v>215.375</c:v>
                </c:pt>
                <c:pt idx="21">
                  <c:v>220.375</c:v>
                </c:pt>
                <c:pt idx="22">
                  <c:v>225.75</c:v>
                </c:pt>
                <c:pt idx="23">
                  <c:v>232.109375</c:v>
                </c:pt>
                <c:pt idx="24">
                  <c:v>239.59375</c:v>
                </c:pt>
              </c:numCache>
            </c:numRef>
          </c:val>
          <c:smooth val="0"/>
          <c:extLst>
            <c:ext xmlns:c16="http://schemas.microsoft.com/office/drawing/2014/chart" uri="{C3380CC4-5D6E-409C-BE32-E72D297353CC}">
              <c16:uniqueId val="{00000000-EEAB-4DC4-9D34-37B0A9A1C6D6}"/>
            </c:ext>
          </c:extLst>
        </c:ser>
        <c:ser>
          <c:idx val="1"/>
          <c:order val="1"/>
          <c:tx>
            <c:strRef>
              <c:f>'5th Round'!$B$67</c:f>
              <c:strCache>
                <c:ptCount val="1"/>
                <c:pt idx="0">
                  <c:v>Scenario 2</c:v>
                </c:pt>
              </c:strCache>
            </c:strRef>
          </c:tx>
          <c:spPr>
            <a:ln w="19050" cap="rnd">
              <a:solidFill>
                <a:schemeClr val="accent2"/>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Round'!$G$67:$AE$67</c:f>
              <c:numCache>
                <c:formatCode>0</c:formatCode>
                <c:ptCount val="25"/>
                <c:pt idx="0">
                  <c:v>0</c:v>
                </c:pt>
                <c:pt idx="1">
                  <c:v>1667.328125</c:v>
                </c:pt>
                <c:pt idx="2">
                  <c:v>1668.078125</c:v>
                </c:pt>
                <c:pt idx="3">
                  <c:v>1672.5625</c:v>
                </c:pt>
                <c:pt idx="4">
                  <c:v>1674.875</c:v>
                </c:pt>
                <c:pt idx="5">
                  <c:v>1691.71875</c:v>
                </c:pt>
                <c:pt idx="6">
                  <c:v>1706.703125</c:v>
                </c:pt>
                <c:pt idx="7">
                  <c:v>1721.40625</c:v>
                </c:pt>
                <c:pt idx="8">
                  <c:v>1736.15625</c:v>
                </c:pt>
                <c:pt idx="9">
                  <c:v>1757.375</c:v>
                </c:pt>
                <c:pt idx="10">
                  <c:v>1783.078125</c:v>
                </c:pt>
                <c:pt idx="11">
                  <c:v>1803.984375</c:v>
                </c:pt>
                <c:pt idx="12">
                  <c:v>1823.96875</c:v>
                </c:pt>
                <c:pt idx="13">
                  <c:v>1842.3125</c:v>
                </c:pt>
                <c:pt idx="14">
                  <c:v>1863.125</c:v>
                </c:pt>
                <c:pt idx="15">
                  <c:v>1877.578125</c:v>
                </c:pt>
                <c:pt idx="16">
                  <c:v>1887.796875</c:v>
                </c:pt>
                <c:pt idx="17">
                  <c:v>1894.234375</c:v>
                </c:pt>
                <c:pt idx="18">
                  <c:v>1897.28125</c:v>
                </c:pt>
                <c:pt idx="19">
                  <c:v>1897.5625</c:v>
                </c:pt>
                <c:pt idx="20">
                  <c:v>1893.46875</c:v>
                </c:pt>
                <c:pt idx="21">
                  <c:v>1890.9375</c:v>
                </c:pt>
                <c:pt idx="22">
                  <c:v>1890.953125</c:v>
                </c:pt>
                <c:pt idx="23">
                  <c:v>1897.09375</c:v>
                </c:pt>
                <c:pt idx="24">
                  <c:v>1910.140625</c:v>
                </c:pt>
              </c:numCache>
            </c:numRef>
          </c:val>
          <c:smooth val="0"/>
          <c:extLst>
            <c:ext xmlns:c16="http://schemas.microsoft.com/office/drawing/2014/chart" uri="{C3380CC4-5D6E-409C-BE32-E72D297353CC}">
              <c16:uniqueId val="{00000001-EEAB-4DC4-9D34-37B0A9A1C6D6}"/>
            </c:ext>
          </c:extLst>
        </c:ser>
        <c:ser>
          <c:idx val="2"/>
          <c:order val="2"/>
          <c:tx>
            <c:strRef>
              <c:f>'5th Round'!$B$68</c:f>
              <c:strCache>
                <c:ptCount val="1"/>
                <c:pt idx="0">
                  <c:v>Scenario 3</c:v>
                </c:pt>
              </c:strCache>
            </c:strRef>
          </c:tx>
          <c:spPr>
            <a:ln w="19050" cap="rnd">
              <a:solidFill>
                <a:schemeClr val="accent3"/>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Round'!$G$68:$AE$68</c:f>
              <c:numCache>
                <c:formatCode>0</c:formatCode>
                <c:ptCount val="25"/>
                <c:pt idx="0">
                  <c:v>0</c:v>
                </c:pt>
                <c:pt idx="1">
                  <c:v>4936.9375</c:v>
                </c:pt>
                <c:pt idx="2">
                  <c:v>4929.53125</c:v>
                </c:pt>
                <c:pt idx="3">
                  <c:v>4938.5</c:v>
                </c:pt>
                <c:pt idx="4">
                  <c:v>4945.375</c:v>
                </c:pt>
                <c:pt idx="5">
                  <c:v>5016.8125</c:v>
                </c:pt>
                <c:pt idx="6">
                  <c:v>5085.171875</c:v>
                </c:pt>
                <c:pt idx="7">
                  <c:v>5139.984375</c:v>
                </c:pt>
                <c:pt idx="8">
                  <c:v>5194.609375</c:v>
                </c:pt>
                <c:pt idx="9">
                  <c:v>5277.515625</c:v>
                </c:pt>
                <c:pt idx="10">
                  <c:v>5382</c:v>
                </c:pt>
                <c:pt idx="11">
                  <c:v>5457.1875</c:v>
                </c:pt>
                <c:pt idx="12">
                  <c:v>5528.21875</c:v>
                </c:pt>
                <c:pt idx="13">
                  <c:v>5591.515625</c:v>
                </c:pt>
                <c:pt idx="14">
                  <c:v>5661.171875</c:v>
                </c:pt>
                <c:pt idx="15">
                  <c:v>5703.640625</c:v>
                </c:pt>
                <c:pt idx="16">
                  <c:v>5729.53125</c:v>
                </c:pt>
                <c:pt idx="17">
                  <c:v>5740.9375</c:v>
                </c:pt>
                <c:pt idx="18">
                  <c:v>5739.3125</c:v>
                </c:pt>
                <c:pt idx="19">
                  <c:v>5726.8125</c:v>
                </c:pt>
                <c:pt idx="20">
                  <c:v>5699.640625</c:v>
                </c:pt>
                <c:pt idx="21">
                  <c:v>5676.703125</c:v>
                </c:pt>
                <c:pt idx="22">
                  <c:v>5659.734375</c:v>
                </c:pt>
                <c:pt idx="23">
                  <c:v>5662.734375</c:v>
                </c:pt>
                <c:pt idx="24">
                  <c:v>5688.28125</c:v>
                </c:pt>
              </c:numCache>
            </c:numRef>
          </c:val>
          <c:smooth val="0"/>
          <c:extLst>
            <c:ext xmlns:c16="http://schemas.microsoft.com/office/drawing/2014/chart" uri="{C3380CC4-5D6E-409C-BE32-E72D297353CC}">
              <c16:uniqueId val="{00000002-EEAB-4DC4-9D34-37B0A9A1C6D6}"/>
            </c:ext>
          </c:extLst>
        </c:ser>
        <c:dLbls>
          <c:showLegendKey val="0"/>
          <c:showVal val="0"/>
          <c:showCatName val="0"/>
          <c:showSerName val="0"/>
          <c:showPercent val="0"/>
          <c:showBubbleSize val="0"/>
        </c:dLbls>
        <c:smooth val="0"/>
        <c:axId val="709273567"/>
        <c:axId val="709274047"/>
      </c:lineChart>
      <c:catAx>
        <c:axId val="70927356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09274047"/>
        <c:crosses val="autoZero"/>
        <c:auto val="1"/>
        <c:lblAlgn val="ctr"/>
        <c:lblOffset val="100"/>
        <c:tickLblSkip val="1"/>
        <c:tickMarkSkip val="1"/>
        <c:noMultiLvlLbl val="0"/>
      </c:catAx>
      <c:valAx>
        <c:axId val="7092740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09273567"/>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Pastureland (1000 ha)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'5th Round'!$B$69</c:f>
              <c:strCache>
                <c:ptCount val="1"/>
                <c:pt idx="0">
                  <c:v>Scenario 1</c:v>
                </c:pt>
              </c:strCache>
            </c:strRef>
          </c:tx>
          <c:spPr>
            <a:ln w="12700" cap="rnd">
              <a:solidFill>
                <a:schemeClr val="accent1"/>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Round'!$G$69:$AE$69</c:f>
              <c:numCache>
                <c:formatCode>0</c:formatCode>
                <c:ptCount val="25"/>
                <c:pt idx="0">
                  <c:v>0</c:v>
                </c:pt>
                <c:pt idx="1">
                  <c:v>-48.82653809999988</c:v>
                </c:pt>
                <c:pt idx="2">
                  <c:v>-50.136718799999926</c:v>
                </c:pt>
                <c:pt idx="3">
                  <c:v>-51.651123100000177</c:v>
                </c:pt>
                <c:pt idx="4">
                  <c:v>-52.975463899999795</c:v>
                </c:pt>
                <c:pt idx="5">
                  <c:v>-55.207031200000074</c:v>
                </c:pt>
                <c:pt idx="6">
                  <c:v>-57.3984375</c:v>
                </c:pt>
                <c:pt idx="7">
                  <c:v>-59.575927800000045</c:v>
                </c:pt>
                <c:pt idx="8">
                  <c:v>-61.760009799999807</c:v>
                </c:pt>
                <c:pt idx="9">
                  <c:v>-63.940673799999786</c:v>
                </c:pt>
                <c:pt idx="10">
                  <c:v>-66.232177800000045</c:v>
                </c:pt>
                <c:pt idx="11">
                  <c:v>-68.862304600000243</c:v>
                </c:pt>
                <c:pt idx="12">
                  <c:v>-71.644042999999783</c:v>
                </c:pt>
                <c:pt idx="13">
                  <c:v>-74.528320299999905</c:v>
                </c:pt>
                <c:pt idx="14">
                  <c:v>-77.750244099999691</c:v>
                </c:pt>
                <c:pt idx="15">
                  <c:v>-80.865722699999878</c:v>
                </c:pt>
                <c:pt idx="16">
                  <c:v>-83.9921875</c:v>
                </c:pt>
                <c:pt idx="17">
                  <c:v>-87.141845699999976</c:v>
                </c:pt>
                <c:pt idx="18">
                  <c:v>-90.325439499999902</c:v>
                </c:pt>
                <c:pt idx="19">
                  <c:v>-93.575195399999757</c:v>
                </c:pt>
                <c:pt idx="20">
                  <c:v>-96.765380899999855</c:v>
                </c:pt>
                <c:pt idx="21">
                  <c:v>-100.18969729999981</c:v>
                </c:pt>
                <c:pt idx="22">
                  <c:v>-103.62353520000033</c:v>
                </c:pt>
                <c:pt idx="23">
                  <c:v>-107.42431639999995</c:v>
                </c:pt>
                <c:pt idx="24">
                  <c:v>-111.74536129999979</c:v>
                </c:pt>
              </c:numCache>
            </c:numRef>
          </c:val>
          <c:smooth val="0"/>
          <c:extLst>
            <c:ext xmlns:c16="http://schemas.microsoft.com/office/drawing/2014/chart" uri="{C3380CC4-5D6E-409C-BE32-E72D297353CC}">
              <c16:uniqueId val="{00000000-24E7-4889-91B1-84A3C89F5DC8}"/>
            </c:ext>
          </c:extLst>
        </c:ser>
        <c:ser>
          <c:idx val="1"/>
          <c:order val="1"/>
          <c:tx>
            <c:strRef>
              <c:f>'5th Round'!$B$70</c:f>
              <c:strCache>
                <c:ptCount val="1"/>
                <c:pt idx="0">
                  <c:v>Scenario 2</c:v>
                </c:pt>
              </c:strCache>
            </c:strRef>
          </c:tx>
          <c:spPr>
            <a:ln w="12700" cap="rnd">
              <a:solidFill>
                <a:schemeClr val="accent2"/>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Round'!$G$70:$AE$70</c:f>
              <c:numCache>
                <c:formatCode>0</c:formatCode>
                <c:ptCount val="25"/>
                <c:pt idx="0">
                  <c:v>0</c:v>
                </c:pt>
                <c:pt idx="1">
                  <c:v>-31.457885799999758</c:v>
                </c:pt>
                <c:pt idx="2">
                  <c:v>-32.448364299999866</c:v>
                </c:pt>
                <c:pt idx="3">
                  <c:v>-33.607910200000333</c:v>
                </c:pt>
                <c:pt idx="4">
                  <c:v>-34.495117200000095</c:v>
                </c:pt>
                <c:pt idx="5">
                  <c:v>-36.585693300000003</c:v>
                </c:pt>
                <c:pt idx="6">
                  <c:v>-38.622314499999902</c:v>
                </c:pt>
                <c:pt idx="7">
                  <c:v>-40.628173900000093</c:v>
                </c:pt>
                <c:pt idx="8">
                  <c:v>-42.627197299999807</c:v>
                </c:pt>
                <c:pt idx="9">
                  <c:v>-44.418457000000217</c:v>
                </c:pt>
                <c:pt idx="10">
                  <c:v>-46.564209000000119</c:v>
                </c:pt>
                <c:pt idx="11">
                  <c:v>-48.780517500000315</c:v>
                </c:pt>
                <c:pt idx="12">
                  <c:v>-51.181152399999974</c:v>
                </c:pt>
                <c:pt idx="13">
                  <c:v>-53.726318300000003</c:v>
                </c:pt>
                <c:pt idx="14">
                  <c:v>-56.584228499999881</c:v>
                </c:pt>
                <c:pt idx="15">
                  <c:v>-59.413574200000312</c:v>
                </c:pt>
                <c:pt idx="16">
                  <c:v>-62.333496100000048</c:v>
                </c:pt>
                <c:pt idx="17">
                  <c:v>-65.348877000000357</c:v>
                </c:pt>
                <c:pt idx="18">
                  <c:v>-68.469970699999976</c:v>
                </c:pt>
                <c:pt idx="19">
                  <c:v>-71.726074299999709</c:v>
                </c:pt>
                <c:pt idx="20">
                  <c:v>-75.106445299999905</c:v>
                </c:pt>
                <c:pt idx="21">
                  <c:v>-78.739746100000048</c:v>
                </c:pt>
                <c:pt idx="22">
                  <c:v>-82.403076200000214</c:v>
                </c:pt>
                <c:pt idx="23">
                  <c:v>-86.405761699999857</c:v>
                </c:pt>
                <c:pt idx="24">
                  <c:v>-90.899658199999976</c:v>
                </c:pt>
              </c:numCache>
            </c:numRef>
          </c:val>
          <c:smooth val="0"/>
          <c:extLst>
            <c:ext xmlns:c16="http://schemas.microsoft.com/office/drawing/2014/chart" uri="{C3380CC4-5D6E-409C-BE32-E72D297353CC}">
              <c16:uniqueId val="{00000001-24E7-4889-91B1-84A3C89F5DC8}"/>
            </c:ext>
          </c:extLst>
        </c:ser>
        <c:ser>
          <c:idx val="2"/>
          <c:order val="2"/>
          <c:tx>
            <c:strRef>
              <c:f>'5th Round'!$B$71</c:f>
              <c:strCache>
                <c:ptCount val="1"/>
                <c:pt idx="0">
                  <c:v>Scenario 3</c:v>
                </c:pt>
              </c:strCache>
            </c:strRef>
          </c:tx>
          <c:spPr>
            <a:ln w="12700" cap="rnd">
              <a:solidFill>
                <a:schemeClr val="accent3"/>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Round'!$G$71:$AE$71</c:f>
              <c:numCache>
                <c:formatCode>0</c:formatCode>
                <c:ptCount val="25"/>
                <c:pt idx="0">
                  <c:v>0</c:v>
                </c:pt>
                <c:pt idx="1">
                  <c:v>5.9445800000003146</c:v>
                </c:pt>
                <c:pt idx="2">
                  <c:v>5.5500488000002406</c:v>
                </c:pt>
                <c:pt idx="3">
                  <c:v>5.121581999999762</c:v>
                </c:pt>
                <c:pt idx="4">
                  <c:v>5.1574706999999762</c:v>
                </c:pt>
                <c:pt idx="5">
                  <c:v>3.8298339999996642</c:v>
                </c:pt>
                <c:pt idx="6">
                  <c:v>2.6174316000001454</c:v>
                </c:pt>
                <c:pt idx="7">
                  <c:v>1.306884699999955</c:v>
                </c:pt>
                <c:pt idx="8">
                  <c:v>3.442380000024059E-2</c:v>
                </c:pt>
                <c:pt idx="9">
                  <c:v>-0.45483400000011898</c:v>
                </c:pt>
                <c:pt idx="10">
                  <c:v>-1.4641114000000925</c:v>
                </c:pt>
                <c:pt idx="11">
                  <c:v>-2.609375</c:v>
                </c:pt>
                <c:pt idx="12">
                  <c:v>-4.0266113999996378</c:v>
                </c:pt>
                <c:pt idx="13">
                  <c:v>-5.7133788999999524</c:v>
                </c:pt>
                <c:pt idx="14">
                  <c:v>-7.6743163999999524</c:v>
                </c:pt>
                <c:pt idx="15">
                  <c:v>-9.858886700000312</c:v>
                </c:pt>
                <c:pt idx="16">
                  <c:v>-12.350586000000021</c:v>
                </c:pt>
                <c:pt idx="17">
                  <c:v>-15.130371100000048</c:v>
                </c:pt>
                <c:pt idx="18">
                  <c:v>-18.204589899999974</c:v>
                </c:pt>
                <c:pt idx="19">
                  <c:v>-21.591308600000048</c:v>
                </c:pt>
                <c:pt idx="20">
                  <c:v>-25.359863300000143</c:v>
                </c:pt>
                <c:pt idx="21">
                  <c:v>-29.430175799999688</c:v>
                </c:pt>
                <c:pt idx="22">
                  <c:v>-33.607910200000333</c:v>
                </c:pt>
                <c:pt idx="23">
                  <c:v>-38.050781200000074</c:v>
                </c:pt>
                <c:pt idx="24">
                  <c:v>-42.90625</c:v>
                </c:pt>
              </c:numCache>
            </c:numRef>
          </c:val>
          <c:smooth val="0"/>
          <c:extLst>
            <c:ext xmlns:c16="http://schemas.microsoft.com/office/drawing/2014/chart" uri="{C3380CC4-5D6E-409C-BE32-E72D297353CC}">
              <c16:uniqueId val="{00000002-24E7-4889-91B1-84A3C89F5DC8}"/>
            </c:ext>
          </c:extLst>
        </c:ser>
        <c:dLbls>
          <c:showLegendKey val="0"/>
          <c:showVal val="0"/>
          <c:showCatName val="0"/>
          <c:showSerName val="0"/>
          <c:showPercent val="0"/>
          <c:showBubbleSize val="0"/>
        </c:dLbls>
        <c:smooth val="0"/>
        <c:axId val="1527872463"/>
        <c:axId val="1527882063"/>
      </c:lineChart>
      <c:catAx>
        <c:axId val="152787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27882063"/>
        <c:crosses val="autoZero"/>
        <c:auto val="1"/>
        <c:lblAlgn val="ctr"/>
        <c:lblOffset val="100"/>
        <c:noMultiLvlLbl val="0"/>
      </c:catAx>
      <c:valAx>
        <c:axId val="15278820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27872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Forest plantations (1000 ha)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'5th Round'!$B$72</c:f>
              <c:strCache>
                <c:ptCount val="1"/>
                <c:pt idx="0">
                  <c:v>Scenario 1</c:v>
                </c:pt>
              </c:strCache>
            </c:strRef>
          </c:tx>
          <c:spPr>
            <a:ln w="12700" cap="rnd">
              <a:solidFill>
                <a:schemeClr val="accent1"/>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Round'!$G$72:$AE$72</c:f>
              <c:numCache>
                <c:formatCode>0</c:formatCode>
                <c:ptCount val="25"/>
                <c:pt idx="0">
                  <c:v>0</c:v>
                </c:pt>
                <c:pt idx="1">
                  <c:v>-114.85644539999976</c:v>
                </c:pt>
                <c:pt idx="2">
                  <c:v>-113.97534180000002</c:v>
                </c:pt>
                <c:pt idx="3">
                  <c:v>-113.29467779999959</c:v>
                </c:pt>
                <c:pt idx="4">
                  <c:v>-112.65283200000022</c:v>
                </c:pt>
                <c:pt idx="5">
                  <c:v>-112.85131839999985</c:v>
                </c:pt>
                <c:pt idx="6">
                  <c:v>-113.00512690000005</c:v>
                </c:pt>
                <c:pt idx="7">
                  <c:v>-113.17065430000002</c:v>
                </c:pt>
                <c:pt idx="8">
                  <c:v>-113.36889650000012</c:v>
                </c:pt>
                <c:pt idx="9">
                  <c:v>-113.46044919999986</c:v>
                </c:pt>
                <c:pt idx="10">
                  <c:v>-113.54418940000005</c:v>
                </c:pt>
                <c:pt idx="11">
                  <c:v>-113.66723630000024</c:v>
                </c:pt>
                <c:pt idx="12">
                  <c:v>-113.88085939999974</c:v>
                </c:pt>
                <c:pt idx="13">
                  <c:v>-114.1691894999999</c:v>
                </c:pt>
                <c:pt idx="14">
                  <c:v>-114.42871090000017</c:v>
                </c:pt>
                <c:pt idx="15">
                  <c:v>-114.7810058</c:v>
                </c:pt>
                <c:pt idx="16">
                  <c:v>-115.22216799999978</c:v>
                </c:pt>
                <c:pt idx="17">
                  <c:v>-115.77600090000033</c:v>
                </c:pt>
                <c:pt idx="18">
                  <c:v>-116.47106939999981</c:v>
                </c:pt>
                <c:pt idx="19">
                  <c:v>-117.34313969999994</c:v>
                </c:pt>
                <c:pt idx="20">
                  <c:v>-118.61022949999983</c:v>
                </c:pt>
                <c:pt idx="21">
                  <c:v>-120.18969719999996</c:v>
                </c:pt>
                <c:pt idx="22">
                  <c:v>-122.13647460000016</c:v>
                </c:pt>
                <c:pt idx="23">
                  <c:v>-124.68139650000012</c:v>
                </c:pt>
                <c:pt idx="24">
                  <c:v>-127.85180660000015</c:v>
                </c:pt>
              </c:numCache>
            </c:numRef>
          </c:val>
          <c:smooth val="0"/>
          <c:extLst>
            <c:ext xmlns:c16="http://schemas.microsoft.com/office/drawing/2014/chart" uri="{C3380CC4-5D6E-409C-BE32-E72D297353CC}">
              <c16:uniqueId val="{00000000-9B7F-43B0-91C1-F654059C0C50}"/>
            </c:ext>
          </c:extLst>
        </c:ser>
        <c:ser>
          <c:idx val="1"/>
          <c:order val="1"/>
          <c:tx>
            <c:strRef>
              <c:f>'5th Round'!$B$73</c:f>
              <c:strCache>
                <c:ptCount val="1"/>
                <c:pt idx="0">
                  <c:v>Scenario 2</c:v>
                </c:pt>
              </c:strCache>
            </c:strRef>
          </c:tx>
          <c:spPr>
            <a:ln w="12700" cap="rnd">
              <a:solidFill>
                <a:schemeClr val="accent2"/>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Round'!$G$73:$AE$73</c:f>
              <c:numCache>
                <c:formatCode>0</c:formatCode>
                <c:ptCount val="25"/>
                <c:pt idx="0">
                  <c:v>0</c:v>
                </c:pt>
                <c:pt idx="1">
                  <c:v>-80.501464899999974</c:v>
                </c:pt>
                <c:pt idx="2">
                  <c:v>-80.281005899999855</c:v>
                </c:pt>
                <c:pt idx="3">
                  <c:v>-80.251953199999662</c:v>
                </c:pt>
                <c:pt idx="4">
                  <c:v>-80.327148400000169</c:v>
                </c:pt>
                <c:pt idx="5">
                  <c:v>-81.101318399999855</c:v>
                </c:pt>
                <c:pt idx="6">
                  <c:v>-81.782714800000122</c:v>
                </c:pt>
                <c:pt idx="7">
                  <c:v>-82.479980500000238</c:v>
                </c:pt>
                <c:pt idx="8">
                  <c:v>-83.205810500000098</c:v>
                </c:pt>
                <c:pt idx="9">
                  <c:v>-83.857177699999738</c:v>
                </c:pt>
                <c:pt idx="10">
                  <c:v>-84.576416000000336</c:v>
                </c:pt>
                <c:pt idx="11">
                  <c:v>-85.112793000000238</c:v>
                </c:pt>
                <c:pt idx="12">
                  <c:v>-85.724121100000048</c:v>
                </c:pt>
                <c:pt idx="13">
                  <c:v>-86.399902399999974</c:v>
                </c:pt>
                <c:pt idx="14">
                  <c:v>-87.050781200000074</c:v>
                </c:pt>
                <c:pt idx="15">
                  <c:v>-87.794921799999884</c:v>
                </c:pt>
                <c:pt idx="16">
                  <c:v>-88.64257809999981</c:v>
                </c:pt>
                <c:pt idx="17">
                  <c:v>-89.615234300000338</c:v>
                </c:pt>
                <c:pt idx="18">
                  <c:v>-90.738647499999843</c:v>
                </c:pt>
                <c:pt idx="19">
                  <c:v>-92.043090800000073</c:v>
                </c:pt>
                <c:pt idx="20">
                  <c:v>-93.74487309999995</c:v>
                </c:pt>
                <c:pt idx="21">
                  <c:v>-95.725830099999939</c:v>
                </c:pt>
                <c:pt idx="22">
                  <c:v>-98.025512700000036</c:v>
                </c:pt>
                <c:pt idx="23">
                  <c:v>-100.83923340000001</c:v>
                </c:pt>
                <c:pt idx="24">
                  <c:v>-104.18701170000008</c:v>
                </c:pt>
              </c:numCache>
            </c:numRef>
          </c:val>
          <c:smooth val="0"/>
          <c:extLst>
            <c:ext xmlns:c16="http://schemas.microsoft.com/office/drawing/2014/chart" uri="{C3380CC4-5D6E-409C-BE32-E72D297353CC}">
              <c16:uniqueId val="{00000001-9B7F-43B0-91C1-F654059C0C50}"/>
            </c:ext>
          </c:extLst>
        </c:ser>
        <c:ser>
          <c:idx val="2"/>
          <c:order val="2"/>
          <c:tx>
            <c:strRef>
              <c:f>'5th Round'!$B$74</c:f>
              <c:strCache>
                <c:ptCount val="1"/>
                <c:pt idx="0">
                  <c:v>Scenario 3</c:v>
                </c:pt>
              </c:strCache>
            </c:strRef>
          </c:tx>
          <c:spPr>
            <a:ln w="12700" cap="rnd">
              <a:solidFill>
                <a:schemeClr val="accent3"/>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Round'!$G$74:$AE$74</c:f>
              <c:numCache>
                <c:formatCode>0</c:formatCode>
                <c:ptCount val="25"/>
                <c:pt idx="0">
                  <c:v>0</c:v>
                </c:pt>
                <c:pt idx="1">
                  <c:v>-5.8715821000000687</c:v>
                </c:pt>
                <c:pt idx="2">
                  <c:v>-7.2524413999999524</c:v>
                </c:pt>
                <c:pt idx="3">
                  <c:v>-8.6782226999998784</c:v>
                </c:pt>
                <c:pt idx="4">
                  <c:v>-10.194091800000024</c:v>
                </c:pt>
                <c:pt idx="5">
                  <c:v>-11.522460900000169</c:v>
                </c:pt>
                <c:pt idx="6">
                  <c:v>-12.793212900000071</c:v>
                </c:pt>
                <c:pt idx="7">
                  <c:v>-14.2890625</c:v>
                </c:pt>
                <c:pt idx="8">
                  <c:v>-15.82226559999981</c:v>
                </c:pt>
                <c:pt idx="9">
                  <c:v>-17.218261699999857</c:v>
                </c:pt>
                <c:pt idx="10">
                  <c:v>-18.557617200000095</c:v>
                </c:pt>
                <c:pt idx="11">
                  <c:v>-19.827148500000021</c:v>
                </c:pt>
                <c:pt idx="12">
                  <c:v>-21.160644499999762</c:v>
                </c:pt>
                <c:pt idx="13">
                  <c:v>-22.577880899999855</c:v>
                </c:pt>
                <c:pt idx="14">
                  <c:v>-24.004638600000362</c:v>
                </c:pt>
                <c:pt idx="15">
                  <c:v>-25.624511699999857</c:v>
                </c:pt>
                <c:pt idx="16">
                  <c:v>-27.423095699999976</c:v>
                </c:pt>
                <c:pt idx="17">
                  <c:v>-29.40625</c:v>
                </c:pt>
                <c:pt idx="18">
                  <c:v>-31.586669999999685</c:v>
                </c:pt>
                <c:pt idx="19">
                  <c:v>-33.977661099999978</c:v>
                </c:pt>
                <c:pt idx="20">
                  <c:v>-36.694457999999941</c:v>
                </c:pt>
                <c:pt idx="21">
                  <c:v>-39.616210899999942</c:v>
                </c:pt>
                <c:pt idx="22">
                  <c:v>-42.774658199999976</c:v>
                </c:pt>
                <c:pt idx="23">
                  <c:v>-46.235839900000201</c:v>
                </c:pt>
                <c:pt idx="24">
                  <c:v>-50.000732400000061</c:v>
                </c:pt>
              </c:numCache>
            </c:numRef>
          </c:val>
          <c:smooth val="0"/>
          <c:extLst>
            <c:ext xmlns:c16="http://schemas.microsoft.com/office/drawing/2014/chart" uri="{C3380CC4-5D6E-409C-BE32-E72D297353CC}">
              <c16:uniqueId val="{00000002-9B7F-43B0-91C1-F654059C0C50}"/>
            </c:ext>
          </c:extLst>
        </c:ser>
        <c:dLbls>
          <c:showLegendKey val="0"/>
          <c:showVal val="0"/>
          <c:showCatName val="0"/>
          <c:showSerName val="0"/>
          <c:showPercent val="0"/>
          <c:showBubbleSize val="0"/>
        </c:dLbls>
        <c:smooth val="0"/>
        <c:axId val="148096480"/>
        <c:axId val="148091200"/>
      </c:lineChart>
      <c:catAx>
        <c:axId val="14809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091200"/>
        <c:crosses val="autoZero"/>
        <c:auto val="1"/>
        <c:lblAlgn val="ctr"/>
        <c:lblOffset val="100"/>
        <c:noMultiLvlLbl val="0"/>
      </c:catAx>
      <c:valAx>
        <c:axId val="148091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809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Total land (1000 ha)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'5th Round'!$B$75</c:f>
              <c:strCache>
                <c:ptCount val="1"/>
                <c:pt idx="0">
                  <c:v>Scenario 1</c:v>
                </c:pt>
              </c:strCache>
            </c:strRef>
          </c:tx>
          <c:spPr>
            <a:ln w="12700" cap="rnd">
              <a:solidFill>
                <a:schemeClr val="accent1"/>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Round'!$G$75:$AE$75</c:f>
              <c:numCache>
                <c:formatCode>0</c:formatCode>
                <c:ptCount val="25"/>
                <c:pt idx="0">
                  <c:v>0</c:v>
                </c:pt>
                <c:pt idx="1">
                  <c:v>4.5165000003635214E-3</c:v>
                </c:pt>
                <c:pt idx="2">
                  <c:v>-2.6855999999497726E-3</c:v>
                </c:pt>
                <c:pt idx="3">
                  <c:v>7.3241000002326473E-3</c:v>
                </c:pt>
                <c:pt idx="4">
                  <c:v>1.2329099999988102E-2</c:v>
                </c:pt>
                <c:pt idx="5">
                  <c:v>-1.1474599999928614E-2</c:v>
                </c:pt>
                <c:pt idx="6">
                  <c:v>2.6855999999497726E-3</c:v>
                </c:pt>
                <c:pt idx="7">
                  <c:v>3.4178999999312509E-3</c:v>
                </c:pt>
                <c:pt idx="8">
                  <c:v>1.1718700000074023E-2</c:v>
                </c:pt>
                <c:pt idx="9">
                  <c:v>5.1270000003569294E-3</c:v>
                </c:pt>
                <c:pt idx="10">
                  <c:v>4.8827999999048188E-3</c:v>
                </c:pt>
                <c:pt idx="11">
                  <c:v>-1.3915900000483816E-2</c:v>
                </c:pt>
                <c:pt idx="12">
                  <c:v>-9.2773999995188206E-3</c:v>
                </c:pt>
                <c:pt idx="13">
                  <c:v>-1.0009799999807001E-2</c:v>
                </c:pt>
                <c:pt idx="14">
                  <c:v>-7.0799999998598651E-3</c:v>
                </c:pt>
                <c:pt idx="15">
                  <c:v>9.5215000001189765E-3</c:v>
                </c:pt>
                <c:pt idx="16">
                  <c:v>4.3945000002167944E-3</c:v>
                </c:pt>
                <c:pt idx="17">
                  <c:v>4.0283999996972852E-3</c:v>
                </c:pt>
                <c:pt idx="18">
                  <c:v>3.6610000029213552E-4</c:v>
                </c:pt>
                <c:pt idx="19">
                  <c:v>3.5399000003053516E-3</c:v>
                </c:pt>
                <c:pt idx="20">
                  <c:v>-6.10399999686706E-4</c:v>
                </c:pt>
                <c:pt idx="21">
                  <c:v>-4.3944999997620471E-3</c:v>
                </c:pt>
                <c:pt idx="22">
                  <c:v>-1.0009800000489122E-2</c:v>
                </c:pt>
                <c:pt idx="23">
                  <c:v>3.6620999999286141E-3</c:v>
                </c:pt>
                <c:pt idx="24">
                  <c:v>-3.4178999999312509E-3</c:v>
                </c:pt>
              </c:numCache>
            </c:numRef>
          </c:val>
          <c:smooth val="0"/>
          <c:extLst>
            <c:ext xmlns:c16="http://schemas.microsoft.com/office/drawing/2014/chart" uri="{C3380CC4-5D6E-409C-BE32-E72D297353CC}">
              <c16:uniqueId val="{00000000-6666-48A9-B672-93433DD33F42}"/>
            </c:ext>
          </c:extLst>
        </c:ser>
        <c:ser>
          <c:idx val="1"/>
          <c:order val="1"/>
          <c:tx>
            <c:strRef>
              <c:f>'5th Round'!$B$76</c:f>
              <c:strCache>
                <c:ptCount val="1"/>
                <c:pt idx="0">
                  <c:v>Scenario 2</c:v>
                </c:pt>
              </c:strCache>
            </c:strRef>
          </c:tx>
          <c:spPr>
            <a:ln w="12700" cap="rnd">
              <a:solidFill>
                <a:schemeClr val="accent2"/>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Round'!$G$76:$AE$76</c:f>
              <c:numCache>
                <c:formatCode>0</c:formatCode>
                <c:ptCount val="25"/>
                <c:pt idx="0">
                  <c:v>0</c:v>
                </c:pt>
                <c:pt idx="1">
                  <c:v>1555.3687743000003</c:v>
                </c:pt>
                <c:pt idx="2">
                  <c:v>1555.3487548000003</c:v>
                </c:pt>
                <c:pt idx="3">
                  <c:v>1558.7026366</c:v>
                </c:pt>
                <c:pt idx="4">
                  <c:v>1560.0527343999997</c:v>
                </c:pt>
                <c:pt idx="5">
                  <c:v>1574.0317383000001</c:v>
                </c:pt>
                <c:pt idx="6">
                  <c:v>1586.2980957</c:v>
                </c:pt>
                <c:pt idx="7">
                  <c:v>1598.2980955999997</c:v>
                </c:pt>
                <c:pt idx="8">
                  <c:v>1610.3232422000001</c:v>
                </c:pt>
                <c:pt idx="9">
                  <c:v>1629.0993653</c:v>
                </c:pt>
                <c:pt idx="10">
                  <c:v>1651.9374999999995</c:v>
                </c:pt>
                <c:pt idx="11">
                  <c:v>1670.0910644999994</c:v>
                </c:pt>
                <c:pt idx="12">
                  <c:v>1687.0634765</c:v>
                </c:pt>
                <c:pt idx="13">
                  <c:v>1702.1862793</c:v>
                </c:pt>
                <c:pt idx="14">
                  <c:v>1719.4899903</c:v>
                </c:pt>
                <c:pt idx="15">
                  <c:v>1730.3696289999998</c:v>
                </c:pt>
                <c:pt idx="16">
                  <c:v>1736.8208008000001</c:v>
                </c:pt>
                <c:pt idx="17">
                  <c:v>1739.2702636999993</c:v>
                </c:pt>
                <c:pt idx="18">
                  <c:v>1738.0726318000002</c:v>
                </c:pt>
                <c:pt idx="19">
                  <c:v>1733.7933349000002</c:v>
                </c:pt>
                <c:pt idx="20">
                  <c:v>1724.6174316000001</c:v>
                </c:pt>
                <c:pt idx="21">
                  <c:v>1716.4719238</c:v>
                </c:pt>
                <c:pt idx="22">
                  <c:v>1710.5245360999998</c:v>
                </c:pt>
                <c:pt idx="23">
                  <c:v>1709.8487549000001</c:v>
                </c:pt>
                <c:pt idx="24">
                  <c:v>1715.0539550999999</c:v>
                </c:pt>
              </c:numCache>
            </c:numRef>
          </c:val>
          <c:smooth val="0"/>
          <c:extLst>
            <c:ext xmlns:c16="http://schemas.microsoft.com/office/drawing/2014/chart" uri="{C3380CC4-5D6E-409C-BE32-E72D297353CC}">
              <c16:uniqueId val="{00000001-6666-48A9-B672-93433DD33F42}"/>
            </c:ext>
          </c:extLst>
        </c:ser>
        <c:ser>
          <c:idx val="2"/>
          <c:order val="2"/>
          <c:tx>
            <c:strRef>
              <c:f>'5th Round'!$B$77</c:f>
              <c:strCache>
                <c:ptCount val="1"/>
                <c:pt idx="0">
                  <c:v>Scenario 3</c:v>
                </c:pt>
              </c:strCache>
            </c:strRef>
          </c:tx>
          <c:spPr>
            <a:ln w="12700" cap="rnd">
              <a:solidFill>
                <a:schemeClr val="accent3"/>
              </a:solidFill>
              <a:round/>
            </a:ln>
            <a:effectLst/>
          </c:spPr>
          <c:marker>
            <c:symbol val="none"/>
          </c:marker>
          <c:cat>
            <c:numRef>
              <c:f>'5th Round'!$G$14:$AE$14</c:f>
              <c:numCache>
                <c:formatCode>General</c:formatCode>
                <c:ptCount val="25"/>
                <c:pt idx="0">
                  <c:v>2026</c:v>
                </c:pt>
                <c:pt idx="4">
                  <c:v>2030</c:v>
                </c:pt>
                <c:pt idx="9">
                  <c:v>2035</c:v>
                </c:pt>
                <c:pt idx="14">
                  <c:v>2040</c:v>
                </c:pt>
                <c:pt idx="19">
                  <c:v>2045</c:v>
                </c:pt>
                <c:pt idx="24">
                  <c:v>2050</c:v>
                </c:pt>
              </c:numCache>
            </c:numRef>
          </c:cat>
          <c:val>
            <c:numRef>
              <c:f>'5th Round'!$G$77:$AE$77</c:f>
              <c:numCache>
                <c:formatCode>0</c:formatCode>
                <c:ptCount val="25"/>
                <c:pt idx="0">
                  <c:v>0</c:v>
                </c:pt>
                <c:pt idx="1">
                  <c:v>4937.0104979000007</c:v>
                </c:pt>
                <c:pt idx="2">
                  <c:v>4927.8288573999998</c:v>
                </c:pt>
                <c:pt idx="3">
                  <c:v>4934.9433592999994</c:v>
                </c:pt>
                <c:pt idx="4">
                  <c:v>4940.3383789</c:v>
                </c:pt>
                <c:pt idx="5">
                  <c:v>5009.1198731000004</c:v>
                </c:pt>
                <c:pt idx="6">
                  <c:v>5074.9960936999996</c:v>
                </c:pt>
                <c:pt idx="7">
                  <c:v>5127.0021971999995</c:v>
                </c:pt>
                <c:pt idx="8">
                  <c:v>5178.8215332</c:v>
                </c:pt>
                <c:pt idx="9">
                  <c:v>5259.8425293</c:v>
                </c:pt>
                <c:pt idx="10">
                  <c:v>5361.9782713999994</c:v>
                </c:pt>
                <c:pt idx="11">
                  <c:v>5434.7509764999995</c:v>
                </c:pt>
                <c:pt idx="12">
                  <c:v>5503.0314941000006</c:v>
                </c:pt>
                <c:pt idx="13">
                  <c:v>5563.2243651999997</c:v>
                </c:pt>
                <c:pt idx="14">
                  <c:v>5629.4929199999997</c:v>
                </c:pt>
                <c:pt idx="15">
                  <c:v>5668.1572266000003</c:v>
                </c:pt>
                <c:pt idx="16">
                  <c:v>5689.7575682999995</c:v>
                </c:pt>
                <c:pt idx="17">
                  <c:v>5696.4008789</c:v>
                </c:pt>
                <c:pt idx="18">
                  <c:v>5689.5212400999999</c:v>
                </c:pt>
                <c:pt idx="19">
                  <c:v>5671.2435303000002</c:v>
                </c:pt>
                <c:pt idx="20">
                  <c:v>5637.5863036999999</c:v>
                </c:pt>
                <c:pt idx="21">
                  <c:v>5607.6567383000001</c:v>
                </c:pt>
                <c:pt idx="22">
                  <c:v>5583.3518065999997</c:v>
                </c:pt>
                <c:pt idx="23">
                  <c:v>5578.4477539</c:v>
                </c:pt>
                <c:pt idx="24">
                  <c:v>5595.3742676000002</c:v>
                </c:pt>
              </c:numCache>
            </c:numRef>
          </c:val>
          <c:smooth val="0"/>
          <c:extLst>
            <c:ext xmlns:c16="http://schemas.microsoft.com/office/drawing/2014/chart" uri="{C3380CC4-5D6E-409C-BE32-E72D297353CC}">
              <c16:uniqueId val="{00000002-6666-48A9-B672-93433DD33F42}"/>
            </c:ext>
          </c:extLst>
        </c:ser>
        <c:dLbls>
          <c:showLegendKey val="0"/>
          <c:showVal val="0"/>
          <c:showCatName val="0"/>
          <c:showSerName val="0"/>
          <c:showPercent val="0"/>
          <c:showBubbleSize val="0"/>
        </c:dLbls>
        <c:smooth val="0"/>
        <c:axId val="719907504"/>
        <c:axId val="719912304"/>
      </c:lineChart>
      <c:catAx>
        <c:axId val="71990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19912304"/>
        <c:crosses val="autoZero"/>
        <c:auto val="1"/>
        <c:lblAlgn val="ctr"/>
        <c:lblOffset val="100"/>
        <c:noMultiLvlLbl val="0"/>
      </c:catAx>
      <c:valAx>
        <c:axId val="719912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19907504"/>
        <c:crosses val="autoZero"/>
        <c:crossBetween val="between"/>
      </c:valAx>
      <c:spPr>
        <a:noFill/>
        <a:ln w="127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Soil erosion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'ES shocks'!$J$3</c:f>
              <c:strCache>
                <c:ptCount val="1"/>
                <c:pt idx="0">
                  <c:v>Scenario 1</c:v>
                </c:pt>
              </c:strCache>
            </c:strRef>
          </c:tx>
          <c:spPr>
            <a:ln w="12700" cap="rnd">
              <a:solidFill>
                <a:schemeClr val="accent1"/>
              </a:solidFill>
              <a:round/>
            </a:ln>
            <a:effectLst/>
          </c:spPr>
          <c:marker>
            <c:symbol val="none"/>
          </c:marker>
          <c:cat>
            <c:numRef>
              <c:f>'ES shocks'!$K$2:$AD$2</c:f>
              <c:numCache>
                <c:formatCode>General</c:formatCode>
                <c:ptCount val="20"/>
                <c:pt idx="0">
                  <c:v>2031</c:v>
                </c:pt>
                <c:pt idx="4">
                  <c:v>2035</c:v>
                </c:pt>
                <c:pt idx="9">
                  <c:v>2040</c:v>
                </c:pt>
                <c:pt idx="14">
                  <c:v>2045</c:v>
                </c:pt>
                <c:pt idx="19">
                  <c:v>2050</c:v>
                </c:pt>
              </c:numCache>
            </c:numRef>
          </c:cat>
          <c:val>
            <c:numRef>
              <c:f>'ES shocks'!$K$3:$AD$3</c:f>
              <c:numCache>
                <c:formatCode>0.0000</c:formatCode>
                <c:ptCount val="20"/>
                <c:pt idx="0">
                  <c:v>-1.3611861085010697E-6</c:v>
                </c:pt>
                <c:pt idx="1">
                  <c:v>-2.7223722170021395E-6</c:v>
                </c:pt>
                <c:pt idx="2">
                  <c:v>-4.0835583255032092E-6</c:v>
                </c:pt>
                <c:pt idx="3">
                  <c:v>-5.444744434004279E-6</c:v>
                </c:pt>
                <c:pt idx="4">
                  <c:v>-6.8059305425053487E-6</c:v>
                </c:pt>
                <c:pt idx="5">
                  <c:v>-8.9018928416159937E-6</c:v>
                </c:pt>
                <c:pt idx="6">
                  <c:v>-6.9142968152234295E-6</c:v>
                </c:pt>
                <c:pt idx="7">
                  <c:v>-4.9267007888308653E-6</c:v>
                </c:pt>
                <c:pt idx="8">
                  <c:v>-2.9391047624383011E-6</c:v>
                </c:pt>
                <c:pt idx="9">
                  <c:v>-9.5150873603958285E-7</c:v>
                </c:pt>
                <c:pt idx="10">
                  <c:v>-5.8887818441573152E-6</c:v>
                </c:pt>
                <c:pt idx="11">
                  <c:v>-1.0826054952275048E-5</c:v>
                </c:pt>
                <c:pt idx="12">
                  <c:v>-1.576332806039278E-5</c:v>
                </c:pt>
                <c:pt idx="13">
                  <c:v>-2.0700601168510512E-5</c:v>
                </c:pt>
                <c:pt idx="14">
                  <c:v>-2.5637874276622092E-5</c:v>
                </c:pt>
                <c:pt idx="15">
                  <c:v>-4.2743886886754697E-5</c:v>
                </c:pt>
                <c:pt idx="16">
                  <c:v>-5.9849899496887296E-5</c:v>
                </c:pt>
                <c:pt idx="17">
                  <c:v>-7.6955912107019901E-5</c:v>
                </c:pt>
                <c:pt idx="18">
                  <c:v>-9.4061924717152493E-5</c:v>
                </c:pt>
                <c:pt idx="19">
                  <c:v>-1.1116793732729125E-4</c:v>
                </c:pt>
              </c:numCache>
            </c:numRef>
          </c:val>
          <c:smooth val="0"/>
          <c:extLst>
            <c:ext xmlns:c16="http://schemas.microsoft.com/office/drawing/2014/chart" uri="{C3380CC4-5D6E-409C-BE32-E72D297353CC}">
              <c16:uniqueId val="{00000000-62F6-405A-8AD1-F8682570CD49}"/>
            </c:ext>
          </c:extLst>
        </c:ser>
        <c:ser>
          <c:idx val="1"/>
          <c:order val="1"/>
          <c:tx>
            <c:strRef>
              <c:f>'ES shocks'!$J$4</c:f>
              <c:strCache>
                <c:ptCount val="1"/>
                <c:pt idx="0">
                  <c:v>Scenario 2</c:v>
                </c:pt>
              </c:strCache>
            </c:strRef>
          </c:tx>
          <c:spPr>
            <a:ln w="12700" cap="rnd">
              <a:solidFill>
                <a:schemeClr val="accent2"/>
              </a:solidFill>
              <a:round/>
            </a:ln>
            <a:effectLst/>
          </c:spPr>
          <c:marker>
            <c:symbol val="none"/>
          </c:marker>
          <c:cat>
            <c:numRef>
              <c:f>'ES shocks'!$K$2:$AD$2</c:f>
              <c:numCache>
                <c:formatCode>General</c:formatCode>
                <c:ptCount val="20"/>
                <c:pt idx="0">
                  <c:v>2031</c:v>
                </c:pt>
                <c:pt idx="4">
                  <c:v>2035</c:v>
                </c:pt>
                <c:pt idx="9">
                  <c:v>2040</c:v>
                </c:pt>
                <c:pt idx="14">
                  <c:v>2045</c:v>
                </c:pt>
                <c:pt idx="19">
                  <c:v>2050</c:v>
                </c:pt>
              </c:numCache>
            </c:numRef>
          </c:cat>
          <c:val>
            <c:numRef>
              <c:f>'ES shocks'!$K$4:$AD$4</c:f>
              <c:numCache>
                <c:formatCode>0.0000</c:formatCode>
                <c:ptCount val="20"/>
                <c:pt idx="0">
                  <c:v>-9.1510031148695707E-5</c:v>
                </c:pt>
                <c:pt idx="1">
                  <c:v>-1.8302006229739141E-4</c:v>
                </c:pt>
                <c:pt idx="2">
                  <c:v>-2.7453009344608712E-4</c:v>
                </c:pt>
                <c:pt idx="3">
                  <c:v>-3.6604012459478283E-4</c:v>
                </c:pt>
                <c:pt idx="4">
                  <c:v>-4.5755015574347853E-4</c:v>
                </c:pt>
                <c:pt idx="5">
                  <c:v>-7.2863367310124706E-4</c:v>
                </c:pt>
                <c:pt idx="6">
                  <c:v>-7.2518709701292837E-4</c:v>
                </c:pt>
                <c:pt idx="7">
                  <c:v>-7.2174052092460956E-4</c:v>
                </c:pt>
                <c:pt idx="8">
                  <c:v>-7.1829394483629086E-4</c:v>
                </c:pt>
                <c:pt idx="9">
                  <c:v>-7.1484736874795991E-4</c:v>
                </c:pt>
                <c:pt idx="10">
                  <c:v>-6.9961265665203966E-4</c:v>
                </c:pt>
                <c:pt idx="11">
                  <c:v>-6.8437794455611953E-4</c:v>
                </c:pt>
                <c:pt idx="12">
                  <c:v>-6.6914323246019928E-4</c:v>
                </c:pt>
                <c:pt idx="13">
                  <c:v>-6.5390852036427915E-4</c:v>
                </c:pt>
                <c:pt idx="14">
                  <c:v>-6.3867380826834654E-4</c:v>
                </c:pt>
                <c:pt idx="15">
                  <c:v>-6.9883030502462698E-4</c:v>
                </c:pt>
                <c:pt idx="16">
                  <c:v>-7.589868017809072E-4</c:v>
                </c:pt>
                <c:pt idx="17">
                  <c:v>-8.1914329853718742E-4</c:v>
                </c:pt>
                <c:pt idx="18">
                  <c:v>-8.7929979529346785E-4</c:v>
                </c:pt>
                <c:pt idx="19">
                  <c:v>-9.3945629204974807E-4</c:v>
                </c:pt>
              </c:numCache>
            </c:numRef>
          </c:val>
          <c:smooth val="0"/>
          <c:extLst>
            <c:ext xmlns:c16="http://schemas.microsoft.com/office/drawing/2014/chart" uri="{C3380CC4-5D6E-409C-BE32-E72D297353CC}">
              <c16:uniqueId val="{00000001-62F6-405A-8AD1-F8682570CD49}"/>
            </c:ext>
          </c:extLst>
        </c:ser>
        <c:ser>
          <c:idx val="2"/>
          <c:order val="2"/>
          <c:tx>
            <c:strRef>
              <c:f>'ES shocks'!$J$5</c:f>
              <c:strCache>
                <c:ptCount val="1"/>
                <c:pt idx="0">
                  <c:v>Scenario 3</c:v>
                </c:pt>
              </c:strCache>
            </c:strRef>
          </c:tx>
          <c:spPr>
            <a:ln w="12700" cap="rnd">
              <a:solidFill>
                <a:schemeClr val="accent3"/>
              </a:solidFill>
              <a:round/>
            </a:ln>
            <a:effectLst/>
          </c:spPr>
          <c:marker>
            <c:symbol val="none"/>
          </c:marker>
          <c:cat>
            <c:numRef>
              <c:f>'ES shocks'!$K$2:$AD$2</c:f>
              <c:numCache>
                <c:formatCode>General</c:formatCode>
                <c:ptCount val="20"/>
                <c:pt idx="0">
                  <c:v>2031</c:v>
                </c:pt>
                <c:pt idx="4">
                  <c:v>2035</c:v>
                </c:pt>
                <c:pt idx="9">
                  <c:v>2040</c:v>
                </c:pt>
                <c:pt idx="14">
                  <c:v>2045</c:v>
                </c:pt>
                <c:pt idx="19">
                  <c:v>2050</c:v>
                </c:pt>
              </c:numCache>
            </c:numRef>
          </c:cat>
          <c:val>
            <c:numRef>
              <c:f>'ES shocks'!$K$5:$AD$5</c:f>
              <c:numCache>
                <c:formatCode>0.0000</c:formatCode>
                <c:ptCount val="20"/>
                <c:pt idx="0">
                  <c:v>-2.0843988248867108E-4</c:v>
                </c:pt>
                <c:pt idx="1">
                  <c:v>-4.1687976497734215E-4</c:v>
                </c:pt>
                <c:pt idx="2">
                  <c:v>-6.2531964746601336E-4</c:v>
                </c:pt>
                <c:pt idx="3">
                  <c:v>-8.337595299546843E-4</c:v>
                </c:pt>
                <c:pt idx="4">
                  <c:v>-1.0421994124433555E-3</c:v>
                </c:pt>
                <c:pt idx="5">
                  <c:v>-1.7061185976347054E-3</c:v>
                </c:pt>
                <c:pt idx="6">
                  <c:v>-1.7447181353600419E-3</c:v>
                </c:pt>
                <c:pt idx="7">
                  <c:v>-1.7833176730853786E-3</c:v>
                </c:pt>
                <c:pt idx="8">
                  <c:v>-1.8219172108107152E-3</c:v>
                </c:pt>
                <c:pt idx="9">
                  <c:v>-1.8605167485360641E-3</c:v>
                </c:pt>
                <c:pt idx="10">
                  <c:v>-1.8398161473675598E-3</c:v>
                </c:pt>
                <c:pt idx="11">
                  <c:v>-1.8191155461990554E-3</c:v>
                </c:pt>
                <c:pt idx="12">
                  <c:v>-1.7984149450305511E-3</c:v>
                </c:pt>
                <c:pt idx="13">
                  <c:v>-1.7777143438620468E-3</c:v>
                </c:pt>
                <c:pt idx="14">
                  <c:v>-1.7570137426935362E-3</c:v>
                </c:pt>
                <c:pt idx="15">
                  <c:v>-1.8275522569919387E-3</c:v>
                </c:pt>
                <c:pt idx="16">
                  <c:v>-1.8980907712903409E-3</c:v>
                </c:pt>
                <c:pt idx="17">
                  <c:v>-1.9686292855887431E-3</c:v>
                </c:pt>
                <c:pt idx="18">
                  <c:v>-2.0391677998871454E-3</c:v>
                </c:pt>
                <c:pt idx="19">
                  <c:v>-2.1097063141855416E-3</c:v>
                </c:pt>
              </c:numCache>
            </c:numRef>
          </c:val>
          <c:smooth val="0"/>
          <c:extLst>
            <c:ext xmlns:c16="http://schemas.microsoft.com/office/drawing/2014/chart" uri="{C3380CC4-5D6E-409C-BE32-E72D297353CC}">
              <c16:uniqueId val="{00000002-62F6-405A-8AD1-F8682570CD49}"/>
            </c:ext>
          </c:extLst>
        </c:ser>
        <c:dLbls>
          <c:showLegendKey val="0"/>
          <c:showVal val="0"/>
          <c:showCatName val="0"/>
          <c:showSerName val="0"/>
          <c:showPercent val="0"/>
          <c:showBubbleSize val="0"/>
        </c:dLbls>
        <c:smooth val="0"/>
        <c:axId val="152909680"/>
        <c:axId val="152912080"/>
      </c:lineChart>
      <c:catAx>
        <c:axId val="15290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2912080"/>
        <c:crosses val="autoZero"/>
        <c:auto val="1"/>
        <c:lblAlgn val="ctr"/>
        <c:lblOffset val="100"/>
        <c:noMultiLvlLbl val="0"/>
      </c:catAx>
      <c:valAx>
        <c:axId val="152912080"/>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290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Crop Pollination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'ES shocks'!$J$9</c:f>
              <c:strCache>
                <c:ptCount val="1"/>
                <c:pt idx="0">
                  <c:v>Scenario 1</c:v>
                </c:pt>
              </c:strCache>
            </c:strRef>
          </c:tx>
          <c:spPr>
            <a:ln w="12700" cap="rnd">
              <a:solidFill>
                <a:schemeClr val="accent1"/>
              </a:solidFill>
              <a:round/>
            </a:ln>
            <a:effectLst/>
          </c:spPr>
          <c:marker>
            <c:symbol val="none"/>
          </c:marker>
          <c:cat>
            <c:numRef>
              <c:f>'ES shocks'!$K$8:$AD$8</c:f>
              <c:numCache>
                <c:formatCode>General</c:formatCode>
                <c:ptCount val="20"/>
                <c:pt idx="0">
                  <c:v>2031</c:v>
                </c:pt>
                <c:pt idx="4">
                  <c:v>2035</c:v>
                </c:pt>
                <c:pt idx="9">
                  <c:v>2040</c:v>
                </c:pt>
                <c:pt idx="14">
                  <c:v>2045</c:v>
                </c:pt>
                <c:pt idx="19">
                  <c:v>2050</c:v>
                </c:pt>
              </c:numCache>
            </c:numRef>
          </c:cat>
          <c:val>
            <c:numRef>
              <c:f>'ES shocks'!$K$9:$AD$9</c:f>
              <c:numCache>
                <c:formatCode>0.0000</c:formatCode>
                <c:ptCount val="20"/>
                <c:pt idx="0">
                  <c:v>-1.1810168874020564E-7</c:v>
                </c:pt>
                <c:pt idx="1">
                  <c:v>-2.3607161586969804E-7</c:v>
                </c:pt>
                <c:pt idx="2">
                  <c:v>-3.5391000176775048E-7</c:v>
                </c:pt>
                <c:pt idx="3">
                  <c:v>-4.7161706632244631E-7</c:v>
                </c:pt>
                <c:pt idx="4">
                  <c:v>-5.8919302893204702E-7</c:v>
                </c:pt>
                <c:pt idx="5">
                  <c:v>-5.7407951894481579E-6</c:v>
                </c:pt>
                <c:pt idx="6">
                  <c:v>-1.0540224131258894E-5</c:v>
                </c:pt>
                <c:pt idx="7">
                  <c:v>-1.5339423333683321E-5</c:v>
                </c:pt>
                <c:pt idx="8">
                  <c:v>-2.0138392813216812E-5</c:v>
                </c:pt>
                <c:pt idx="9">
                  <c:v>-2.4937132586360018E-5</c:v>
                </c:pt>
                <c:pt idx="10">
                  <c:v>-2.7616229309822803E-5</c:v>
                </c:pt>
                <c:pt idx="11">
                  <c:v>-3.029477874519363E-5</c:v>
                </c:pt>
                <c:pt idx="12">
                  <c:v>-3.2972781060156048E-5</c:v>
                </c:pt>
                <c:pt idx="13">
                  <c:v>-3.5650236422325137E-5</c:v>
                </c:pt>
                <c:pt idx="14">
                  <c:v>-3.8327144999254337E-5</c:v>
                </c:pt>
                <c:pt idx="15">
                  <c:v>-4.3393685449941208E-5</c:v>
                </c:pt>
                <c:pt idx="16">
                  <c:v>-4.845733334312328E-5</c:v>
                </c:pt>
                <c:pt idx="17">
                  <c:v>-5.3518091155194875E-5</c:v>
                </c:pt>
                <c:pt idx="18">
                  <c:v>-5.8575961359724237E-5</c:v>
                </c:pt>
                <c:pt idx="19">
                  <c:v>-6.3630946427450881E-5</c:v>
                </c:pt>
              </c:numCache>
            </c:numRef>
          </c:val>
          <c:smooth val="0"/>
          <c:extLst>
            <c:ext xmlns:c16="http://schemas.microsoft.com/office/drawing/2014/chart" uri="{C3380CC4-5D6E-409C-BE32-E72D297353CC}">
              <c16:uniqueId val="{00000000-4BD7-466A-B181-462FFA4628B0}"/>
            </c:ext>
          </c:extLst>
        </c:ser>
        <c:ser>
          <c:idx val="1"/>
          <c:order val="1"/>
          <c:tx>
            <c:strRef>
              <c:f>'ES shocks'!$J$10</c:f>
              <c:strCache>
                <c:ptCount val="1"/>
                <c:pt idx="0">
                  <c:v>Scenario 2</c:v>
                </c:pt>
              </c:strCache>
            </c:strRef>
          </c:tx>
          <c:spPr>
            <a:ln w="12700" cap="rnd">
              <a:solidFill>
                <a:schemeClr val="accent2"/>
              </a:solidFill>
              <a:round/>
            </a:ln>
            <a:effectLst/>
          </c:spPr>
          <c:marker>
            <c:symbol val="none"/>
          </c:marker>
          <c:cat>
            <c:numRef>
              <c:f>'ES shocks'!$K$8:$AD$8</c:f>
              <c:numCache>
                <c:formatCode>General</c:formatCode>
                <c:ptCount val="20"/>
                <c:pt idx="0">
                  <c:v>2031</c:v>
                </c:pt>
                <c:pt idx="4">
                  <c:v>2035</c:v>
                </c:pt>
                <c:pt idx="9">
                  <c:v>2040</c:v>
                </c:pt>
                <c:pt idx="14">
                  <c:v>2045</c:v>
                </c:pt>
                <c:pt idx="19">
                  <c:v>2050</c:v>
                </c:pt>
              </c:numCache>
            </c:numRef>
          </c:cat>
          <c:val>
            <c:numRef>
              <c:f>'ES shocks'!$K$10:$AD$10</c:f>
              <c:numCache>
                <c:formatCode>0.0000</c:formatCode>
                <c:ptCount val="20"/>
                <c:pt idx="0">
                  <c:v>-7.3311623285482664E-5</c:v>
                </c:pt>
                <c:pt idx="1">
                  <c:v>-1.4654145555111512E-4</c:v>
                </c:pt>
                <c:pt idx="2">
                  <c:v>-2.1968963359733117E-4</c:v>
                </c:pt>
                <c:pt idx="3">
                  <c:v>-2.927562939196586E-4</c:v>
                </c:pt>
                <c:pt idx="4">
                  <c:v>-3.6574157270956819E-4</c:v>
                </c:pt>
                <c:pt idx="5">
                  <c:v>-5.8876089680649454E-4</c:v>
                </c:pt>
                <c:pt idx="6">
                  <c:v>-5.9331109853159511E-4</c:v>
                </c:pt>
                <c:pt idx="7">
                  <c:v>-5.9786108244733486E-4</c:v>
                </c:pt>
                <c:pt idx="8">
                  <c:v>-6.0241084856935188E-4</c:v>
                </c:pt>
                <c:pt idx="9">
                  <c:v>-6.0696039691329078E-4</c:v>
                </c:pt>
                <c:pt idx="10">
                  <c:v>-6.0442846006467815E-4</c:v>
                </c:pt>
                <c:pt idx="11">
                  <c:v>-6.0189704044221653E-4</c:v>
                </c:pt>
                <c:pt idx="12">
                  <c:v>-5.993661378874334E-4</c:v>
                </c:pt>
                <c:pt idx="13">
                  <c:v>-5.9683575224192011E-4</c:v>
                </c:pt>
                <c:pt idx="14">
                  <c:v>-5.9430588334733326E-4</c:v>
                </c:pt>
                <c:pt idx="15">
                  <c:v>-6.2280281644281493E-4</c:v>
                </c:pt>
                <c:pt idx="16">
                  <c:v>-6.5128348024794103E-4</c:v>
                </c:pt>
                <c:pt idx="17">
                  <c:v>-6.7974788869127765E-4</c:v>
                </c:pt>
                <c:pt idx="18">
                  <c:v>-7.0819605568549617E-4</c:v>
                </c:pt>
                <c:pt idx="19">
                  <c:v>-7.3662799512738122E-4</c:v>
                </c:pt>
              </c:numCache>
            </c:numRef>
          </c:val>
          <c:smooth val="0"/>
          <c:extLst>
            <c:ext xmlns:c16="http://schemas.microsoft.com/office/drawing/2014/chart" uri="{C3380CC4-5D6E-409C-BE32-E72D297353CC}">
              <c16:uniqueId val="{00000001-4BD7-466A-B181-462FFA4628B0}"/>
            </c:ext>
          </c:extLst>
        </c:ser>
        <c:ser>
          <c:idx val="2"/>
          <c:order val="2"/>
          <c:tx>
            <c:strRef>
              <c:f>'ES shocks'!$J$11</c:f>
              <c:strCache>
                <c:ptCount val="1"/>
                <c:pt idx="0">
                  <c:v>Scenario 3</c:v>
                </c:pt>
              </c:strCache>
            </c:strRef>
          </c:tx>
          <c:spPr>
            <a:ln w="12700" cap="rnd">
              <a:solidFill>
                <a:schemeClr val="accent3"/>
              </a:solidFill>
              <a:round/>
            </a:ln>
            <a:effectLst/>
          </c:spPr>
          <c:marker>
            <c:symbol val="none"/>
          </c:marker>
          <c:cat>
            <c:numRef>
              <c:f>'ES shocks'!$K$8:$AD$8</c:f>
              <c:numCache>
                <c:formatCode>General</c:formatCode>
                <c:ptCount val="20"/>
                <c:pt idx="0">
                  <c:v>2031</c:v>
                </c:pt>
                <c:pt idx="4">
                  <c:v>2035</c:v>
                </c:pt>
                <c:pt idx="9">
                  <c:v>2040</c:v>
                </c:pt>
                <c:pt idx="14">
                  <c:v>2045</c:v>
                </c:pt>
                <c:pt idx="19">
                  <c:v>2050</c:v>
                </c:pt>
              </c:numCache>
            </c:numRef>
          </c:cat>
          <c:val>
            <c:numRef>
              <c:f>'ES shocks'!$K$11:$AD$11</c:f>
              <c:numCache>
                <c:formatCode>0.0000</c:formatCode>
                <c:ptCount val="20"/>
                <c:pt idx="0">
                  <c:v>-1.1772523960734625E-4</c:v>
                </c:pt>
                <c:pt idx="1">
                  <c:v>-2.3531913759411346E-4</c:v>
                </c:pt>
                <c:pt idx="2">
                  <c:v>-3.5278191363711581E-4</c:v>
                </c:pt>
                <c:pt idx="3">
                  <c:v>-4.7011378692354356E-4</c:v>
                </c:pt>
                <c:pt idx="4">
                  <c:v>-5.873149761523262E-4</c:v>
                </c:pt>
                <c:pt idx="5">
                  <c:v>-9.5785403014456605E-4</c:v>
                </c:pt>
                <c:pt idx="6">
                  <c:v>-9.7757049724550289E-4</c:v>
                </c:pt>
                <c:pt idx="7">
                  <c:v>-9.9728602055727074E-4</c:v>
                </c:pt>
                <c:pt idx="8">
                  <c:v>-1.0170006001476344E-3</c:v>
                </c:pt>
                <c:pt idx="9">
                  <c:v>-1.0367142360843582E-3</c:v>
                </c:pt>
                <c:pt idx="10">
                  <c:v>-1.0343148234693092E-3</c:v>
                </c:pt>
                <c:pt idx="11">
                  <c:v>-1.0319159010082513E-3</c:v>
                </c:pt>
                <c:pt idx="12">
                  <c:v>-1.0295174685510061E-3</c:v>
                </c:pt>
                <c:pt idx="13">
                  <c:v>-1.0271195259474572E-3</c:v>
                </c:pt>
                <c:pt idx="14">
                  <c:v>-1.0247220730475483E-3</c:v>
                </c:pt>
                <c:pt idx="15">
                  <c:v>-1.0557993960678914E-3</c:v>
                </c:pt>
                <c:pt idx="16">
                  <c:v>-1.0868589766178437E-3</c:v>
                </c:pt>
                <c:pt idx="17">
                  <c:v>-1.1179008298871987E-3</c:v>
                </c:pt>
                <c:pt idx="18">
                  <c:v>-1.1489249710484163E-3</c:v>
                </c:pt>
                <c:pt idx="19">
                  <c:v>-1.1799314152566331E-3</c:v>
                </c:pt>
              </c:numCache>
            </c:numRef>
          </c:val>
          <c:smooth val="0"/>
          <c:extLst>
            <c:ext xmlns:c16="http://schemas.microsoft.com/office/drawing/2014/chart" uri="{C3380CC4-5D6E-409C-BE32-E72D297353CC}">
              <c16:uniqueId val="{00000002-4BD7-466A-B181-462FFA4628B0}"/>
            </c:ext>
          </c:extLst>
        </c:ser>
        <c:dLbls>
          <c:showLegendKey val="0"/>
          <c:showVal val="0"/>
          <c:showCatName val="0"/>
          <c:showSerName val="0"/>
          <c:showPercent val="0"/>
          <c:showBubbleSize val="0"/>
        </c:dLbls>
        <c:smooth val="0"/>
        <c:axId val="984207855"/>
        <c:axId val="984208335"/>
      </c:lineChart>
      <c:catAx>
        <c:axId val="98420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84208335"/>
        <c:crosses val="autoZero"/>
        <c:auto val="1"/>
        <c:lblAlgn val="ctr"/>
        <c:lblOffset val="100"/>
        <c:noMultiLvlLbl val="0"/>
      </c:catAx>
      <c:valAx>
        <c:axId val="98420833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984207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GDP (% deviation from BASE)</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GDP!$A$48</c:f>
              <c:strCache>
                <c:ptCount val="1"/>
                <c:pt idx="0">
                  <c:v>Scenario 1</c:v>
                </c:pt>
              </c:strCache>
            </c:strRef>
          </c:tx>
          <c:spPr>
            <a:solidFill>
              <a:schemeClr val="accent1"/>
            </a:solidFill>
            <a:ln>
              <a:noFill/>
            </a:ln>
            <a:effectLst/>
          </c:spPr>
          <c:invertIfNegative val="0"/>
          <c:cat>
            <c:numRef>
              <c:f>GDP!$B$47:$F$47</c:f>
              <c:numCache>
                <c:formatCode>General</c:formatCode>
                <c:ptCount val="5"/>
                <c:pt idx="0">
                  <c:v>2030</c:v>
                </c:pt>
                <c:pt idx="1">
                  <c:v>2035</c:v>
                </c:pt>
                <c:pt idx="2">
                  <c:v>2040</c:v>
                </c:pt>
                <c:pt idx="3">
                  <c:v>2045</c:v>
                </c:pt>
                <c:pt idx="4">
                  <c:v>2050</c:v>
                </c:pt>
              </c:numCache>
            </c:numRef>
          </c:cat>
          <c:val>
            <c:numRef>
              <c:f>GDP!$B$48:$F$48</c:f>
              <c:numCache>
                <c:formatCode>0.00%</c:formatCode>
                <c:ptCount val="5"/>
                <c:pt idx="0">
                  <c:v>-7.9100000000000004E-3</c:v>
                </c:pt>
                <c:pt idx="1">
                  <c:v>-1.9494999999999998E-2</c:v>
                </c:pt>
                <c:pt idx="2">
                  <c:v>-3.1941999999999998E-2</c:v>
                </c:pt>
                <c:pt idx="3">
                  <c:v>-4.5006999999999998E-2</c:v>
                </c:pt>
                <c:pt idx="4">
                  <c:v>-5.8324000000000001E-2</c:v>
                </c:pt>
              </c:numCache>
            </c:numRef>
          </c:val>
          <c:extLst>
            <c:ext xmlns:c16="http://schemas.microsoft.com/office/drawing/2014/chart" uri="{C3380CC4-5D6E-409C-BE32-E72D297353CC}">
              <c16:uniqueId val="{00000000-4FC7-4B73-B68A-5BAC5E723910}"/>
            </c:ext>
          </c:extLst>
        </c:ser>
        <c:ser>
          <c:idx val="1"/>
          <c:order val="1"/>
          <c:tx>
            <c:strRef>
              <c:f>GDP!$A$49</c:f>
              <c:strCache>
                <c:ptCount val="1"/>
                <c:pt idx="0">
                  <c:v>Scenario 2</c:v>
                </c:pt>
              </c:strCache>
            </c:strRef>
          </c:tx>
          <c:spPr>
            <a:solidFill>
              <a:schemeClr val="accent2"/>
            </a:solidFill>
            <a:ln>
              <a:noFill/>
            </a:ln>
            <a:effectLst/>
          </c:spPr>
          <c:invertIfNegative val="0"/>
          <c:cat>
            <c:numRef>
              <c:f>GDP!$B$47:$F$47</c:f>
              <c:numCache>
                <c:formatCode>General</c:formatCode>
                <c:ptCount val="5"/>
                <c:pt idx="0">
                  <c:v>2030</c:v>
                </c:pt>
                <c:pt idx="1">
                  <c:v>2035</c:v>
                </c:pt>
                <c:pt idx="2">
                  <c:v>2040</c:v>
                </c:pt>
                <c:pt idx="3">
                  <c:v>2045</c:v>
                </c:pt>
                <c:pt idx="4">
                  <c:v>2050</c:v>
                </c:pt>
              </c:numCache>
            </c:numRef>
          </c:cat>
          <c:val>
            <c:numRef>
              <c:f>GDP!$B$49:$F$49</c:f>
              <c:numCache>
                <c:formatCode>0.00%</c:formatCode>
                <c:ptCount val="5"/>
                <c:pt idx="0">
                  <c:v>-7.9100000000000004E-3</c:v>
                </c:pt>
                <c:pt idx="1">
                  <c:v>-1.9399E-2</c:v>
                </c:pt>
                <c:pt idx="2">
                  <c:v>-3.1786000000000002E-2</c:v>
                </c:pt>
                <c:pt idx="3">
                  <c:v>-4.4873999999999997E-2</c:v>
                </c:pt>
                <c:pt idx="4">
                  <c:v>-5.8155999999999999E-2</c:v>
                </c:pt>
              </c:numCache>
            </c:numRef>
          </c:val>
          <c:extLst>
            <c:ext xmlns:c16="http://schemas.microsoft.com/office/drawing/2014/chart" uri="{C3380CC4-5D6E-409C-BE32-E72D297353CC}">
              <c16:uniqueId val="{00000001-4FC7-4B73-B68A-5BAC5E723910}"/>
            </c:ext>
          </c:extLst>
        </c:ser>
        <c:ser>
          <c:idx val="2"/>
          <c:order val="2"/>
          <c:tx>
            <c:strRef>
              <c:f>GDP!$A$50</c:f>
              <c:strCache>
                <c:ptCount val="1"/>
                <c:pt idx="0">
                  <c:v>Scenario 3</c:v>
                </c:pt>
              </c:strCache>
            </c:strRef>
          </c:tx>
          <c:spPr>
            <a:solidFill>
              <a:schemeClr val="accent3"/>
            </a:solidFill>
            <a:ln>
              <a:noFill/>
            </a:ln>
            <a:effectLst/>
          </c:spPr>
          <c:invertIfNegative val="0"/>
          <c:cat>
            <c:numRef>
              <c:f>GDP!$B$47:$F$47</c:f>
              <c:numCache>
                <c:formatCode>General</c:formatCode>
                <c:ptCount val="5"/>
                <c:pt idx="0">
                  <c:v>2030</c:v>
                </c:pt>
                <c:pt idx="1">
                  <c:v>2035</c:v>
                </c:pt>
                <c:pt idx="2">
                  <c:v>2040</c:v>
                </c:pt>
                <c:pt idx="3">
                  <c:v>2045</c:v>
                </c:pt>
                <c:pt idx="4">
                  <c:v>2050</c:v>
                </c:pt>
              </c:numCache>
            </c:numRef>
          </c:cat>
          <c:val>
            <c:numRef>
              <c:f>GDP!$B$50:$F$50</c:f>
              <c:numCache>
                <c:formatCode>0.00%</c:formatCode>
                <c:ptCount val="5"/>
                <c:pt idx="0">
                  <c:v>-6.4999999999999997E-3</c:v>
                </c:pt>
                <c:pt idx="1">
                  <c:v>-1.7999999999999999E-2</c:v>
                </c:pt>
                <c:pt idx="2">
                  <c:v>-3.0499999999999999E-2</c:v>
                </c:pt>
                <c:pt idx="3">
                  <c:v>-4.3900000000000002E-2</c:v>
                </c:pt>
                <c:pt idx="4">
                  <c:v>-5.7700000000000001E-2</c:v>
                </c:pt>
              </c:numCache>
            </c:numRef>
          </c:val>
          <c:extLst>
            <c:ext xmlns:c16="http://schemas.microsoft.com/office/drawing/2014/chart" uri="{C3380CC4-5D6E-409C-BE32-E72D297353CC}">
              <c16:uniqueId val="{00000002-4FC7-4B73-B68A-5BAC5E723910}"/>
            </c:ext>
          </c:extLst>
        </c:ser>
        <c:dLbls>
          <c:showLegendKey val="0"/>
          <c:showVal val="0"/>
          <c:showCatName val="0"/>
          <c:showSerName val="0"/>
          <c:showPercent val="0"/>
          <c:showBubbleSize val="0"/>
        </c:dLbls>
        <c:gapWidth val="219"/>
        <c:overlap val="-27"/>
        <c:axId val="1596050063"/>
        <c:axId val="1596051023"/>
      </c:barChart>
      <c:catAx>
        <c:axId val="1596050063"/>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96051023"/>
        <c:crosses val="autoZero"/>
        <c:auto val="1"/>
        <c:lblAlgn val="ctr"/>
        <c:lblOffset val="100"/>
        <c:noMultiLvlLbl val="0"/>
      </c:catAx>
      <c:valAx>
        <c:axId val="1596051023"/>
        <c:scaling>
          <c:orientation val="minMax"/>
          <c:min val="-6.000000000000001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96050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a:t>GDP (% deviation from BASE)</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GDP!$A$8</c:f>
              <c:strCache>
                <c:ptCount val="1"/>
                <c:pt idx="0">
                  <c:v>With ESS shocks</c:v>
                </c:pt>
              </c:strCache>
            </c:strRef>
          </c:tx>
          <c:spPr>
            <a:solidFill>
              <a:schemeClr val="accent1"/>
            </a:solidFill>
            <a:ln>
              <a:noFill/>
            </a:ln>
            <a:effectLst/>
          </c:spPr>
          <c:invertIfNegative val="0"/>
          <c:cat>
            <c:numRef>
              <c:f>(GDP!$J$7,GDP!$T$7,GDP!$AD$7)</c:f>
              <c:numCache>
                <c:formatCode>General</c:formatCode>
                <c:ptCount val="3"/>
                <c:pt idx="0">
                  <c:v>2030</c:v>
                </c:pt>
                <c:pt idx="1">
                  <c:v>2040</c:v>
                </c:pt>
                <c:pt idx="2">
                  <c:v>2050</c:v>
                </c:pt>
              </c:numCache>
            </c:numRef>
          </c:cat>
          <c:val>
            <c:numRef>
              <c:f>(GDP!$J$8,GDP!$T$8,GDP!$AD$8)</c:f>
              <c:numCache>
                <c:formatCode>0.00%</c:formatCode>
                <c:ptCount val="3"/>
                <c:pt idx="0">
                  <c:v>-6.4660000000000004E-3</c:v>
                </c:pt>
                <c:pt idx="1">
                  <c:v>-3.0491999999999998E-2</c:v>
                </c:pt>
                <c:pt idx="2">
                  <c:v>-5.7681000000000003E-2</c:v>
                </c:pt>
              </c:numCache>
            </c:numRef>
          </c:val>
          <c:extLst>
            <c:ext xmlns:c16="http://schemas.microsoft.com/office/drawing/2014/chart" uri="{C3380CC4-5D6E-409C-BE32-E72D297353CC}">
              <c16:uniqueId val="{00000000-6131-4FEB-8F2E-623B9680FEAD}"/>
            </c:ext>
          </c:extLst>
        </c:ser>
        <c:ser>
          <c:idx val="1"/>
          <c:order val="1"/>
          <c:tx>
            <c:strRef>
              <c:f>GDP!$A$9</c:f>
              <c:strCache>
                <c:ptCount val="1"/>
                <c:pt idx="0">
                  <c:v>Without ESS shocks</c:v>
                </c:pt>
              </c:strCache>
            </c:strRef>
          </c:tx>
          <c:spPr>
            <a:solidFill>
              <a:schemeClr val="accent2"/>
            </a:solidFill>
            <a:ln>
              <a:noFill/>
            </a:ln>
            <a:effectLst/>
          </c:spPr>
          <c:invertIfNegative val="0"/>
          <c:cat>
            <c:numRef>
              <c:f>(GDP!$J$7,GDP!$T$7,GDP!$AD$7)</c:f>
              <c:numCache>
                <c:formatCode>General</c:formatCode>
                <c:ptCount val="3"/>
                <c:pt idx="0">
                  <c:v>2030</c:v>
                </c:pt>
                <c:pt idx="1">
                  <c:v>2040</c:v>
                </c:pt>
                <c:pt idx="2">
                  <c:v>2050</c:v>
                </c:pt>
              </c:numCache>
            </c:numRef>
          </c:cat>
          <c:val>
            <c:numRef>
              <c:f>(GDP!$J$9,GDP!$T$9,GDP!$AD$9)</c:f>
              <c:numCache>
                <c:formatCode>0.00%</c:formatCode>
                <c:ptCount val="3"/>
                <c:pt idx="0">
                  <c:v>-6.4660000000000004E-3</c:v>
                </c:pt>
                <c:pt idx="1">
                  <c:v>-3.0176999999999999E-2</c:v>
                </c:pt>
                <c:pt idx="2">
                  <c:v>-5.7374000000000001E-2</c:v>
                </c:pt>
              </c:numCache>
            </c:numRef>
          </c:val>
          <c:extLst>
            <c:ext xmlns:c16="http://schemas.microsoft.com/office/drawing/2014/chart" uri="{C3380CC4-5D6E-409C-BE32-E72D297353CC}">
              <c16:uniqueId val="{00000001-6131-4FEB-8F2E-623B9680FEAD}"/>
            </c:ext>
          </c:extLst>
        </c:ser>
        <c:dLbls>
          <c:showLegendKey val="0"/>
          <c:showVal val="0"/>
          <c:showCatName val="0"/>
          <c:showSerName val="0"/>
          <c:showPercent val="0"/>
          <c:showBubbleSize val="0"/>
        </c:dLbls>
        <c:gapWidth val="219"/>
        <c:overlap val="-27"/>
        <c:axId val="432706736"/>
        <c:axId val="432707216"/>
      </c:barChart>
      <c:catAx>
        <c:axId val="43270673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32707216"/>
        <c:crosses val="autoZero"/>
        <c:auto val="1"/>
        <c:lblAlgn val="ctr"/>
        <c:lblOffset val="100"/>
        <c:noMultiLvlLbl val="0"/>
      </c:catAx>
      <c:valAx>
        <c:axId val="432707216"/>
        <c:scaling>
          <c:orientation val="minMax"/>
          <c:min val="-6.0000000000000012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3270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'sectoral output'!$C$18:$C$65</c:f>
              <c:strCache>
                <c:ptCount val="48"/>
                <c:pt idx="0">
                  <c:v>Crop Production</c:v>
                </c:pt>
                <c:pt idx="1">
                  <c:v>Livestock production</c:v>
                </c:pt>
                <c:pt idx="2">
                  <c:v>Forestry</c:v>
                </c:pt>
                <c:pt idx="3">
                  <c:v>Fishery</c:v>
                </c:pt>
                <c:pt idx="4">
                  <c:v>Coal</c:v>
                </c:pt>
                <c:pt idx="5">
                  <c:v>Oil</c:v>
                </c:pt>
                <c:pt idx="6">
                  <c:v>Gas</c:v>
                </c:pt>
                <c:pt idx="7">
                  <c:v>Green hydrogen</c:v>
                </c:pt>
                <c:pt idx="8">
                  <c:v>Other Extraction</c:v>
                </c:pt>
                <c:pt idx="9">
                  <c:v>Food products</c:v>
                </c:pt>
                <c:pt idx="10">
                  <c:v>Beverages and tobacco products</c:v>
                </c:pt>
                <c:pt idx="11">
                  <c:v>Textiles</c:v>
                </c:pt>
                <c:pt idx="12">
                  <c:v>Wood products and paper</c:v>
                </c:pt>
                <c:pt idx="13">
                  <c:v>Petroleum, coal products</c:v>
                </c:pt>
                <c:pt idx="14">
                  <c:v>biomass production</c:v>
                </c:pt>
                <c:pt idx="15">
                  <c:v>Chemical products</c:v>
                </c:pt>
                <c:pt idx="16">
                  <c:v>Basic pharmaceutical products</c:v>
                </c:pt>
                <c:pt idx="17">
                  <c:v>Machinery and Equipment</c:v>
                </c:pt>
                <c:pt idx="18">
                  <c:v>Ferrous metals</c:v>
                </c:pt>
                <c:pt idx="19">
                  <c:v>Metals nec</c:v>
                </c:pt>
                <c:pt idx="20">
                  <c:v>Non-metalic minerals</c:v>
                </c:pt>
                <c:pt idx="21">
                  <c:v>Metal products</c:v>
                </c:pt>
                <c:pt idx="22">
                  <c:v>Electrical equipment, electronics, machinery and equipment</c:v>
                </c:pt>
                <c:pt idx="23">
                  <c:v>Motor vehicles and parts</c:v>
                </c:pt>
                <c:pt idx="24">
                  <c:v>Manufactures nec</c:v>
                </c:pt>
                <c:pt idx="25">
                  <c:v>Electricity transmission and distribution</c:v>
                </c:pt>
                <c:pt idx="26">
                  <c:v>Nuvlear Power</c:v>
                </c:pt>
                <c:pt idx="27">
                  <c:v>Coal Power</c:v>
                </c:pt>
                <c:pt idx="28">
                  <c:v>Gas Power</c:v>
                </c:pt>
                <c:pt idx="29">
                  <c:v>Wind Power</c:v>
                </c:pt>
                <c:pt idx="30">
                  <c:v>Hydro Power</c:v>
                </c:pt>
                <c:pt idx="31">
                  <c:v>Other Power</c:v>
                </c:pt>
                <c:pt idx="32">
                  <c:v>Solar Power</c:v>
                </c:pt>
                <c:pt idx="33">
                  <c:v>Water, waste and utilities</c:v>
                </c:pt>
                <c:pt idx="34">
                  <c:v>Construction</c:v>
                </c:pt>
                <c:pt idx="35">
                  <c:v>Trade</c:v>
                </c:pt>
                <c:pt idx="36">
                  <c:v>Accommodation, Food and service activities</c:v>
                </c:pt>
                <c:pt idx="37">
                  <c:v>Road transport</c:v>
                </c:pt>
                <c:pt idx="38">
                  <c:v>Water transport</c:v>
                </c:pt>
                <c:pt idx="39">
                  <c:v>Air transport</c:v>
                </c:pt>
                <c:pt idx="40">
                  <c:v>Communication</c:v>
                </c:pt>
                <c:pt idx="41">
                  <c:v>Financial services nec</c:v>
                </c:pt>
                <c:pt idx="42">
                  <c:v>Insurance (formerly isr)</c:v>
                </c:pt>
                <c:pt idx="43">
                  <c:v>Other services</c:v>
                </c:pt>
                <c:pt idx="44">
                  <c:v>Public Administration and defense</c:v>
                </c:pt>
                <c:pt idx="45">
                  <c:v>Education</c:v>
                </c:pt>
                <c:pt idx="46">
                  <c:v>Human health and social work activities</c:v>
                </c:pt>
                <c:pt idx="47">
                  <c:v>Abatement services</c:v>
                </c:pt>
              </c:strCache>
            </c:strRef>
          </c:cat>
          <c:val>
            <c:numRef>
              <c:f>'sectoral output'!$I$18:$I$65</c:f>
              <c:numCache>
                <c:formatCode>0.00%</c:formatCode>
                <c:ptCount val="48"/>
                <c:pt idx="0">
                  <c:v>-2.3837324793241077E-3</c:v>
                </c:pt>
                <c:pt idx="1">
                  <c:v>-5.4025069651941759E-4</c:v>
                </c:pt>
                <c:pt idx="2">
                  <c:v>6.6393347386561885E-5</c:v>
                </c:pt>
                <c:pt idx="3">
                  <c:v>-3.2818008264501319E-4</c:v>
                </c:pt>
                <c:pt idx="4">
                  <c:v>1.0007353229113392E-4</c:v>
                </c:pt>
                <c:pt idx="5">
                  <c:v>4.1774447471509824E-4</c:v>
                </c:pt>
                <c:pt idx="6">
                  <c:v>-4.8410490704620113E-4</c:v>
                </c:pt>
                <c:pt idx="7">
                  <c:v>1.7983756436468212E-4</c:v>
                </c:pt>
                <c:pt idx="8">
                  <c:v>3.9813130269572561E-4</c:v>
                </c:pt>
                <c:pt idx="9">
                  <c:v>-1.5017302544235722E-3</c:v>
                </c:pt>
                <c:pt idx="10">
                  <c:v>1.4342549980672636E-4</c:v>
                </c:pt>
                <c:pt idx="11">
                  <c:v>-3.429208281537921E-4</c:v>
                </c:pt>
                <c:pt idx="12">
                  <c:v>9.2045587669176143E-5</c:v>
                </c:pt>
                <c:pt idx="13">
                  <c:v>5.4745328317173936E-4</c:v>
                </c:pt>
                <c:pt idx="14">
                  <c:v>-2.8565799842394934E-4</c:v>
                </c:pt>
                <c:pt idx="15">
                  <c:v>-6.1821537249651115E-5</c:v>
                </c:pt>
                <c:pt idx="16">
                  <c:v>-2.3065213045736499E-5</c:v>
                </c:pt>
                <c:pt idx="17">
                  <c:v>4.1139125941680454E-4</c:v>
                </c:pt>
                <c:pt idx="18">
                  <c:v>2.5784881657542336E-4</c:v>
                </c:pt>
                <c:pt idx="19">
                  <c:v>4.971951164389754E-4</c:v>
                </c:pt>
                <c:pt idx="20">
                  <c:v>1.1341103818662823E-4</c:v>
                </c:pt>
                <c:pt idx="21">
                  <c:v>2.5030532934589012E-4</c:v>
                </c:pt>
                <c:pt idx="22">
                  <c:v>3.7234963105925445E-4</c:v>
                </c:pt>
                <c:pt idx="23">
                  <c:v>1.9271634979811658E-4</c:v>
                </c:pt>
                <c:pt idx="24">
                  <c:v>4.7248133698718497E-4</c:v>
                </c:pt>
                <c:pt idx="25">
                  <c:v>-3.379962735916564E-5</c:v>
                </c:pt>
                <c:pt idx="26">
                  <c:v>-9.7379907661010456E-5</c:v>
                </c:pt>
                <c:pt idx="27">
                  <c:v>-3.4685213083329725E-4</c:v>
                </c:pt>
                <c:pt idx="28">
                  <c:v>-8.9141514776569508E-5</c:v>
                </c:pt>
                <c:pt idx="29">
                  <c:v>-3.5207312391039025E-5</c:v>
                </c:pt>
                <c:pt idx="30">
                  <c:v>-2.0517666954744662E-4</c:v>
                </c:pt>
                <c:pt idx="31">
                  <c:v>-5.2361199187944685E-5</c:v>
                </c:pt>
                <c:pt idx="32">
                  <c:v>-2.5664057487495562E-5</c:v>
                </c:pt>
                <c:pt idx="33">
                  <c:v>9.0393255410159412E-4</c:v>
                </c:pt>
                <c:pt idx="34">
                  <c:v>2.9494271557073404E-5</c:v>
                </c:pt>
                <c:pt idx="35">
                  <c:v>-4.0165720788731818E-4</c:v>
                </c:pt>
                <c:pt idx="36">
                  <c:v>-4.8537882552124323E-4</c:v>
                </c:pt>
                <c:pt idx="37">
                  <c:v>-7.3317499391090113E-4</c:v>
                </c:pt>
                <c:pt idx="38">
                  <c:v>4.287152511837089E-4</c:v>
                </c:pt>
                <c:pt idx="39">
                  <c:v>1.4168821508264706E-4</c:v>
                </c:pt>
                <c:pt idx="40">
                  <c:v>-5.0565224398946285E-5</c:v>
                </c:pt>
                <c:pt idx="41">
                  <c:v>-1.0214504596539609E-4</c:v>
                </c:pt>
                <c:pt idx="42">
                  <c:v>6.7814293166490458E-5</c:v>
                </c:pt>
                <c:pt idx="43">
                  <c:v>2.875372435093837E-4</c:v>
                </c:pt>
                <c:pt idx="44">
                  <c:v>-3.5999526863372822E-4</c:v>
                </c:pt>
                <c:pt idx="45">
                  <c:v>-1.2117393306354529E-4</c:v>
                </c:pt>
                <c:pt idx="46">
                  <c:v>9.4465725470893602E-6</c:v>
                </c:pt>
                <c:pt idx="47">
                  <c:v>-1.4377166033574529E-4</c:v>
                </c:pt>
              </c:numCache>
            </c:numRef>
          </c:val>
          <c:extLst>
            <c:ext xmlns:c16="http://schemas.microsoft.com/office/drawing/2014/chart" uri="{C3380CC4-5D6E-409C-BE32-E72D297353CC}">
              <c16:uniqueId val="{00000000-46A1-495F-A44C-94F07B6E2F54}"/>
            </c:ext>
          </c:extLst>
        </c:ser>
        <c:dLbls>
          <c:showLegendKey val="0"/>
          <c:showVal val="0"/>
          <c:showCatName val="0"/>
          <c:showSerName val="0"/>
          <c:showPercent val="0"/>
          <c:showBubbleSize val="0"/>
        </c:dLbls>
        <c:gapWidth val="219"/>
        <c:overlap val="-27"/>
        <c:axId val="147421056"/>
        <c:axId val="147414816"/>
      </c:barChart>
      <c:catAx>
        <c:axId val="14742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7414816"/>
        <c:crosses val="autoZero"/>
        <c:auto val="1"/>
        <c:lblAlgn val="ctr"/>
        <c:lblOffset val="100"/>
        <c:noMultiLvlLbl val="0"/>
      </c:catAx>
      <c:valAx>
        <c:axId val="147414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7421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5B05-A1DB-455F-AA37-B122BCD49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16</Pages>
  <Words>3646</Words>
  <Characters>20786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Ragchaasuren Galindev</dc:creator>
  <cp:keywords/>
  <dc:description/>
  <cp:lastModifiedBy>Ragchaasuren Galindev</cp:lastModifiedBy>
  <cp:revision>316</cp:revision>
  <dcterms:created xsi:type="dcterms:W3CDTF">2025-03-31T17:27:00Z</dcterms:created>
  <dcterms:modified xsi:type="dcterms:W3CDTF">2025-04-01T19:55:00Z</dcterms:modified>
</cp:coreProperties>
</file>