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4" w14:textId="16C17BA0" w:rsidR="00CC4B33" w:rsidRPr="00290333" w:rsidRDefault="00DF482D">
      <w:pPr>
        <w:pBdr>
          <w:top w:val="single" w:sz="4" w:space="1" w:color="000000"/>
          <w:bottom w:val="single" w:sz="4" w:space="1" w:color="000000"/>
        </w:pBdr>
        <w:spacing w:line="360" w:lineRule="auto"/>
        <w:jc w:val="center"/>
        <w:rPr>
          <w:rFonts w:ascii="Garamond" w:eastAsia="Garamond" w:hAnsi="Garamond" w:cs="Garamond"/>
          <w:b/>
          <w:bCs/>
          <w:sz w:val="32"/>
          <w:szCs w:val="32"/>
        </w:rPr>
      </w:pPr>
      <w:r w:rsidRPr="00290333">
        <w:rPr>
          <w:rFonts w:ascii="Garamond" w:eastAsia="Garamond" w:hAnsi="Garamond" w:cs="Garamond"/>
          <w:b/>
          <w:bCs/>
          <w:sz w:val="32"/>
          <w:szCs w:val="32"/>
        </w:rPr>
        <w:t>A</w:t>
      </w:r>
      <w:r w:rsidR="00943E78" w:rsidRPr="00290333">
        <w:rPr>
          <w:rFonts w:ascii="Garamond" w:eastAsia="Garamond" w:hAnsi="Garamond" w:cs="Garamond"/>
          <w:b/>
          <w:bCs/>
          <w:sz w:val="32"/>
          <w:szCs w:val="32"/>
        </w:rPr>
        <w:t>F</w:t>
      </w:r>
      <w:r w:rsidRPr="00290333">
        <w:rPr>
          <w:rFonts w:ascii="Garamond" w:eastAsia="Garamond" w:hAnsi="Garamond" w:cs="Garamond"/>
          <w:b/>
          <w:bCs/>
          <w:sz w:val="32"/>
          <w:szCs w:val="32"/>
        </w:rPr>
        <w:t xml:space="preserve">CFTA </w:t>
      </w:r>
      <w:r w:rsidR="00AE0A2E" w:rsidRPr="00290333">
        <w:rPr>
          <w:rFonts w:ascii="Garamond" w:eastAsia="Garamond" w:hAnsi="Garamond" w:cs="Garamond"/>
          <w:b/>
          <w:bCs/>
          <w:sz w:val="32"/>
          <w:szCs w:val="32"/>
        </w:rPr>
        <w:t xml:space="preserve">and introduction of carbon tax in Morocco </w:t>
      </w:r>
      <w:r w:rsidRPr="00290333">
        <w:rPr>
          <w:rFonts w:ascii="Garamond" w:eastAsia="Garamond" w:hAnsi="Garamond" w:cs="Garamond"/>
          <w:b/>
          <w:bCs/>
          <w:sz w:val="32"/>
          <w:szCs w:val="32"/>
        </w:rPr>
        <w:t>on transport sector</w:t>
      </w:r>
      <w:r w:rsidR="00BD443E" w:rsidRPr="00290333">
        <w:rPr>
          <w:rFonts w:ascii="Garamond" w:eastAsia="Garamond" w:hAnsi="Garamond" w:cs="Garamond"/>
          <w:b/>
          <w:bCs/>
          <w:sz w:val="32"/>
          <w:szCs w:val="32"/>
        </w:rPr>
        <w:t xml:space="preserve">: </w:t>
      </w:r>
      <w:r w:rsidR="00AE0A2E" w:rsidRPr="00290333">
        <w:rPr>
          <w:rFonts w:ascii="Garamond" w:eastAsia="Garamond" w:hAnsi="Garamond" w:cs="Garamond"/>
          <w:b/>
          <w:bCs/>
          <w:sz w:val="32"/>
          <w:szCs w:val="32"/>
        </w:rPr>
        <w:t xml:space="preserve">Implications by a </w:t>
      </w:r>
      <w:r w:rsidRPr="00290333">
        <w:rPr>
          <w:rFonts w:ascii="Garamond" w:eastAsia="Garamond" w:hAnsi="Garamond" w:cs="Garamond"/>
          <w:b/>
          <w:bCs/>
          <w:sz w:val="32"/>
          <w:szCs w:val="32"/>
        </w:rPr>
        <w:t xml:space="preserve">Dynamic </w:t>
      </w:r>
      <w:r w:rsidR="00BD443E" w:rsidRPr="00290333">
        <w:rPr>
          <w:rFonts w:ascii="Garamond" w:eastAsia="Garamond" w:hAnsi="Garamond" w:cs="Garamond"/>
          <w:b/>
          <w:bCs/>
          <w:sz w:val="32"/>
          <w:szCs w:val="32"/>
        </w:rPr>
        <w:t>Computable General Equilibrium Analysis</w:t>
      </w:r>
    </w:p>
    <w:p w14:paraId="00000017" w14:textId="15B3AF16" w:rsidR="00CC4B33" w:rsidRPr="00290333" w:rsidRDefault="00BD443E">
      <w:pPr>
        <w:spacing w:before="240" w:after="240" w:line="276" w:lineRule="auto"/>
        <w:jc w:val="both"/>
        <w:rPr>
          <w:rFonts w:ascii="Times New Roman" w:eastAsia="Times New Roman" w:hAnsi="Times New Roman" w:cs="Times New Roman"/>
          <w:sz w:val="24"/>
          <w:szCs w:val="24"/>
        </w:rPr>
      </w:pPr>
      <w:r w:rsidRPr="00290333">
        <w:rPr>
          <w:rFonts w:ascii="Times New Roman" w:eastAsia="Times New Roman" w:hAnsi="Times New Roman" w:cs="Times New Roman"/>
          <w:sz w:val="24"/>
          <w:szCs w:val="24"/>
        </w:rPr>
        <w:t>As of December 2025, Morocco stands at a pivotal juncture in balancing ambitious climate goals with economic integration objectives. The African Continental Free Trade Area (AFCFTA), under which trading has been fully operational since 2021, offers Morocco significant opportunities for export diversification and the expansion of intra-African trade, particularly in manufacturing, agriculture, and the phosphate sector. Projections suggest potential increases in continental GDP and intra-African trade by up to 45% with full implementation, enabling Morocco to redirect exports toward regional markets amid persistent global trade tensions.</w:t>
      </w:r>
    </w:p>
    <w:p w14:paraId="00000018" w14:textId="0DA75733" w:rsidR="00CC4B33" w:rsidRPr="00290333" w:rsidRDefault="00BD443E">
      <w:pPr>
        <w:spacing w:before="240" w:after="240" w:line="276" w:lineRule="auto"/>
        <w:jc w:val="both"/>
        <w:rPr>
          <w:rFonts w:ascii="Times New Roman" w:eastAsia="Times New Roman" w:hAnsi="Times New Roman" w:cs="Times New Roman"/>
          <w:sz w:val="24"/>
          <w:szCs w:val="24"/>
        </w:rPr>
      </w:pPr>
      <w:r w:rsidRPr="00290333">
        <w:rPr>
          <w:rFonts w:ascii="Times New Roman" w:eastAsia="Times New Roman" w:hAnsi="Times New Roman" w:cs="Times New Roman"/>
          <w:sz w:val="24"/>
          <w:szCs w:val="24"/>
        </w:rPr>
        <w:t xml:space="preserve">However, escalating international climate pressures increasingly complicate this outlook. Morocco’s updated Nationally Determined Contribution (NDC) targets a 45.5% reduction in </w:t>
      </w:r>
      <w:r w:rsidR="00F063D5" w:rsidRPr="00290333">
        <w:rPr>
          <w:rFonts w:ascii="Times New Roman" w:eastAsia="Times New Roman" w:hAnsi="Times New Roman" w:cs="Times New Roman"/>
          <w:sz w:val="24"/>
          <w:szCs w:val="24"/>
        </w:rPr>
        <w:t>G</w:t>
      </w:r>
      <w:r w:rsidRPr="00290333">
        <w:rPr>
          <w:rFonts w:ascii="Times New Roman" w:eastAsia="Times New Roman" w:hAnsi="Times New Roman" w:cs="Times New Roman"/>
          <w:sz w:val="24"/>
          <w:szCs w:val="24"/>
        </w:rPr>
        <w:t>reenhouse gas</w:t>
      </w:r>
      <w:r w:rsidR="00F063D5" w:rsidRPr="00290333">
        <w:rPr>
          <w:rFonts w:ascii="Times New Roman" w:eastAsia="Times New Roman" w:hAnsi="Times New Roman" w:cs="Times New Roman"/>
          <w:sz w:val="24"/>
          <w:szCs w:val="24"/>
        </w:rPr>
        <w:t>es</w:t>
      </w:r>
      <w:r w:rsidRPr="00290333">
        <w:rPr>
          <w:rFonts w:ascii="Times New Roman" w:eastAsia="Times New Roman" w:hAnsi="Times New Roman" w:cs="Times New Roman"/>
          <w:sz w:val="24"/>
          <w:szCs w:val="24"/>
        </w:rPr>
        <w:t xml:space="preserve"> (GHG) emissions by 20</w:t>
      </w:r>
      <w:r w:rsidR="00F063D5" w:rsidRPr="00290333">
        <w:rPr>
          <w:rFonts w:ascii="Times New Roman" w:eastAsia="Times New Roman" w:hAnsi="Times New Roman" w:cs="Times New Roman"/>
          <w:sz w:val="24"/>
          <w:szCs w:val="24"/>
        </w:rPr>
        <w:t xml:space="preserve">45, </w:t>
      </w:r>
      <w:r w:rsidRPr="00290333">
        <w:rPr>
          <w:rFonts w:ascii="Times New Roman" w:eastAsia="Times New Roman" w:hAnsi="Times New Roman" w:cs="Times New Roman"/>
          <w:sz w:val="24"/>
          <w:szCs w:val="24"/>
        </w:rPr>
        <w:t>including an unconditional component of 18.3%, with recent revisions targeting a 53% reduction by 2035 and carbon neutrality by 2050. To align with these commitments and respond to the European Union’s Carbon Border Adjustment Mechanism (CBAM), which becomes fully effective on January 1, 2026, and imposes carbon-related costs on imports such as fertilizers, steel, and aluminum, Morocco’s 2025 Finance Law introduces a domestic carbon tax to be phased in starting in January 2026.</w:t>
      </w:r>
    </w:p>
    <w:p w14:paraId="00000019" w14:textId="10E87321" w:rsidR="00CC4B33" w:rsidRPr="00290333" w:rsidRDefault="00BD443E">
      <w:pPr>
        <w:spacing w:before="240" w:after="240" w:line="276" w:lineRule="auto"/>
        <w:jc w:val="both"/>
        <w:rPr>
          <w:rFonts w:ascii="Times New Roman" w:eastAsia="Times New Roman" w:hAnsi="Times New Roman" w:cs="Times New Roman"/>
          <w:sz w:val="24"/>
          <w:szCs w:val="24"/>
        </w:rPr>
      </w:pPr>
      <w:r w:rsidRPr="00290333">
        <w:rPr>
          <w:rFonts w:ascii="Times New Roman" w:eastAsia="Times New Roman" w:hAnsi="Times New Roman" w:cs="Times New Roman"/>
          <w:sz w:val="24"/>
          <w:szCs w:val="24"/>
        </w:rPr>
        <w:t>The European Union remains Morocco’s dominant trading partner, absorbing approximately 67–70% of exports in 2024–2025, while direct exposure to CBAM remains limited, affecting roughly 3–4% of EU-bound exports, mainly fertilizers. Nevertheless, the introduction of a domestic carbon tax enables partial deductions under CBAM, thereby preserving access to the EU market while incentivizing decarbonization. This policy choice entails important trade-offs: while the tax may raise production costs for carbon-intensive sectors, potentially eroding competitiveness and dampening A</w:t>
      </w:r>
      <w:r w:rsidR="00BE6FA6" w:rsidRPr="00290333">
        <w:rPr>
          <w:rFonts w:ascii="Times New Roman" w:eastAsia="Times New Roman" w:hAnsi="Times New Roman" w:cs="Times New Roman"/>
          <w:sz w:val="24"/>
          <w:szCs w:val="24"/>
        </w:rPr>
        <w:t>F</w:t>
      </w:r>
      <w:r w:rsidRPr="00290333">
        <w:rPr>
          <w:rFonts w:ascii="Times New Roman" w:eastAsia="Times New Roman" w:hAnsi="Times New Roman" w:cs="Times New Roman"/>
          <w:sz w:val="24"/>
          <w:szCs w:val="24"/>
        </w:rPr>
        <w:t>CFTA-driven gains in intra-African exports, the recycling of revenues and targeted green investments could mitigate adverse effects, generate environmental benefits, and support long-term economic diversification.</w:t>
      </w:r>
    </w:p>
    <w:p w14:paraId="0000001A" w14:textId="5DA31A7B" w:rsidR="00CC4B33" w:rsidRPr="00290333" w:rsidRDefault="00BD443E">
      <w:pPr>
        <w:spacing w:before="240" w:after="240" w:line="276" w:lineRule="auto"/>
        <w:jc w:val="both"/>
        <w:rPr>
          <w:rFonts w:ascii="Times New Roman" w:eastAsia="Times New Roman" w:hAnsi="Times New Roman" w:cs="Times New Roman"/>
          <w:sz w:val="24"/>
          <w:szCs w:val="24"/>
        </w:rPr>
      </w:pPr>
      <w:r w:rsidRPr="00290333">
        <w:rPr>
          <w:rFonts w:ascii="Times New Roman" w:eastAsia="Times New Roman" w:hAnsi="Times New Roman" w:cs="Times New Roman"/>
          <w:sz w:val="24"/>
          <w:szCs w:val="24"/>
        </w:rPr>
        <w:t xml:space="preserve">The adoption of carbon pricing mechanisms — particularly carbon taxes — is central to global climate mitigation strategies, but their implications for trade competitiveness remain a subject of debate, especially in developing economies. In Morocco, integrating environmental fiscal reforms into the economic framework of the </w:t>
      </w:r>
      <w:r w:rsidR="00BE6FA6" w:rsidRPr="00290333">
        <w:rPr>
          <w:rFonts w:ascii="Times New Roman" w:eastAsia="Times New Roman" w:hAnsi="Times New Roman" w:cs="Times New Roman"/>
          <w:sz w:val="24"/>
          <w:szCs w:val="24"/>
        </w:rPr>
        <w:t xml:space="preserve">AFCFTA </w:t>
      </w:r>
      <w:r w:rsidRPr="00290333">
        <w:rPr>
          <w:rFonts w:ascii="Times New Roman" w:eastAsia="Times New Roman" w:hAnsi="Times New Roman" w:cs="Times New Roman"/>
          <w:sz w:val="24"/>
          <w:szCs w:val="24"/>
        </w:rPr>
        <w:t>presents both opportunities and challenges for trade performance, sectoral competitiveness, and welfare outcomes.</w:t>
      </w:r>
    </w:p>
    <w:p w14:paraId="0000001B" w14:textId="724F573E" w:rsidR="00CC4B33" w:rsidRPr="00290333" w:rsidRDefault="00BD443E">
      <w:pPr>
        <w:spacing w:before="240" w:after="240" w:line="276" w:lineRule="auto"/>
        <w:jc w:val="both"/>
        <w:rPr>
          <w:rFonts w:ascii="Times New Roman" w:eastAsia="Times New Roman" w:hAnsi="Times New Roman" w:cs="Times New Roman"/>
          <w:sz w:val="24"/>
          <w:szCs w:val="24"/>
        </w:rPr>
      </w:pPr>
      <w:r w:rsidRPr="00290333">
        <w:rPr>
          <w:rFonts w:ascii="Times New Roman" w:eastAsia="Times New Roman" w:hAnsi="Times New Roman" w:cs="Times New Roman"/>
          <w:sz w:val="24"/>
          <w:szCs w:val="24"/>
        </w:rPr>
        <w:t xml:space="preserve">Multiple studies have examined trade liberalization effects in Morocco under </w:t>
      </w:r>
      <w:r w:rsidR="00BE6FA6" w:rsidRPr="00290333">
        <w:rPr>
          <w:rFonts w:ascii="Times New Roman" w:eastAsia="Times New Roman" w:hAnsi="Times New Roman" w:cs="Times New Roman"/>
          <w:sz w:val="24"/>
          <w:szCs w:val="24"/>
        </w:rPr>
        <w:t>AFCFTA</w:t>
      </w:r>
      <w:r w:rsidRPr="00290333">
        <w:rPr>
          <w:rFonts w:ascii="Times New Roman" w:eastAsia="Times New Roman" w:hAnsi="Times New Roman" w:cs="Times New Roman"/>
          <w:sz w:val="24"/>
          <w:szCs w:val="24"/>
        </w:rPr>
        <w:t>. Raouf et al. (2021) use a static CGE model based on the 2018 SAM (PEP1-1 framework) to assess ex-ante impacts, revealing substantial trade creation with African partners and significant export gains, particularly in agriculture, fishing, and food industries. Imports from Africa also rise, notably in extractive industries and agriculture.</w:t>
      </w:r>
    </w:p>
    <w:p w14:paraId="0000001C" w14:textId="77777777" w:rsidR="00CC4B33" w:rsidRPr="00290333" w:rsidRDefault="00BD443E">
      <w:pPr>
        <w:spacing w:before="240" w:after="240" w:line="276" w:lineRule="auto"/>
        <w:jc w:val="both"/>
        <w:rPr>
          <w:rFonts w:ascii="Times New Roman" w:eastAsia="Times New Roman" w:hAnsi="Times New Roman" w:cs="Times New Roman"/>
          <w:sz w:val="24"/>
          <w:szCs w:val="24"/>
        </w:rPr>
      </w:pPr>
      <w:r w:rsidRPr="00290333">
        <w:rPr>
          <w:rFonts w:ascii="Times New Roman" w:eastAsia="Times New Roman" w:hAnsi="Times New Roman" w:cs="Times New Roman"/>
          <w:sz w:val="24"/>
          <w:szCs w:val="24"/>
        </w:rPr>
        <w:lastRenderedPageBreak/>
        <w:t xml:space="preserve">Complementing these findings, </w:t>
      </w:r>
      <w:proofErr w:type="spellStart"/>
      <w:r w:rsidRPr="00290333">
        <w:rPr>
          <w:rFonts w:ascii="Times New Roman" w:eastAsia="Times New Roman" w:hAnsi="Times New Roman" w:cs="Times New Roman"/>
          <w:sz w:val="24"/>
          <w:szCs w:val="24"/>
        </w:rPr>
        <w:t>Bouët</w:t>
      </w:r>
      <w:proofErr w:type="spellEnd"/>
      <w:r w:rsidRPr="00290333">
        <w:rPr>
          <w:rFonts w:ascii="Times New Roman" w:eastAsia="Times New Roman" w:hAnsi="Times New Roman" w:cs="Times New Roman"/>
          <w:sz w:val="24"/>
          <w:szCs w:val="24"/>
        </w:rPr>
        <w:t xml:space="preserve"> et al. (2021) employ the MIRAGRODEP global CGE model to explore scenarios up to 2035. Tariff removal and trade facilitation are shown to expand trade, enhance industrial and agricultural exports, and generate welfare gains, especially when combined with supportive infrastructure and industrial policies.</w:t>
      </w:r>
    </w:p>
    <w:p w14:paraId="0000001D" w14:textId="77777777" w:rsidR="00CC4B33" w:rsidRPr="00290333" w:rsidRDefault="00BD443E">
      <w:pPr>
        <w:spacing w:before="240" w:after="240" w:line="276" w:lineRule="auto"/>
        <w:jc w:val="both"/>
        <w:rPr>
          <w:rFonts w:ascii="Times New Roman" w:eastAsia="Times New Roman" w:hAnsi="Times New Roman" w:cs="Times New Roman"/>
          <w:sz w:val="24"/>
          <w:szCs w:val="24"/>
        </w:rPr>
      </w:pPr>
      <w:r w:rsidRPr="00290333">
        <w:rPr>
          <w:rFonts w:ascii="Times New Roman" w:eastAsia="Times New Roman" w:hAnsi="Times New Roman" w:cs="Times New Roman"/>
          <w:sz w:val="24"/>
          <w:szCs w:val="24"/>
        </w:rPr>
        <w:t xml:space="preserve">El </w:t>
      </w:r>
      <w:proofErr w:type="spellStart"/>
      <w:r w:rsidRPr="00290333">
        <w:rPr>
          <w:rFonts w:ascii="Times New Roman" w:eastAsia="Times New Roman" w:hAnsi="Times New Roman" w:cs="Times New Roman"/>
          <w:sz w:val="24"/>
          <w:szCs w:val="24"/>
        </w:rPr>
        <w:t>Hajoui</w:t>
      </w:r>
      <w:proofErr w:type="spellEnd"/>
      <w:r w:rsidRPr="00290333">
        <w:rPr>
          <w:rFonts w:ascii="Times New Roman" w:eastAsia="Times New Roman" w:hAnsi="Times New Roman" w:cs="Times New Roman"/>
          <w:sz w:val="24"/>
          <w:szCs w:val="24"/>
        </w:rPr>
        <w:t xml:space="preserve"> et al. (2025) integrate a gravity model and a CGE framework calibrated with SAM 2019, indicating that Morocco’s simulated exports and imports with Africa could increase by 72% and 65%, respectively. Yet, macroeconomic gains remain modest, with GDP growth projected at 0.76% (basic prices) and 0.55% (market prices). Household, firm, and government incomes rise minimally. These findings highlight the fragility of South–South trade and the importance of reinforcing North–South cooperation.</w:t>
      </w:r>
    </w:p>
    <w:p w14:paraId="0000001E" w14:textId="00ACDA8C" w:rsidR="00CC4B33" w:rsidRPr="00290333" w:rsidRDefault="00BD443E">
      <w:pPr>
        <w:spacing w:before="240" w:after="240" w:line="276" w:lineRule="auto"/>
        <w:jc w:val="both"/>
        <w:rPr>
          <w:rFonts w:ascii="Times New Roman" w:eastAsia="Times New Roman" w:hAnsi="Times New Roman" w:cs="Times New Roman"/>
          <w:sz w:val="24"/>
          <w:szCs w:val="24"/>
        </w:rPr>
      </w:pPr>
      <w:proofErr w:type="spellStart"/>
      <w:r w:rsidRPr="00290333">
        <w:rPr>
          <w:rFonts w:ascii="Times New Roman" w:eastAsia="Times New Roman" w:hAnsi="Times New Roman" w:cs="Times New Roman"/>
          <w:sz w:val="24"/>
          <w:szCs w:val="24"/>
        </w:rPr>
        <w:t>Ait</w:t>
      </w:r>
      <w:proofErr w:type="spellEnd"/>
      <w:r w:rsidRPr="00290333">
        <w:rPr>
          <w:rFonts w:ascii="Times New Roman" w:eastAsia="Times New Roman" w:hAnsi="Times New Roman" w:cs="Times New Roman"/>
          <w:sz w:val="24"/>
          <w:szCs w:val="24"/>
        </w:rPr>
        <w:t xml:space="preserve"> </w:t>
      </w:r>
      <w:proofErr w:type="spellStart"/>
      <w:r w:rsidRPr="00290333">
        <w:rPr>
          <w:rFonts w:ascii="Times New Roman" w:eastAsia="Times New Roman" w:hAnsi="Times New Roman" w:cs="Times New Roman"/>
          <w:sz w:val="24"/>
          <w:szCs w:val="24"/>
        </w:rPr>
        <w:t>Faraji</w:t>
      </w:r>
      <w:proofErr w:type="spellEnd"/>
      <w:r w:rsidRPr="00290333">
        <w:rPr>
          <w:rFonts w:ascii="Times New Roman" w:eastAsia="Times New Roman" w:hAnsi="Times New Roman" w:cs="Times New Roman"/>
          <w:sz w:val="24"/>
          <w:szCs w:val="24"/>
        </w:rPr>
        <w:t xml:space="preserve"> and </w:t>
      </w:r>
      <w:proofErr w:type="spellStart"/>
      <w:r w:rsidRPr="00290333">
        <w:rPr>
          <w:rFonts w:ascii="Times New Roman" w:eastAsia="Times New Roman" w:hAnsi="Times New Roman" w:cs="Times New Roman"/>
          <w:sz w:val="24"/>
          <w:szCs w:val="24"/>
        </w:rPr>
        <w:t>Zaoujal</w:t>
      </w:r>
      <w:proofErr w:type="spellEnd"/>
      <w:r w:rsidRPr="00290333">
        <w:rPr>
          <w:rFonts w:ascii="Times New Roman" w:eastAsia="Times New Roman" w:hAnsi="Times New Roman" w:cs="Times New Roman"/>
          <w:sz w:val="24"/>
          <w:szCs w:val="24"/>
        </w:rPr>
        <w:t xml:space="preserve"> (2025) evaluate carbon taxation combined with AFCFTA trade liberalization using a dynamic CGE model. Progressive carbon pricing, paired with well-designed fiscal recycling (income tax cuts, wage cost reductions, investment support), can enhance trade competitiveness, fiscal sustainability, and CO₂ reduction.</w:t>
      </w:r>
    </w:p>
    <w:p w14:paraId="42B119E3" w14:textId="77777777" w:rsidR="00504323" w:rsidRPr="00290333" w:rsidRDefault="00504323" w:rsidP="00EA74D6">
      <w:pPr>
        <w:spacing w:before="240" w:after="240" w:line="276" w:lineRule="auto"/>
        <w:jc w:val="both"/>
        <w:rPr>
          <w:rFonts w:ascii="Times New Roman" w:eastAsia="Times New Roman" w:hAnsi="Times New Roman" w:cs="Times New Roman"/>
          <w:sz w:val="24"/>
          <w:szCs w:val="24"/>
        </w:rPr>
      </w:pPr>
      <w:r w:rsidRPr="00290333">
        <w:rPr>
          <w:rFonts w:ascii="Times New Roman" w:eastAsia="Times New Roman" w:hAnsi="Times New Roman" w:cs="Times New Roman"/>
          <w:sz w:val="24"/>
          <w:szCs w:val="24"/>
        </w:rPr>
        <w:t>Overall, while the trade potential with African partners is promising, the macroeconomic gains remain modest and the combined effects of carbon taxation and continental trade integration warrant further study.</w:t>
      </w:r>
    </w:p>
    <w:p w14:paraId="1F3AF807" w14:textId="61AB2B0C" w:rsidR="00504323" w:rsidRPr="00290333" w:rsidRDefault="00504323" w:rsidP="00EA74D6">
      <w:pPr>
        <w:spacing w:before="240" w:after="240" w:line="276" w:lineRule="auto"/>
        <w:jc w:val="both"/>
        <w:rPr>
          <w:rFonts w:ascii="Times New Roman" w:eastAsia="Times New Roman" w:hAnsi="Times New Roman" w:cs="Times New Roman"/>
          <w:sz w:val="24"/>
          <w:szCs w:val="24"/>
        </w:rPr>
      </w:pPr>
      <w:r w:rsidRPr="00290333">
        <w:rPr>
          <w:rFonts w:ascii="Times New Roman" w:eastAsia="Times New Roman" w:hAnsi="Times New Roman" w:cs="Times New Roman"/>
          <w:sz w:val="24"/>
          <w:szCs w:val="24"/>
        </w:rPr>
        <w:t xml:space="preserve">In this context, this research examines the trade, environmental, and social implications of Morocco's carbon taxation policy within the framework of the </w:t>
      </w:r>
      <w:r w:rsidR="00290333" w:rsidRPr="00290333">
        <w:rPr>
          <w:rFonts w:ascii="Times New Roman" w:eastAsia="Times New Roman" w:hAnsi="Times New Roman" w:cs="Times New Roman"/>
          <w:sz w:val="24"/>
          <w:szCs w:val="24"/>
        </w:rPr>
        <w:t>AFCFTA</w:t>
      </w:r>
      <w:r w:rsidRPr="00290333">
        <w:rPr>
          <w:rFonts w:ascii="Times New Roman" w:eastAsia="Times New Roman" w:hAnsi="Times New Roman" w:cs="Times New Roman"/>
          <w:sz w:val="24"/>
          <w:szCs w:val="24"/>
        </w:rPr>
        <w:t xml:space="preserve">. The key question is whether carbon taxation, implemented to reduce CO₂ emissions, could harm or improve Morocco's regional trade and social performance within the </w:t>
      </w:r>
      <w:r w:rsidR="00290333" w:rsidRPr="00290333">
        <w:rPr>
          <w:rFonts w:ascii="Times New Roman" w:eastAsia="Times New Roman" w:hAnsi="Times New Roman" w:cs="Times New Roman"/>
          <w:sz w:val="24"/>
          <w:szCs w:val="24"/>
        </w:rPr>
        <w:t>AFCFTA</w:t>
      </w:r>
      <w:r w:rsidRPr="00290333">
        <w:rPr>
          <w:rFonts w:ascii="Times New Roman" w:eastAsia="Times New Roman" w:hAnsi="Times New Roman" w:cs="Times New Roman"/>
          <w:sz w:val="24"/>
          <w:szCs w:val="24"/>
        </w:rPr>
        <w:t xml:space="preserve">. </w:t>
      </w:r>
    </w:p>
    <w:p w14:paraId="3449E0DC" w14:textId="4F29031C" w:rsidR="00504323" w:rsidRPr="00290333" w:rsidRDefault="00504323" w:rsidP="00EA74D6">
      <w:pPr>
        <w:spacing w:before="240" w:after="240" w:line="276" w:lineRule="auto"/>
        <w:jc w:val="both"/>
        <w:rPr>
          <w:rFonts w:ascii="Times New Roman" w:eastAsia="Times New Roman" w:hAnsi="Times New Roman" w:cs="Times New Roman"/>
          <w:sz w:val="24"/>
          <w:szCs w:val="24"/>
        </w:rPr>
      </w:pPr>
      <w:r w:rsidRPr="00290333">
        <w:rPr>
          <w:rFonts w:ascii="Times New Roman" w:eastAsia="Times New Roman" w:hAnsi="Times New Roman" w:cs="Times New Roman"/>
          <w:sz w:val="24"/>
          <w:szCs w:val="24"/>
        </w:rPr>
        <w:t xml:space="preserve">To address this issue, we adopt a dynamic computable general equilibrium (CGE) model calibrated to the 2023 social accounting matrix (SAM) with disaggregated data on trade and applied carbon tax rates, drawing on methodologies used in related studies on the AFCFTA and fiscal policy. The model includes a detailed representation of energy-intensive sectors, factors of production, households, government, and bilateral trade flows, with </w:t>
      </w:r>
      <w:proofErr w:type="spellStart"/>
      <w:r w:rsidRPr="00290333">
        <w:rPr>
          <w:rFonts w:ascii="Times New Roman" w:eastAsia="Times New Roman" w:hAnsi="Times New Roman" w:cs="Times New Roman"/>
          <w:sz w:val="24"/>
          <w:szCs w:val="24"/>
        </w:rPr>
        <w:t>Armington</w:t>
      </w:r>
      <w:proofErr w:type="spellEnd"/>
      <w:r w:rsidRPr="00290333">
        <w:rPr>
          <w:rFonts w:ascii="Times New Roman" w:eastAsia="Times New Roman" w:hAnsi="Times New Roman" w:cs="Times New Roman"/>
          <w:sz w:val="24"/>
          <w:szCs w:val="24"/>
        </w:rPr>
        <w:t xml:space="preserve"> specifications for imports and exports. Carbon tax rates are introduced gradually to reflect plausible policy changes, and trade liberalization shocks under the </w:t>
      </w:r>
      <w:r w:rsidR="00290333" w:rsidRPr="00290333">
        <w:rPr>
          <w:rFonts w:ascii="Times New Roman" w:eastAsia="Times New Roman" w:hAnsi="Times New Roman" w:cs="Times New Roman"/>
          <w:sz w:val="24"/>
          <w:szCs w:val="24"/>
        </w:rPr>
        <w:t>AFCFTA</w:t>
      </w:r>
      <w:r w:rsidR="00290333" w:rsidRPr="00290333">
        <w:rPr>
          <w:rFonts w:ascii="Times New Roman" w:eastAsia="Times New Roman" w:hAnsi="Times New Roman" w:cs="Times New Roman"/>
          <w:sz w:val="24"/>
          <w:szCs w:val="24"/>
        </w:rPr>
        <w:t xml:space="preserve"> </w:t>
      </w:r>
      <w:r w:rsidRPr="00290333">
        <w:rPr>
          <w:rFonts w:ascii="Times New Roman" w:eastAsia="Times New Roman" w:hAnsi="Times New Roman" w:cs="Times New Roman"/>
          <w:sz w:val="24"/>
          <w:szCs w:val="24"/>
        </w:rPr>
        <w:t>are implemented by reducing tariff barriers between regional partners.</w:t>
      </w:r>
    </w:p>
    <w:p w14:paraId="11443A3B" w14:textId="77777777" w:rsidR="00504323" w:rsidRPr="00290333" w:rsidRDefault="00504323" w:rsidP="00EA74D6">
      <w:pPr>
        <w:spacing w:before="240" w:after="240" w:line="276" w:lineRule="auto"/>
        <w:jc w:val="both"/>
        <w:rPr>
          <w:rFonts w:ascii="Times New Roman" w:eastAsia="Times New Roman" w:hAnsi="Times New Roman" w:cs="Times New Roman"/>
          <w:sz w:val="24"/>
          <w:szCs w:val="24"/>
        </w:rPr>
      </w:pPr>
      <w:r w:rsidRPr="00290333">
        <w:rPr>
          <w:rFonts w:ascii="Times New Roman" w:eastAsia="Times New Roman" w:hAnsi="Times New Roman" w:cs="Times New Roman"/>
          <w:sz w:val="24"/>
          <w:szCs w:val="24"/>
        </w:rPr>
        <w:t xml:space="preserve">In this study, </w:t>
      </w:r>
      <w:r w:rsidRPr="00290333">
        <w:rPr>
          <w:rFonts w:ascii="Times New Roman" w:eastAsia="Times New Roman" w:hAnsi="Times New Roman" w:cs="Times New Roman"/>
          <w:b/>
          <w:bCs/>
          <w:sz w:val="24"/>
          <w:szCs w:val="24"/>
        </w:rPr>
        <w:t>four simulation scenarios are conducted</w:t>
      </w:r>
      <w:r w:rsidRPr="00290333">
        <w:rPr>
          <w:rFonts w:ascii="Times New Roman" w:eastAsia="Times New Roman" w:hAnsi="Times New Roman" w:cs="Times New Roman"/>
          <w:sz w:val="24"/>
          <w:szCs w:val="24"/>
        </w:rPr>
        <w:t>: (1) baseline scenario with current AFCFTA commitments, (2) introduction of carbon tax only, (3) combination of carbon tax and AFCFTA tariff reduction, and (4) adoption of various revenue recycling mechanisms (e.g., reduction of distortive taxes, labor cost subsidies) to test the welfare implications. These scenarios aim to capture both short-term adjustment effects and longer-term structural changes in trade patterns and emissions trajectories.</w:t>
      </w:r>
    </w:p>
    <w:p w14:paraId="017AA8E7" w14:textId="77777777" w:rsidR="00504323" w:rsidRPr="00290333" w:rsidRDefault="00504323" w:rsidP="00EA74D6">
      <w:pPr>
        <w:spacing w:before="240" w:after="240" w:line="276" w:lineRule="auto"/>
        <w:jc w:val="both"/>
        <w:rPr>
          <w:rFonts w:ascii="Times New Roman" w:eastAsia="Times New Roman" w:hAnsi="Times New Roman" w:cs="Times New Roman"/>
          <w:sz w:val="24"/>
          <w:szCs w:val="24"/>
        </w:rPr>
      </w:pPr>
      <w:r w:rsidRPr="00290333">
        <w:rPr>
          <w:rFonts w:ascii="Times New Roman" w:eastAsia="Times New Roman" w:hAnsi="Times New Roman" w:cs="Times New Roman"/>
          <w:sz w:val="24"/>
          <w:szCs w:val="24"/>
        </w:rPr>
        <w:t xml:space="preserve">Preliminary results indicate that a carbon tax helps reduce emissions by encouraging the abandonment of carbon-intensive production. In the absence of complementary policies, higher production costs in energy-intensive sectors reduce the competitiveness of exports at the </w:t>
      </w:r>
      <w:r w:rsidRPr="00290333">
        <w:rPr>
          <w:rFonts w:ascii="Times New Roman" w:eastAsia="Times New Roman" w:hAnsi="Times New Roman" w:cs="Times New Roman"/>
          <w:sz w:val="24"/>
          <w:szCs w:val="24"/>
        </w:rPr>
        <w:lastRenderedPageBreak/>
        <w:t>regional level. However, when carbon tax revenues are recycled in the form of reductions in social security contributions or support for cleaner technologies, the negative effects on welfare are mitigated and trade performance under the AFCFTA is maintained or even improved. These findings are consistent with previous research suggesting that integrated green fiscal and trade policies can produce a double dividend in developing economies. Moreover, this combined approach preserves macroeconomic stability while significantly reducing carbon intensity.</w:t>
      </w:r>
    </w:p>
    <w:p w14:paraId="59AE539F" w14:textId="77777777" w:rsidR="00504323" w:rsidRPr="00290333" w:rsidRDefault="00504323" w:rsidP="00EA74D6">
      <w:pPr>
        <w:spacing w:before="240" w:after="240" w:line="276" w:lineRule="auto"/>
        <w:jc w:val="both"/>
        <w:rPr>
          <w:rFonts w:ascii="Times New Roman" w:eastAsia="Times New Roman" w:hAnsi="Times New Roman" w:cs="Times New Roman"/>
          <w:sz w:val="24"/>
          <w:szCs w:val="24"/>
        </w:rPr>
      </w:pPr>
      <w:r w:rsidRPr="00290333">
        <w:rPr>
          <w:rFonts w:ascii="Times New Roman" w:eastAsia="Times New Roman" w:hAnsi="Times New Roman" w:cs="Times New Roman"/>
          <w:sz w:val="24"/>
          <w:szCs w:val="24"/>
        </w:rPr>
        <w:t>In conclusion, this research provides quantitative evidence that well-designed carbon taxation, aligned with AFCFTA trade reforms and appropriate fiscal recycling, can support Morocco's environmental goals without substantially compromising its regional trade competitiveness. These findings offer important guidance to policymakers tasked with balancing climate change mitigation and economic integration in Africa</w:t>
      </w:r>
    </w:p>
    <w:p w14:paraId="0FCAF353" w14:textId="77777777" w:rsidR="00504323" w:rsidRPr="00290333" w:rsidRDefault="00504323" w:rsidP="00504323">
      <w:pPr>
        <w:spacing w:before="240" w:after="240" w:line="276" w:lineRule="auto"/>
        <w:rPr>
          <w:rFonts w:ascii="Times New Roman" w:eastAsia="Times New Roman" w:hAnsi="Times New Roman" w:cs="Times New Roman"/>
          <w:sz w:val="24"/>
          <w:szCs w:val="24"/>
        </w:rPr>
      </w:pPr>
    </w:p>
    <w:p w14:paraId="00000025" w14:textId="77777777" w:rsidR="00CC4B33" w:rsidRPr="00290333" w:rsidRDefault="00BD443E">
      <w:pPr>
        <w:spacing w:line="276" w:lineRule="auto"/>
        <w:jc w:val="both"/>
        <w:rPr>
          <w:rFonts w:ascii="Times New Roman" w:eastAsia="Times New Roman" w:hAnsi="Times New Roman" w:cs="Times New Roman"/>
          <w:sz w:val="24"/>
          <w:szCs w:val="24"/>
        </w:rPr>
      </w:pPr>
      <w:r w:rsidRPr="00290333">
        <w:rPr>
          <w:rFonts w:ascii="Times New Roman" w:eastAsia="Times New Roman" w:hAnsi="Times New Roman" w:cs="Times New Roman"/>
          <w:b/>
          <w:bCs/>
          <w:sz w:val="24"/>
          <w:szCs w:val="24"/>
        </w:rPr>
        <w:t>Keywords:</w:t>
      </w:r>
      <w:r w:rsidRPr="00290333">
        <w:rPr>
          <w:rFonts w:ascii="Times New Roman" w:eastAsia="Times New Roman" w:hAnsi="Times New Roman" w:cs="Times New Roman"/>
          <w:sz w:val="24"/>
          <w:szCs w:val="24"/>
        </w:rPr>
        <w:t xml:space="preserve"> Dynamic CGE Modeling, Econometric Estimation, Population Growth, Variable-Specific Forecasts, Morocco </w:t>
      </w:r>
    </w:p>
    <w:p w14:paraId="00000026" w14:textId="77777777" w:rsidR="00CC4B33" w:rsidRPr="00290333" w:rsidRDefault="00BD443E">
      <w:pPr>
        <w:spacing w:line="276" w:lineRule="auto"/>
        <w:rPr>
          <w:rFonts w:ascii="Times New Roman" w:eastAsia="Times New Roman" w:hAnsi="Times New Roman" w:cs="Times New Roman"/>
          <w:sz w:val="24"/>
          <w:szCs w:val="24"/>
        </w:rPr>
      </w:pPr>
      <w:r w:rsidRPr="00290333">
        <w:rPr>
          <w:rFonts w:ascii="Times New Roman" w:eastAsia="Times New Roman" w:hAnsi="Times New Roman" w:cs="Times New Roman"/>
          <w:b/>
          <w:bCs/>
          <w:sz w:val="24"/>
          <w:szCs w:val="24"/>
        </w:rPr>
        <w:t>JEL Classification:</w:t>
      </w:r>
      <w:bookmarkStart w:id="0" w:name="_GoBack"/>
      <w:bookmarkEnd w:id="0"/>
    </w:p>
    <w:p w14:paraId="00000028" w14:textId="77777777" w:rsidR="00CC4B33" w:rsidRPr="00290333" w:rsidRDefault="00CC4B33"/>
    <w:sectPr w:rsidR="00CC4B33" w:rsidRPr="00290333">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D2514EF-5E7F-40FA-BD4C-F784C817921C}"/>
    <w:embedBold r:id="rId2" w:fontKey="{F0E6F51A-3C28-49CA-9E8D-91B140056870}"/>
  </w:font>
  <w:font w:name="Georgia">
    <w:panose1 w:val="02040502050405020303"/>
    <w:charset w:val="00"/>
    <w:family w:val="roman"/>
    <w:pitch w:val="variable"/>
    <w:sig w:usb0="00000287" w:usb1="00000000" w:usb2="00000000" w:usb3="00000000" w:csb0="0000009F" w:csb1="00000000"/>
    <w:embedItalic r:id="rId3" w:fontKey="{408006FB-1C53-41D5-8D88-4CE7F0ACEFE4}"/>
  </w:font>
  <w:font w:name="Garamond">
    <w:panose1 w:val="02020404030301010803"/>
    <w:charset w:val="00"/>
    <w:family w:val="roman"/>
    <w:pitch w:val="variable"/>
    <w:sig w:usb0="00000287" w:usb1="00000000" w:usb2="00000000" w:usb3="00000000" w:csb0="0000009F" w:csb1="00000000"/>
    <w:embedBold r:id="rId4" w:fontKey="{216B6B6E-D32A-41C5-B4BF-BBD7C91E319E}"/>
  </w:font>
  <w:font w:name="Calibri Light">
    <w:panose1 w:val="020F0302020204030204"/>
    <w:charset w:val="00"/>
    <w:family w:val="swiss"/>
    <w:pitch w:val="variable"/>
    <w:sig w:usb0="E4002EFF" w:usb1="C200247B" w:usb2="00000009" w:usb3="00000000" w:csb0="000001FF" w:csb1="00000000"/>
    <w:embedRegular r:id="rId5" w:fontKey="{F3829823-9482-47B2-870E-14DBA4F5B2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8E3FCA"/>
    <w:multiLevelType w:val="multilevel"/>
    <w:tmpl w:val="BE0EAFFE"/>
    <w:lvl w:ilvl="0">
      <w:start w:val="1"/>
      <w:numFmt w:val="decimal"/>
      <w:lvlText w:val="%1."/>
      <w:lvlJc w:val="left"/>
      <w:pPr>
        <w:ind w:left="720" w:hanging="360"/>
      </w:pPr>
      <w:rPr>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2675F9C"/>
    <w:multiLevelType w:val="multilevel"/>
    <w:tmpl w:val="3ED850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TrueTypeFont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B33"/>
    <w:rsid w:val="00147D52"/>
    <w:rsid w:val="00290333"/>
    <w:rsid w:val="00362A52"/>
    <w:rsid w:val="004659F3"/>
    <w:rsid w:val="00504323"/>
    <w:rsid w:val="00943E78"/>
    <w:rsid w:val="009E13A0"/>
    <w:rsid w:val="00AE0A2E"/>
    <w:rsid w:val="00BD443E"/>
    <w:rsid w:val="00BE6FA6"/>
    <w:rsid w:val="00CC4B33"/>
    <w:rsid w:val="00DF482D"/>
    <w:rsid w:val="00EA74D6"/>
    <w:rsid w:val="00F063D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7F68F"/>
  <w15:docId w15:val="{92C95BA5-D138-4972-8F18-497D370CE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bCs/>
      <w:sz w:val="48"/>
      <w:szCs w:val="48"/>
    </w:rPr>
  </w:style>
  <w:style w:type="paragraph" w:styleId="Titre2">
    <w:name w:val="heading 2"/>
    <w:basedOn w:val="Normal"/>
    <w:next w:val="Normal"/>
    <w:uiPriority w:val="9"/>
    <w:semiHidden/>
    <w:unhideWhenUsed/>
    <w:qFormat/>
    <w:pPr>
      <w:keepNext/>
      <w:keepLines/>
      <w:spacing w:before="360" w:after="80"/>
      <w:outlineLvl w:val="1"/>
    </w:pPr>
    <w:rPr>
      <w:b/>
      <w:bCs/>
      <w:sz w:val="36"/>
      <w:szCs w:val="36"/>
    </w:rPr>
  </w:style>
  <w:style w:type="paragraph" w:styleId="Titre3">
    <w:name w:val="heading 3"/>
    <w:basedOn w:val="Normal"/>
    <w:next w:val="Normal"/>
    <w:uiPriority w:val="9"/>
    <w:semiHidden/>
    <w:unhideWhenUsed/>
    <w:qFormat/>
    <w:pPr>
      <w:keepNext/>
      <w:keepLines/>
      <w:spacing w:before="280" w:after="80"/>
      <w:outlineLvl w:val="2"/>
    </w:pPr>
    <w:rPr>
      <w:b/>
      <w:bCs/>
      <w:sz w:val="28"/>
      <w:szCs w:val="28"/>
    </w:rPr>
  </w:style>
  <w:style w:type="paragraph" w:styleId="Titre4">
    <w:name w:val="heading 4"/>
    <w:basedOn w:val="Normal"/>
    <w:next w:val="Normal"/>
    <w:uiPriority w:val="9"/>
    <w:semiHidden/>
    <w:unhideWhenUsed/>
    <w:qFormat/>
    <w:pPr>
      <w:keepNext/>
      <w:keepLines/>
      <w:spacing w:before="240" w:after="40"/>
      <w:outlineLvl w:val="3"/>
    </w:pPr>
    <w:rPr>
      <w:b/>
      <w:bCs/>
      <w:sz w:val="24"/>
      <w:szCs w:val="24"/>
    </w:rPr>
  </w:style>
  <w:style w:type="paragraph" w:styleId="Titre5">
    <w:name w:val="heading 5"/>
    <w:basedOn w:val="Normal"/>
    <w:next w:val="Normal"/>
    <w:uiPriority w:val="9"/>
    <w:semiHidden/>
    <w:unhideWhenUsed/>
    <w:qFormat/>
    <w:pPr>
      <w:keepNext/>
      <w:keepLines/>
      <w:spacing w:before="220" w:after="40"/>
      <w:outlineLvl w:val="4"/>
    </w:pPr>
    <w:rPr>
      <w:b/>
      <w:bCs/>
    </w:rPr>
  </w:style>
  <w:style w:type="paragraph" w:styleId="Titre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paragraph" w:styleId="Paragraphedeliste">
    <w:name w:val="List Paragraph"/>
    <w:basedOn w:val="Normal"/>
    <w:uiPriority w:val="34"/>
    <w:qFormat/>
    <w:rsid w:val="006B4631"/>
    <w:pPr>
      <w:ind w:left="720"/>
      <w:contextualSpacing/>
    </w:pPr>
  </w:style>
  <w:style w:type="character" w:styleId="Lienhypertexte">
    <w:name w:val="Hyperlink"/>
    <w:basedOn w:val="Policepardfaut"/>
    <w:uiPriority w:val="99"/>
    <w:unhideWhenUsed/>
    <w:rsid w:val="00080706"/>
    <w:rPr>
      <w:color w:val="0563C1" w:themeColor="hyperlink"/>
      <w:u w:val="single"/>
    </w:rPr>
  </w:style>
  <w:style w:type="character" w:styleId="Mentionnonrsolue">
    <w:name w:val="Unresolved Mention"/>
    <w:basedOn w:val="Policepardfaut"/>
    <w:uiPriority w:val="99"/>
    <w:semiHidden/>
    <w:unhideWhenUsed/>
    <w:rsid w:val="00080706"/>
    <w:rPr>
      <w:color w:val="605E5C"/>
      <w:shd w:val="clear" w:color="auto" w:fill="E1DFDD"/>
    </w:rPr>
  </w:style>
  <w:style w:type="paragraph" w:styleId="Sous-titr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XGNn5u3LJmGlfQP8J4yOKR6ovA==">CgMxLjA4AHIhMUx3d0JCa0R3d2tKWTZlU3BEY3pOblp1NkswbjQtRXNN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3</Pages>
  <Words>1143</Words>
  <Characters>6292</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 BAOUCHARI NABIL</dc:creator>
  <cp:lastModifiedBy>HP</cp:lastModifiedBy>
  <cp:revision>9</cp:revision>
  <dcterms:created xsi:type="dcterms:W3CDTF">2025-12-21T11:49:00Z</dcterms:created>
  <dcterms:modified xsi:type="dcterms:W3CDTF">2026-01-08T18:03:00Z</dcterms:modified>
</cp:coreProperties>
</file>