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A285" w14:textId="77777777" w:rsidR="00B30B33" w:rsidRDefault="00B30B33" w:rsidP="00840635">
      <w:pPr>
        <w:pStyle w:val="NormalWeb"/>
        <w:jc w:val="both"/>
        <w:rPr>
          <w:b/>
          <w:bCs/>
          <w:sz w:val="28"/>
          <w:szCs w:val="28"/>
          <w:lang w:val="en-US"/>
        </w:rPr>
      </w:pPr>
      <w:r w:rsidRPr="00B30B33">
        <w:rPr>
          <w:b/>
          <w:bCs/>
          <w:sz w:val="28"/>
          <w:szCs w:val="28"/>
          <w:lang w:val="en-US"/>
        </w:rPr>
        <w:t>The Contribution of Technological Innovation to the Competitiveness of the Moroccan Economy: A Sectoral Approach Using CGE Modelling</w:t>
      </w:r>
      <w:r w:rsidRPr="00B30B33">
        <w:rPr>
          <w:b/>
          <w:bCs/>
          <w:sz w:val="28"/>
          <w:szCs w:val="28"/>
          <w:lang w:val="en-US"/>
        </w:rPr>
        <w:t xml:space="preserve"> </w:t>
      </w:r>
    </w:p>
    <w:p w14:paraId="7E453E2A" w14:textId="7A9FF7C1" w:rsidR="00840635" w:rsidRDefault="00840635" w:rsidP="00840635">
      <w:pPr>
        <w:pStyle w:val="NormalWeb"/>
        <w:jc w:val="both"/>
      </w:pPr>
      <w:r>
        <w:t>In a context of heightened global economic uncertainty following the COVID-19 pandemic and ongoing structural transformations in international trade, competitiveness has re-emerged as a key concern for emerging economies. As global production networks and trade patterns continue to evolve, understanding the sources and structure of competitiveness has become increasingly important for countries seeking to strengthen their position in international markets.</w:t>
      </w:r>
    </w:p>
    <w:p w14:paraId="69807A21" w14:textId="77777777" w:rsidR="002C4701" w:rsidRDefault="00840635" w:rsidP="00840635">
      <w:pPr>
        <w:pStyle w:val="NormalWeb"/>
        <w:jc w:val="both"/>
      </w:pPr>
      <w:r>
        <w:t xml:space="preserve">Over the past two decades, Morocco has pursued export-oriented industrialization strategies, with particular emphasis on sectors such as automotive, aerospace, and textiles. </w:t>
      </w:r>
      <w:r w:rsidR="002F6B19">
        <w:t xml:space="preserve">Industrial employment has nearly doubled over the past decade, reaching 985,000 jobs in 2024, while industrial exports grew by 64% since 2019 to reach MAD 398 billion. The government has recently launched its 2025-2027 Foreign Trade Roadmap targeting 22 priority countries and identifying 200 high-potential products, with an estimated export potential of MAD 120 billion. Additionally, new initiatives such as the "Made in Morocco" certification label and the extended Tatwir R&amp;D program (2026-2028) reflect ongoing efforts to strengthen industrial competitiveness through quality improvements and innovation support. </w:t>
      </w:r>
    </w:p>
    <w:p w14:paraId="5E480A8C" w14:textId="77777777" w:rsidR="00012716" w:rsidRPr="00012716" w:rsidRDefault="00012716" w:rsidP="00012716">
      <w:pPr>
        <w:pStyle w:val="NormalWeb"/>
        <w:jc w:val="both"/>
        <w:rPr>
          <w:lang w:val="en-US"/>
        </w:rPr>
      </w:pPr>
      <w:r w:rsidRPr="00012716">
        <w:rPr>
          <w:lang w:val="en-US"/>
        </w:rPr>
        <w:t>Despite these efforts, a fundamental question remains unanswered: does technological innovation actually translate into improved export competitiveness across Moroccan sectors, and what factors explain why some industries successfully convert innovation into competitive gains while others do not? This study addresses this gap by examining how productivity dynamics associated with technological innovation shape Morocco’s competitive performance at the sectoral level.</w:t>
      </w:r>
    </w:p>
    <w:p w14:paraId="0CC97CC5" w14:textId="77777777" w:rsidR="00012716" w:rsidRPr="00012716" w:rsidRDefault="00012716" w:rsidP="00012716">
      <w:pPr>
        <w:pStyle w:val="NormalWeb"/>
        <w:jc w:val="both"/>
        <w:rPr>
          <w:lang w:val="en-US"/>
        </w:rPr>
      </w:pPr>
      <w:r w:rsidRPr="00012716">
        <w:rPr>
          <w:lang w:val="en-US"/>
        </w:rPr>
        <w:t>Thus, the present study focuses on a simulation through the computable general equilibrium (CGE) model based on the Partnership for Economic Policy standard (PEP-1-1) (Decaluwé et al., 2013) to analyze the impacts of sectoral total factor productivity (TFP) shocks on export competitiveness indicators.</w:t>
      </w:r>
    </w:p>
    <w:p w14:paraId="28C4583A" w14:textId="77777777" w:rsidR="00012716" w:rsidRPr="00012716" w:rsidRDefault="00012716" w:rsidP="00012716">
      <w:pPr>
        <w:pStyle w:val="NormalWeb"/>
        <w:jc w:val="both"/>
        <w:rPr>
          <w:lang w:val="en-US"/>
        </w:rPr>
      </w:pPr>
      <w:r w:rsidRPr="00012716">
        <w:rPr>
          <w:lang w:val="en-US"/>
        </w:rPr>
        <w:t>Our model has been calibrated using SAM (2019) data on the Moroccan economy. The SAM counts three categories of labor disaggregated by the level of education and degrees held by each individual in the household (Unskilled work (USK), Skilled work (SK), and Medium skilled work (MSK)). In addition, we have disaggregated the Education, Health, and Social Action (MNO) accounts into three sub-accounts, namely non-market education (ENM), market education (EM), and health and social action (SN). Finally, the representative household account was disaggregated into three sub-accounts using data from the National Survey on Household Consumption and Expenditure 2014 (NSHCE-2014, HCP), namely: poor households (HP), medium households (HM), and rich households (HR), which will allow us to calculate indicators related to income inequalities like the Gini index (1921), the Atkinson index (1970), and welfare.</w:t>
      </w:r>
    </w:p>
    <w:p w14:paraId="0F796790" w14:textId="77777777" w:rsidR="00012716" w:rsidRPr="00012716" w:rsidRDefault="00012716" w:rsidP="00012716">
      <w:pPr>
        <w:pStyle w:val="NormalWeb"/>
        <w:jc w:val="both"/>
        <w:rPr>
          <w:lang w:val="en-US"/>
        </w:rPr>
      </w:pPr>
      <w:r w:rsidRPr="00012716">
        <w:rPr>
          <w:lang w:val="en-US"/>
        </w:rPr>
        <w:t>In other words, to respond to the objective of this study, we made some modifications to the basic PEP 1-1 model. Firstly, to capture the existence of unemployment in the Moroccan labor market, we adapted the wage curve which consists in assuming a negatively sloped relationship between the unemployment rate and the wage rate in each labor market (Blanchflower &amp; Oswald, 1995). Secondly, we have broken down the government expenditures into two types: governmental expenditures in health and governmental expenditures in goods other than health.</w:t>
      </w:r>
    </w:p>
    <w:p w14:paraId="51C8803C" w14:textId="4FF6D319" w:rsidR="00840635" w:rsidRPr="00E55784" w:rsidRDefault="00A2410A" w:rsidP="00012716">
      <w:pPr>
        <w:pStyle w:val="NormalWeb"/>
        <w:jc w:val="both"/>
      </w:pPr>
      <w:r w:rsidRPr="00E55784">
        <w:lastRenderedPageBreak/>
        <w:t>For calibration, t</w:t>
      </w:r>
      <w:r w:rsidR="00840635" w:rsidRPr="00E55784">
        <w:t>he analysis adopts a sectoral perspective covering 19 economic sectors over the period (</w:t>
      </w:r>
      <w:r w:rsidRPr="00E55784">
        <w:t>1990-2023</w:t>
      </w:r>
      <w:r w:rsidR="00840635" w:rsidRPr="00E55784">
        <w:t>), allowing for heterogeneity in performance across industries and the identification of relative strengths and weaknesses within Morocco’s export structure. Technological innovation is captured through sectoral total factor productivity (TFP), measured as the Solow residual derived from a Cobb–Douglas production framework. Sector-level TFP is estimated using national accounts data</w:t>
      </w:r>
      <w:r w:rsidR="00E55784">
        <w:t xml:space="preserve"> (HCP, 2023)</w:t>
      </w:r>
      <w:r w:rsidR="00E838EA" w:rsidRPr="00E55784">
        <w:t>:</w:t>
      </w:r>
    </w:p>
    <w:p w14:paraId="0B4C3579" w14:textId="325B717A" w:rsidR="004974E3" w:rsidRDefault="00E838EA" w:rsidP="004974E3">
      <w:pPr>
        <w:pStyle w:val="NormalWeb"/>
        <w:jc w:val="both"/>
      </w:pPr>
      <w:r>
        <w:t xml:space="preserve">For sector </w:t>
      </w:r>
      <w:r w:rsidRPr="00E838EA">
        <w:rPr>
          <w:i/>
          <w:iCs/>
        </w:rPr>
        <w:t>i</w:t>
      </w:r>
      <w:r>
        <w:t xml:space="preserve"> in year </w:t>
      </w:r>
      <w:r w:rsidRPr="00E838EA">
        <w:rPr>
          <w:i/>
          <w:iCs/>
        </w:rPr>
        <w:t>t</w:t>
      </w:r>
      <w:r>
        <w:t xml:space="preserve">: </w:t>
      </w:r>
    </w:p>
    <w:tbl>
      <w:tblPr>
        <w:tblStyle w:val="TableGrid"/>
        <w:tblW w:w="0" w:type="auto"/>
        <w:tblLook w:val="04A0" w:firstRow="1" w:lastRow="0" w:firstColumn="1" w:lastColumn="0" w:noHBand="0" w:noVBand="1"/>
      </w:tblPr>
      <w:tblGrid>
        <w:gridCol w:w="7933"/>
        <w:gridCol w:w="1083"/>
      </w:tblGrid>
      <w:tr w:rsidR="004974E3" w14:paraId="40543421" w14:textId="77777777" w:rsidTr="004974E3">
        <w:tc>
          <w:tcPr>
            <w:tcW w:w="7933" w:type="dxa"/>
            <w:tcBorders>
              <w:top w:val="nil"/>
              <w:left w:val="nil"/>
              <w:bottom w:val="nil"/>
              <w:right w:val="nil"/>
            </w:tcBorders>
          </w:tcPr>
          <w:p w14:paraId="07205988" w14:textId="18313218" w:rsidR="004974E3" w:rsidRDefault="00B30B33" w:rsidP="00840635">
            <w:pPr>
              <w:pStyle w:val="NormalWeb"/>
              <w:jc w:val="both"/>
            </w:pPr>
            <m:oMathPara>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it</m:t>
                    </m:r>
                  </m:sub>
                </m:sSub>
                <m:sSubSup>
                  <m:sSubSupPr>
                    <m:ctrlPr>
                      <w:rPr>
                        <w:rFonts w:ascii="Cambria Math" w:hAnsi="Cambria Math"/>
                        <w:i/>
                      </w:rPr>
                    </m:ctrlPr>
                  </m:sSubSupPr>
                  <m:e>
                    <m:r>
                      <w:rPr>
                        <w:rFonts w:ascii="Cambria Math" w:hAnsi="Cambria Math"/>
                      </w:rPr>
                      <m:t>K</m:t>
                    </m:r>
                  </m:e>
                  <m:sub>
                    <m:r>
                      <w:rPr>
                        <w:rFonts w:ascii="Cambria Math" w:hAnsi="Cambria Math"/>
                      </w:rPr>
                      <m:t>it</m:t>
                    </m:r>
                  </m:sub>
                  <m:sup>
                    <m:r>
                      <w:rPr>
                        <w:rFonts w:ascii="Cambria Math" w:hAnsi="Cambria Math"/>
                      </w:rPr>
                      <m:t>∝</m:t>
                    </m:r>
                  </m:sup>
                </m:sSubSup>
                <m:sSubSup>
                  <m:sSubSupPr>
                    <m:ctrlPr>
                      <w:rPr>
                        <w:rFonts w:ascii="Cambria Math" w:hAnsi="Cambria Math"/>
                        <w:i/>
                      </w:rPr>
                    </m:ctrlPr>
                  </m:sSubSupPr>
                  <m:e>
                    <m:r>
                      <w:rPr>
                        <w:rFonts w:ascii="Cambria Math" w:hAnsi="Cambria Math"/>
                      </w:rPr>
                      <m:t>L</m:t>
                    </m:r>
                  </m:e>
                  <m:sub>
                    <m:r>
                      <w:rPr>
                        <w:rFonts w:ascii="Cambria Math" w:hAnsi="Cambria Math"/>
                      </w:rPr>
                      <m:t>it</m:t>
                    </m:r>
                  </m:sub>
                  <m:sup>
                    <m:r>
                      <w:rPr>
                        <w:rFonts w:ascii="Cambria Math" w:hAnsi="Cambria Math"/>
                      </w:rPr>
                      <m:t>β</m:t>
                    </m:r>
                  </m:sup>
                </m:sSubSup>
              </m:oMath>
            </m:oMathPara>
          </w:p>
        </w:tc>
        <w:tc>
          <w:tcPr>
            <w:tcW w:w="1083" w:type="dxa"/>
            <w:tcBorders>
              <w:top w:val="nil"/>
              <w:left w:val="nil"/>
              <w:bottom w:val="nil"/>
              <w:right w:val="nil"/>
            </w:tcBorders>
          </w:tcPr>
          <w:p w14:paraId="7F176A41" w14:textId="0718100E" w:rsidR="004974E3" w:rsidRDefault="004974E3" w:rsidP="004974E3">
            <w:pPr>
              <w:pStyle w:val="NormalWeb"/>
              <w:jc w:val="center"/>
            </w:pPr>
            <w:r>
              <w:t>(1)</w:t>
            </w:r>
          </w:p>
        </w:tc>
      </w:tr>
    </w:tbl>
    <w:p w14:paraId="61331B02" w14:textId="462676F8" w:rsidR="00933361" w:rsidRDefault="00E838EA" w:rsidP="00840635">
      <w:pPr>
        <w:pStyle w:val="NormalWeb"/>
        <w:jc w:val="both"/>
        <w:rPr>
          <w:rStyle w:val="mord"/>
        </w:rPr>
      </w:pPr>
      <w:r>
        <w:rPr>
          <w:rStyle w:val="mord"/>
        </w:rPr>
        <w:t>Take logs:</w:t>
      </w:r>
    </w:p>
    <w:tbl>
      <w:tblPr>
        <w:tblStyle w:val="TableGrid"/>
        <w:tblW w:w="0" w:type="auto"/>
        <w:tblLook w:val="04A0" w:firstRow="1" w:lastRow="0" w:firstColumn="1" w:lastColumn="0" w:noHBand="0" w:noVBand="1"/>
      </w:tblPr>
      <w:tblGrid>
        <w:gridCol w:w="7933"/>
        <w:gridCol w:w="1083"/>
      </w:tblGrid>
      <w:tr w:rsidR="004974E3" w14:paraId="06D3CED2" w14:textId="77777777" w:rsidTr="004D0FC5">
        <w:tc>
          <w:tcPr>
            <w:tcW w:w="7933" w:type="dxa"/>
            <w:tcBorders>
              <w:top w:val="nil"/>
              <w:left w:val="nil"/>
              <w:bottom w:val="nil"/>
              <w:right w:val="nil"/>
            </w:tcBorders>
          </w:tcPr>
          <w:p w14:paraId="25F9E0EE" w14:textId="77777777" w:rsidR="004974E3" w:rsidRPr="002F772D" w:rsidRDefault="004974E3" w:rsidP="004974E3">
            <w:pPr>
              <w:pStyle w:val="font-claude-response-body"/>
              <w:jc w:val="both"/>
            </w:pPr>
            <m:oMathPara>
              <m:oMath>
                <m:r>
                  <w:rPr>
                    <w:rFonts w:ascii="Cambria Math" w:hAnsi="Cambria Math"/>
                  </w:rPr>
                  <m:t xml:space="preserve">ln </m:t>
                </m:r>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 xml:space="preserve">=ln </m:t>
                </m:r>
                <m:sSub>
                  <m:sSubPr>
                    <m:ctrlPr>
                      <w:rPr>
                        <w:rFonts w:ascii="Cambria Math" w:hAnsi="Cambria Math"/>
                        <w:i/>
                      </w:rPr>
                    </m:ctrlPr>
                  </m:sSubPr>
                  <m:e>
                    <m:r>
                      <w:rPr>
                        <w:rFonts w:ascii="Cambria Math" w:hAnsi="Cambria Math"/>
                      </w:rPr>
                      <m:t>A</m:t>
                    </m:r>
                  </m:e>
                  <m:sub>
                    <m:r>
                      <w:rPr>
                        <w:rFonts w:ascii="Cambria Math" w:hAnsi="Cambria Math"/>
                      </w:rPr>
                      <m:t>it</m:t>
                    </m:r>
                  </m:sub>
                </m:sSub>
                <m:r>
                  <w:rPr>
                    <w:rFonts w:ascii="Cambria Math" w:hAnsi="Cambria Math"/>
                  </w:rPr>
                  <m:t xml:space="preserve">+∝ln </m:t>
                </m:r>
                <m:sSub>
                  <m:sSubPr>
                    <m:ctrlPr>
                      <w:rPr>
                        <w:rFonts w:ascii="Cambria Math" w:hAnsi="Cambria Math"/>
                        <w:i/>
                      </w:rPr>
                    </m:ctrlPr>
                  </m:sSubPr>
                  <m:e>
                    <m:r>
                      <w:rPr>
                        <w:rFonts w:ascii="Cambria Math" w:hAnsi="Cambria Math"/>
                      </w:rPr>
                      <m:t>K</m:t>
                    </m:r>
                  </m:e>
                  <m:sub>
                    <m:r>
                      <w:rPr>
                        <w:rFonts w:ascii="Cambria Math" w:hAnsi="Cambria Math"/>
                      </w:rPr>
                      <m:t>it</m:t>
                    </m:r>
                  </m:sub>
                </m:sSub>
                <m:r>
                  <w:rPr>
                    <w:rFonts w:ascii="Cambria Math" w:hAnsi="Cambria Math"/>
                  </w:rPr>
                  <m:t xml:space="preserve">+ βln </m:t>
                </m:r>
                <m:sSub>
                  <m:sSubPr>
                    <m:ctrlPr>
                      <w:rPr>
                        <w:rFonts w:ascii="Cambria Math" w:hAnsi="Cambria Math"/>
                        <w:i/>
                      </w:rPr>
                    </m:ctrlPr>
                  </m:sSubPr>
                  <m:e>
                    <m:r>
                      <w:rPr>
                        <w:rFonts w:ascii="Cambria Math" w:hAnsi="Cambria Math"/>
                      </w:rPr>
                      <m:t>L</m:t>
                    </m:r>
                  </m:e>
                  <m:sub>
                    <m:r>
                      <w:rPr>
                        <w:rFonts w:ascii="Cambria Math" w:hAnsi="Cambria Math"/>
                      </w:rPr>
                      <m:t>it</m:t>
                    </m:r>
                  </m:sub>
                </m:sSub>
              </m:oMath>
            </m:oMathPara>
          </w:p>
          <w:p w14:paraId="6EDBBFF0" w14:textId="1D0A0F4E" w:rsidR="004974E3" w:rsidRDefault="004974E3" w:rsidP="004D0FC5">
            <w:pPr>
              <w:pStyle w:val="NormalWeb"/>
              <w:jc w:val="both"/>
            </w:pPr>
          </w:p>
        </w:tc>
        <w:tc>
          <w:tcPr>
            <w:tcW w:w="1083" w:type="dxa"/>
            <w:tcBorders>
              <w:top w:val="nil"/>
              <w:left w:val="nil"/>
              <w:bottom w:val="nil"/>
              <w:right w:val="nil"/>
            </w:tcBorders>
          </w:tcPr>
          <w:p w14:paraId="7F5F51D8" w14:textId="16E79D6E" w:rsidR="004974E3" w:rsidRDefault="004974E3" w:rsidP="004D0FC5">
            <w:pPr>
              <w:pStyle w:val="NormalWeb"/>
              <w:jc w:val="center"/>
            </w:pPr>
            <w:r>
              <w:t>(2)</w:t>
            </w:r>
          </w:p>
        </w:tc>
      </w:tr>
    </w:tbl>
    <w:p w14:paraId="104D989D" w14:textId="4E8F3909" w:rsidR="00E838EA" w:rsidRDefault="00E838EA" w:rsidP="00840635">
      <w:pPr>
        <w:pStyle w:val="NormalWeb"/>
        <w:jc w:val="both"/>
      </w:pPr>
      <w:r>
        <w:t xml:space="preserve">We decompose  </w:t>
      </w:r>
      <m:oMath>
        <m:sSub>
          <m:sSubPr>
            <m:ctrlPr>
              <w:rPr>
                <w:rFonts w:ascii="Cambria Math" w:hAnsi="Cambria Math"/>
                <w:i/>
              </w:rPr>
            </m:ctrlPr>
          </m:sSubPr>
          <m:e>
            <m:r>
              <w:rPr>
                <w:rFonts w:ascii="Cambria Math" w:hAnsi="Cambria Math"/>
              </w:rPr>
              <m:t>A</m:t>
            </m:r>
          </m:e>
          <m:sub>
            <m:r>
              <w:rPr>
                <w:rFonts w:ascii="Cambria Math" w:hAnsi="Cambria Math"/>
              </w:rPr>
              <m:t>it</m:t>
            </m:r>
          </m:sub>
        </m:sSub>
      </m:oMath>
      <w:r w:rsidR="004974E3">
        <w:t xml:space="preserve"> as follows:</w:t>
      </w:r>
    </w:p>
    <w:tbl>
      <w:tblPr>
        <w:tblStyle w:val="TableGrid"/>
        <w:tblW w:w="0" w:type="auto"/>
        <w:tblLook w:val="04A0" w:firstRow="1" w:lastRow="0" w:firstColumn="1" w:lastColumn="0" w:noHBand="0" w:noVBand="1"/>
      </w:tblPr>
      <w:tblGrid>
        <w:gridCol w:w="7933"/>
        <w:gridCol w:w="1083"/>
      </w:tblGrid>
      <w:tr w:rsidR="004974E3" w14:paraId="51D1F69F" w14:textId="77777777" w:rsidTr="004D0FC5">
        <w:tc>
          <w:tcPr>
            <w:tcW w:w="7933" w:type="dxa"/>
            <w:tcBorders>
              <w:top w:val="nil"/>
              <w:left w:val="nil"/>
              <w:bottom w:val="nil"/>
              <w:right w:val="nil"/>
            </w:tcBorders>
          </w:tcPr>
          <w:p w14:paraId="78B70D0F" w14:textId="60973246" w:rsidR="004974E3" w:rsidRDefault="004974E3" w:rsidP="004974E3">
            <w:pPr>
              <w:pStyle w:val="font-claude-response-body"/>
              <w:jc w:val="both"/>
            </w:pPr>
            <m:oMathPara>
              <m:oMath>
                <m:r>
                  <w:rPr>
                    <w:rFonts w:ascii="Cambria Math" w:hAnsi="Cambria Math"/>
                  </w:rPr>
                  <m:t xml:space="preserve">ln </m:t>
                </m:r>
                <m:sSub>
                  <m:sSubPr>
                    <m:ctrlPr>
                      <w:rPr>
                        <w:rFonts w:ascii="Cambria Math" w:hAnsi="Cambria Math"/>
                        <w:i/>
                      </w:rPr>
                    </m:ctrlPr>
                  </m:sSubPr>
                  <m:e>
                    <m:r>
                      <w:rPr>
                        <w:rFonts w:ascii="Cambria Math" w:hAnsi="Cambria Math"/>
                      </w:rPr>
                      <m:t>A</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oMath>
            </m:oMathPara>
          </w:p>
        </w:tc>
        <w:tc>
          <w:tcPr>
            <w:tcW w:w="1083" w:type="dxa"/>
            <w:tcBorders>
              <w:top w:val="nil"/>
              <w:left w:val="nil"/>
              <w:bottom w:val="nil"/>
              <w:right w:val="nil"/>
            </w:tcBorders>
          </w:tcPr>
          <w:p w14:paraId="217CF50F" w14:textId="65E718DD" w:rsidR="004974E3" w:rsidRDefault="004974E3" w:rsidP="004D0FC5">
            <w:pPr>
              <w:pStyle w:val="NormalWeb"/>
              <w:jc w:val="center"/>
            </w:pPr>
            <w:r>
              <w:t>(3)</w:t>
            </w:r>
          </w:p>
        </w:tc>
      </w:tr>
    </w:tbl>
    <w:p w14:paraId="6355D3E2" w14:textId="6DB1D416" w:rsidR="002F772D" w:rsidRDefault="002F772D" w:rsidP="00840635">
      <w:pPr>
        <w:pStyle w:val="font-claude-response-body"/>
        <w:jc w:val="both"/>
      </w:pPr>
      <w:bookmarkStart w:id="0" w:name="_Hlk216650792"/>
      <w:r w:rsidRPr="002F772D">
        <w:t xml:space="preserve">where </w:t>
      </w: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Pr="002F772D">
        <w:t xml:space="preserve">​ captures time-invariant sectoral characteristics, </w:t>
      </w:r>
      <m:oMath>
        <m:sSub>
          <m:sSubPr>
            <m:ctrlPr>
              <w:rPr>
                <w:rFonts w:ascii="Cambria Math" w:hAnsi="Cambria Math"/>
                <w:i/>
              </w:rPr>
            </m:ctrlPr>
          </m:sSubPr>
          <m:e>
            <m:r>
              <w:rPr>
                <w:rFonts w:ascii="Cambria Math" w:hAnsi="Cambria Math"/>
              </w:rPr>
              <m:t>τ</m:t>
            </m:r>
          </m:e>
          <m:sub>
            <m:r>
              <w:rPr>
                <w:rFonts w:ascii="Cambria Math" w:hAnsi="Cambria Math"/>
              </w:rPr>
              <m:t>t</m:t>
            </m:r>
          </m:sub>
        </m:sSub>
      </m:oMath>
      <w:r w:rsidRPr="002F772D">
        <w:t xml:space="preserve"> represents common time effects, and </w:t>
      </w:r>
      <m:oMath>
        <m:sSub>
          <m:sSubPr>
            <m:ctrlPr>
              <w:rPr>
                <w:rFonts w:ascii="Cambria Math" w:hAnsi="Cambria Math"/>
                <w:i/>
              </w:rPr>
            </m:ctrlPr>
          </m:sSubPr>
          <m:e>
            <m:r>
              <w:rPr>
                <w:rFonts w:ascii="Cambria Math" w:hAnsi="Cambria Math"/>
              </w:rPr>
              <m:t>ε</m:t>
            </m:r>
          </m:e>
          <m:sub>
            <m:r>
              <w:rPr>
                <w:rFonts w:ascii="Cambria Math" w:hAnsi="Cambria Math"/>
              </w:rPr>
              <m:t>it</m:t>
            </m:r>
          </m:sub>
        </m:sSub>
      </m:oMath>
      <w:r w:rsidRPr="002F772D">
        <w:t xml:space="preserve"> reflects sector-specific productivity shocks.</w:t>
      </w:r>
    </w:p>
    <w:p w14:paraId="36F1E893" w14:textId="77777777" w:rsidR="004974E3" w:rsidRDefault="004974E3" w:rsidP="004974E3">
      <w:pPr>
        <w:pStyle w:val="font-claude-response-body"/>
        <w:jc w:val="both"/>
      </w:pPr>
      <w:r>
        <w:t>We plug (3) into (2):</w:t>
      </w:r>
    </w:p>
    <w:tbl>
      <w:tblPr>
        <w:tblStyle w:val="TableGrid"/>
        <w:tblW w:w="0" w:type="auto"/>
        <w:tblLook w:val="04A0" w:firstRow="1" w:lastRow="0" w:firstColumn="1" w:lastColumn="0" w:noHBand="0" w:noVBand="1"/>
      </w:tblPr>
      <w:tblGrid>
        <w:gridCol w:w="7933"/>
        <w:gridCol w:w="1083"/>
      </w:tblGrid>
      <w:tr w:rsidR="004974E3" w14:paraId="5FCC43D3" w14:textId="77777777" w:rsidTr="004D0FC5">
        <w:tc>
          <w:tcPr>
            <w:tcW w:w="7933" w:type="dxa"/>
            <w:tcBorders>
              <w:top w:val="nil"/>
              <w:left w:val="nil"/>
              <w:bottom w:val="nil"/>
              <w:right w:val="nil"/>
            </w:tcBorders>
          </w:tcPr>
          <w:p w14:paraId="545B6ED2" w14:textId="03E80C93" w:rsidR="004974E3" w:rsidRDefault="004974E3" w:rsidP="004974E3">
            <w:pPr>
              <w:pStyle w:val="font-claude-response-body"/>
              <w:jc w:val="both"/>
            </w:pPr>
            <m:oMathPara>
              <m:oMath>
                <m:r>
                  <w:rPr>
                    <w:rFonts w:ascii="Cambria Math" w:hAnsi="Cambria Math"/>
                  </w:rPr>
                  <m:t xml:space="preserve">ln </m:t>
                </m:r>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t</m:t>
                    </m:r>
                  </m:sub>
                </m:sSub>
                <m:r>
                  <w:rPr>
                    <w:rFonts w:ascii="Cambria Math" w:hAnsi="Cambria Math"/>
                  </w:rPr>
                  <m:t xml:space="preserve">+∝ln </m:t>
                </m:r>
                <m:sSub>
                  <m:sSubPr>
                    <m:ctrlPr>
                      <w:rPr>
                        <w:rFonts w:ascii="Cambria Math" w:hAnsi="Cambria Math"/>
                        <w:i/>
                      </w:rPr>
                    </m:ctrlPr>
                  </m:sSubPr>
                  <m:e>
                    <m:r>
                      <w:rPr>
                        <w:rFonts w:ascii="Cambria Math" w:hAnsi="Cambria Math"/>
                      </w:rPr>
                      <m:t>K</m:t>
                    </m:r>
                  </m:e>
                  <m:sub>
                    <m:r>
                      <w:rPr>
                        <w:rFonts w:ascii="Cambria Math" w:hAnsi="Cambria Math"/>
                      </w:rPr>
                      <m:t>it</m:t>
                    </m:r>
                  </m:sub>
                </m:sSub>
                <m:r>
                  <w:rPr>
                    <w:rFonts w:ascii="Cambria Math" w:hAnsi="Cambria Math"/>
                  </w:rPr>
                  <m:t xml:space="preserve">+ βln </m:t>
                </m:r>
                <m:sSub>
                  <m:sSubPr>
                    <m:ctrlPr>
                      <w:rPr>
                        <w:rFonts w:ascii="Cambria Math" w:hAnsi="Cambria Math"/>
                        <w:i/>
                      </w:rPr>
                    </m:ctrlPr>
                  </m:sSubPr>
                  <m:e>
                    <m:r>
                      <w:rPr>
                        <w:rFonts w:ascii="Cambria Math" w:hAnsi="Cambria Math"/>
                      </w:rPr>
                      <m:t>L</m:t>
                    </m:r>
                  </m:e>
                  <m:sub>
                    <m:r>
                      <w:rPr>
                        <w:rFonts w:ascii="Cambria Math" w:hAnsi="Cambria Math"/>
                      </w:rPr>
                      <m:t>it</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it</m:t>
                    </m:r>
                  </m:sub>
                </m:sSub>
              </m:oMath>
            </m:oMathPara>
          </w:p>
        </w:tc>
        <w:tc>
          <w:tcPr>
            <w:tcW w:w="1083" w:type="dxa"/>
            <w:tcBorders>
              <w:top w:val="nil"/>
              <w:left w:val="nil"/>
              <w:bottom w:val="nil"/>
              <w:right w:val="nil"/>
            </w:tcBorders>
          </w:tcPr>
          <w:p w14:paraId="52B75F35" w14:textId="3F14A802" w:rsidR="004974E3" w:rsidRDefault="004974E3" w:rsidP="004D0FC5">
            <w:pPr>
              <w:pStyle w:val="NormalWeb"/>
              <w:jc w:val="center"/>
            </w:pPr>
            <w:r>
              <w:t>(4)</w:t>
            </w:r>
          </w:p>
        </w:tc>
      </w:tr>
    </w:tbl>
    <w:bookmarkEnd w:id="0"/>
    <w:p w14:paraId="719B6842" w14:textId="3CCEDD36" w:rsidR="004974E3" w:rsidRDefault="004974E3" w:rsidP="00292B62">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And then we estimate (4) to get our estimated parameters, therefore:</w:t>
      </w:r>
    </w:p>
    <w:tbl>
      <w:tblPr>
        <w:tblStyle w:val="TableGrid"/>
        <w:tblW w:w="0" w:type="auto"/>
        <w:tblLook w:val="04A0" w:firstRow="1" w:lastRow="0" w:firstColumn="1" w:lastColumn="0" w:noHBand="0" w:noVBand="1"/>
      </w:tblPr>
      <w:tblGrid>
        <w:gridCol w:w="7933"/>
        <w:gridCol w:w="1083"/>
      </w:tblGrid>
      <w:tr w:rsidR="004974E3" w14:paraId="00AB76C6" w14:textId="77777777" w:rsidTr="004D0FC5">
        <w:tc>
          <w:tcPr>
            <w:tcW w:w="7933" w:type="dxa"/>
            <w:tcBorders>
              <w:top w:val="nil"/>
              <w:left w:val="nil"/>
              <w:bottom w:val="nil"/>
              <w:right w:val="nil"/>
            </w:tcBorders>
          </w:tcPr>
          <w:p w14:paraId="6F771824" w14:textId="7C5CD93B" w:rsidR="004974E3" w:rsidRDefault="00B30B33" w:rsidP="004974E3">
            <w:pPr>
              <w:pStyle w:val="font-claude-response-body"/>
              <w:jc w:val="both"/>
            </w:pPr>
            <m:oMathPara>
              <m:oMath>
                <m:sSub>
                  <m:sSubPr>
                    <m:ctrlPr>
                      <w:rPr>
                        <w:rFonts w:ascii="Cambria Math" w:hAnsi="Cambria Math"/>
                        <w:i/>
                      </w:rPr>
                    </m:ctrlPr>
                  </m:sSubPr>
                  <m:e>
                    <m:acc>
                      <m:accPr>
                        <m:ctrlPr>
                          <w:rPr>
                            <w:rFonts w:ascii="Cambria Math" w:hAnsi="Cambria Math"/>
                            <w:i/>
                          </w:rPr>
                        </m:ctrlPr>
                      </m:accPr>
                      <m:e>
                        <m:func>
                          <m:funcPr>
                            <m:ctrlPr>
                              <w:rPr>
                                <w:rFonts w:ascii="Cambria Math" w:hAnsi="Cambria Math"/>
                                <w:i/>
                              </w:rPr>
                            </m:ctrlPr>
                          </m:funcPr>
                          <m:fName>
                            <m:r>
                              <m:rPr>
                                <m:sty m:val="p"/>
                              </m:rPr>
                              <w:rPr>
                                <w:rFonts w:ascii="Cambria Math" w:hAnsi="Cambria Math"/>
                              </w:rPr>
                              <m:t>ln</m:t>
                            </m:r>
                          </m:fName>
                          <m:e>
                            <m:r>
                              <w:rPr>
                                <w:rFonts w:ascii="Cambria Math" w:hAnsi="Cambria Math"/>
                              </w:rPr>
                              <m:t>A</m:t>
                            </m:r>
                          </m:e>
                        </m:func>
                      </m:e>
                    </m:acc>
                  </m:e>
                  <m:sub>
                    <m:r>
                      <w:rPr>
                        <w:rFonts w:ascii="Cambria Math" w:hAnsi="Cambria Math"/>
                      </w:rPr>
                      <m:t>it</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μ</m:t>
                        </m:r>
                      </m:e>
                    </m:acc>
                  </m:e>
                  <m:sub>
                    <m:r>
                      <w:rPr>
                        <w:rFonts w:ascii="Cambria Math" w:hAnsi="Cambria Math"/>
                      </w:rPr>
                      <m:t>i</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τ</m:t>
                        </m:r>
                      </m:e>
                    </m:acc>
                  </m:e>
                  <m:sub>
                    <m:r>
                      <w:rPr>
                        <w:rFonts w:ascii="Cambria Math" w:hAnsi="Cambria Math"/>
                      </w:rPr>
                      <m:t>t</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ε</m:t>
                        </m:r>
                      </m:e>
                    </m:acc>
                  </m:e>
                  <m:sub>
                    <m:r>
                      <w:rPr>
                        <w:rFonts w:ascii="Cambria Math" w:hAnsi="Cambria Math"/>
                      </w:rPr>
                      <m:t>it</m:t>
                    </m:r>
                  </m:sub>
                </m:sSub>
              </m:oMath>
            </m:oMathPara>
          </w:p>
        </w:tc>
        <w:tc>
          <w:tcPr>
            <w:tcW w:w="1083" w:type="dxa"/>
            <w:tcBorders>
              <w:top w:val="nil"/>
              <w:left w:val="nil"/>
              <w:bottom w:val="nil"/>
              <w:right w:val="nil"/>
            </w:tcBorders>
          </w:tcPr>
          <w:p w14:paraId="46E6006F" w14:textId="0BCB8BED" w:rsidR="004974E3" w:rsidRDefault="004974E3" w:rsidP="004D0FC5">
            <w:pPr>
              <w:pStyle w:val="NormalWeb"/>
              <w:jc w:val="center"/>
            </w:pPr>
            <w:r>
              <w:t>(5)</w:t>
            </w:r>
          </w:p>
        </w:tc>
      </w:tr>
    </w:tbl>
    <w:p w14:paraId="6709361C" w14:textId="1773EB37" w:rsidR="004974E3" w:rsidRDefault="002F6B19" w:rsidP="00292B62">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levels:</w:t>
      </w:r>
    </w:p>
    <w:tbl>
      <w:tblPr>
        <w:tblStyle w:val="TableGrid"/>
        <w:tblW w:w="0" w:type="auto"/>
        <w:tblLook w:val="04A0" w:firstRow="1" w:lastRow="0" w:firstColumn="1" w:lastColumn="0" w:noHBand="0" w:noVBand="1"/>
      </w:tblPr>
      <w:tblGrid>
        <w:gridCol w:w="7933"/>
        <w:gridCol w:w="1083"/>
      </w:tblGrid>
      <w:tr w:rsidR="002F6B19" w14:paraId="404632B7" w14:textId="77777777" w:rsidTr="004D0FC5">
        <w:tc>
          <w:tcPr>
            <w:tcW w:w="7933" w:type="dxa"/>
            <w:tcBorders>
              <w:top w:val="nil"/>
              <w:left w:val="nil"/>
              <w:bottom w:val="nil"/>
              <w:right w:val="nil"/>
            </w:tcBorders>
          </w:tcPr>
          <w:p w14:paraId="6460C360" w14:textId="6DEC29FA" w:rsidR="002F6B19" w:rsidRDefault="00B30B33" w:rsidP="004D0FC5">
            <w:pPr>
              <w:pStyle w:val="font-claude-response-body"/>
              <w:jc w:val="both"/>
            </w:pPr>
            <m:oMathPara>
              <m:oMath>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it</m:t>
                    </m:r>
                  </m:sub>
                </m:sSub>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acc>
                          <m:accPr>
                            <m:ctrlPr>
                              <w:rPr>
                                <w:rFonts w:ascii="Cambria Math" w:hAnsi="Cambria Math"/>
                                <w:i/>
                              </w:rPr>
                            </m:ctrlPr>
                          </m:accPr>
                          <m:e>
                            <m:r>
                              <w:rPr>
                                <w:rFonts w:ascii="Cambria Math" w:hAnsi="Cambria Math"/>
                              </w:rPr>
                              <m:t>μ</m:t>
                            </m:r>
                          </m:e>
                        </m:acc>
                      </m:e>
                      <m:sub>
                        <m:r>
                          <w:rPr>
                            <w:rFonts w:ascii="Cambria Math" w:hAnsi="Cambria Math"/>
                          </w:rPr>
                          <m:t>i</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τ</m:t>
                            </m:r>
                          </m:e>
                        </m:acc>
                      </m:e>
                      <m:sub>
                        <m:r>
                          <w:rPr>
                            <w:rFonts w:ascii="Cambria Math" w:hAnsi="Cambria Math"/>
                          </w:rPr>
                          <m:t>t</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ε</m:t>
                            </m:r>
                          </m:e>
                        </m:acc>
                      </m:e>
                      <m:sub>
                        <m:r>
                          <w:rPr>
                            <w:rFonts w:ascii="Cambria Math" w:hAnsi="Cambria Math"/>
                          </w:rPr>
                          <m:t>it</m:t>
                        </m:r>
                      </m:sub>
                    </m:sSub>
                  </m:sup>
                </m:sSup>
              </m:oMath>
            </m:oMathPara>
          </w:p>
        </w:tc>
        <w:tc>
          <w:tcPr>
            <w:tcW w:w="1083" w:type="dxa"/>
            <w:tcBorders>
              <w:top w:val="nil"/>
              <w:left w:val="nil"/>
              <w:bottom w:val="nil"/>
              <w:right w:val="nil"/>
            </w:tcBorders>
          </w:tcPr>
          <w:p w14:paraId="6F3430EF" w14:textId="77777777" w:rsidR="002F6B19" w:rsidRDefault="002F6B19" w:rsidP="004D0FC5">
            <w:pPr>
              <w:pStyle w:val="NormalWeb"/>
              <w:jc w:val="center"/>
            </w:pPr>
            <w:r>
              <w:t>(5)</w:t>
            </w:r>
          </w:p>
        </w:tc>
      </w:tr>
      <w:tr w:rsidR="002F6B19" w14:paraId="53C7DBC9" w14:textId="77777777" w:rsidTr="004D0FC5">
        <w:tc>
          <w:tcPr>
            <w:tcW w:w="7933" w:type="dxa"/>
            <w:tcBorders>
              <w:top w:val="nil"/>
              <w:left w:val="nil"/>
              <w:bottom w:val="nil"/>
              <w:right w:val="nil"/>
            </w:tcBorders>
          </w:tcPr>
          <w:p w14:paraId="11CBE5FB" w14:textId="77777777" w:rsidR="002F6B19" w:rsidRPr="008848BE" w:rsidRDefault="002F6B19" w:rsidP="004D0FC5">
            <w:pPr>
              <w:pStyle w:val="font-claude-response-body"/>
              <w:jc w:val="both"/>
            </w:pPr>
          </w:p>
        </w:tc>
        <w:tc>
          <w:tcPr>
            <w:tcW w:w="1083" w:type="dxa"/>
            <w:tcBorders>
              <w:top w:val="nil"/>
              <w:left w:val="nil"/>
              <w:bottom w:val="nil"/>
              <w:right w:val="nil"/>
            </w:tcBorders>
          </w:tcPr>
          <w:p w14:paraId="564297D6" w14:textId="77777777" w:rsidR="002F6B19" w:rsidRDefault="002F6B19" w:rsidP="004D0FC5">
            <w:pPr>
              <w:pStyle w:val="NormalWeb"/>
              <w:jc w:val="center"/>
            </w:pPr>
          </w:p>
        </w:tc>
      </w:tr>
    </w:tbl>
    <w:p w14:paraId="78F4E4AB" w14:textId="783703D8" w:rsidR="00C65EFE" w:rsidRPr="00012716" w:rsidRDefault="00840635" w:rsidP="00012716">
      <w:pPr>
        <w:pStyle w:val="NormalWeb"/>
        <w:jc w:val="both"/>
        <w:rPr>
          <w:lang w:val="en-US"/>
        </w:rPr>
      </w:pPr>
      <w:r w:rsidRPr="00012716">
        <w:rPr>
          <w:lang w:val="en-US"/>
        </w:rPr>
        <w:t>Sectoral competitiveness is assessed using two complementary trade-based indicators: export market share (EMS) and revealed comparative advantage (RCA). EMS captures Morocco’s effective performance in international markets by measuring each sector’s share of global exports, while RCA reflects patterns of export specialisation relative to the global benchmark. The joint use of these indicators enables a distinction between market-driven export performance and underlying comparative advantage, providing a comprehensive assessment of sectoral competitiveness.</w:t>
      </w:r>
    </w:p>
    <w:p w14:paraId="4978B07B" w14:textId="2C35EE03" w:rsidR="00804E61" w:rsidRPr="00933361" w:rsidRDefault="00B30B33" w:rsidP="00012716">
      <w:pPr>
        <w:pStyle w:val="NormalWeb"/>
        <w:jc w:val="both"/>
      </w:pPr>
      <m:oMathPara>
        <m:oMath>
          <m:sSub>
            <m:sSubPr>
              <m:ctrlPr>
                <w:rPr>
                  <w:rFonts w:ascii="Cambria Math" w:hAnsi="Cambria Math"/>
                </w:rPr>
              </m:ctrlPr>
            </m:sSubPr>
            <m:e>
              <m:r>
                <w:rPr>
                  <w:rFonts w:ascii="Cambria Math" w:hAnsi="Cambria Math"/>
                </w:rPr>
                <m:t>RCA</m:t>
              </m:r>
            </m:e>
            <m:sub>
              <m:r>
                <w:rPr>
                  <w:rFonts w:ascii="Cambria Math" w:hAnsi="Cambria Math"/>
                </w:rPr>
                <m:t>i</m:t>
              </m:r>
            </m:sub>
          </m:sSub>
          <m:r>
            <m:rPr>
              <m:sty m:val="p"/>
            </m:rPr>
            <w:rPr>
              <w:rFonts w:ascii="Cambria Math" w:hAnsi="Cambria Math"/>
            </w:rPr>
            <m:t>=</m:t>
          </m:r>
          <m:f>
            <m:fPr>
              <m:ctrlPr>
                <w:rPr>
                  <w:rFonts w:ascii="Cambria Math" w:hAnsi="Cambria Math"/>
                </w:rPr>
              </m:ctrlPr>
            </m:fPr>
            <m:num>
              <m:f>
                <m:fPr>
                  <m:type m:val="skw"/>
                  <m:ctrlPr>
                    <w:rPr>
                      <w:rFonts w:ascii="Cambria Math" w:hAnsi="Cambria Math"/>
                    </w:rPr>
                  </m:ctrlPr>
                </m:fPr>
                <m:num>
                  <m:sSubSup>
                    <m:sSubSupPr>
                      <m:ctrlPr>
                        <w:rPr>
                          <w:rFonts w:ascii="Cambria Math" w:hAnsi="Cambria Math"/>
                        </w:rPr>
                      </m:ctrlPr>
                    </m:sSubSupPr>
                    <m:e>
                      <m:r>
                        <w:rPr>
                          <w:rFonts w:ascii="Cambria Math" w:hAnsi="Cambria Math"/>
                        </w:rPr>
                        <m:t>X</m:t>
                      </m:r>
                    </m:e>
                    <m:sub>
                      <m:r>
                        <w:rPr>
                          <w:rFonts w:ascii="Cambria Math" w:hAnsi="Cambria Math"/>
                        </w:rPr>
                        <m:t>i</m:t>
                      </m:r>
                    </m:sub>
                    <m:sup>
                      <m:r>
                        <w:rPr>
                          <w:rFonts w:ascii="Cambria Math" w:hAnsi="Cambria Math"/>
                        </w:rPr>
                        <m:t>MAR</m:t>
                      </m:r>
                    </m:sup>
                  </m:sSubSup>
                </m:num>
                <m:den>
                  <m:sSubSup>
                    <m:sSubSupPr>
                      <m:ctrlPr>
                        <w:rPr>
                          <w:rFonts w:ascii="Cambria Math" w:hAnsi="Cambria Math"/>
                        </w:rPr>
                      </m:ctrlPr>
                    </m:sSubSupPr>
                    <m:e>
                      <m:r>
                        <w:rPr>
                          <w:rFonts w:ascii="Cambria Math" w:hAnsi="Cambria Math"/>
                        </w:rPr>
                        <m:t>X</m:t>
                      </m:r>
                    </m:e>
                    <m:sub>
                      <m:r>
                        <w:rPr>
                          <w:rFonts w:ascii="Cambria Math" w:hAnsi="Cambria Math"/>
                        </w:rPr>
                        <m:t>total</m:t>
                      </m:r>
                    </m:sub>
                    <m:sup>
                      <m:r>
                        <w:rPr>
                          <w:rFonts w:ascii="Cambria Math" w:hAnsi="Cambria Math"/>
                        </w:rPr>
                        <m:t>MAR</m:t>
                      </m:r>
                    </m:sup>
                  </m:sSubSup>
                </m:den>
              </m:f>
            </m:num>
            <m:den>
              <m:f>
                <m:fPr>
                  <m:type m:val="skw"/>
                  <m:ctrlPr>
                    <w:rPr>
                      <w:rFonts w:ascii="Cambria Math" w:hAnsi="Cambria Math"/>
                    </w:rPr>
                  </m:ctrlPr>
                </m:fPr>
                <m:num>
                  <m:sSubSup>
                    <m:sSubSupPr>
                      <m:ctrlPr>
                        <w:rPr>
                          <w:rFonts w:ascii="Cambria Math" w:hAnsi="Cambria Math"/>
                        </w:rPr>
                      </m:ctrlPr>
                    </m:sSubSupPr>
                    <m:e>
                      <m:r>
                        <w:rPr>
                          <w:rFonts w:ascii="Cambria Math" w:hAnsi="Cambria Math"/>
                        </w:rPr>
                        <m:t>X</m:t>
                      </m:r>
                    </m:e>
                    <m:sub>
                      <m:r>
                        <w:rPr>
                          <w:rFonts w:ascii="Cambria Math" w:hAnsi="Cambria Math"/>
                        </w:rPr>
                        <m:t>i</m:t>
                      </m:r>
                    </m:sub>
                    <m:sup>
                      <m:r>
                        <w:rPr>
                          <w:rFonts w:ascii="Cambria Math" w:hAnsi="Cambria Math"/>
                        </w:rPr>
                        <m:t>WORLD</m:t>
                      </m:r>
                    </m:sup>
                  </m:sSubSup>
                </m:num>
                <m:den>
                  <m:sSubSup>
                    <m:sSubSupPr>
                      <m:ctrlPr>
                        <w:rPr>
                          <w:rFonts w:ascii="Cambria Math" w:hAnsi="Cambria Math"/>
                        </w:rPr>
                      </m:ctrlPr>
                    </m:sSubSupPr>
                    <m:e>
                      <m:r>
                        <w:rPr>
                          <w:rFonts w:ascii="Cambria Math" w:hAnsi="Cambria Math"/>
                        </w:rPr>
                        <m:t>X</m:t>
                      </m:r>
                    </m:e>
                    <m:sub>
                      <m:r>
                        <w:rPr>
                          <w:rFonts w:ascii="Cambria Math" w:hAnsi="Cambria Math"/>
                        </w:rPr>
                        <m:t>total</m:t>
                      </m:r>
                    </m:sub>
                    <m:sup>
                      <m:r>
                        <w:rPr>
                          <w:rFonts w:ascii="Cambria Math" w:hAnsi="Cambria Math"/>
                        </w:rPr>
                        <m:t>WORLD</m:t>
                      </m:r>
                    </m:sup>
                  </m:sSubSup>
                </m:den>
              </m:f>
            </m:den>
          </m:f>
        </m:oMath>
      </m:oMathPara>
    </w:p>
    <w:p w14:paraId="2BF8BEBC" w14:textId="7AE48009" w:rsidR="00933361" w:rsidRPr="00DF4351" w:rsidRDefault="00B30B33" w:rsidP="00804E61">
      <w:pPr>
        <w:jc w:val="both"/>
        <w:rPr>
          <w:rFonts w:ascii="Times New Roman" w:eastAsia="Times New Roman" w:hAnsi="Times New Roman" w:cs="Times New Roman"/>
          <w:sz w:val="24"/>
          <w:szCs w:val="24"/>
          <w:lang w:eastAsia="en-GB"/>
        </w:rPr>
      </w:pPr>
      <m:oMathPara>
        <m:oMath>
          <m:sSub>
            <m:sSubPr>
              <m:ctrlPr>
                <w:rPr>
                  <w:rFonts w:ascii="Cambria Math" w:eastAsia="Times New Roman" w:hAnsi="Cambria Math" w:cs="Times New Roman"/>
                  <w:i/>
                  <w:sz w:val="24"/>
                  <w:szCs w:val="24"/>
                  <w:lang w:eastAsia="en-GB"/>
                </w:rPr>
              </m:ctrlPr>
            </m:sSubPr>
            <m:e>
              <m:r>
                <w:rPr>
                  <w:rFonts w:ascii="Cambria Math" w:eastAsia="Times New Roman" w:hAnsi="Cambria Math" w:cs="Times New Roman"/>
                  <w:sz w:val="24"/>
                  <w:szCs w:val="24"/>
                  <w:lang w:eastAsia="en-GB"/>
                </w:rPr>
                <m:t>EMS</m:t>
              </m:r>
            </m:e>
            <m:sub>
              <m:r>
                <w:rPr>
                  <w:rFonts w:ascii="Cambria Math" w:eastAsia="Times New Roman" w:hAnsi="Cambria Math" w:cs="Times New Roman"/>
                  <w:sz w:val="24"/>
                  <w:szCs w:val="24"/>
                  <w:lang w:eastAsia="en-GB"/>
                </w:rPr>
                <m:t>i</m:t>
              </m:r>
            </m:sub>
          </m:sSub>
          <m:r>
            <w:rPr>
              <w:rFonts w:ascii="Cambria Math" w:eastAsia="Times New Roman" w:hAnsi="Cambria Math" w:cs="Times New Roman"/>
              <w:sz w:val="24"/>
              <w:szCs w:val="24"/>
              <w:lang w:eastAsia="en-GB"/>
            </w:rPr>
            <m:t>=</m:t>
          </m:r>
          <m:f>
            <m:fPr>
              <m:ctrlPr>
                <w:rPr>
                  <w:rFonts w:ascii="Cambria Math" w:eastAsia="Times New Roman" w:hAnsi="Cambria Math" w:cs="Times New Roman"/>
                  <w:i/>
                  <w:sz w:val="24"/>
                  <w:szCs w:val="24"/>
                  <w:lang w:eastAsia="en-GB"/>
                </w:rPr>
              </m:ctrlPr>
            </m:fPr>
            <m:num>
              <m:sSubSup>
                <m:sSubSupPr>
                  <m:ctrlPr>
                    <w:rPr>
                      <w:rFonts w:ascii="Cambria Math" w:eastAsia="Times New Roman" w:hAnsi="Cambria Math" w:cs="Times New Roman"/>
                      <w:i/>
                      <w:sz w:val="24"/>
                      <w:szCs w:val="24"/>
                      <w:lang w:eastAsia="en-GB"/>
                    </w:rPr>
                  </m:ctrlPr>
                </m:sSubSupPr>
                <m:e>
                  <m:r>
                    <w:rPr>
                      <w:rFonts w:ascii="Cambria Math" w:eastAsia="Times New Roman" w:hAnsi="Cambria Math" w:cs="Times New Roman"/>
                      <w:sz w:val="24"/>
                      <w:szCs w:val="24"/>
                      <w:lang w:eastAsia="en-GB"/>
                    </w:rPr>
                    <m:t>X</m:t>
                  </m:r>
                </m:e>
                <m:sub>
                  <m:r>
                    <w:rPr>
                      <w:rFonts w:ascii="Cambria Math" w:eastAsia="Times New Roman" w:hAnsi="Cambria Math" w:cs="Times New Roman"/>
                      <w:sz w:val="24"/>
                      <w:szCs w:val="24"/>
                      <w:lang w:eastAsia="en-GB"/>
                    </w:rPr>
                    <m:t>i</m:t>
                  </m:r>
                </m:sub>
                <m:sup>
                  <m:r>
                    <w:rPr>
                      <w:rFonts w:ascii="Cambria Math" w:eastAsia="Times New Roman" w:hAnsi="Cambria Math" w:cs="Times New Roman"/>
                      <w:sz w:val="24"/>
                      <w:szCs w:val="24"/>
                      <w:lang w:eastAsia="en-GB"/>
                    </w:rPr>
                    <m:t>MAR</m:t>
                  </m:r>
                </m:sup>
              </m:sSubSup>
            </m:num>
            <m:den>
              <m:sSubSup>
                <m:sSubSupPr>
                  <m:ctrlPr>
                    <w:rPr>
                      <w:rFonts w:ascii="Cambria Math" w:eastAsia="Times New Roman" w:hAnsi="Cambria Math" w:cs="Times New Roman"/>
                      <w:i/>
                      <w:sz w:val="24"/>
                      <w:szCs w:val="24"/>
                      <w:lang w:eastAsia="en-GB"/>
                    </w:rPr>
                  </m:ctrlPr>
                </m:sSubSupPr>
                <m:e>
                  <m:r>
                    <w:rPr>
                      <w:rFonts w:ascii="Cambria Math" w:eastAsia="Times New Roman" w:hAnsi="Cambria Math" w:cs="Times New Roman"/>
                      <w:sz w:val="24"/>
                      <w:szCs w:val="24"/>
                      <w:lang w:eastAsia="en-GB"/>
                    </w:rPr>
                    <m:t>X</m:t>
                  </m:r>
                </m:e>
                <m:sub>
                  <m:r>
                    <w:rPr>
                      <w:rFonts w:ascii="Cambria Math" w:eastAsia="Times New Roman" w:hAnsi="Cambria Math" w:cs="Times New Roman"/>
                      <w:sz w:val="24"/>
                      <w:szCs w:val="24"/>
                      <w:lang w:eastAsia="en-GB"/>
                    </w:rPr>
                    <m:t>i</m:t>
                  </m:r>
                </m:sub>
                <m:sup>
                  <m:r>
                    <w:rPr>
                      <w:rFonts w:ascii="Cambria Math" w:eastAsia="Times New Roman" w:hAnsi="Cambria Math" w:cs="Times New Roman"/>
                      <w:sz w:val="24"/>
                      <w:szCs w:val="24"/>
                      <w:lang w:eastAsia="en-GB"/>
                    </w:rPr>
                    <m:t>WORLD</m:t>
                  </m:r>
                </m:sup>
              </m:sSubSup>
            </m:den>
          </m:f>
        </m:oMath>
      </m:oMathPara>
    </w:p>
    <w:p w14:paraId="3B68791A" w14:textId="61A161AD" w:rsidR="00DF4351" w:rsidRPr="00012716" w:rsidRDefault="00012716" w:rsidP="00012716">
      <w:pPr>
        <w:pStyle w:val="NormalWeb"/>
        <w:jc w:val="both"/>
        <w:rPr>
          <w:lang w:val="en-US"/>
        </w:rPr>
      </w:pPr>
      <w:r w:rsidRPr="00012716">
        <w:rPr>
          <w:lang w:val="en-US"/>
        </w:rPr>
        <w:t>The objective of this study is to first estimate TFP using national accounts data, calibrate the CGE model with the 2019 SAM, simulate exogenous TFP shocks at the sectoral level, and assess the impacts on macroeconomic variables and how these indicators change—EMS and RCA—highlighting differential effects across sectors.</w:t>
      </w:r>
    </w:p>
    <w:p w14:paraId="09D2F2BB" w14:textId="77777777" w:rsidR="00012716" w:rsidRPr="00012716" w:rsidRDefault="00012716" w:rsidP="00012716">
      <w:pPr>
        <w:jc w:val="both"/>
        <w:rPr>
          <w:rFonts w:ascii="Times New Roman" w:eastAsia="Times New Roman" w:hAnsi="Times New Roman" w:cs="Times New Roman"/>
          <w:b/>
          <w:bCs/>
          <w:sz w:val="24"/>
          <w:szCs w:val="24"/>
          <w:lang w:val="en-US"/>
        </w:rPr>
      </w:pPr>
      <w:r w:rsidRPr="00012716">
        <w:rPr>
          <w:rFonts w:ascii="Times New Roman" w:eastAsia="Times New Roman" w:hAnsi="Times New Roman" w:cs="Times New Roman"/>
          <w:b/>
          <w:bCs/>
          <w:sz w:val="24"/>
          <w:szCs w:val="24"/>
          <w:lang w:val="en-US"/>
        </w:rPr>
        <w:t>Keywords</w:t>
      </w:r>
    </w:p>
    <w:p w14:paraId="7CB69F82" w14:textId="77777777" w:rsidR="00012716" w:rsidRPr="00012716" w:rsidRDefault="00012716" w:rsidP="00012716">
      <w:pPr>
        <w:jc w:val="both"/>
        <w:rPr>
          <w:rFonts w:ascii="Times New Roman" w:eastAsia="Times New Roman" w:hAnsi="Times New Roman" w:cs="Times New Roman"/>
          <w:bCs/>
          <w:sz w:val="24"/>
          <w:szCs w:val="24"/>
          <w:lang w:val="en-US"/>
        </w:rPr>
      </w:pPr>
      <w:r w:rsidRPr="00012716">
        <w:rPr>
          <w:rFonts w:ascii="Times New Roman" w:eastAsia="Times New Roman" w:hAnsi="Times New Roman" w:cs="Times New Roman"/>
          <w:bCs/>
          <w:sz w:val="24"/>
          <w:szCs w:val="24"/>
          <w:lang w:val="en-US"/>
        </w:rPr>
        <w:t>Technological innovation; Total factor productivity (TFP); Export competitiveness; Revealed comparative advantage (RCA); Export market share (EMS); Computable general equilibrium (CGE) model; Sectoral analysis; Morocco; Trade performance; Productivity shocks; Unemployment wage curve; Income inequality; Developing economies.</w:t>
      </w:r>
    </w:p>
    <w:p w14:paraId="05124B8C" w14:textId="77777777" w:rsidR="00012716" w:rsidRPr="00012716" w:rsidRDefault="00012716" w:rsidP="00012716">
      <w:pPr>
        <w:jc w:val="both"/>
        <w:rPr>
          <w:rFonts w:ascii="Times New Roman" w:eastAsia="Times New Roman" w:hAnsi="Times New Roman" w:cs="Times New Roman"/>
          <w:b/>
          <w:bCs/>
          <w:sz w:val="24"/>
          <w:szCs w:val="24"/>
          <w:lang w:val="en-US"/>
        </w:rPr>
      </w:pPr>
      <w:r w:rsidRPr="00012716">
        <w:rPr>
          <w:rFonts w:ascii="Times New Roman" w:eastAsia="Times New Roman" w:hAnsi="Times New Roman" w:cs="Times New Roman"/>
          <w:b/>
          <w:bCs/>
          <w:sz w:val="24"/>
          <w:szCs w:val="24"/>
          <w:lang w:val="en-US"/>
        </w:rPr>
        <w:t>JEL Classification</w:t>
      </w:r>
    </w:p>
    <w:p w14:paraId="65A998D6" w14:textId="421DAACC" w:rsidR="00DF4351" w:rsidRPr="00012716" w:rsidRDefault="00012716" w:rsidP="00012716">
      <w:pPr>
        <w:jc w:val="both"/>
        <w:rPr>
          <w:rFonts w:ascii="Times New Roman" w:eastAsia="Times New Roman" w:hAnsi="Times New Roman" w:cs="Times New Roman"/>
          <w:bCs/>
          <w:sz w:val="24"/>
          <w:szCs w:val="24"/>
          <w:lang w:val="en-US"/>
        </w:rPr>
      </w:pPr>
      <w:r w:rsidRPr="00012716">
        <w:rPr>
          <w:rFonts w:ascii="Times New Roman" w:eastAsia="Times New Roman" w:hAnsi="Times New Roman" w:cs="Times New Roman"/>
          <w:bCs/>
          <w:sz w:val="24"/>
          <w:szCs w:val="24"/>
          <w:lang w:val="en-US"/>
        </w:rPr>
        <w:t>C68; D58; F14</w:t>
      </w:r>
      <w:r>
        <w:rPr>
          <w:rFonts w:ascii="Times New Roman" w:eastAsia="Times New Roman" w:hAnsi="Times New Roman" w:cs="Times New Roman"/>
          <w:bCs/>
          <w:sz w:val="24"/>
          <w:szCs w:val="24"/>
          <w:lang w:val="en-US"/>
        </w:rPr>
        <w:t xml:space="preserve">; </w:t>
      </w:r>
      <w:r w:rsidRPr="00012716">
        <w:rPr>
          <w:rFonts w:ascii="Times New Roman" w:eastAsia="Times New Roman" w:hAnsi="Times New Roman" w:cs="Times New Roman"/>
          <w:bCs/>
          <w:sz w:val="24"/>
          <w:szCs w:val="24"/>
          <w:lang w:val="en-US"/>
        </w:rPr>
        <w:t>O31; O47; O55.</w:t>
      </w:r>
    </w:p>
    <w:sectPr w:rsidR="00DF4351" w:rsidRPr="000127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A27906"/>
    <w:multiLevelType w:val="multilevel"/>
    <w:tmpl w:val="47004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FA798B"/>
    <w:multiLevelType w:val="multilevel"/>
    <w:tmpl w:val="4B160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974"/>
    <w:rsid w:val="00012716"/>
    <w:rsid w:val="00100E1C"/>
    <w:rsid w:val="001E7BEB"/>
    <w:rsid w:val="00292B62"/>
    <w:rsid w:val="002C4701"/>
    <w:rsid w:val="002F6B19"/>
    <w:rsid w:val="002F772D"/>
    <w:rsid w:val="00307035"/>
    <w:rsid w:val="00397974"/>
    <w:rsid w:val="00420E3C"/>
    <w:rsid w:val="00451C00"/>
    <w:rsid w:val="0045398C"/>
    <w:rsid w:val="004974E3"/>
    <w:rsid w:val="004D7631"/>
    <w:rsid w:val="00576965"/>
    <w:rsid w:val="00804E61"/>
    <w:rsid w:val="00805E09"/>
    <w:rsid w:val="00840635"/>
    <w:rsid w:val="00933361"/>
    <w:rsid w:val="009C27D3"/>
    <w:rsid w:val="00A2410A"/>
    <w:rsid w:val="00B30B33"/>
    <w:rsid w:val="00B413BC"/>
    <w:rsid w:val="00B6481C"/>
    <w:rsid w:val="00C65EFE"/>
    <w:rsid w:val="00CB3C1F"/>
    <w:rsid w:val="00DB040B"/>
    <w:rsid w:val="00DF4351"/>
    <w:rsid w:val="00E55784"/>
    <w:rsid w:val="00E838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5F1D0"/>
  <w15:chartTrackingRefBased/>
  <w15:docId w15:val="{AEC82C7C-E0F0-4580-AF0B-33DBCF5B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B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claude-response-body">
    <w:name w:val="font-claude-response-body"/>
    <w:basedOn w:val="Normal"/>
    <w:rsid w:val="003979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97974"/>
    <w:rPr>
      <w:b/>
      <w:bCs/>
    </w:rPr>
  </w:style>
  <w:style w:type="character" w:styleId="PlaceholderText">
    <w:name w:val="Placeholder Text"/>
    <w:basedOn w:val="DefaultParagraphFont"/>
    <w:uiPriority w:val="99"/>
    <w:semiHidden/>
    <w:rsid w:val="002F772D"/>
    <w:rPr>
      <w:color w:val="808080"/>
    </w:rPr>
  </w:style>
  <w:style w:type="paragraph" w:styleId="NormalWeb">
    <w:name w:val="Normal (Web)"/>
    <w:basedOn w:val="Normal"/>
    <w:uiPriority w:val="99"/>
    <w:semiHidden/>
    <w:unhideWhenUsed/>
    <w:rsid w:val="008406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04E61"/>
    <w:rPr>
      <w:color w:val="0000FF"/>
      <w:u w:val="single"/>
    </w:rPr>
  </w:style>
  <w:style w:type="character" w:styleId="CommentReference">
    <w:name w:val="annotation reference"/>
    <w:basedOn w:val="DefaultParagraphFont"/>
    <w:uiPriority w:val="99"/>
    <w:semiHidden/>
    <w:unhideWhenUsed/>
    <w:rsid w:val="00576965"/>
    <w:rPr>
      <w:sz w:val="16"/>
      <w:szCs w:val="16"/>
    </w:rPr>
  </w:style>
  <w:style w:type="paragraph" w:styleId="CommentText">
    <w:name w:val="annotation text"/>
    <w:basedOn w:val="Normal"/>
    <w:link w:val="CommentTextChar"/>
    <w:uiPriority w:val="99"/>
    <w:semiHidden/>
    <w:unhideWhenUsed/>
    <w:rsid w:val="00576965"/>
    <w:pPr>
      <w:spacing w:line="240" w:lineRule="auto"/>
    </w:pPr>
    <w:rPr>
      <w:sz w:val="20"/>
      <w:szCs w:val="20"/>
    </w:rPr>
  </w:style>
  <w:style w:type="character" w:customStyle="1" w:styleId="CommentTextChar">
    <w:name w:val="Comment Text Char"/>
    <w:basedOn w:val="DefaultParagraphFont"/>
    <w:link w:val="CommentText"/>
    <w:uiPriority w:val="99"/>
    <w:semiHidden/>
    <w:rsid w:val="00576965"/>
    <w:rPr>
      <w:sz w:val="20"/>
      <w:szCs w:val="20"/>
    </w:rPr>
  </w:style>
  <w:style w:type="paragraph" w:styleId="CommentSubject">
    <w:name w:val="annotation subject"/>
    <w:basedOn w:val="CommentText"/>
    <w:next w:val="CommentText"/>
    <w:link w:val="CommentSubjectChar"/>
    <w:uiPriority w:val="99"/>
    <w:semiHidden/>
    <w:unhideWhenUsed/>
    <w:rsid w:val="00576965"/>
    <w:rPr>
      <w:b/>
      <w:bCs/>
    </w:rPr>
  </w:style>
  <w:style w:type="character" w:customStyle="1" w:styleId="CommentSubjectChar">
    <w:name w:val="Comment Subject Char"/>
    <w:basedOn w:val="CommentTextChar"/>
    <w:link w:val="CommentSubject"/>
    <w:uiPriority w:val="99"/>
    <w:semiHidden/>
    <w:rsid w:val="00576965"/>
    <w:rPr>
      <w:b/>
      <w:bCs/>
      <w:sz w:val="20"/>
      <w:szCs w:val="20"/>
    </w:rPr>
  </w:style>
  <w:style w:type="character" w:customStyle="1" w:styleId="mord">
    <w:name w:val="mord"/>
    <w:basedOn w:val="DefaultParagraphFont"/>
    <w:rsid w:val="00E838EA"/>
  </w:style>
  <w:style w:type="character" w:customStyle="1" w:styleId="vlist-s">
    <w:name w:val="vlist-s"/>
    <w:basedOn w:val="DefaultParagraphFont"/>
    <w:rsid w:val="00E838EA"/>
  </w:style>
  <w:style w:type="character" w:customStyle="1" w:styleId="mrel">
    <w:name w:val="mrel"/>
    <w:basedOn w:val="DefaultParagraphFont"/>
    <w:rsid w:val="00E838EA"/>
  </w:style>
  <w:style w:type="table" w:styleId="TableGrid">
    <w:name w:val="Table Grid"/>
    <w:basedOn w:val="TableNormal"/>
    <w:uiPriority w:val="39"/>
    <w:rsid w:val="00497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53492">
      <w:bodyDiv w:val="1"/>
      <w:marLeft w:val="0"/>
      <w:marRight w:val="0"/>
      <w:marTop w:val="0"/>
      <w:marBottom w:val="0"/>
      <w:divBdr>
        <w:top w:val="none" w:sz="0" w:space="0" w:color="auto"/>
        <w:left w:val="none" w:sz="0" w:space="0" w:color="auto"/>
        <w:bottom w:val="none" w:sz="0" w:space="0" w:color="auto"/>
        <w:right w:val="none" w:sz="0" w:space="0" w:color="auto"/>
      </w:divBdr>
    </w:div>
    <w:div w:id="418672885">
      <w:bodyDiv w:val="1"/>
      <w:marLeft w:val="0"/>
      <w:marRight w:val="0"/>
      <w:marTop w:val="0"/>
      <w:marBottom w:val="0"/>
      <w:divBdr>
        <w:top w:val="none" w:sz="0" w:space="0" w:color="auto"/>
        <w:left w:val="none" w:sz="0" w:space="0" w:color="auto"/>
        <w:bottom w:val="none" w:sz="0" w:space="0" w:color="auto"/>
        <w:right w:val="none" w:sz="0" w:space="0" w:color="auto"/>
      </w:divBdr>
    </w:div>
    <w:div w:id="858545631">
      <w:bodyDiv w:val="1"/>
      <w:marLeft w:val="0"/>
      <w:marRight w:val="0"/>
      <w:marTop w:val="0"/>
      <w:marBottom w:val="0"/>
      <w:divBdr>
        <w:top w:val="none" w:sz="0" w:space="0" w:color="auto"/>
        <w:left w:val="none" w:sz="0" w:space="0" w:color="auto"/>
        <w:bottom w:val="none" w:sz="0" w:space="0" w:color="auto"/>
        <w:right w:val="none" w:sz="0" w:space="0" w:color="auto"/>
      </w:divBdr>
    </w:div>
    <w:div w:id="1708918675">
      <w:bodyDiv w:val="1"/>
      <w:marLeft w:val="0"/>
      <w:marRight w:val="0"/>
      <w:marTop w:val="0"/>
      <w:marBottom w:val="0"/>
      <w:divBdr>
        <w:top w:val="none" w:sz="0" w:space="0" w:color="auto"/>
        <w:left w:val="none" w:sz="0" w:space="0" w:color="auto"/>
        <w:bottom w:val="none" w:sz="0" w:space="0" w:color="auto"/>
        <w:right w:val="none" w:sz="0" w:space="0" w:color="auto"/>
      </w:divBdr>
    </w:div>
    <w:div w:id="1943761262">
      <w:bodyDiv w:val="1"/>
      <w:marLeft w:val="0"/>
      <w:marRight w:val="0"/>
      <w:marTop w:val="0"/>
      <w:marBottom w:val="0"/>
      <w:divBdr>
        <w:top w:val="none" w:sz="0" w:space="0" w:color="auto"/>
        <w:left w:val="none" w:sz="0" w:space="0" w:color="auto"/>
        <w:bottom w:val="none" w:sz="0" w:space="0" w:color="auto"/>
        <w:right w:val="none" w:sz="0" w:space="0" w:color="auto"/>
      </w:divBdr>
    </w:div>
    <w:div w:id="21163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3</Pages>
  <Words>932</Words>
  <Characters>5313</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Herraz Ismail</dc:creator>
  <cp:keywords/>
  <dc:description/>
  <cp:lastModifiedBy>Herraz Ismail</cp:lastModifiedBy>
  <cp:revision>7</cp:revision>
  <dcterms:created xsi:type="dcterms:W3CDTF">2025-12-14T21:52:00Z</dcterms:created>
  <dcterms:modified xsi:type="dcterms:W3CDTF">2026-01-06T12:07:00Z</dcterms:modified>
</cp:coreProperties>
</file>