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1F76" w14:textId="033CE89D" w:rsidR="003C3C1D" w:rsidRPr="00D84450" w:rsidRDefault="003C3C1D" w:rsidP="00883C40">
      <w:pPr>
        <w:pStyle w:val="Heading1"/>
        <w:rPr>
          <w:rFonts w:ascii="Garamond" w:hAnsi="Garamond"/>
          <w:sz w:val="24"/>
          <w:szCs w:val="24"/>
        </w:rPr>
      </w:pPr>
      <w:r w:rsidRPr="00D84450">
        <w:rPr>
          <w:rFonts w:ascii="Garamond" w:hAnsi="Garamond"/>
          <w:sz w:val="24"/>
          <w:szCs w:val="24"/>
        </w:rPr>
        <w:t>Decomposing the Drivers of Natural or Policy Induced Shocks: Case of Groundwater Conservation in South Asia</w:t>
      </w:r>
    </w:p>
    <w:p w14:paraId="1031BDEC" w14:textId="7A172DB4" w:rsidR="003C3C1D" w:rsidRPr="00D84450" w:rsidRDefault="00AE3EC2" w:rsidP="003C3C1D">
      <w:pPr>
        <w:jc w:val="both"/>
        <w:rPr>
          <w:szCs w:val="24"/>
        </w:rPr>
      </w:pPr>
      <w:r w:rsidRPr="00AE3EC2">
        <w:rPr>
          <w:b/>
          <w:bCs/>
          <w:szCs w:val="24"/>
        </w:rPr>
        <w:t>Summary</w:t>
      </w:r>
      <w:r>
        <w:rPr>
          <w:szCs w:val="24"/>
        </w:rPr>
        <w:t xml:space="preserve">. </w:t>
      </w:r>
      <w:r w:rsidR="003C3C1D" w:rsidRPr="00D84450">
        <w:rPr>
          <w:szCs w:val="24"/>
        </w:rPr>
        <w:t>Any natural or policy-driven shock induces multiple margins of adaptation by food producers. These margins of adaptation depend on local bio-physical and socio-economic conditions. Understanding how producers adjust along these distinct margins is crucial for drawing policy-relevant insights and anticipating unintended consequences. In this paper, we use the case of groundwater conservation efforts and its associated downstream impacts on surface water availability in South Asia to decompose the net changes in output production at a fine scale into 6 margins of response: i) change in source of irrigation; ii) change in irrigated or rainfed production; iii) change in land-use; iv) change in non-land input use; v) spatial relocation of production; and vi) and change in crop-mix. Preliminary results highlight hotspots where ignoring the downstream impacts would overestimate producers’ adaptability by switching the source of irrigation water. It also highlights the role of market-mediated adaptations where producers switch to rainfed production and change the crop-mix to be better suited to restricted water availability. However, it also exposes producers to variability in rainfall.</w:t>
      </w:r>
    </w:p>
    <w:p w14:paraId="127C8EA4" w14:textId="77777777" w:rsidR="005869B9" w:rsidRPr="00D84450" w:rsidRDefault="005869B9" w:rsidP="005869B9">
      <w:pPr>
        <w:pStyle w:val="Heading2"/>
        <w:rPr>
          <w:szCs w:val="24"/>
        </w:rPr>
      </w:pPr>
      <w:r w:rsidRPr="00D84450">
        <w:rPr>
          <w:szCs w:val="24"/>
        </w:rPr>
        <w:t>1. Introduction</w:t>
      </w:r>
    </w:p>
    <w:p w14:paraId="0F044B55" w14:textId="0A581F77" w:rsidR="005869B9" w:rsidRPr="00D84450" w:rsidRDefault="005869B9" w:rsidP="00767B7C">
      <w:pPr>
        <w:jc w:val="both"/>
        <w:rPr>
          <w:szCs w:val="24"/>
        </w:rPr>
      </w:pPr>
      <w:r w:rsidRPr="00D84450">
        <w:rPr>
          <w:szCs w:val="24"/>
        </w:rPr>
        <w:t xml:space="preserve">Groundwater depletion </w:t>
      </w:r>
      <w:r w:rsidR="00AE3EC2">
        <w:rPr>
          <w:szCs w:val="24"/>
        </w:rPr>
        <w:t>is</w:t>
      </w:r>
      <w:r w:rsidRPr="00D84450">
        <w:rPr>
          <w:szCs w:val="24"/>
        </w:rPr>
        <w:t xml:space="preserve"> one of the most pressing resource constraints facing agricultural systems in South Asia. In regions such as the Indo-Gangetic Plain, decades of subsidized pumping, rising cropping intensity, and weak regulation have driven sustained declines in groundwater tables, threatening food security, rural livelihoods, and downstream surface water systems. In response, governments are increasingly considering groundwater conservation policies, including pumping restrictions, electricity pricing reforms, and irrigation efficiency programs. While the hydrological consequences of such interventions are relatively well studied, their economic and market-mediated impacts remain poorly understood.</w:t>
      </w:r>
      <w:r w:rsidR="00AE3EC2">
        <w:rPr>
          <w:szCs w:val="24"/>
        </w:rPr>
        <w:t xml:space="preserve"> </w:t>
      </w:r>
      <w:r w:rsidRPr="00D84450">
        <w:rPr>
          <w:szCs w:val="24"/>
        </w:rPr>
        <w:t xml:space="preserve">For global and regional economic models, </w:t>
      </w:r>
      <w:r w:rsidR="00AE3EC2">
        <w:rPr>
          <w:szCs w:val="24"/>
        </w:rPr>
        <w:t>inclusion of the likely response mechanisms is critical</w:t>
      </w:r>
      <w:r w:rsidRPr="00D84450">
        <w:rPr>
          <w:szCs w:val="24"/>
        </w:rPr>
        <w:t>. Any natural or policy-driven shock to water availability induces multiple margins of adaptation by producers, including changes in irrigation source, land use, input intensity, crop choice, and spatial allocation of production</w:t>
      </w:r>
      <w:r w:rsidR="00AE3EC2">
        <w:rPr>
          <w:szCs w:val="24"/>
        </w:rPr>
        <w:t xml:space="preserve"> </w:t>
      </w:r>
      <w:r w:rsidR="00AE3EC2">
        <w:rPr>
          <w:szCs w:val="24"/>
        </w:rPr>
        <w:fldChar w:fldCharType="begin"/>
      </w:r>
      <w:r w:rsidR="00767B7C">
        <w:rPr>
          <w:szCs w:val="24"/>
        </w:rPr>
        <w:instrText xml:space="preserve"> ADDIN ZOTERO_ITEM CSL_CITATION {"citationID":"xZmCzPXo","properties":{"formattedCitation":"(Haqiqi et al.)","plainCitation":"(Haqiqi et al.)","noteIndex":0},"citationItems":[{"id":8524,"uris":["http://zotero.org/users/2779486/items/33V6CBK4"],"itemData":{"id":8524,"type":"chapter","abstract":"Abstract\n            Given that food production relies heavily on land and water, any policy to restrict water and land use will immediately raise concerns about local economic activity and global food security. This chapter explores both of these dimensions of global groundwater sustainability policy. In so doing, we highlight the importance of market-mediated spillover effects stemming from locally targeted policies. Using a multi-scale, multi-system framework integrating economic and biophysical determinants of sustainability, we find that the local economic impacts of a groundwater sustainability policy are often substantial. However, due to market-mediated responses—including surface water substitution, expansion of rainfed production, relocation, and virtual trade in blue water—the final impact on global food prices and production is surprisingly modest.","container-title":"SIMPLE-G","event-place":"Cham","ISBN":"978-3-031-68053-3","language":"en","note":"DOI: 10.1007/978-3-031-68054-0_16","page":"253-282","publisher":"Springer Nature Switzerland","publisher-place":"Cham","source":"DOI.org (Crossref)","title":"Global Groundwater Sustainability and Virtual Water Trade","URL":"https://link.springer.com/10.1007/978-3-031-68054-0_16","editor":[{"family":"Haqiqi","given":"Iman"},{"family":"Hertel","given":"Thomas W."}],"author":[{"family":"Haqiqi","given":"Iman"},{"family":"Perry","given":"Chris J."},{"family":"Hertel","given":"Thomas W."}],"accessed":{"date-parts":[["2026",1,15]]},"issued":{"date-parts":[["2025"]]}}}],"schema":"https://github.com/citation-style-language/schema/raw/master/csl-citation.json"} </w:instrText>
      </w:r>
      <w:r w:rsidR="00AE3EC2">
        <w:rPr>
          <w:szCs w:val="24"/>
        </w:rPr>
        <w:fldChar w:fldCharType="separate"/>
      </w:r>
      <w:r w:rsidR="00767B7C" w:rsidRPr="00767B7C">
        <w:t>(Haqiqi et al.)</w:t>
      </w:r>
      <w:r w:rsidR="00AE3EC2">
        <w:rPr>
          <w:szCs w:val="24"/>
        </w:rPr>
        <w:fldChar w:fldCharType="end"/>
      </w:r>
      <w:r w:rsidRPr="00D84450">
        <w:rPr>
          <w:szCs w:val="24"/>
        </w:rPr>
        <w:t>. These responses are shaped by local biophysical conditions and market signals. Models that collapse adaptation into a single margin</w:t>
      </w:r>
      <w:r w:rsidR="00AE3EC2">
        <w:rPr>
          <w:szCs w:val="24"/>
        </w:rPr>
        <w:t xml:space="preserve"> often </w:t>
      </w:r>
      <w:r w:rsidRPr="00D84450">
        <w:rPr>
          <w:szCs w:val="24"/>
        </w:rPr>
        <w:t>risk mischaracterizing both resilience and vulnerability.</w:t>
      </w:r>
      <w:r w:rsidR="00AE3EC2">
        <w:rPr>
          <w:szCs w:val="24"/>
        </w:rPr>
        <w:t xml:space="preserve"> </w:t>
      </w:r>
      <w:r w:rsidRPr="00D84450">
        <w:rPr>
          <w:szCs w:val="24"/>
        </w:rPr>
        <w:t>This paper asks a question of direct relevance to the GTAP community: How do</w:t>
      </w:r>
      <w:r w:rsidR="00AE3EC2">
        <w:rPr>
          <w:szCs w:val="24"/>
        </w:rPr>
        <w:t xml:space="preserve"> the effects of</w:t>
      </w:r>
      <w:r w:rsidRPr="00D84450">
        <w:rPr>
          <w:szCs w:val="24"/>
        </w:rPr>
        <w:t xml:space="preserve"> groundwater conservation policies propagate through multiple, spatially heterogeneous margins of producer adaptation, and what are the implications for output, risk exposure, and market adjustment in South Asia? We address this question by developing a fine-scale decomposition of production responses to groundwater conservation that explicitly accounts for downstream surface water interactions and market-mediated adjustments. The goal is not only to improve policy interpretation, but also to inform how water constraints should be represented in partial and general equilibrium modeling frameworks.</w:t>
      </w:r>
    </w:p>
    <w:p w14:paraId="32CAC5C2" w14:textId="4709D7A5" w:rsidR="005869B9" w:rsidRPr="00D84450" w:rsidRDefault="005869B9" w:rsidP="005869B9">
      <w:pPr>
        <w:pStyle w:val="Heading2"/>
        <w:rPr>
          <w:szCs w:val="24"/>
        </w:rPr>
      </w:pPr>
      <w:r w:rsidRPr="00D84450">
        <w:rPr>
          <w:szCs w:val="24"/>
        </w:rPr>
        <w:t xml:space="preserve">2. </w:t>
      </w:r>
      <w:r w:rsidR="00AE3EC2">
        <w:rPr>
          <w:szCs w:val="24"/>
        </w:rPr>
        <w:t>Current Studies</w:t>
      </w:r>
    </w:p>
    <w:p w14:paraId="2F9B8652" w14:textId="33E94C53" w:rsidR="005869B9" w:rsidRPr="00D84450" w:rsidRDefault="005869B9" w:rsidP="00767B7C">
      <w:pPr>
        <w:rPr>
          <w:szCs w:val="24"/>
        </w:rPr>
      </w:pPr>
      <w:r w:rsidRPr="00D84450">
        <w:rPr>
          <w:szCs w:val="24"/>
        </w:rPr>
        <w:t xml:space="preserve">The economic literature has extensively documented groundwater overextraction in South Asia and its links to agricultural intensification, energy subsidies, and institutional failure </w:t>
      </w:r>
      <w:r w:rsidR="00AE3EC2">
        <w:rPr>
          <w:szCs w:val="24"/>
        </w:rPr>
        <w:fldChar w:fldCharType="begin"/>
      </w:r>
      <w:r w:rsidR="00767B7C">
        <w:rPr>
          <w:szCs w:val="24"/>
        </w:rPr>
        <w:instrText xml:space="preserve"> ADDIN ZOTERO_ITEM CSL_CITATION {"citationID":"p6tVulLM","properties":{"formattedCitation":"(Rodell et al.; Shah)","plainCitation":"(Rodell et al.; Shah)","noteIndex":0},"citationItems":[{"id":8510,"uris":["http://zotero.org/users/2779486/items/IRCVHAUR"],"itemData":{"id":8510,"type":"article-journal","container-title":"Nature","DOI":"10.1038/nature08238","ISSN":"0028-0836, 1476-4687","issue":"7258","journalAbbreviation":"Nature","language":"en","license":"http://www.springer.com/tdm","page":"999-1002","source":"DOI.org (Crossref)","title":"Satellite-based estimates of groundwater depletion in India","volume":"460","author":[{"family":"Rodell","given":"Matthew"},{"family":"Velicogna","given":"Isabella"},{"family":"Famiglietti","given":"James S."}],"issued":{"date-parts":[["2009",8]]}}},{"id":8512,"uris":["http://zotero.org/users/2779486/items/UFF7DISK"],"itemData":{"id":8512,"type":"article-journal","abstract":"At less than 1,000</w:instrText>
      </w:r>
      <w:r w:rsidR="00767B7C">
        <w:rPr>
          <w:rFonts w:ascii="Times New Roman" w:hAnsi="Times New Roman" w:cs="Times New Roman"/>
          <w:szCs w:val="24"/>
        </w:rPr>
        <w:instrText> </w:instrText>
      </w:r>
      <w:r w:rsidR="00767B7C">
        <w:rPr>
          <w:szCs w:val="24"/>
        </w:rPr>
        <w:instrText xml:space="preserve">km3/year, the world's annual use of groundwater is 1.5% of renewable water resource but contributes a lion's share of water-induced human welfare. Global groundwater use however has increased manifold in the past 50 years; and the human race has never had to manage groundwater use on such a large scale. Sustaining the massive welfare gains groundwater development has created without ruining the resource is a key water challenge facing the world today. In exploring this challenge, we have focused a good deal on conditions of resource occurrence but less so on resource use. I offer a typology of five groundwater demand systems as Groundwater Socio-ecologies (GwSE), each embodying a unique pattern of interactions between socio-economic and ecological variables, and each facing a distinct groundwater governance challenge. During the past century, a growing corpus of experiential knowledge has accumulated in the industrialized world on managing groundwater in various uses and contexts. A daunting global groundwater issue today is to apply this knowledge intelligently to by far the more formidable challenge that has arisen in developing regions of Asia and Africa, where groundwater irrigation has evolved into a colossal anarchy supporting billions of livelihoods but threatening the resource itself.","container-title":"Water Science and Technology","DOI":"10.2166/wst.2005.0217","ISSN":"0273-1223, 1996-9732","issue":"8","language":"en","page":"27-37","source":"DOI.org (Crossref)","title":"Groundwater and human development: challenges and opportunities in livelihoods and environment","title-short":"Groundwater and human development","volume":"51","author":[{"family":"Shah","given":"T."}],"issued":{"date-parts":[["2005",4,1]]}}}],"schema":"https://github.com/citation-style-language/schema/raw/master/csl-citation.json"} </w:instrText>
      </w:r>
      <w:r w:rsidR="00AE3EC2">
        <w:rPr>
          <w:szCs w:val="24"/>
        </w:rPr>
        <w:fldChar w:fldCharType="separate"/>
      </w:r>
      <w:r w:rsidR="00767B7C" w:rsidRPr="00767B7C">
        <w:t>(Rodell et al.; Shah)</w:t>
      </w:r>
      <w:r w:rsidR="00AE3EC2">
        <w:rPr>
          <w:szCs w:val="24"/>
        </w:rPr>
        <w:fldChar w:fldCharType="end"/>
      </w:r>
      <w:r w:rsidRPr="00D84450">
        <w:rPr>
          <w:szCs w:val="24"/>
        </w:rPr>
        <w:t>. These studies emphasize heterogeneity: impacts vary sharply across space depending on aquifer characteristics, access to surface water, and infrastructure</w:t>
      </w:r>
      <w:r w:rsidR="00646BF5">
        <w:rPr>
          <w:szCs w:val="24"/>
        </w:rPr>
        <w:t xml:space="preserve"> </w:t>
      </w:r>
      <w:r w:rsidR="00646BF5">
        <w:rPr>
          <w:szCs w:val="24"/>
        </w:rPr>
        <w:fldChar w:fldCharType="begin"/>
      </w:r>
      <w:r w:rsidR="00767B7C">
        <w:rPr>
          <w:szCs w:val="24"/>
        </w:rPr>
        <w:instrText xml:space="preserve"> ADDIN ZOTERO_ITEM CSL_CITATION {"citationID":"LA1cEHjK","properties":{"formattedCitation":"(Sekhri)","plainCitation":"(Sekhri)","noteIndex":0},"citationItems":[{"id":8511,"uris":["http://zotero.org/users/2779486/items/Y3RWDWQV"],"itemData":{"id":8511,"type":"article-journal","abstract":"This paper evaluates the impact of access to groundwater on poverty using data from rural India. The estimation exploits the fact that the technology required to access groundwater changes exogenously due to constraints imposed by laws of physics at a depth of eight meters. I find that rural poverty in areas where depth from surface is below the cutoff is 9 to10 percent higher. Using survey data for a subsample of villages, I also show that disputes over irrigation water increase by 25 percent around the cutoff. Historical endowments of groundwater facilitate adoption of yield enhancing technologies over the long-run. (JEL D74, I32, O13, O15, O18, Q15, Q16)","container-title":"American Economic Journal: Applied Economics","DOI":"10.1257/app.6.3.76","ISSN":"1945-7782, 1945-7790","issue":"3","journalAbbreviation":"American Economic Journal: Applied Economics","language":"en","page":"76-102","source":"DOI.org (Crossref)","title":"Wells, Water, and Welfare: The Impact of Access to Groundwater on Rural Poverty and Conflict","title-short":"Wells, Water, and Welfare","volume":"6","author":[{"family":"Sekhri","given":"Sheetal"}],"issued":{"date-parts":[["2014",7,1]]}}}],"schema":"https://github.com/citation-style-language/schema/raw/master/csl-citation.json"} </w:instrText>
      </w:r>
      <w:r w:rsidR="00646BF5">
        <w:rPr>
          <w:szCs w:val="24"/>
        </w:rPr>
        <w:fldChar w:fldCharType="separate"/>
      </w:r>
      <w:r w:rsidR="00767B7C" w:rsidRPr="00767B7C">
        <w:t>(Sekhri)</w:t>
      </w:r>
      <w:r w:rsidR="00646BF5">
        <w:rPr>
          <w:szCs w:val="24"/>
        </w:rPr>
        <w:fldChar w:fldCharType="end"/>
      </w:r>
      <w:r w:rsidRPr="00D84450">
        <w:rPr>
          <w:szCs w:val="24"/>
        </w:rPr>
        <w:t>.</w:t>
      </w:r>
      <w:r w:rsidR="00646BF5">
        <w:rPr>
          <w:szCs w:val="24"/>
        </w:rPr>
        <w:t xml:space="preserve"> </w:t>
      </w:r>
      <w:r w:rsidRPr="00D84450">
        <w:rPr>
          <w:szCs w:val="24"/>
        </w:rPr>
        <w:t>Hydro-economic models have highlighted the interdependence between groundwater and surface water systems. Pumping reductions upstream can increase downstream surface flows, creating spatial externalities that complicate policy evaluation</w:t>
      </w:r>
      <w:r w:rsidR="00646BF5">
        <w:rPr>
          <w:szCs w:val="24"/>
        </w:rPr>
        <w:t xml:space="preserve"> </w:t>
      </w:r>
      <w:r w:rsidR="00646BF5">
        <w:rPr>
          <w:szCs w:val="24"/>
        </w:rPr>
        <w:fldChar w:fldCharType="begin"/>
      </w:r>
      <w:r w:rsidR="00767B7C">
        <w:rPr>
          <w:szCs w:val="24"/>
        </w:rPr>
        <w:instrText xml:space="preserve"> ADDIN ZOTERO_ITEM CSL_CITATION {"citationID":"FDt8aVIs","properties":{"formattedCitation":"(Harou et al.)","plainCitation":"(Harou et al.)","noteIndex":0},"citationItems":[{"id":8509,"uris":["http://zotero.org/users/2779486/items/ZKGA3HFX"],"itemData":{"id":8509,"type":"article-journal","container-title":"Journal of Hydrology","DOI":"10.1016/j.jhydrol.2009.06.037","ISSN":"00221694","issue":"3-4","journalAbbreviation":"Journal of Hydrology","language":"en","license":"https://www.elsevier.com/tdm/userlicense/1.0/","page":"627-643","source":"DOI.org (Crossref)","title":"Hydro-economic models: Concepts, design, applications, and future prospects","title-short":"Hydro-economic models","volume":"375","author":[{"family":"Harou","given":"Julien J."},{"family":"Pulido-Velazquez","given":"Manuel"},{"family":"Rosenberg","given":"David E."},{"family":"Medellín-Azuara","given":"Josué"},{"family":"Lund","given":"Jay R."},{"family":"Howitt","given":"Richard E."}],"issued":{"date-parts":[["2009",9]]}}}],"schema":"https://github.com/citation-style-language/schema/raw/master/csl-citation.json"} </w:instrText>
      </w:r>
      <w:r w:rsidR="00646BF5">
        <w:rPr>
          <w:szCs w:val="24"/>
        </w:rPr>
        <w:fldChar w:fldCharType="separate"/>
      </w:r>
      <w:r w:rsidR="00767B7C" w:rsidRPr="00767B7C">
        <w:t>(Harou et al.)</w:t>
      </w:r>
      <w:r w:rsidR="00646BF5">
        <w:rPr>
          <w:szCs w:val="24"/>
        </w:rPr>
        <w:fldChar w:fldCharType="end"/>
      </w:r>
      <w:r w:rsidRPr="00D84450">
        <w:rPr>
          <w:szCs w:val="24"/>
        </w:rPr>
        <w:t>.</w:t>
      </w:r>
      <w:r w:rsidR="00646BF5">
        <w:rPr>
          <w:szCs w:val="24"/>
        </w:rPr>
        <w:t xml:space="preserve"> </w:t>
      </w:r>
      <w:r w:rsidRPr="00D84450">
        <w:rPr>
          <w:szCs w:val="24"/>
        </w:rPr>
        <w:t xml:space="preserve">In GE and PE models used for trade and food policy analysis, water constraints are often represented in </w:t>
      </w:r>
      <w:r w:rsidR="00646BF5">
        <w:rPr>
          <w:szCs w:val="24"/>
        </w:rPr>
        <w:t>aggregate</w:t>
      </w:r>
      <w:r w:rsidRPr="00D84450">
        <w:rPr>
          <w:szCs w:val="24"/>
        </w:rPr>
        <w:t xml:space="preserve">. More recent extensions introduce water as a factor of production or impose irrigation constraints, improving realism but still relying on aggregate representations </w:t>
      </w:r>
      <w:r w:rsidR="00646BF5">
        <w:rPr>
          <w:szCs w:val="24"/>
        </w:rPr>
        <w:fldChar w:fldCharType="begin"/>
      </w:r>
      <w:r w:rsidR="00767B7C">
        <w:rPr>
          <w:szCs w:val="24"/>
        </w:rPr>
        <w:instrText xml:space="preserve"> ADDIN ZOTERO_ITEM CSL_CITATION {"citationID":"2BXVqSpa","properties":{"formattedCitation":"(Berrittella et al.; Calzadilla et al.; Koopman et al.; Liu et al.; Ponce et al.)","plainCitation":"(Berrittella et al.; Calzadilla et al.; Koopman et al.; Liu et al.; Ponce et al.)","noteIndex":0},"citationItems":[{"id":8506,"uris":["http://zotero.org/users/2779486/items/VKHU4ECV"],"itemData":{"id":8506,"type":"article-journal","container-title":"Water Research","DOI":"10.1016/j.watres.2007.01.010","ISSN":"00431354","issue":"8","journalAbbreviation":"Water Research","language":"en","license":"https://www.elsevier.com/tdm/userlicense/1.0/","page":"1799-1813","source":"DOI.org (Crossref)","title":"The economic impact of restricted water supply: A computable general equilibrium analysis","title-short":"The economic impact of restricted water supply","volume":"41","author":[{"family":"Berrittella","given":"Maria"},{"family":"Hoekstra","given":"Arjen Y."},{"family":"Rehdanz","given":"Katrin"},{"family":"Roson","given":"Roberto"},{"family":"Tol","given":"Richard S.J."}],"issued":{"date-parts":[["2007",4]]}}},{"id":8497,"uris":["http://zotero.org/users/2779486/items/8YFV7YUP"],"itemData":{"id":8497,"type":"chapter","container-title":"The WSPC Reference on Natural Resources and Environmental Policy in the Era of Global Change","ISBN":"978-981-4713-74-0","note":"DOI: 10.1142/9789813208179_0004","number-of-volumes":"4","page":"101-123","publisher":"WORLD SCIENTIFIC","source":"worldscientific.com (Atypon)","title":"Review of CGE Models of Water Issues","URL":"https://www.worldscientific.com/doi/abs/10.1142/9789813208179_0004","author":[{"family":"Calzadilla","given":"Alvaro"},{"family":"Rehdanz","given":"Katrin"},{"family":"Roson","given":"Roberto"},{"family":"Sartori","given":"Martina"},{"family":"Tol","given":"Richard S. J."}],"editor":[{"family":"Alvaro","given":"Calzadilla"},{"family":"Katrin","given":"Rehdanz"},{"family":"Roberto","given":"Roson"},{"family":"Martina","given":"Sartori"},{"family":"Richard","given":"S. J. Tol"}],"accessed":{"date-parts":[["2026",1,15]]},"issued":{"date-parts":[["2016",11,15]]}}},{"id":8500,"uris":["http://zotero.org/users/2779486/items/5XPQ939A"],"itemData":{"id":8500,"type":"article-journal","source":"Google Scholar","title":"The economic impact of irrigation water scarcity from climate change: a CGE analysis distinguishing between surface and ground water","title-short":"The economic impact of irrigation water scarcity from climate change","URL":"https://ageconsearch.umn.edu/record/332884/","author":[{"family":"Koopman","given":"Jason"},{"family":"Kuik","given":"Onno"},{"family":"Tol","given":"Richard"},{"family":"Van Der Vat","given":"Marnix"},{"family":"Hunink","given":"Joachim"},{"family":"Brouwer","given":"Roy"}],"accessed":{"date-parts":[["2026",1,15]]},"issued":{"date-parts":[["2017"]]}}},{"id":8488,"uris":["http://zotero.org/users/2779486/items/WRJEKGJM"],"itemData":{"id":8488,"type":"article-journal","abstract":"Incorporating water into a computable general equilibrium (CGE) model operating at global scale can be extremely demanding due to the absence of standardized data, the sheer dimensions caused by intersecting river basins with countries, and difficulties to model demand for and supply of water. This has led many authors to introduce water in their CGE modeling framework in different ways and at different spatial and sectoral aggregation levels. Of course, simplifying market for water and sacrificing the geographical realism risk introducing errors caused by inappropriate aggregation. In this paper, we use an elaborate global CGE model to investigate the three most commonly practiced simplifications: (1) tackling global questions in a national level model; (2) collapsing irrigated and rainfed crop production into a single sector; and (3) removing river basin boundaries within a country. In each case, we compare their performance in predicting the impacts of future irrigation scarcity on international trade, crop output, land use change and welfare, relative to the full scale model. As might be expected, the single region model does a good job of matching outcomes for that region, although changes in bilateral trade can entail significant errors. When it comes to the elimination of sub-national river basins and irrigation location, we find that, if the research question has to do with changes in national-scale trade, production and welfare changes, it may be sufficient to ignore the sub-national hydrological boundaries in global economic analysis of water scarcity. However, when decision makers have an interest in the distribution of inputs and outputs within a region, preserving the river basin and sectoral detail in the model brings considerable added value to the analysis.","container-title":"Water Economics and Policy","DOI":"10.1142/S2382624X16500065","ISSN":"2382-624X, 2382-6258","issue":"04","journalAbbreviation":"Water Econs. Policy","language":"en","page":"1650006","source":"DOI.org (Crossref)","title":"Analyzing Future Water Scarcity in Computable General Equilibrium Models","volume":"02","author":[{"family":"Liu","given":"Jing"},{"family":"Hertel","given":"Thomas"},{"family":"Taheripour","given":"Farzad"}],"issued":{"date-parts":[["2016",12]]}}},{"id":8491,"uris":["http://zotero.org/users/2779486/items/3RTCYI4C"],"itemData":{"id":8491,"type":"article-journal","note":"publisher: bepress","source":"Google Scholar","title":"Integrating water resources into computable general equilibrium models-a survey","URL":"https://services.bepress.com/feem/paper708/","author":[{"family":"Ponce","given":"Roberto"},{"family":"Bosello","given":"Francesco"},{"family":"Giupponi","given":"Carlo"}],"accessed":{"date-parts":[["2026",1,15]]},"issued":{"date-parts":[["2012"]]}}}],"schema":"https://github.com/citation-style-language/schema/raw/master/csl-citation.json"} </w:instrText>
      </w:r>
      <w:r w:rsidR="00646BF5">
        <w:rPr>
          <w:szCs w:val="24"/>
        </w:rPr>
        <w:fldChar w:fldCharType="separate"/>
      </w:r>
      <w:r w:rsidR="00767B7C" w:rsidRPr="00767B7C">
        <w:t>(Berrittella et al.; Calzadilla et al.; Koopman et al.; Liu et al.; Ponce et al.)</w:t>
      </w:r>
      <w:r w:rsidR="00646BF5">
        <w:rPr>
          <w:szCs w:val="24"/>
        </w:rPr>
        <w:fldChar w:fldCharType="end"/>
      </w:r>
      <w:r w:rsidRPr="00D84450">
        <w:rPr>
          <w:szCs w:val="24"/>
        </w:rPr>
        <w:t>.</w:t>
      </w:r>
      <w:r w:rsidR="00646BF5">
        <w:rPr>
          <w:szCs w:val="24"/>
        </w:rPr>
        <w:t xml:space="preserve"> </w:t>
      </w:r>
      <w:r w:rsidRPr="00D84450">
        <w:rPr>
          <w:szCs w:val="24"/>
        </w:rPr>
        <w:t xml:space="preserve">While </w:t>
      </w:r>
      <w:r w:rsidR="00646BF5">
        <w:rPr>
          <w:szCs w:val="24"/>
        </w:rPr>
        <w:t>some studies</w:t>
      </w:r>
      <w:r w:rsidRPr="00D84450">
        <w:rPr>
          <w:szCs w:val="24"/>
        </w:rPr>
        <w:t xml:space="preserve"> capture substitution between irrigated and rainfed production at a coarse scale, they typically do not disentangle how producers adjust across multiple margins simultaneously.</w:t>
      </w:r>
    </w:p>
    <w:p w14:paraId="7EC09B1D" w14:textId="5121A6CC" w:rsidR="005869B9" w:rsidRPr="00D84450" w:rsidRDefault="005869B9" w:rsidP="00767B7C">
      <w:r w:rsidRPr="00D84450">
        <w:rPr>
          <w:szCs w:val="24"/>
        </w:rPr>
        <w:lastRenderedPageBreak/>
        <w:t>A smaller but growing literature emphasizes the importance of decomposing responses to shocks into interpretable economic mechanisms. In trade and land-use modeling, decomposition techniques have been used to separate scale, composition, and relocation effects</w:t>
      </w:r>
      <w:r w:rsidR="00646BF5">
        <w:rPr>
          <w:szCs w:val="24"/>
        </w:rPr>
        <w:t xml:space="preserve"> </w:t>
      </w:r>
      <w:r w:rsidR="00646BF5">
        <w:rPr>
          <w:szCs w:val="24"/>
        </w:rPr>
        <w:fldChar w:fldCharType="begin"/>
      </w:r>
      <w:r w:rsidR="00767B7C">
        <w:rPr>
          <w:szCs w:val="24"/>
        </w:rPr>
        <w:instrText xml:space="preserve"> ADDIN ZOTERO_ITEM CSL_CITATION {"citationID":"YTHlaDmb","properties":{"formattedCitation":"(Haqiqi et al.)","plainCitation":"(Haqiqi et al.)","noteIndex":0},"citationItems":[{"id":8524,"uris":["http://zotero.org/users/2779486/items/33V6CBK4"],"itemData":{"id":8524,"type":"chapter","abstract":"Abstract\n            Given that food production relies heavily on land and water, any policy to restrict water and land use will immediately raise concerns about local economic activity and global food security. This chapter explores both of these dimensions of global groundwater sustainability policy. In so doing, we highlight the importance of market-mediated spillover effects stemming from locally targeted policies. Using a multi-scale, multi-system framework integrating economic and biophysical determinants of sustainability, we find that the local economic impacts of a groundwater sustainability policy are often substantial. However, due to market-mediated responses—including surface water substitution, expansion of rainfed production, relocation, and virtual trade in blue water—the final impact on global food prices and production is surprisingly modest.","container-title":"SIMPLE-G","event-place":"Cham","ISBN":"978-3-031-68053-3","language":"en","note":"DOI: 10.1007/978-3-031-68054-0_16","page":"253-282","publisher":"Springer Nature Switzerland","publisher-place":"Cham","source":"DOI.org (Crossref)","title":"Global Groundwater Sustainability and Virtual Water Trade","URL":"https://link.springer.com/10.1007/978-3-031-68054-0_16","editor":[{"family":"Haqiqi","given":"Iman"},{"family":"Hertel","given":"Thomas W."}],"author":[{"family":"Haqiqi","given":"Iman"},{"family":"Perry","given":"Chris J."},{"family":"Hertel","given":"Thomas W."}],"accessed":{"date-parts":[["2026",1,15]]},"issued":{"date-parts":[["2025"]]}}}],"schema":"https://github.com/citation-style-language/schema/raw/master/csl-citation.json"} </w:instrText>
      </w:r>
      <w:r w:rsidR="00646BF5">
        <w:rPr>
          <w:szCs w:val="24"/>
        </w:rPr>
        <w:fldChar w:fldCharType="separate"/>
      </w:r>
      <w:r w:rsidR="00767B7C" w:rsidRPr="00767B7C">
        <w:t>(Haqiqi et al.)</w:t>
      </w:r>
      <w:r w:rsidR="00646BF5">
        <w:rPr>
          <w:szCs w:val="24"/>
        </w:rPr>
        <w:fldChar w:fldCharType="end"/>
      </w:r>
      <w:r w:rsidRPr="00D84450">
        <w:rPr>
          <w:szCs w:val="24"/>
        </w:rPr>
        <w:t xml:space="preserve">. However, these insights have not been systematically integrated. Existing GE and PE studies typically report net output or welfare changes, leaving unclear whether resilience arises from technological substitution, land reallocation, crop switching, or spatial displacement of production. </w:t>
      </w:r>
    </w:p>
    <w:p w14:paraId="0C217DFB" w14:textId="77777777" w:rsidR="00646BF5" w:rsidRPr="00D84450" w:rsidRDefault="00646BF5" w:rsidP="00646BF5">
      <w:pPr>
        <w:pStyle w:val="Heading2"/>
        <w:rPr>
          <w:szCs w:val="24"/>
        </w:rPr>
      </w:pPr>
      <w:r w:rsidRPr="00D84450">
        <w:rPr>
          <w:szCs w:val="24"/>
        </w:rPr>
        <w:t>3. Contribution</w:t>
      </w:r>
    </w:p>
    <w:p w14:paraId="6000D179" w14:textId="3B715257" w:rsidR="005869B9" w:rsidRPr="00D84450" w:rsidRDefault="00646BF5" w:rsidP="00646BF5">
      <w:pPr>
        <w:rPr>
          <w:szCs w:val="24"/>
        </w:rPr>
      </w:pPr>
      <w:r>
        <w:rPr>
          <w:szCs w:val="24"/>
        </w:rPr>
        <w:t>There are three limitations in existing GE and PE studies of water.</w:t>
      </w:r>
      <w:r w:rsidR="005869B9" w:rsidRPr="00D84450">
        <w:rPr>
          <w:szCs w:val="24"/>
        </w:rPr>
        <w:t xml:space="preserve"> First, groundwater conservation impacts are rarely decomposed into multiple, simultaneous margins of producer adaptation. Second, downstream surface water feedbacks are often ignored, leading to overestimation of adaptive capacity in upstream regions. Third, spatial heterogeneity within regions</w:t>
      </w:r>
      <w:r>
        <w:rPr>
          <w:szCs w:val="24"/>
        </w:rPr>
        <w:t xml:space="preserve"> </w:t>
      </w:r>
      <w:r w:rsidR="005869B9" w:rsidRPr="00D84450">
        <w:rPr>
          <w:szCs w:val="24"/>
        </w:rPr>
        <w:t>is largely obscured in aggregate economic models.</w:t>
      </w:r>
      <w:r>
        <w:rPr>
          <w:szCs w:val="24"/>
        </w:rPr>
        <w:t xml:space="preserve"> </w:t>
      </w:r>
      <w:r w:rsidR="005869B9" w:rsidRPr="00D84450">
        <w:rPr>
          <w:szCs w:val="24"/>
        </w:rPr>
        <w:t>This paper addresses these gaps by providing a fine-scale, market-consistent decomposition of production responses to groundwater conservation, explicitly linking hydrological feedbacks with economic adjustment.</w:t>
      </w:r>
    </w:p>
    <w:p w14:paraId="7DBB90EF" w14:textId="14CB2279" w:rsidR="005869B9" w:rsidRPr="00D84450" w:rsidRDefault="005869B9" w:rsidP="005869B9">
      <w:pPr>
        <w:rPr>
          <w:szCs w:val="24"/>
        </w:rPr>
      </w:pPr>
      <w:r w:rsidRPr="00D84450">
        <w:rPr>
          <w:szCs w:val="24"/>
        </w:rPr>
        <w:t xml:space="preserve">The paper makes </w:t>
      </w:r>
      <w:r w:rsidR="00646BF5">
        <w:rPr>
          <w:szCs w:val="24"/>
        </w:rPr>
        <w:t>multiple</w:t>
      </w:r>
      <w:r w:rsidRPr="00D84450">
        <w:rPr>
          <w:szCs w:val="24"/>
        </w:rPr>
        <w:t xml:space="preserve"> contributions. First, it introduces a six-margin decomposition of producer responses to water shocks: (i) changes in irrigation source, (ii) shifts between irrigated and rainfed production, (iii) land-use adjustment, (iv) changes in non-land input intensity, (v) spatial relocation of production, and (vi) crop-mix change. Second, it explicitly accounts for downstream surface water impacts, revealing where adaptation is overstated when such feedbacks are ignored. Third, it provides a framework that can be directly embedded within or used to interpret GE and PE models.</w:t>
      </w:r>
    </w:p>
    <w:p w14:paraId="5D07B3D7" w14:textId="34D6AC5B" w:rsidR="005869B9" w:rsidRPr="00D84450" w:rsidRDefault="005869B9" w:rsidP="005869B9">
      <w:pPr>
        <w:pStyle w:val="Heading2"/>
        <w:rPr>
          <w:szCs w:val="24"/>
        </w:rPr>
      </w:pPr>
      <w:r w:rsidRPr="00D84450">
        <w:rPr>
          <w:szCs w:val="24"/>
        </w:rPr>
        <w:t>4. Methods</w:t>
      </w:r>
    </w:p>
    <w:p w14:paraId="7742344B" w14:textId="7E965B6D" w:rsidR="005869B9" w:rsidRPr="00D84450" w:rsidRDefault="005869B9" w:rsidP="00767B7C">
      <w:pPr>
        <w:rPr>
          <w:szCs w:val="24"/>
        </w:rPr>
      </w:pPr>
      <w:r w:rsidRPr="00D84450">
        <w:rPr>
          <w:szCs w:val="24"/>
        </w:rPr>
        <w:t>The analysis employs</w:t>
      </w:r>
      <w:r w:rsidR="00646BF5">
        <w:rPr>
          <w:szCs w:val="24"/>
        </w:rPr>
        <w:t xml:space="preserve"> SIMPLE-G South Asia, </w:t>
      </w:r>
      <w:r w:rsidRPr="00D84450">
        <w:rPr>
          <w:szCs w:val="24"/>
        </w:rPr>
        <w:t xml:space="preserve">a spatially explicit economic modeling framework that combines partial equilibrium crop production responses with market-mediated price adjustments. </w:t>
      </w:r>
      <w:r w:rsidR="00F94665">
        <w:rPr>
          <w:szCs w:val="24"/>
        </w:rPr>
        <w:t xml:space="preserve">This extended version includes 8 crop types (pdr, wht, osd, pfb, c_b, ocr, v_f, pfb) for the reference year of 2017. </w:t>
      </w:r>
      <w:r w:rsidRPr="00D84450">
        <w:rPr>
          <w:szCs w:val="24"/>
        </w:rPr>
        <w:t xml:space="preserve">Groundwater conservation is introduced </w:t>
      </w:r>
      <w:r w:rsidR="00F94665">
        <w:rPr>
          <w:szCs w:val="24"/>
        </w:rPr>
        <w:t xml:space="preserve">based on Water Balance Model </w:t>
      </w:r>
      <w:r w:rsidR="00F94665">
        <w:rPr>
          <w:szCs w:val="24"/>
        </w:rPr>
        <w:fldChar w:fldCharType="begin"/>
      </w:r>
      <w:r w:rsidR="00767B7C">
        <w:rPr>
          <w:szCs w:val="24"/>
        </w:rPr>
        <w:instrText xml:space="preserve"> ADDIN ZOTERO_ITEM CSL_CITATION {"citationID":"7hRuGcAr","properties":{"formattedCitation":"(Grogan et al.)","plainCitation":"(Grogan et al.)","noteIndex":0},"citationItems":[{"id":8525,"uris":["http://zotero.org/users/2779486/items/9YV4NHF4"],"itemData":{"id":8525,"type":"article-journal","abstract":"Abstract. This paper describes the University of New Hampshire Water Balance Model, WBM, a process-based gridded global hydrologic model that simulates the land surface components of the global water cycle and includes water extraction for use in agriculture and domestic sectors. The WBM\nwas first published in 1989; here, we describe the first fully open-source\nWBM version (v.1.0.0). Earlier descriptions of WBM methods provide the foundation for the most recent model version that is detailed here. We present an overview of the\nmodel functionality, utility, and evaluation of simulated global river\ndischarge and irrigation water use. This new version adds a novel suite of\nwater source tracking modules that enable the analysis of flow-path histories on water supply. A key feature of WBM v.1.0.0 is the ability to identify the partitioning of sources for each stock or flux within the model. Three different categories of tracking are available: (1) primary inputs of water to the surface of the terrestrial hydrologic cycle (liquid precipitation, snowmelt, glacier melt, and unsustainable groundwater); (2) water that has been extracted for human use and returned to the terrestrial hydrologic system; and (3) runoff originating from user-defined spatial land units. Such component tracking provides a more fully transparent model in that users can identify the underlying mechanisms generating the simulated behavior. We find that WBM v.1.0.0 simulates global river discharge and irrigation water withdrawals well, even with default parameter settings, and for the first time, we are able to show how the simulation arrives at these fluxes by using the novel tracking functions.","container-title":"Geoscientific Model Development","DOI":"10.5194/gmd-15-7287-2022","ISSN":"1991-9603","issue":"19","journalAbbreviation":"Geosci. Model Dev.","language":"en","license":"https://creativecommons.org/licenses/by/4.0/","page":"7287-7323","source":"DOI.org (Crossref)","title":"Water balance model (WBM) v.1.0.0: a scalable gridded global hydrologic model with water-tracking functionality","title-short":"Water balance model (WBM) v.1.0.0","volume":"15","author":[{"family":"Grogan","given":"Danielle S."},{"family":"Zuidema","given":"Shan"},{"family":"Prusevich","given":"Alex"},{"family":"Wollheim","given":"Wilfred M."},{"family":"Glidden","given":"Stanley"},{"family":"Lammers","given":"Richard B."}],"issued":{"date-parts":[["2022",10,4]]}}}],"schema":"https://github.com/citation-style-language/schema/raw/master/csl-citation.json"} </w:instrText>
      </w:r>
      <w:r w:rsidR="00F94665">
        <w:rPr>
          <w:szCs w:val="24"/>
        </w:rPr>
        <w:fldChar w:fldCharType="separate"/>
      </w:r>
      <w:r w:rsidR="00767B7C" w:rsidRPr="00767B7C">
        <w:t>(Grogan et al.)</w:t>
      </w:r>
      <w:r w:rsidR="00F94665">
        <w:rPr>
          <w:szCs w:val="24"/>
        </w:rPr>
        <w:fldChar w:fldCharType="end"/>
      </w:r>
      <w:r w:rsidRPr="00D84450">
        <w:rPr>
          <w:szCs w:val="24"/>
        </w:rPr>
        <w:t>. Hydrological linkages determine changes in downstream surface water availability.</w:t>
      </w:r>
      <w:r w:rsidR="00F94665">
        <w:rPr>
          <w:szCs w:val="24"/>
        </w:rPr>
        <w:t xml:space="preserve"> </w:t>
      </w:r>
      <w:r w:rsidRPr="00D84450">
        <w:rPr>
          <w:szCs w:val="24"/>
        </w:rPr>
        <w:t>Production outcomes are resolved at a fine spatial scale</w:t>
      </w:r>
      <w:r w:rsidR="00F94665">
        <w:rPr>
          <w:szCs w:val="24"/>
        </w:rPr>
        <w:t xml:space="preserve"> (more than 50,000 grid cells)</w:t>
      </w:r>
      <w:r w:rsidRPr="00D84450">
        <w:rPr>
          <w:szCs w:val="24"/>
        </w:rPr>
        <w:t xml:space="preserve"> and decomposed into the six margins defined above. Land use, irrigation status, and crop choice respond endogenously to relative prices, water availability, and local biophysical suitability. Market clearing ensures consistency between local production decisions and regional demand.</w:t>
      </w:r>
    </w:p>
    <w:p w14:paraId="57E69227" w14:textId="465EF7B3" w:rsidR="005869B9" w:rsidRPr="00D84450" w:rsidRDefault="005869B9" w:rsidP="005869B9">
      <w:pPr>
        <w:pStyle w:val="Heading2"/>
        <w:rPr>
          <w:szCs w:val="24"/>
        </w:rPr>
      </w:pPr>
      <w:r w:rsidRPr="00D84450">
        <w:rPr>
          <w:szCs w:val="24"/>
        </w:rPr>
        <w:t>5. Results</w:t>
      </w:r>
      <w:r w:rsidR="00F94665" w:rsidRPr="00F94665">
        <w:rPr>
          <w:szCs w:val="24"/>
        </w:rPr>
        <w:t xml:space="preserve"> </w:t>
      </w:r>
      <w:r w:rsidR="00F94665">
        <w:rPr>
          <w:szCs w:val="24"/>
        </w:rPr>
        <w:t xml:space="preserve">and </w:t>
      </w:r>
      <w:r w:rsidR="00F94665" w:rsidRPr="00D84450">
        <w:rPr>
          <w:szCs w:val="24"/>
        </w:rPr>
        <w:t>Discussion</w:t>
      </w:r>
    </w:p>
    <w:p w14:paraId="62E58C98" w14:textId="370F0781" w:rsidR="005869B9" w:rsidRPr="00D84450" w:rsidRDefault="00F94665" w:rsidP="00F94665">
      <w:pPr>
        <w:rPr>
          <w:szCs w:val="24"/>
        </w:rPr>
      </w:pPr>
      <w:r>
        <w:rPr>
          <w:szCs w:val="24"/>
        </w:rPr>
        <w:t>We expect</w:t>
      </w:r>
      <w:r w:rsidR="005869B9" w:rsidRPr="00D84450">
        <w:rPr>
          <w:szCs w:val="24"/>
        </w:rPr>
        <w:t xml:space="preserve"> that restricting groundwater access will initially induce substitution toward alternative irrigation sources where available. Once this margin is exhausted, producers shift toward rainfed production, adjust crop mixes toward less water-intensive crops, and reduce input intensity. Spatial relocation emerges as production moves toward regions with better surface water access.</w:t>
      </w:r>
      <w:r>
        <w:rPr>
          <w:szCs w:val="24"/>
        </w:rPr>
        <w:t xml:space="preserve"> </w:t>
      </w:r>
      <w:r w:rsidR="005869B9" w:rsidRPr="00D84450">
        <w:rPr>
          <w:szCs w:val="24"/>
        </w:rPr>
        <w:t xml:space="preserve">We expect that ignoring downstream surface water effects will </w:t>
      </w:r>
      <w:r>
        <w:rPr>
          <w:szCs w:val="24"/>
        </w:rPr>
        <w:t>affect</w:t>
      </w:r>
      <w:r w:rsidR="005869B9" w:rsidRPr="00D84450">
        <w:rPr>
          <w:szCs w:val="24"/>
        </w:rPr>
        <w:t xml:space="preserve"> adaptive capacity in upstream regions. Market-mediated responses are likely to smooth aggregate output losses but increase exposure to rainfall variability, introducing new forms of risk not captured by average production metrics.</w:t>
      </w:r>
      <w:r>
        <w:rPr>
          <w:szCs w:val="24"/>
        </w:rPr>
        <w:t xml:space="preserve"> We have identified multiple indirect spill-over mechanisms that are difficult to capture in analytical studies.</w:t>
      </w:r>
    </w:p>
    <w:p w14:paraId="30754D0F" w14:textId="27DB5345" w:rsidR="005869B9" w:rsidRPr="00D84450" w:rsidRDefault="005869B9" w:rsidP="00F94665">
      <w:pPr>
        <w:rPr>
          <w:szCs w:val="24"/>
        </w:rPr>
      </w:pPr>
      <w:r w:rsidRPr="00D84450">
        <w:rPr>
          <w:szCs w:val="24"/>
        </w:rPr>
        <w:t>Apparent resilience in aggregate output may conceal increased volatility and regional vulnerability. For policy, this underscores the need to evaluate groundwater conservation not only in terms of mean production effects but also in terms of redistribution.</w:t>
      </w:r>
      <w:r w:rsidR="00F94665">
        <w:rPr>
          <w:szCs w:val="24"/>
        </w:rPr>
        <w:t xml:space="preserve"> T</w:t>
      </w:r>
      <w:r w:rsidRPr="00D84450">
        <w:rPr>
          <w:szCs w:val="24"/>
        </w:rPr>
        <w:t>he findings argue for richer representation of water constraints and adaptation margins. Explicit decomposition improves both credibility and interpretability, and it provides a bridge between fine-scale biophysical processes and global economic analysis. As water scarcity intensifies, such approaches will be essential for robust policy assessment.</w:t>
      </w:r>
    </w:p>
    <w:tbl>
      <w:tblPr>
        <w:tblStyle w:val="TableGrid"/>
        <w:tblW w:w="0" w:type="auto"/>
        <w:tblLook w:val="04A0" w:firstRow="1" w:lastRow="0" w:firstColumn="1" w:lastColumn="0" w:noHBand="0" w:noVBand="1"/>
      </w:tblPr>
      <w:tblGrid>
        <w:gridCol w:w="4238"/>
        <w:gridCol w:w="5112"/>
      </w:tblGrid>
      <w:tr w:rsidR="00767B7C" w14:paraId="235B1E4D" w14:textId="77777777" w:rsidTr="00767B7C">
        <w:tc>
          <w:tcPr>
            <w:tcW w:w="4675" w:type="dxa"/>
          </w:tcPr>
          <w:p w14:paraId="4F052795" w14:textId="550DA2A2" w:rsidR="00767B7C" w:rsidRDefault="00767B7C" w:rsidP="00767B7C">
            <w:pPr>
              <w:jc w:val="center"/>
              <w:rPr>
                <w:szCs w:val="24"/>
              </w:rPr>
            </w:pPr>
            <w:r>
              <w:rPr>
                <w:noProof/>
              </w:rPr>
              <w:drawing>
                <wp:inline distT="0" distB="0" distL="0" distR="0" wp14:anchorId="07250E67" wp14:editId="1EA7A29D">
                  <wp:extent cx="2160788" cy="2658114"/>
                  <wp:effectExtent l="0" t="0" r="0" b="889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96DAC541-7B7A-43D3-8B79-37D633B846F1}">
                                <asvg:svgBlip xmlns:asvg="http://schemas.microsoft.com/office/drawing/2016/SVG/main" r:embed="rId8"/>
                              </a:ext>
                            </a:extLst>
                          </a:blip>
                          <a:srcRect r="57485" b="7023"/>
                          <a:stretch>
                            <a:fillRect/>
                          </a:stretch>
                        </pic:blipFill>
                        <pic:spPr bwMode="auto">
                          <a:xfrm>
                            <a:off x="0" y="0"/>
                            <a:ext cx="2168976" cy="2668187"/>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13CC6569" w14:textId="0B39FEF2" w:rsidR="00767B7C" w:rsidRDefault="00767B7C" w:rsidP="00767B7C">
            <w:pPr>
              <w:jc w:val="center"/>
              <w:rPr>
                <w:szCs w:val="24"/>
              </w:rPr>
            </w:pPr>
            <w:r>
              <w:rPr>
                <w:noProof/>
              </w:rPr>
              <w:drawing>
                <wp:inline distT="0" distB="0" distL="0" distR="0" wp14:anchorId="4AF64482" wp14:editId="23AA05F8">
                  <wp:extent cx="3108960" cy="2664873"/>
                  <wp:effectExtent l="0" t="0" r="0" b="2540"/>
                  <wp:docPr id="5" name="Picture 4">
                    <a:extLst xmlns:a="http://schemas.openxmlformats.org/drawingml/2006/main">
                      <a:ext uri="{FF2B5EF4-FFF2-40B4-BE49-F238E27FC236}">
                        <a16:creationId xmlns:a16="http://schemas.microsoft.com/office/drawing/2014/main" id="{52D3FB77-EAB2-461C-84CC-0A54C080D0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2D3FB77-EAB2-461C-84CC-0A54C080D0E4}"/>
                              </a:ext>
                            </a:extLst>
                          </pic:cNvPr>
                          <pic:cNvPicPr>
                            <a:picLocks noChangeAspect="1"/>
                          </pic:cNvPicPr>
                        </pic:nvPicPr>
                        <pic:blipFill>
                          <a:blip r:embed="rId9"/>
                          <a:stretch>
                            <a:fillRect/>
                          </a:stretch>
                        </pic:blipFill>
                        <pic:spPr>
                          <a:xfrm>
                            <a:off x="0" y="0"/>
                            <a:ext cx="3108960" cy="2664873"/>
                          </a:xfrm>
                          <a:prstGeom prst="rect">
                            <a:avLst/>
                          </a:prstGeom>
                        </pic:spPr>
                      </pic:pic>
                    </a:graphicData>
                  </a:graphic>
                </wp:inline>
              </w:drawing>
            </w:r>
          </w:p>
        </w:tc>
      </w:tr>
      <w:tr w:rsidR="00767B7C" w14:paraId="29406092" w14:textId="77777777" w:rsidTr="00767B7C">
        <w:tc>
          <w:tcPr>
            <w:tcW w:w="4675" w:type="dxa"/>
          </w:tcPr>
          <w:p w14:paraId="79A62971" w14:textId="769ADF7B" w:rsidR="00767B7C" w:rsidRDefault="00767B7C" w:rsidP="00767B7C">
            <w:pPr>
              <w:jc w:val="center"/>
              <w:rPr>
                <w:szCs w:val="24"/>
              </w:rPr>
            </w:pPr>
            <w:r>
              <w:rPr>
                <w:szCs w:val="24"/>
              </w:rPr>
              <w:t xml:space="preserve">Figure </w:t>
            </w:r>
            <w:r>
              <w:rPr>
                <w:szCs w:val="24"/>
              </w:rPr>
              <w:t>1</w:t>
            </w:r>
            <w:r>
              <w:rPr>
                <w:szCs w:val="24"/>
              </w:rPr>
              <w:t>.</w:t>
            </w:r>
            <w:r>
              <w:rPr>
                <w:szCs w:val="24"/>
              </w:rPr>
              <w:t xml:space="preserve"> Inputs for experiment design</w:t>
            </w:r>
          </w:p>
        </w:tc>
        <w:tc>
          <w:tcPr>
            <w:tcW w:w="4675" w:type="dxa"/>
          </w:tcPr>
          <w:p w14:paraId="7690BA1A" w14:textId="76E9F14C" w:rsidR="00767B7C" w:rsidRDefault="00767B7C" w:rsidP="00767B7C">
            <w:pPr>
              <w:jc w:val="center"/>
              <w:rPr>
                <w:szCs w:val="24"/>
              </w:rPr>
            </w:pPr>
            <w:r>
              <w:rPr>
                <w:szCs w:val="24"/>
              </w:rPr>
              <w:t xml:space="preserve">Figure </w:t>
            </w:r>
            <w:r>
              <w:rPr>
                <w:szCs w:val="24"/>
              </w:rPr>
              <w:t>2</w:t>
            </w:r>
            <w:r>
              <w:rPr>
                <w:szCs w:val="24"/>
              </w:rPr>
              <w:t>. Estimated impact of policy on land area</w:t>
            </w:r>
          </w:p>
        </w:tc>
      </w:tr>
    </w:tbl>
    <w:p w14:paraId="06E9BFF5" w14:textId="74A76713" w:rsidR="00F94665" w:rsidRDefault="00F94665" w:rsidP="00F94665">
      <w:pPr>
        <w:pStyle w:val="Heading2"/>
      </w:pPr>
      <w:r>
        <w:t>References</w:t>
      </w:r>
    </w:p>
    <w:p w14:paraId="263EE461" w14:textId="77777777" w:rsidR="00767B7C" w:rsidRPr="00767B7C" w:rsidRDefault="00F94665" w:rsidP="00767B7C">
      <w:pPr>
        <w:pStyle w:val="Bibliography"/>
      </w:pPr>
      <w:r>
        <w:rPr>
          <w:szCs w:val="24"/>
        </w:rPr>
        <w:fldChar w:fldCharType="begin"/>
      </w:r>
      <w:r w:rsidR="00767B7C">
        <w:rPr>
          <w:szCs w:val="24"/>
        </w:rPr>
        <w:instrText xml:space="preserve"> ADDIN ZOTERO_BIBL {"uncited":[],"omitted":[],"custom":[]} CSL_BIBLIOGRAPHY </w:instrText>
      </w:r>
      <w:r>
        <w:rPr>
          <w:szCs w:val="24"/>
        </w:rPr>
        <w:fldChar w:fldCharType="separate"/>
      </w:r>
      <w:r w:rsidR="00767B7C" w:rsidRPr="00767B7C">
        <w:t xml:space="preserve">Berrittella, Maria, et al. “The Economic Impact of Restricted Water Supply: A Computable General Equilibrium Analysis.” </w:t>
      </w:r>
      <w:r w:rsidR="00767B7C" w:rsidRPr="00767B7C">
        <w:rPr>
          <w:i/>
          <w:iCs/>
        </w:rPr>
        <w:t>Water Research</w:t>
      </w:r>
      <w:r w:rsidR="00767B7C" w:rsidRPr="00767B7C">
        <w:t xml:space="preserve">, vol. 41, no. 8, Apr. 2007, pp. 1799–813. </w:t>
      </w:r>
      <w:r w:rsidR="00767B7C" w:rsidRPr="00767B7C">
        <w:rPr>
          <w:i/>
          <w:iCs/>
        </w:rPr>
        <w:t>DOI.org (Crossref)</w:t>
      </w:r>
      <w:r w:rsidR="00767B7C" w:rsidRPr="00767B7C">
        <w:t>, https://doi.org/10.1016/j.watres.2007.01.010.</w:t>
      </w:r>
    </w:p>
    <w:p w14:paraId="55CC19B4" w14:textId="77777777" w:rsidR="00767B7C" w:rsidRPr="00767B7C" w:rsidRDefault="00767B7C" w:rsidP="00767B7C">
      <w:pPr>
        <w:pStyle w:val="Bibliography"/>
      </w:pPr>
      <w:r w:rsidRPr="00767B7C">
        <w:t xml:space="preserve">Calzadilla, Alvaro, et al. “Review of CGE Models of Water Issues.” </w:t>
      </w:r>
      <w:r w:rsidRPr="00767B7C">
        <w:rPr>
          <w:i/>
          <w:iCs/>
        </w:rPr>
        <w:t>The WSPC Reference on Natural Resources and Environmental Policy in the Era of Global Change</w:t>
      </w:r>
      <w:r w:rsidRPr="00767B7C">
        <w:t xml:space="preserve">, edited by Calzadilla Alvaro et al., WORLD SCIENTIFIC, 2016, pp. 101–23. 4 vols. </w:t>
      </w:r>
      <w:r w:rsidRPr="00767B7C">
        <w:rPr>
          <w:i/>
          <w:iCs/>
        </w:rPr>
        <w:t>worldscientific.com (Atypon)</w:t>
      </w:r>
      <w:r w:rsidRPr="00767B7C">
        <w:t>, https://doi.org/10.1142/9789813208179_0004.</w:t>
      </w:r>
    </w:p>
    <w:p w14:paraId="1202FEA3" w14:textId="77777777" w:rsidR="00767B7C" w:rsidRPr="00767B7C" w:rsidRDefault="00767B7C" w:rsidP="00767B7C">
      <w:pPr>
        <w:pStyle w:val="Bibliography"/>
      </w:pPr>
      <w:r w:rsidRPr="00767B7C">
        <w:t xml:space="preserve">Grogan, Danielle S., et al. “Water Balance Model (WBM) v.1.0.0: A Scalable Gridded Global Hydrologic Model with Water-Tracking Functionality.” </w:t>
      </w:r>
      <w:r w:rsidRPr="00767B7C">
        <w:rPr>
          <w:i/>
          <w:iCs/>
        </w:rPr>
        <w:t>Geoscientific Model Development</w:t>
      </w:r>
      <w:r w:rsidRPr="00767B7C">
        <w:t xml:space="preserve">, vol. 15, no. 19, Oct. 2022, pp. 7287–323. </w:t>
      </w:r>
      <w:r w:rsidRPr="00767B7C">
        <w:rPr>
          <w:i/>
          <w:iCs/>
        </w:rPr>
        <w:t>DOI.org (Crossref)</w:t>
      </w:r>
      <w:r w:rsidRPr="00767B7C">
        <w:t>, https://doi.org/10.5194/gmd-15-7287-2022.</w:t>
      </w:r>
    </w:p>
    <w:p w14:paraId="17EF6A71" w14:textId="77777777" w:rsidR="00767B7C" w:rsidRPr="00767B7C" w:rsidRDefault="00767B7C" w:rsidP="00767B7C">
      <w:pPr>
        <w:pStyle w:val="Bibliography"/>
      </w:pPr>
      <w:r w:rsidRPr="00767B7C">
        <w:t xml:space="preserve">Haqiqi, Iman, et al. “Global Groundwater Sustainability and Virtual Water Trade.” </w:t>
      </w:r>
      <w:r w:rsidRPr="00767B7C">
        <w:rPr>
          <w:i/>
          <w:iCs/>
        </w:rPr>
        <w:t>SIMPLE-G</w:t>
      </w:r>
      <w:r w:rsidRPr="00767B7C">
        <w:t xml:space="preserve">, edited by Iman Haqiqi and Thomas W. Hertel, Springer Nature Switzerland, 2025, pp. 253–82. </w:t>
      </w:r>
      <w:r w:rsidRPr="00767B7C">
        <w:rPr>
          <w:i/>
          <w:iCs/>
        </w:rPr>
        <w:t>DOI.org (Crossref)</w:t>
      </w:r>
      <w:r w:rsidRPr="00767B7C">
        <w:t>, https://doi.org/10.1007/978-3-031-68054-0_16.</w:t>
      </w:r>
    </w:p>
    <w:p w14:paraId="56D31F81" w14:textId="77777777" w:rsidR="00767B7C" w:rsidRPr="00767B7C" w:rsidRDefault="00767B7C" w:rsidP="00767B7C">
      <w:pPr>
        <w:pStyle w:val="Bibliography"/>
      </w:pPr>
      <w:r w:rsidRPr="00767B7C">
        <w:t xml:space="preserve">Harou, Julien J., et al. “Hydro-Economic Models: Concepts, Design, Applications, and Future Prospects.” </w:t>
      </w:r>
      <w:r w:rsidRPr="00767B7C">
        <w:rPr>
          <w:i/>
          <w:iCs/>
        </w:rPr>
        <w:t>Journal of Hydrology</w:t>
      </w:r>
      <w:r w:rsidRPr="00767B7C">
        <w:t xml:space="preserve">, vol. 375, nos. 3–4, Sept. 2009, pp. 627–43. </w:t>
      </w:r>
      <w:r w:rsidRPr="00767B7C">
        <w:rPr>
          <w:i/>
          <w:iCs/>
        </w:rPr>
        <w:t>DOI.org (Crossref)</w:t>
      </w:r>
      <w:r w:rsidRPr="00767B7C">
        <w:t>, https://doi.org/10.1016/j.jhydrol.2009.06.037.</w:t>
      </w:r>
    </w:p>
    <w:p w14:paraId="7C6C8960" w14:textId="77777777" w:rsidR="00767B7C" w:rsidRPr="00767B7C" w:rsidRDefault="00767B7C" w:rsidP="00767B7C">
      <w:pPr>
        <w:pStyle w:val="Bibliography"/>
      </w:pPr>
      <w:r w:rsidRPr="00767B7C">
        <w:t xml:space="preserve">Koopman, Jason, et al. </w:t>
      </w:r>
      <w:r w:rsidRPr="00767B7C">
        <w:rPr>
          <w:i/>
          <w:iCs/>
        </w:rPr>
        <w:t>The Economic Impact of Irrigation Water Scarcity from Climate Change: A CGE Analysis Distinguishing between Surface and Ground Water</w:t>
      </w:r>
      <w:r w:rsidRPr="00767B7C">
        <w:t xml:space="preserve">. 2017. </w:t>
      </w:r>
      <w:r w:rsidRPr="00767B7C">
        <w:rPr>
          <w:i/>
          <w:iCs/>
        </w:rPr>
        <w:t>Google Scholar</w:t>
      </w:r>
      <w:r w:rsidRPr="00767B7C">
        <w:t>, https://ageconsearch.umn.edu/record/332884/.</w:t>
      </w:r>
    </w:p>
    <w:p w14:paraId="6ADF2F31" w14:textId="77777777" w:rsidR="00767B7C" w:rsidRPr="00767B7C" w:rsidRDefault="00767B7C" w:rsidP="00767B7C">
      <w:pPr>
        <w:pStyle w:val="Bibliography"/>
      </w:pPr>
      <w:r w:rsidRPr="00767B7C">
        <w:t xml:space="preserve">Liu, Jing, et al. “Analyzing Future Water Scarcity in Computable General Equilibrium Models.” </w:t>
      </w:r>
      <w:r w:rsidRPr="00767B7C">
        <w:rPr>
          <w:i/>
          <w:iCs/>
        </w:rPr>
        <w:t>Water Economics and Policy</w:t>
      </w:r>
      <w:r w:rsidRPr="00767B7C">
        <w:t xml:space="preserve">, vol. 02, no. 04, Dec. 2016, p. 1650006. </w:t>
      </w:r>
      <w:r w:rsidRPr="00767B7C">
        <w:rPr>
          <w:i/>
          <w:iCs/>
        </w:rPr>
        <w:t>DOI.org (Crossref)</w:t>
      </w:r>
      <w:r w:rsidRPr="00767B7C">
        <w:t>, https://doi.org/10.1142/S2382624X16500065.</w:t>
      </w:r>
    </w:p>
    <w:p w14:paraId="0F226CCE" w14:textId="77777777" w:rsidR="00767B7C" w:rsidRPr="00767B7C" w:rsidRDefault="00767B7C" w:rsidP="00767B7C">
      <w:pPr>
        <w:pStyle w:val="Bibliography"/>
      </w:pPr>
      <w:r w:rsidRPr="00767B7C">
        <w:t xml:space="preserve">Ponce, Roberto, et al. </w:t>
      </w:r>
      <w:r w:rsidRPr="00767B7C">
        <w:rPr>
          <w:i/>
          <w:iCs/>
        </w:rPr>
        <w:t>Integrating Water Resources into Computable General Equilibrium Models-a Survey</w:t>
      </w:r>
      <w:r w:rsidRPr="00767B7C">
        <w:t xml:space="preserve">. 2012. </w:t>
      </w:r>
      <w:r w:rsidRPr="00767B7C">
        <w:rPr>
          <w:i/>
          <w:iCs/>
        </w:rPr>
        <w:t>Google Scholar</w:t>
      </w:r>
      <w:r w:rsidRPr="00767B7C">
        <w:t>, https://services.bepress.com/feem/paper708/.</w:t>
      </w:r>
    </w:p>
    <w:p w14:paraId="36B4D402" w14:textId="77777777" w:rsidR="00767B7C" w:rsidRPr="00767B7C" w:rsidRDefault="00767B7C" w:rsidP="00767B7C">
      <w:pPr>
        <w:pStyle w:val="Bibliography"/>
      </w:pPr>
      <w:r w:rsidRPr="00767B7C">
        <w:t xml:space="preserve">Rodell, Matthew, et al. “Satellite-Based Estimates of Groundwater Depletion in India.” </w:t>
      </w:r>
      <w:r w:rsidRPr="00767B7C">
        <w:rPr>
          <w:i/>
          <w:iCs/>
        </w:rPr>
        <w:t>Nature</w:t>
      </w:r>
      <w:r w:rsidRPr="00767B7C">
        <w:t xml:space="preserve">, vol. 460, no. 7258, Aug. 2009, pp. 999–1002. </w:t>
      </w:r>
      <w:r w:rsidRPr="00767B7C">
        <w:rPr>
          <w:i/>
          <w:iCs/>
        </w:rPr>
        <w:t>DOI.org (Crossref)</w:t>
      </w:r>
      <w:r w:rsidRPr="00767B7C">
        <w:t>, https://doi.org/10.1038/nature08238.</w:t>
      </w:r>
    </w:p>
    <w:p w14:paraId="52361AE8" w14:textId="77777777" w:rsidR="00767B7C" w:rsidRPr="00767B7C" w:rsidRDefault="00767B7C" w:rsidP="00767B7C">
      <w:pPr>
        <w:pStyle w:val="Bibliography"/>
      </w:pPr>
      <w:r w:rsidRPr="00767B7C">
        <w:t xml:space="preserve">Sekhri, Sheetal. “Wells, Water, and Welfare: The Impact of Access to Groundwater on Rural Poverty and Conflict.” </w:t>
      </w:r>
      <w:r w:rsidRPr="00767B7C">
        <w:rPr>
          <w:i/>
          <w:iCs/>
        </w:rPr>
        <w:t>American Economic Journal: Applied Economics</w:t>
      </w:r>
      <w:r w:rsidRPr="00767B7C">
        <w:t xml:space="preserve">, vol. 6, no. 3, July 2014, pp. 76–102. </w:t>
      </w:r>
      <w:r w:rsidRPr="00767B7C">
        <w:rPr>
          <w:i/>
          <w:iCs/>
        </w:rPr>
        <w:t>DOI.org (Crossref)</w:t>
      </w:r>
      <w:r w:rsidRPr="00767B7C">
        <w:t>, https://doi.org/10.1257/app.6.3.76.</w:t>
      </w:r>
    </w:p>
    <w:p w14:paraId="5280862D" w14:textId="2B9F4369" w:rsidR="00F94665" w:rsidRPr="00D84450" w:rsidRDefault="00767B7C" w:rsidP="00767B7C">
      <w:pPr>
        <w:pStyle w:val="Bibliography"/>
        <w:rPr>
          <w:szCs w:val="24"/>
        </w:rPr>
      </w:pPr>
      <w:r w:rsidRPr="00767B7C">
        <w:t xml:space="preserve">Shah, T. “Groundwater and Human Development: Challenges and Opportunities in Livelihoods and Environment.” </w:t>
      </w:r>
      <w:r w:rsidRPr="00767B7C">
        <w:rPr>
          <w:i/>
          <w:iCs/>
        </w:rPr>
        <w:t>Water Science and Technology</w:t>
      </w:r>
      <w:r w:rsidRPr="00767B7C">
        <w:t xml:space="preserve">, vol. 51, no. 8, Apr. 2005, pp. 27–37. </w:t>
      </w:r>
      <w:r w:rsidRPr="00767B7C">
        <w:rPr>
          <w:i/>
          <w:iCs/>
        </w:rPr>
        <w:t>DOI.org (Crossref)</w:t>
      </w:r>
      <w:r w:rsidRPr="00767B7C">
        <w:t>, https://doi.org/10.2166/wst.2005.0217.</w:t>
      </w:r>
      <w:r w:rsidR="00F94665">
        <w:rPr>
          <w:szCs w:val="24"/>
        </w:rPr>
        <w:fldChar w:fldCharType="end"/>
      </w:r>
    </w:p>
    <w:sectPr w:rsidR="00F94665" w:rsidRPr="00D8445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D3277" w14:textId="77777777" w:rsidR="00161749" w:rsidRDefault="00161749" w:rsidP="00D129CE">
      <w:pPr>
        <w:spacing w:after="0" w:line="240" w:lineRule="auto"/>
      </w:pPr>
      <w:r>
        <w:separator/>
      </w:r>
    </w:p>
  </w:endnote>
  <w:endnote w:type="continuationSeparator" w:id="0">
    <w:p w14:paraId="04F19B8B" w14:textId="77777777" w:rsidR="00161749" w:rsidRDefault="00161749" w:rsidP="00D12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523641"/>
      <w:docPartObj>
        <w:docPartGallery w:val="Page Numbers (Bottom of Page)"/>
        <w:docPartUnique/>
      </w:docPartObj>
    </w:sdtPr>
    <w:sdtEndPr>
      <w:rPr>
        <w:noProof/>
      </w:rPr>
    </w:sdtEndPr>
    <w:sdtContent>
      <w:p w14:paraId="1BC76C22" w14:textId="3565470C" w:rsidR="00D129CE" w:rsidRDefault="00D129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E9EDC4" w14:textId="77777777" w:rsidR="00D129CE" w:rsidRDefault="00D12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1A408" w14:textId="77777777" w:rsidR="00161749" w:rsidRDefault="00161749" w:rsidP="00D129CE">
      <w:pPr>
        <w:spacing w:after="0" w:line="240" w:lineRule="auto"/>
      </w:pPr>
      <w:r>
        <w:separator/>
      </w:r>
    </w:p>
  </w:footnote>
  <w:footnote w:type="continuationSeparator" w:id="0">
    <w:p w14:paraId="39BA2CA5" w14:textId="77777777" w:rsidR="00161749" w:rsidRDefault="00161749" w:rsidP="00D12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50817"/>
    <w:multiLevelType w:val="hybridMultilevel"/>
    <w:tmpl w:val="23083488"/>
    <w:lvl w:ilvl="0" w:tplc="A0D0C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926FE4"/>
    <w:multiLevelType w:val="multilevel"/>
    <w:tmpl w:val="9ECA1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90E6D"/>
    <w:multiLevelType w:val="hybridMultilevel"/>
    <w:tmpl w:val="5598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014572">
    <w:abstractNumId w:val="0"/>
  </w:num>
  <w:num w:numId="2" w16cid:durableId="1971131384">
    <w:abstractNumId w:val="1"/>
  </w:num>
  <w:num w:numId="3" w16cid:durableId="365570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BB4"/>
    <w:rsid w:val="00000D74"/>
    <w:rsid w:val="00161749"/>
    <w:rsid w:val="00283FA5"/>
    <w:rsid w:val="002A5054"/>
    <w:rsid w:val="003C3C1D"/>
    <w:rsid w:val="003D68BE"/>
    <w:rsid w:val="005869B9"/>
    <w:rsid w:val="005D1BB4"/>
    <w:rsid w:val="0062731E"/>
    <w:rsid w:val="00646BF5"/>
    <w:rsid w:val="00671AE3"/>
    <w:rsid w:val="006A5196"/>
    <w:rsid w:val="006E0CA8"/>
    <w:rsid w:val="00767B7C"/>
    <w:rsid w:val="00844224"/>
    <w:rsid w:val="00881B99"/>
    <w:rsid w:val="00883C40"/>
    <w:rsid w:val="00AA1754"/>
    <w:rsid w:val="00AE3EC2"/>
    <w:rsid w:val="00C042D7"/>
    <w:rsid w:val="00CC7028"/>
    <w:rsid w:val="00D129CE"/>
    <w:rsid w:val="00D45393"/>
    <w:rsid w:val="00D724D4"/>
    <w:rsid w:val="00D84450"/>
    <w:rsid w:val="00E6161E"/>
    <w:rsid w:val="00F252B4"/>
    <w:rsid w:val="00F26182"/>
    <w:rsid w:val="00F946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659F1"/>
  <w15:chartTrackingRefBased/>
  <w15:docId w15:val="{60D0A3B0-DEBA-46C5-B1D3-DC39E74CA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028"/>
    <w:pPr>
      <w:spacing w:line="264" w:lineRule="auto"/>
    </w:pPr>
    <w:rPr>
      <w:rFonts w:ascii="Garamond" w:hAnsi="Garamond"/>
    </w:rPr>
  </w:style>
  <w:style w:type="paragraph" w:styleId="Heading1">
    <w:name w:val="heading 1"/>
    <w:basedOn w:val="Normal"/>
    <w:next w:val="Normal"/>
    <w:link w:val="Heading1Char"/>
    <w:uiPriority w:val="9"/>
    <w:qFormat/>
    <w:rsid w:val="00C042D7"/>
    <w:pPr>
      <w:keepNext/>
      <w:keepLines/>
      <w:spacing w:before="120" w:after="120"/>
      <w:outlineLvl w:val="0"/>
    </w:pPr>
    <w:rPr>
      <w:rFonts w:ascii="Times New Roman" w:eastAsiaTheme="majorEastAsia" w:hAnsi="Times New Roman"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C042D7"/>
    <w:pPr>
      <w:keepNext/>
      <w:keepLines/>
      <w:spacing w:before="40" w:after="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D129CE"/>
    <w:pPr>
      <w:keepNext/>
      <w:keepLines/>
      <w:spacing w:before="40" w:after="0"/>
      <w:outlineLvl w:val="2"/>
    </w:pPr>
    <w:rPr>
      <w:rFonts w:eastAsiaTheme="majorEastAsia" w:cstheme="majorBidi"/>
      <w:i/>
      <w:color w:val="1F3763" w:themeColor="accent1" w:themeShade="7F"/>
      <w:szCs w:val="24"/>
    </w:rPr>
  </w:style>
  <w:style w:type="paragraph" w:styleId="Heading4">
    <w:name w:val="heading 4"/>
    <w:basedOn w:val="Normal"/>
    <w:next w:val="Normal"/>
    <w:link w:val="Heading4Char"/>
    <w:uiPriority w:val="9"/>
    <w:semiHidden/>
    <w:unhideWhenUsed/>
    <w:qFormat/>
    <w:rsid w:val="00883C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1BB4"/>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C042D7"/>
    <w:rPr>
      <w:rFonts w:ascii="Times New Roman" w:eastAsiaTheme="majorEastAsia" w:hAnsi="Times New Roman" w:cstheme="majorBidi"/>
      <w:b/>
      <w:color w:val="2F5496" w:themeColor="accent1" w:themeShade="BF"/>
      <w:sz w:val="28"/>
      <w:szCs w:val="32"/>
    </w:rPr>
  </w:style>
  <w:style w:type="character" w:customStyle="1" w:styleId="Heading2Char">
    <w:name w:val="Heading 2 Char"/>
    <w:basedOn w:val="DefaultParagraphFont"/>
    <w:link w:val="Heading2"/>
    <w:uiPriority w:val="9"/>
    <w:rsid w:val="00C042D7"/>
    <w:rPr>
      <w:rFonts w:ascii="Garamond" w:eastAsiaTheme="majorEastAsia" w:hAnsi="Garamond" w:cstheme="majorBidi"/>
      <w:b/>
      <w:color w:val="2F5496" w:themeColor="accent1" w:themeShade="BF"/>
      <w:sz w:val="24"/>
      <w:szCs w:val="26"/>
    </w:rPr>
  </w:style>
  <w:style w:type="character" w:customStyle="1" w:styleId="Heading3Char">
    <w:name w:val="Heading 3 Char"/>
    <w:basedOn w:val="DefaultParagraphFont"/>
    <w:link w:val="Heading3"/>
    <w:uiPriority w:val="9"/>
    <w:rsid w:val="00D129CE"/>
    <w:rPr>
      <w:rFonts w:ascii="Times New Roman" w:eastAsiaTheme="majorEastAsia" w:hAnsi="Times New Roman" w:cstheme="majorBidi"/>
      <w:i/>
      <w:color w:val="1F3763" w:themeColor="accent1" w:themeShade="7F"/>
      <w:sz w:val="24"/>
      <w:szCs w:val="24"/>
    </w:rPr>
  </w:style>
  <w:style w:type="character" w:customStyle="1" w:styleId="Heading4Char">
    <w:name w:val="Heading 4 Char"/>
    <w:basedOn w:val="DefaultParagraphFont"/>
    <w:link w:val="Heading4"/>
    <w:uiPriority w:val="9"/>
    <w:semiHidden/>
    <w:rsid w:val="00883C40"/>
    <w:rPr>
      <w:rFonts w:asciiTheme="majorHAnsi" w:eastAsiaTheme="majorEastAsia" w:hAnsiTheme="majorHAnsi" w:cstheme="majorBidi"/>
      <w:i/>
      <w:iCs/>
      <w:color w:val="2F5496" w:themeColor="accent1" w:themeShade="BF"/>
      <w:sz w:val="24"/>
    </w:rPr>
  </w:style>
  <w:style w:type="character" w:styleId="Strong">
    <w:name w:val="Strong"/>
    <w:basedOn w:val="DefaultParagraphFont"/>
    <w:uiPriority w:val="22"/>
    <w:qFormat/>
    <w:rsid w:val="00883C40"/>
    <w:rPr>
      <w:b/>
      <w:bCs/>
    </w:rPr>
  </w:style>
  <w:style w:type="character" w:styleId="Emphasis">
    <w:name w:val="Emphasis"/>
    <w:basedOn w:val="DefaultParagraphFont"/>
    <w:uiPriority w:val="20"/>
    <w:qFormat/>
    <w:rsid w:val="00883C40"/>
    <w:rPr>
      <w:i/>
      <w:iCs/>
    </w:rPr>
  </w:style>
  <w:style w:type="paragraph" w:styleId="Header">
    <w:name w:val="header"/>
    <w:basedOn w:val="Normal"/>
    <w:link w:val="HeaderChar"/>
    <w:uiPriority w:val="99"/>
    <w:unhideWhenUsed/>
    <w:rsid w:val="00D12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9CE"/>
    <w:rPr>
      <w:rFonts w:ascii="Times New Roman" w:hAnsi="Times New Roman"/>
      <w:sz w:val="24"/>
    </w:rPr>
  </w:style>
  <w:style w:type="paragraph" w:styleId="Footer">
    <w:name w:val="footer"/>
    <w:basedOn w:val="Normal"/>
    <w:link w:val="FooterChar"/>
    <w:uiPriority w:val="99"/>
    <w:unhideWhenUsed/>
    <w:rsid w:val="00D12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9CE"/>
    <w:rPr>
      <w:rFonts w:ascii="Times New Roman" w:hAnsi="Times New Roman"/>
      <w:sz w:val="24"/>
    </w:rPr>
  </w:style>
  <w:style w:type="character" w:customStyle="1" w:styleId="largeboldtext">
    <w:name w:val="largeboldtext"/>
    <w:basedOn w:val="DefaultParagraphFont"/>
    <w:rsid w:val="005869B9"/>
  </w:style>
  <w:style w:type="character" w:customStyle="1" w:styleId="largeboldgraytext">
    <w:name w:val="largeboldgraytext"/>
    <w:basedOn w:val="DefaultParagraphFont"/>
    <w:rsid w:val="005869B9"/>
  </w:style>
  <w:style w:type="character" w:styleId="CommentReference">
    <w:name w:val="annotation reference"/>
    <w:basedOn w:val="DefaultParagraphFont"/>
    <w:uiPriority w:val="99"/>
    <w:semiHidden/>
    <w:unhideWhenUsed/>
    <w:rsid w:val="00881B99"/>
    <w:rPr>
      <w:sz w:val="16"/>
      <w:szCs w:val="16"/>
    </w:rPr>
  </w:style>
  <w:style w:type="paragraph" w:styleId="CommentText">
    <w:name w:val="annotation text"/>
    <w:basedOn w:val="Normal"/>
    <w:link w:val="CommentTextChar"/>
    <w:uiPriority w:val="99"/>
    <w:unhideWhenUsed/>
    <w:rsid w:val="00881B99"/>
    <w:pPr>
      <w:spacing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881B99"/>
    <w:rPr>
      <w:kern w:val="2"/>
      <w:sz w:val="20"/>
      <w:szCs w:val="20"/>
      <w14:ligatures w14:val="standardContextual"/>
    </w:rPr>
  </w:style>
  <w:style w:type="paragraph" w:styleId="ListParagraph">
    <w:name w:val="List Paragraph"/>
    <w:basedOn w:val="Normal"/>
    <w:uiPriority w:val="34"/>
    <w:qFormat/>
    <w:rsid w:val="002A5054"/>
    <w:pPr>
      <w:ind w:left="720"/>
      <w:contextualSpacing/>
    </w:pPr>
  </w:style>
  <w:style w:type="paragraph" w:styleId="Bibliography">
    <w:name w:val="Bibliography"/>
    <w:basedOn w:val="Normal"/>
    <w:next w:val="Normal"/>
    <w:uiPriority w:val="37"/>
    <w:unhideWhenUsed/>
    <w:rsid w:val="00767B7C"/>
    <w:pPr>
      <w:spacing w:after="0" w:line="240" w:lineRule="auto"/>
      <w:ind w:left="720" w:hanging="720"/>
    </w:pPr>
  </w:style>
  <w:style w:type="table" w:styleId="TableGrid">
    <w:name w:val="Table Grid"/>
    <w:basedOn w:val="TableNormal"/>
    <w:uiPriority w:val="39"/>
    <w:rsid w:val="00767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78554">
      <w:bodyDiv w:val="1"/>
      <w:marLeft w:val="0"/>
      <w:marRight w:val="0"/>
      <w:marTop w:val="0"/>
      <w:marBottom w:val="0"/>
      <w:divBdr>
        <w:top w:val="none" w:sz="0" w:space="0" w:color="auto"/>
        <w:left w:val="none" w:sz="0" w:space="0" w:color="auto"/>
        <w:bottom w:val="none" w:sz="0" w:space="0" w:color="auto"/>
        <w:right w:val="none" w:sz="0" w:space="0" w:color="auto"/>
      </w:divBdr>
    </w:div>
    <w:div w:id="280844243">
      <w:bodyDiv w:val="1"/>
      <w:marLeft w:val="0"/>
      <w:marRight w:val="0"/>
      <w:marTop w:val="0"/>
      <w:marBottom w:val="0"/>
      <w:divBdr>
        <w:top w:val="none" w:sz="0" w:space="0" w:color="auto"/>
        <w:left w:val="none" w:sz="0" w:space="0" w:color="auto"/>
        <w:bottom w:val="none" w:sz="0" w:space="0" w:color="auto"/>
        <w:right w:val="none" w:sz="0" w:space="0" w:color="auto"/>
      </w:divBdr>
    </w:div>
    <w:div w:id="768811592">
      <w:bodyDiv w:val="1"/>
      <w:marLeft w:val="0"/>
      <w:marRight w:val="0"/>
      <w:marTop w:val="0"/>
      <w:marBottom w:val="0"/>
      <w:divBdr>
        <w:top w:val="none" w:sz="0" w:space="0" w:color="auto"/>
        <w:left w:val="none" w:sz="0" w:space="0" w:color="auto"/>
        <w:bottom w:val="none" w:sz="0" w:space="0" w:color="auto"/>
        <w:right w:val="none" w:sz="0" w:space="0" w:color="auto"/>
      </w:divBdr>
    </w:div>
    <w:div w:id="1310593988">
      <w:bodyDiv w:val="1"/>
      <w:marLeft w:val="0"/>
      <w:marRight w:val="0"/>
      <w:marTop w:val="0"/>
      <w:marBottom w:val="0"/>
      <w:divBdr>
        <w:top w:val="none" w:sz="0" w:space="0" w:color="auto"/>
        <w:left w:val="none" w:sz="0" w:space="0" w:color="auto"/>
        <w:bottom w:val="none" w:sz="0" w:space="0" w:color="auto"/>
        <w:right w:val="none" w:sz="0" w:space="0" w:color="auto"/>
      </w:divBdr>
    </w:div>
    <w:div w:id="168914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4270</Words>
  <Characters>25199</Characters>
  <Application>Microsoft Office Word</Application>
  <DocSecurity>0</DocSecurity>
  <Lines>376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 Haqiqi</dc:creator>
  <cp:keywords/>
  <dc:description/>
  <cp:lastModifiedBy>Iman Haqiqi</cp:lastModifiedBy>
  <cp:revision>3</cp:revision>
  <cp:lastPrinted>2026-01-15T16:08:00Z</cp:lastPrinted>
  <dcterms:created xsi:type="dcterms:W3CDTF">2026-01-16T01:13:00Z</dcterms:created>
  <dcterms:modified xsi:type="dcterms:W3CDTF">2026-01-16T01:50:00Z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id="9wZ2ZJgG"/&gt;&lt;style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