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31D3C" w14:textId="77777777" w:rsidR="009F487F" w:rsidRPr="006B132C" w:rsidRDefault="00583DCD">
      <w:pPr>
        <w:spacing w:after="120"/>
        <w:jc w:val="center"/>
        <w:rPr>
          <w:sz w:val="20"/>
          <w:szCs w:val="20"/>
        </w:rPr>
      </w:pPr>
      <w:r w:rsidRPr="006B132C">
        <w:rPr>
          <w:b/>
          <w:sz w:val="24"/>
          <w:szCs w:val="20"/>
        </w:rPr>
        <w:t>Beyond GDP for CGE Policy Analysis: A Well-being and Footprint Benchmark for GTAP-RD and EPPA</w:t>
      </w:r>
    </w:p>
    <w:p w14:paraId="77495979" w14:textId="31203344" w:rsidR="00147B0E" w:rsidRDefault="00296214" w:rsidP="00296214">
      <w:pPr>
        <w:spacing w:after="120"/>
        <w:jc w:val="both"/>
        <w:rPr>
          <w:rFonts w:eastAsia="Aptos" w:cs="Times New Roman"/>
        </w:rPr>
      </w:pPr>
      <w:r>
        <w:rPr>
          <w:b/>
        </w:rPr>
        <w:t xml:space="preserve">Background. </w:t>
      </w:r>
      <w:r w:rsidRPr="00296214">
        <w:rPr>
          <w:bCs/>
        </w:rPr>
        <w:t xml:space="preserve">GDP remains the </w:t>
      </w:r>
      <w:r w:rsidR="004F1C70">
        <w:rPr>
          <w:bCs/>
        </w:rPr>
        <w:t>primary measure of progress, but it focuses on market output rather than the broader conditions that enable people to lead fulfilling</w:t>
      </w:r>
      <w:r w:rsidRPr="00296214">
        <w:rPr>
          <w:bCs/>
        </w:rPr>
        <w:t xml:space="preserve"> lives. </w:t>
      </w:r>
      <w:r w:rsidR="002738BF">
        <w:rPr>
          <w:bCs/>
        </w:rPr>
        <w:t>In response,</w:t>
      </w:r>
      <w:r w:rsidRPr="00296214">
        <w:rPr>
          <w:bCs/>
        </w:rPr>
        <w:t xml:space="preserve"> a growing </w:t>
      </w:r>
      <w:r w:rsidR="003E2B10">
        <w:rPr>
          <w:bCs/>
        </w:rPr>
        <w:t>“</w:t>
      </w:r>
      <w:r w:rsidRPr="00296214">
        <w:rPr>
          <w:bCs/>
        </w:rPr>
        <w:t>Beyond GDP</w:t>
      </w:r>
      <w:r w:rsidR="003E2B10">
        <w:rPr>
          <w:bCs/>
        </w:rPr>
        <w:t>”</w:t>
      </w:r>
      <w:r w:rsidRPr="00296214">
        <w:rPr>
          <w:bCs/>
        </w:rPr>
        <w:t xml:space="preserve"> </w:t>
      </w:r>
      <w:r w:rsidR="002738BF">
        <w:rPr>
          <w:bCs/>
        </w:rPr>
        <w:t xml:space="preserve">approach </w:t>
      </w:r>
      <w:r w:rsidR="00147B0E">
        <w:rPr>
          <w:bCs/>
        </w:rPr>
        <w:t>has developed,</w:t>
      </w:r>
      <w:r w:rsidRPr="00296214">
        <w:rPr>
          <w:bCs/>
        </w:rPr>
        <w:t xml:space="preserve"> combin</w:t>
      </w:r>
      <w:r w:rsidR="00147B0E">
        <w:rPr>
          <w:bCs/>
        </w:rPr>
        <w:t>ing</w:t>
      </w:r>
      <w:r w:rsidRPr="00296214">
        <w:rPr>
          <w:bCs/>
        </w:rPr>
        <w:t xml:space="preserve"> economic performance with environmental limits and social well-being </w:t>
      </w:r>
      <w:r w:rsidR="0098256E" w:rsidRPr="0055474C">
        <w:rPr>
          <w:rFonts w:eastAsia="Aptos" w:cs="Times New Roman"/>
        </w:rPr>
        <w:fldChar w:fldCharType="begin"/>
      </w:r>
      <w:r w:rsidR="00DB2CB5">
        <w:rPr>
          <w:rFonts w:eastAsia="Aptos" w:cs="Times New Roman"/>
        </w:rPr>
        <w:instrText xml:space="preserve"> ADDIN ZOTERO_ITEM CSL_CITATION {"citationID":"Qi8UZekF","properties":{"formattedCitation":"\\super 1\\uc0\\u8211{}5\\nosupersub{}","plainCitation":"1–5","noteIndex":0},"citationItems":[{"id":390,"uris":["http://zotero.org/users/16193428/items/G9NDFS6K"],"itemData":{"id":390,"type":"article-journal","container-title":"Journal of Bioeconomics","DOI":"10.1007/s10818-013-9165-5","ISSN":"1387-6996","issue":"1","page":"39-44","title":"A theory of socio-ecological system change","volume":"16","author":[{"family":"Costanza","given":"R."}],"issued":{"date-parts":[["2014",4]]}}},{"id":438,"uris":["http://zotero.org/users/16193428/items/6KDY86B5"],"itemData":{"id":438,"type":"article-journal","abstract":"Commissioned by the UK Treasury Department and released to much fanfare in February 2021, the The Dasgupta Review is the latest (and, at 21 chapters and 600+ pages, longest) in a series of similar reports endeavouring to demonstrate the economic importance of in situ natural resources in order to motivate their sustainable management. This tradition stretches back at least to the 2005 Millennium Ecosystem Assessment, then traces froward through United Nations Environment Programme's (UNEP) The economics of ecosystems and biodiversity (TEEB) and Green economy initiatives, the World Business Council for Sustainable Development's (WBCSD) Vision 2020 report, the Capitals Coalition's Natural Capital Protocol, and on to other more recent initiatives like the 2020 Financing nature report from The Nature Conservancy (TCN) and the Paulson Institute, among many others.","container-title":"London: HM Treasury","title":"The Economics of Biodiversity: The Dasgupta Review - Full Report","author":[{"family":"Dasgupta","given":"Partha"}],"issued":{"date-parts":[["2021"]]}}},{"id":459,"uris":["http://zotero.org/users/16193428/items/DVNS9QBT","http://zotero.org/users/16193428/items/T9AJKWYB"],"itemData":{"id":459,"type":"article-journal","DOI":"10.1016/S2542-5196(24)00147-5","title":"Beyond GDP: a review and conceptual framework for measuring sustainable and inclusive wellbeing - ScienceDirect","URL":"https://www.sciencedirect.com/science/article/pii/S2542519624001475","accessed":{"date-parts":[["2025",5,9]]}}},{"id":456,"uris":["http://zotero.org/users/16193428/items/86RKCCFU"],"itemData":{"id":456,"type":"article-journal","abstract":"Green growth and post-growth are alternative concepts for transformative change. I investigated the amount of support each enjoys among sustainability scholars by performing a global expert survey (n = 461), in which scholars from around the world evaluated what future pathways they would prefer for different country income groups. Support for post-growth was substantial for high-income (77%) and upper-middle-income countries (59%) for the 2020s, while green growth was the most preferred pathway for lower-middle-income (64%) and low-income (58%) countries. Support for post-growth increased from 2020s to 2030s. On average, preferred future GDP rates were at or above 0% and at or below past average GDP rates regardless of context. I found an interaction between pathway preference and familiarity with post-growth, which helped explain desired future GDP rates in the context of high-income countries. Around 60% of the participants considered GDP to be a bad indicator of societal well-being. My results call for more emphasis on targeted transformational change in research, education, and policymaking, with particular focus on facilitating post-growth approaches for affluent countries. This could help societies find a safe and just way to secure global sustainability.","container-title":"Ecological Economics","DOI":"10.1016/j.ecolecon.2023.107871","ISSN":"0921-8009","journalAbbreviation":"Ecological Economics","page":"107871","title":"Targeting socioeconomic transformations to achieve global sustainability","volume":"211","author":[{"family":"Koskimäki","given":"Teemu"}],"issued":{"date-parts":[["2023",9,1]]}}},{"id":1196,"uris":["http://zotero.org/users/16193428/items/DAPBIGHG"],"itemData":{"id":1196,"type":"book","DOI":"10.1787/9789264307292-en","ISBN":"978-92-64-30728-5","language":"en","publisher":"OECD","source":"DOI.org (Crossref)","title":"Beyond GDP: Measuring What Counts for Economic and Social Performance","title-short":"Beyond GDP","URL":"https://www.oecd.org/en/publications/beyond-gdp_9789264307292-en.html","author":[{"family":"Stiglitz","given":"Joseph E."},{"family":"Fitoussi","given":"Jean-Paul"},{"family":"Durand","given":"Martine"}],"accessed":{"date-parts":[["2025",10,9]]},"issued":{"date-parts":[["2018",11,27]]}}}],"schema":"https://github.com/citation-style-language/schema/raw/master/csl-citation.json"} </w:instrText>
      </w:r>
      <w:r w:rsidR="0098256E" w:rsidRPr="0055474C">
        <w:rPr>
          <w:rFonts w:eastAsia="Aptos" w:cs="Times New Roman"/>
        </w:rPr>
        <w:fldChar w:fldCharType="separate"/>
      </w:r>
      <w:r w:rsidR="00DB2CB5" w:rsidRPr="00DB2CB5">
        <w:rPr>
          <w:rFonts w:cs="Times New Roman"/>
          <w:vertAlign w:val="superscript"/>
        </w:rPr>
        <w:t>1–5</w:t>
      </w:r>
      <w:r w:rsidR="0098256E" w:rsidRPr="0055474C">
        <w:rPr>
          <w:rFonts w:eastAsia="Aptos" w:cs="Times New Roman"/>
        </w:rPr>
        <w:fldChar w:fldCharType="end"/>
      </w:r>
      <w:r w:rsidR="0098256E" w:rsidRPr="0055474C">
        <w:rPr>
          <w:rFonts w:eastAsia="Aptos" w:cs="Times New Roman"/>
        </w:rPr>
        <w:fldChar w:fldCharType="begin"/>
      </w:r>
      <w:r w:rsidR="00DB2CB5">
        <w:rPr>
          <w:rFonts w:eastAsia="Aptos" w:cs="Times New Roman"/>
        </w:rPr>
        <w:instrText xml:space="preserve"> ADDIN ZOTERO_ITEM CSL_CITATION {"citationID":"oWqdL7hQ","properties":{"formattedCitation":"\\super 6,7\\nosupersub{}","plainCitation":"6,7","noteIndex":0},"citationItems":[{"id":480,"uris":["http://zotero.org/users/16193428/items/KMJEVGHE"],"itemData":{"id":480,"type":"article-journal","abstract":"The search for sustainability and the growing apprehension with environmental degradation are increasingly attracting researchers from around the world, and bringing the need for developing indicators that include the economy, society and environment. This study compares the emergy indices with 10 known indicators taken from the literature: Gross Domestic Product, Gross Domestic Product per capita, Human Development Index, Happiness Index, Life Expectancy, Democracy Index, Ecological Footprint, Surplus Biocapacity, Wellbeing Index and Environmental Sustainability Index 2002. Correlations are made using the Spearman coefﬁcients to verify correlations between the fractions of renewable natural resources, non-renewable natural resources, resources from the economy and the emergy indices with the known indicators, and indexes emerged with the literature indicators. The analysis of the results is made by illustrative matrices and graphs. The results suggest that the combination of socio-economic and biophysical indicators is essential to provide a better understanding of the limits of economic growth and while ensuring sustainable societal well-being.","container-title":"Journal of Cleaner Production","DOI":"10.1016/j.jclepro.2014.11.076","ISSN":"09596526","journalAbbreviation":"Journal of Cleaner Production","language":"en","page":"370-380","source":"DOI.org (Crossref)","title":"Can measures of well-being and progress help societies to achieve sustainable development?","volume":"90","author":[{"family":"Frugoli","given":"P.A."},{"family":"Almeida","given":"C.M.V.B."},{"family":"Agostinho","given":"F."},{"family":"Giannetti","given":"B.F."},{"family":"Huisingh","given":"D."}],"issued":{"date-parts":[["2015",3]]}}},{"id":478,"uris":["http://zotero.org/users/16193428/items/S6UCFLUJ"],"itemData":{"id":478,"type":"article-journal","abstract":"The misuse of Gross Domestic Product as a measure of public wellbeing results from the idea that economic growth is always synonymous with enhanced quality of life, disregarding the fact that the economy proﬁts from natural, social, and human capital. In order to monitor progress towards sustainability and increased well-being, governments working closely with scientists developed new metrics that go further than income and material wealth. There are several candidates for revisions of the Gross Domestic Product. Based on a comprehensive literature review, this paper identiﬁed several possible indicators that intend to adjust, supplement or substitute for Gross Domestic Product. Two main approaches were identiﬁed. The ﬁrst uses Gross Domestic Product as foundation to build a complete index and includes proposals to greening Gross Domestic Product, socializing the indices and including it in a more comprehensive index. The second approach relates to efforts to redeﬁne the indicators, with the use of environmentally oriented indicators and socially oriented measures. Challenges to measure development, welfare, and wellbeing are discussed to provide a wide-angle view of efforts to develop measures of social-economic-ecological status and progress beyond the current very narrow Gross Domestic Product. It was recognized an urgent need for guidance for the development of governance regimes designed to change from short-term decision-making processes to those, which support the multidecade planning and implementation processes that are needed to guide the transition to post fossil carbon societies. This comprehensive review covers a wide range of topics, from problems of GDP to challenges and thoughts about indicators. The review shows that if mankind is concerned with the sustainable development of the planet as a whole, then progress indicators measured only in monetary or social terms are limited and restricted to the weak or the medium sustainability model, and must be complemented by biophysical indicators. It is time to change the global knowledge of what progress really is, changing the discussion from growth to sustainable development and human well-being.","container-title":"Journal of Cleaner Production","DOI":"10.1016/j.jclepro.2014.10.051","ISSN":"09596526","journalAbbreviation":"Journal of Cleaner Production","language":"en","page":"11-25","source":"DOI.org (Crossref)","title":"A review of limitations of GDP and alternative indices to monitor human wellbeing and to manage eco-system functionality","volume":"87","author":[{"family":"Giannetti","given":"B.F."},{"family":"Agostinho","given":"F."},{"family":"Almeida","given":"C.M.V.B."},{"family":"Huisingh","given":"D."}],"issued":{"date-parts":[["2015",1]]}}}],"schema":"https://github.com/citation-style-language/schema/raw/master/csl-citation.json"} </w:instrText>
      </w:r>
      <w:r w:rsidR="0098256E" w:rsidRPr="0055474C">
        <w:rPr>
          <w:rFonts w:eastAsia="Aptos" w:cs="Times New Roman"/>
        </w:rPr>
        <w:fldChar w:fldCharType="separate"/>
      </w:r>
      <w:r w:rsidR="00DB2CB5" w:rsidRPr="00DB2CB5">
        <w:rPr>
          <w:rFonts w:cs="Times New Roman"/>
          <w:vertAlign w:val="superscript"/>
        </w:rPr>
        <w:t>6,7</w:t>
      </w:r>
      <w:r w:rsidR="0098256E" w:rsidRPr="0055474C">
        <w:rPr>
          <w:rFonts w:eastAsia="Aptos" w:cs="Times New Roman"/>
        </w:rPr>
        <w:fldChar w:fldCharType="end"/>
      </w:r>
      <w:r w:rsidR="0098256E" w:rsidRPr="0055474C">
        <w:rPr>
          <w:rFonts w:eastAsia="Aptos" w:cs="Times New Roman"/>
        </w:rPr>
        <w:t xml:space="preserve">. </w:t>
      </w:r>
    </w:p>
    <w:p w14:paraId="01832552" w14:textId="751C32DB" w:rsidR="008C4620" w:rsidRDefault="009869E3" w:rsidP="00296214">
      <w:pPr>
        <w:spacing w:after="120"/>
        <w:jc w:val="both"/>
        <w:rPr>
          <w:rFonts w:eastAsia="Aptos" w:cs="Times New Roman"/>
        </w:rPr>
      </w:pPr>
      <w:r w:rsidRPr="009869E3">
        <w:rPr>
          <w:rFonts w:eastAsia="Aptos" w:cs="Times New Roman"/>
        </w:rPr>
        <w:t>These efforts span multiple academic traditions and have evolved along diverse—and often disconnected—paths, complicating their translation into operational policy frameworks</w:t>
      </w:r>
      <w:r w:rsidR="00434740">
        <w:rPr>
          <w:rFonts w:eastAsia="Aptos" w:cs="Times New Roman"/>
        </w:rPr>
        <w:t xml:space="preserve">. </w:t>
      </w:r>
      <w:r w:rsidR="008C4620" w:rsidRPr="0055474C">
        <w:rPr>
          <w:rFonts w:eastAsia="Aptos" w:cs="Times New Roman"/>
        </w:rPr>
        <w:t xml:space="preserve">Jansen et al. (2024) </w:t>
      </w:r>
      <w:r>
        <w:rPr>
          <w:rFonts w:eastAsia="Aptos" w:cs="Times New Roman"/>
        </w:rPr>
        <w:t>identify</w:t>
      </w:r>
      <w:r w:rsidR="008C4620" w:rsidRPr="0055474C">
        <w:rPr>
          <w:rFonts w:eastAsia="Aptos" w:cs="Times New Roman"/>
        </w:rPr>
        <w:t xml:space="preserve"> 65 “Beyond GDP” metrics, </w:t>
      </w:r>
      <w:r w:rsidR="00121012" w:rsidRPr="00121012">
        <w:rPr>
          <w:rFonts w:eastAsia="Aptos" w:cs="Times New Roman"/>
        </w:rPr>
        <w:t>drawing on five major scientific traditions</w:t>
      </w:r>
      <w:r w:rsidR="008C4620" w:rsidRPr="0055474C">
        <w:rPr>
          <w:rFonts w:eastAsia="Aptos" w:cs="Times New Roman"/>
        </w:rPr>
        <w:t xml:space="preserve">: subjective well‑being, welfare economics, needs theories, ecological approaches, and the capabilities approach </w:t>
      </w:r>
      <w:r w:rsidR="008C4620" w:rsidRPr="0055474C">
        <w:rPr>
          <w:rFonts w:eastAsia="Aptos" w:cs="Times New Roman"/>
          <w:color w:val="000000" w:themeColor="text1"/>
        </w:rPr>
        <w:fldChar w:fldCharType="begin"/>
      </w:r>
      <w:r w:rsidR="003E24D9">
        <w:rPr>
          <w:rFonts w:eastAsia="Aptos" w:cs="Times New Roman"/>
          <w:color w:val="000000" w:themeColor="text1"/>
        </w:rPr>
        <w:instrText xml:space="preserve"> ADDIN ZOTERO_ITEM CSL_CITATION {"citationID":"eMLyaiqw","properties":{"formattedCitation":"\\super 2,8\\uc0\\u8211{}12\\nosupersub{}","plainCitation":"2,8–12","noteIndex":0},"citationItems":[{"id":438,"uris":["http://zotero.org/users/16193428/items/6KDY86B5"],"itemData":{"id":438,"type":"article-journal","abstract":"Commissioned by the UK Treasury Department and released to much fanfare in February 2021, the The Dasgupta Review is the latest (and, at 21 chapters and 600+ pages, longest) in a series of similar reports endeavouring to demonstrate the economic importance of in situ natural resources in order to motivate their sustainable management. This tradition stretches back at least to the 2005 Millennium Ecosystem Assessment, then traces froward through United Nations Environment Programme's (UNEP) The economics of ecosystems and biodiversity (TEEB) and Green economy initiatives, the World Business Council for Sustainable Development's (WBCSD) Vision 2020 report, the Capitals Coalition's Natural Capital Protocol, and on to other more recent initiatives like the 2020 Financing nature report from The Nature Conservancy (TCN) and the Paulson Institute, among many others.","container-title":"London: HM Treasury","title":"The Economics of Biodiversity: The Dasgupta Review - Full Report","author":[{"family":"Dasgupta","given":"Partha"}],"issued":{"date-parts":[["2021"]]}}},{"id":"EBBH7AgD/N6V2FejR","uris":["http://zotero.org/users/local/qJSZcQ47/items/HCEAVAMR","http://zotero.org/users/18319356/items/HCEAVAMR"],"itemData":{"id":5,"type":"article-journal","abstract":"After listing the propositions that must be considered as basic, the author formulates a theory of human motivation in line with these propositions and with the known facts derived from observation and experiment. There are 5 sets of goals (basic needs) which are related to each other and are arranged in a hierarchy of prepotency. When the most prepotent goal is realized, the next higher need emerges. \"Thus man is a perpetually wanting animal.\" Thwarting, actual or imminent, of these basic needs provides a psychological threat that leads to psychopathy. (PsycInfo Database Record (c) 2025 APA, all rights reserved)","container-title":"Psychological Review","DOI":"10.1037/h0054346","ISSN":"1939-1471(Electronic),0033-295X(Print)","issue":"4","note":"publisher-place: US\npublisher: American Psychological Association","page":"370-396","title":"A Theory of Human Motivation","volume":"50","author":[{"family":"Maslow","given":"Abraham H."}],"issued":{"date-parts":[["1943"]]}}},{"id":"EBBH7AgD/MToxT4CM","uris":["http://zotero.org/users/local/qJSZcQ47/items/SBYPK7PX","http://zotero.org/users/18319356/items/SBYPK7PX"],"itemData":{"id":6,"type":"article-journal","container-title":"EPRA International Journal of Economic and Business Review","DOI":"10.36713/epra6848","ISSN":"e-ISSN: 2347 - 9671| p- ISSN: 2349 – 0187","issue":"5","page":"25-29","title":"Literature Review on Theories of Motivation","volume":"9","author":[{"family":"Acquah","given":"Alex"},{"family":"Nsiah","given":"Takyi Kwabena"},{"family":"Antie","given":"Elizabeth Naa Akushia"},{"family":"Otoo","given":"Benjamin"}],"issued":{"date-parts":[["2021",5]]}}},{"id":"EBBH7AgD/gtW5CYrU","uris":["http://zotero.org/users/local/qJSZcQ47/items/E56RBL28","http://zotero.org/users/18319356/items/E56RBL28"],"itemData":{"id":8,"type":"book","event-place":"New York","publisher":"Alfred Knopf","publisher-place":"New York","title":"Development as Freedom","author":[{"family":"Sen","given":"Amartya"}],"issued":{"date-parts":[["1999"]]}}},{"id":"EBBH7AgD/tulkKVpf","uris":["http://zotero.org/users/local/qJSZcQ47/items/6UHGC7AB","http://zotero.org/users/18319356/items/6UHGC7AB"],"itemData":{"id":1,"type":"book","edition":"1","ISBN":"978-0-945257-35-6","publisher":"Apex Press","title":"Human Scale Development:Conception, Application and Further Reflections","author":[{"family":"Max-Neef","given":"Manfred A."}],"issued":{"date-parts":[["1989"]]}}},{"id":924,"uris":["http://zotero.org/groups/6123882/items/GJTV6HZN"],"itemData":{"id":924,"type":"article-journal","language":"en","source":"Zotero","title":"Beyond GDP: The Need for New Measures of Progress","author":[{"family":"Costanza","given":"Robert"},{"family":"Hart","given":"Maureen"},{"family":"Talberth","given":"John"},{"family":"Posner","given":"Stephen"}],"issued":{"date-parts":[["2009"]]}}}],"schema":"https://github.com/citation-style-language/schema/raw/master/csl-citation.json"} </w:instrText>
      </w:r>
      <w:r w:rsidR="008C4620" w:rsidRPr="0055474C">
        <w:rPr>
          <w:rFonts w:eastAsia="Aptos" w:cs="Times New Roman"/>
          <w:color w:val="000000" w:themeColor="text1"/>
        </w:rPr>
        <w:fldChar w:fldCharType="separate"/>
      </w:r>
      <w:r w:rsidR="00DB2CB5" w:rsidRPr="00DB2CB5">
        <w:rPr>
          <w:rFonts w:cs="Times New Roman"/>
          <w:vertAlign w:val="superscript"/>
        </w:rPr>
        <w:t>2,8–12</w:t>
      </w:r>
      <w:r w:rsidR="008C4620" w:rsidRPr="0055474C">
        <w:rPr>
          <w:rFonts w:eastAsia="Aptos" w:cs="Times New Roman"/>
          <w:color w:val="000000" w:themeColor="text1"/>
        </w:rPr>
        <w:fldChar w:fldCharType="end"/>
      </w:r>
      <w:r w:rsidR="008C4620" w:rsidRPr="0055474C">
        <w:rPr>
          <w:rFonts w:eastAsia="Aptos" w:cs="Times New Roman"/>
        </w:rPr>
        <w:t xml:space="preserve">. </w:t>
      </w:r>
      <w:r w:rsidR="00121012" w:rsidRPr="00121012">
        <w:rPr>
          <w:rFonts w:eastAsia="Aptos" w:cs="Times New Roman"/>
        </w:rPr>
        <w:t>While conceptually rich, this diversity has hindered convergence toward a small set of indicators that are both theoretically grounded and practically usable for policy analysis.</w:t>
      </w:r>
    </w:p>
    <w:p w14:paraId="62EC35A1" w14:textId="485D3F11" w:rsidR="00121012" w:rsidRDefault="00AA6A25" w:rsidP="00296214">
      <w:pPr>
        <w:spacing w:after="120"/>
        <w:jc w:val="both"/>
        <w:rPr>
          <w:rFonts w:eastAsia="Aptos" w:cs="Times New Roman"/>
        </w:rPr>
      </w:pPr>
      <w:r w:rsidRPr="00AA6A25">
        <w:rPr>
          <w:rFonts w:eastAsia="Aptos" w:cs="Times New Roman"/>
        </w:rPr>
        <w:t>Within economics, ecological economics has responded by re-centering societal well-being as the ultimate objective of economic systems and by explicitly situating the economy as a subsystem embedded within social and ecological boundaries. In the context of converging global crises—climate change, resource depletion, and widening inequalities—this paradigm advances a conception of progress that balances human well-being with environmental integrity and economic performance, while embedding inter- and intra-generational equity</w:t>
      </w:r>
      <w:r w:rsidRPr="0055474C">
        <w:rPr>
          <w:rFonts w:eastAsia="Aptos" w:cs="Times New Roman"/>
        </w:rPr>
        <w:fldChar w:fldCharType="begin"/>
      </w:r>
      <w:r>
        <w:rPr>
          <w:rFonts w:eastAsia="Aptos" w:cs="Times New Roman"/>
        </w:rPr>
        <w:instrText xml:space="preserve"> ADDIN ZOTERO_ITEM CSL_CITATION {"citationID":"uj0sWM1L","properties":{"formattedCitation":"\\super 1,6,13\\uc0\\u8211{}15\\nosupersub{}","plainCitation":"1,6,13–15","noteIndex":0},"citationItems":[{"id":390,"uris":["http://zotero.org/users/16193428/items/G9NDFS6K"],"itemData":{"id":390,"type":"article-journal","container-title":"Journal of Bioeconomics","DOI":"10.1007/s10818-013-9165-5","ISSN":"1387-6996","issue":"1","page":"39-44","title":"A theory of socio-ecological system change","volume":"16","author":[{"family":"Costanza","given":"R."}],"issued":{"date-parts":[["2014",4]]}}},{"id":436,"uris":["http://zotero.org/users/16193428/items/ABL5538N"],"itemData":{"id":436,"type":"article-journal","abstract":"The UN Sustainable Development Goals (SDGs) offer a detailed dashboard of goals, targets and indicators. In this paper we investigate alternative methods to relate the SDGs to overall measures of sustainable wellbeing that can motivate and guide the process of global societal change. We describe what a Sustainable Wellbeing Index (SWI) that connects with and complements the SDG dashboard might look like. We first investigate several options for how to construct such an index and then discuss what is needed to build consensus around it. Finally, we propose linking the SDGs and our SWI with a comprehensive systems dynamics model that can track stocks and flows and make projections into the future under different policy scenarios.","container-title":"Ecological Economics","DOI":"10.1016/j.ecolecon.2016.07.009","ISSN":"09218009","page":"350-355","publisher":"Elsevier B.V.","title":"Modelling and measuring sustainable wellbeing in connection with the UN Sustainable Development Goals","volume":"130","author":[{"family":"Costanza","given":"Robert"},{"family":"Daly","given":"Lew"},{"family":"Fioramonti","given":"Lorenzo"},{"family":"Giovannini","given":"Enrico"},{"family":"Kubiszewski","given":"Ida"},{"family":"Mortensen","given":"Lars Fogh"},{"family":"Pickett","given":"Kate E."},{"family":"Ragnarsdottir","given":"Kristin Vala"},{"family":"Vogli","given":"Roberto De"},{"family":"Wilkinson","given":"Richard"}],"issued":{"date-parts":[["2016"]]}}},{"id":1197,"uris":["http://zotero.org/users/16193428/items/UH5B2AMC"],"itemData":{"id":1197,"type":"article-journal","container-title":"Ecological Economics","DOI":"10.1016/j.ecolecon.2021.107261","ISSN":"09218009","journalAbbreviation":"Ecological Economics","language":"en","page":"107261","source":"DOI.org (Crossref)","title":"Wellbeing economy: An effective paradigm to mainstream post-growth policies?","title-short":"Wellbeing economy","volume":"192","author":[{"family":"Fioramonti","given":"Lorenzo"},{"family":"Coscieme","given":"Luca"},{"family":"Costanza","given":"Robert"},{"family":"Kubiszewski","given":"Ida"},{"family":"Trebeck","given":"Katherine"},{"family":"Wallis","given":"Stewart"},{"family":"Roberts","given":"Debra"},{"family":"Mortensen","given":"Lars F."},{"family":"Pickett","given":"Kate E."},{"family":"Wilkinson","given":"Richard"},{"family":"Ragnarsdottír","given":"Kristín Vala"},{"family":"McGlade","given":"Jacqueline"},{"family":"Lovins","given":"Hunter"},{"family":"De Vogli","given":"Roberto"}],"issued":{"date-parts":[["2022",2]]}}},{"id":480,"uris":["http://zotero.org/users/16193428/items/KMJEVGHE"],"itemData":{"id":480,"type":"article-journal","abstract":"The search for sustainability and the growing apprehension with environmental degradation are increasingly attracting researchers from around the world, and bringing the need for developing indicators that include the economy, society and environment. This study compares the emergy indices with 10 known indicators taken from the literature: Gross Domestic Product, Gross Domestic Product per capita, Human Development Index, Happiness Index, Life Expectancy, Democracy Index, Ecological Footprint, Surplus Biocapacity, Wellbeing Index and Environmental Sustainability Index 2002. Correlations are made using the Spearman coefﬁcients to verify correlations between the fractions of renewable natural resources, non-renewable natural resources, resources from the economy and the emergy indices with the known indicators, and indexes emerged with the literature indicators. The analysis of the results is made by illustrative matrices and graphs. The results suggest that the combination of socio-economic and biophysical indicators is essential to provide a better understanding of the limits of economic growth and while ensuring sustainable societal well-being.","container-title":"Journal of Cleaner Production","DOI":"10.1016/j.jclepro.2014.11.076","ISSN":"09596526","journalAbbreviation":"Journal of Cleaner Production","language":"en","page":"370-380","source":"DOI.org (Crossref)","title":"Can measures of well-being and progress help societies to achieve sustainable development?","volume":"90","author":[{"family":"Frugoli","given":"P.A."},{"family":"Almeida","given":"C.M.V.B."},{"family":"Agostinho","given":"F."},{"family":"Giannetti","given":"B.F."},{"family":"Huisingh","given":"D."}],"issued":{"date-parts":[["2015",3]]}}},{"id":1199,"uris":["http://zotero.org/users/16193428/items/B3S3CC34"],"itemData":{"id":1199,"type":"book","abstract":"Abstract\n            There has always been interest in understanding what constitutes the good life and the basis for creating it. Much has been written about health and wellbeing at multiple scales, from the physical and psychological through to the societal and environmental. Wellbeing has been studied from the perspectives of psychology, medicine, economics, social science, ecology, and political science. However, the interconnections between these scales and perspectives have received far less attention even though understanding these interdependencies is critical to the comprehensive understanding of wellbeing and how to improve it. In this book, the authors aim to create an integrated science of wellbeing that connects these diverse scales and perspectives to better guide research and public policy. The contributing authors are distinguished in their respective fields and provide a synthesis of this wellbeing research. But, in each chapter, they also consider the interconnections between the psychological, human biological, societal, and environmental domains of wellbeing research. Hence, while the book is divided into four sections representing each of these domains, integration across all scales is sought throughout. This integrated approach offers a first step toward a more complete understanding of wellbeing that can propel wellbeing research and initiatives in novel and fruitful directions.","DOI":"10.1093/oso/9780197567579.001.0001","edition":"1","ISBN":"978-0-19-756757-9","language":"en","publisher":"Oxford University PressNew York","source":"DOI.org (Crossref)","title":"Toward an Integrated Science of Wellbeing","URL":"https://academic.oup.com/book/46095","editor":[{"family":"Rieger","given":"Elizabeth"},{"family":"Costanza","given":"Robert"},{"family":"Kubiszewski","given":"Ida"},{"family":"Dugdale","given":"Paul"}],"accessed":{"date-parts":[["2025",10,9]]},"issued":{"date-parts":[["2023",7,19]]}}}],"schema":"https://github.com/citation-style-language/schema/raw/master/csl-citation.json"} </w:instrText>
      </w:r>
      <w:r w:rsidRPr="0055474C">
        <w:rPr>
          <w:rFonts w:eastAsia="Aptos" w:cs="Times New Roman"/>
        </w:rPr>
        <w:fldChar w:fldCharType="separate"/>
      </w:r>
      <w:r w:rsidRPr="00DB2CB5">
        <w:rPr>
          <w:rFonts w:cs="Times New Roman"/>
          <w:vertAlign w:val="superscript"/>
        </w:rPr>
        <w:t>1,6,13–15</w:t>
      </w:r>
      <w:r w:rsidRPr="0055474C">
        <w:rPr>
          <w:rFonts w:eastAsia="Aptos" w:cs="Times New Roman"/>
        </w:rPr>
        <w:fldChar w:fldCharType="end"/>
      </w:r>
      <w:r w:rsidRPr="00E9305C">
        <w:rPr>
          <w:rFonts w:eastAsia="Aptos" w:cs="Times New Roman"/>
        </w:rPr>
        <w:t xml:space="preserve">. </w:t>
      </w:r>
    </w:p>
    <w:p w14:paraId="7A20519B" w14:textId="18F4F26F" w:rsidR="00837239" w:rsidRDefault="00837239" w:rsidP="00296214">
      <w:pPr>
        <w:spacing w:after="120"/>
        <w:jc w:val="both"/>
        <w:rPr>
          <w:rFonts w:eastAsia="Aptos" w:cs="Times New Roman"/>
        </w:rPr>
      </w:pPr>
      <w:r w:rsidRPr="00837239">
        <w:rPr>
          <w:rFonts w:eastAsia="Aptos" w:cs="Times New Roman"/>
        </w:rPr>
        <w:t xml:space="preserve">Operationalization, however, remains limited—particularly for approaches that rely heavily on neoclassical economic structures. Most existing indicator frameworks </w:t>
      </w:r>
      <w:r>
        <w:rPr>
          <w:rFonts w:eastAsia="Aptos" w:cs="Times New Roman"/>
        </w:rPr>
        <w:t xml:space="preserve">remain weakly connected to explicit human well-being </w:t>
      </w:r>
      <w:r w:rsidR="00B135AC">
        <w:rPr>
          <w:rFonts w:eastAsia="Aptos" w:cs="Times New Roman"/>
        </w:rPr>
        <w:t xml:space="preserve">and </w:t>
      </w:r>
      <w:r>
        <w:rPr>
          <w:rFonts w:eastAsia="Aptos" w:cs="Times New Roman"/>
        </w:rPr>
        <w:t xml:space="preserve">resource-use constraints and have not yet been formulated </w:t>
      </w:r>
      <w:r w:rsidR="0085079D">
        <w:rPr>
          <w:rFonts w:eastAsia="Aptos" w:cs="Times New Roman"/>
        </w:rPr>
        <w:t>to support</w:t>
      </w:r>
      <w:r w:rsidRPr="00837239">
        <w:rPr>
          <w:rFonts w:eastAsia="Aptos" w:cs="Times New Roman"/>
        </w:rPr>
        <w:t xml:space="preserve"> direct use in counterfactual policy analysis or quantitative scenario modeling.</w:t>
      </w:r>
    </w:p>
    <w:p w14:paraId="408FC44B" w14:textId="749B782F" w:rsidR="0025612A" w:rsidRDefault="0025612A" w:rsidP="00296214">
      <w:pPr>
        <w:spacing w:after="120"/>
        <w:jc w:val="both"/>
        <w:rPr>
          <w:rFonts w:eastAsia="Aptos" w:cs="Times New Roman"/>
        </w:rPr>
      </w:pPr>
      <w:r w:rsidRPr="0025612A">
        <w:rPr>
          <w:rFonts w:eastAsia="Aptos" w:cs="Times New Roman"/>
        </w:rPr>
        <w:t xml:space="preserve">This gap is especially consequential for computable general equilibrium (CGE) models, which continue to form the backbone of applied trade and climate policy analysis. Standard CGE frameworks typically rely on assumptions of market efficiency, representative rational agents, and </w:t>
      </w:r>
      <w:r w:rsidR="0085079D" w:rsidRPr="0085079D">
        <w:rPr>
          <w:rFonts w:eastAsia="Aptos" w:cs="Times New Roman"/>
        </w:rPr>
        <w:t>limited-</w:t>
      </w:r>
      <w:r w:rsidRPr="0085079D">
        <w:rPr>
          <w:rFonts w:eastAsia="Aptos" w:cs="Times New Roman"/>
        </w:rPr>
        <w:t>constrained long-run growth</w:t>
      </w:r>
      <w:r w:rsidRPr="0025612A">
        <w:rPr>
          <w:rFonts w:eastAsia="Aptos" w:cs="Times New Roman"/>
        </w:rPr>
        <w:t>. While powerful for evaluating marginal policy shocks, these assumptions complicate the systematic integration of ecological limits</w:t>
      </w:r>
      <w:r w:rsidR="0085079D">
        <w:rPr>
          <w:rFonts w:eastAsia="Aptos" w:cs="Times New Roman"/>
        </w:rPr>
        <w:t xml:space="preserve"> and </w:t>
      </w:r>
      <w:r w:rsidRPr="0025612A">
        <w:rPr>
          <w:rFonts w:eastAsia="Aptos" w:cs="Times New Roman"/>
        </w:rPr>
        <w:t>distributional concerns</w:t>
      </w:r>
      <w:r w:rsidR="0085079D">
        <w:rPr>
          <w:rFonts w:eastAsia="Aptos" w:cs="Times New Roman"/>
        </w:rPr>
        <w:t xml:space="preserve"> </w:t>
      </w:r>
      <w:r w:rsidRPr="0025612A">
        <w:rPr>
          <w:rFonts w:eastAsia="Aptos" w:cs="Times New Roman"/>
        </w:rPr>
        <w:t>—often leading to the undervaluation of natural capital and the omission of social dimensions that are central to real-world sustainability transitions.</w:t>
      </w:r>
    </w:p>
    <w:p w14:paraId="7CF7E520" w14:textId="313E0DF8" w:rsidR="003E24D9" w:rsidRPr="003E24D9" w:rsidRDefault="00583DCD" w:rsidP="003E24D9">
      <w:pPr>
        <w:spacing w:after="120"/>
        <w:jc w:val="both"/>
      </w:pPr>
      <w:r>
        <w:rPr>
          <w:b/>
        </w:rPr>
        <w:t>Objective and research questions.</w:t>
      </w:r>
      <w:r w:rsidR="003E24D9">
        <w:t xml:space="preserve"> </w:t>
      </w:r>
      <w:r w:rsidR="003E24D9" w:rsidRPr="003E24D9">
        <w:t xml:space="preserve">The objective of this study is </w:t>
      </w:r>
      <w:r w:rsidR="003E24D9">
        <w:t xml:space="preserve">first </w:t>
      </w:r>
      <w:r w:rsidR="003E24D9" w:rsidRPr="003E24D9">
        <w:t>to develop an empirical benchmark that characterizes how countries translate economic activity and resource use into societal well-being over time. Rather than comparing countries at a single point in time, we focus on development trajectories—that is, how national patterns of well-being and environmental pressure evolve jointly over the period 2000–2020.</w:t>
      </w:r>
      <w:r w:rsidR="003E24D9">
        <w:t xml:space="preserve"> The second objective is then to develop related metrics for benchmarking and expanding CGE models. </w:t>
      </w:r>
    </w:p>
    <w:p w14:paraId="04A11B4D" w14:textId="3B5B8EC5" w:rsidR="003E24D9" w:rsidRDefault="003E24D9" w:rsidP="00296214">
      <w:pPr>
        <w:spacing w:after="120"/>
        <w:jc w:val="both"/>
      </w:pPr>
      <w:r w:rsidRPr="003E24D9">
        <w:t xml:space="preserve">To this end, we </w:t>
      </w:r>
      <w:r>
        <w:t xml:space="preserve">first </w:t>
      </w:r>
      <w:r w:rsidRPr="003E24D9">
        <w:t>construct a panel dataset combining multidimensional well-being indicators with consumption-based environmental footprints, capturing greenhouse-gas emissions, biodiversity pressure, and water use embodied in final demand. These footprints account for international trade and therefore reflect the global environmental pressures associated with domestic consumption, rather than territorial production alone.</w:t>
      </w:r>
    </w:p>
    <w:p w14:paraId="675659E6" w14:textId="34AAABED" w:rsidR="00D93E17" w:rsidRDefault="002A0647" w:rsidP="00296214">
      <w:pPr>
        <w:spacing w:after="120"/>
        <w:jc w:val="both"/>
      </w:pPr>
      <w:r>
        <w:t xml:space="preserve">This empirical benchmark is then used to link </w:t>
      </w:r>
      <w:r w:rsidR="00583DCD">
        <w:t>multidimensional well-being to consumption-based environmental pressures over time</w:t>
      </w:r>
      <w:r>
        <w:t>. Hence,</w:t>
      </w:r>
      <w:r w:rsidR="00583DCD">
        <w:t xml:space="preserve"> we use it to contextualize (and potentially constrain) policy shocks simulated in </w:t>
      </w:r>
      <w:r w:rsidR="0012113F">
        <w:t xml:space="preserve">the </w:t>
      </w:r>
      <w:r w:rsidR="00750DEE" w:rsidRPr="00750DEE">
        <w:t>GTAP Recursive Dynamic (GTAP-RD) Model</w:t>
      </w:r>
      <w:r w:rsidR="00750DEE">
        <w:t xml:space="preserve"> and </w:t>
      </w:r>
      <w:r w:rsidR="00A31692" w:rsidRPr="00A31692">
        <w:t>the MIT Economic Projection and Policy Analysis (EPPA) model</w:t>
      </w:r>
      <w:r w:rsidR="005A3DA4">
        <w:t xml:space="preserve">, both dynamic models built on the GTAP database. </w:t>
      </w:r>
    </w:p>
    <w:p w14:paraId="3E8341BB" w14:textId="77777777" w:rsidR="00063106" w:rsidRPr="00063106" w:rsidRDefault="00063106" w:rsidP="00063106">
      <w:pPr>
        <w:spacing w:after="120"/>
        <w:jc w:val="both"/>
        <w:rPr>
          <w:b/>
          <w:bCs/>
        </w:rPr>
      </w:pPr>
      <w:r w:rsidRPr="00063106">
        <w:rPr>
          <w:b/>
          <w:bCs/>
        </w:rPr>
        <w:lastRenderedPageBreak/>
        <w:t>Our analysis is structured around three research questions:</w:t>
      </w:r>
    </w:p>
    <w:p w14:paraId="4C7D6BC3" w14:textId="3378A361" w:rsidR="00063106" w:rsidRPr="00063106" w:rsidRDefault="00063106" w:rsidP="00063106">
      <w:pPr>
        <w:numPr>
          <w:ilvl w:val="0"/>
          <w:numId w:val="10"/>
        </w:numPr>
        <w:spacing w:after="120"/>
        <w:jc w:val="both"/>
      </w:pPr>
      <w:r w:rsidRPr="00063106">
        <w:rPr>
          <w:b/>
          <w:bCs/>
        </w:rPr>
        <w:t>RQ1 — Empirical development pathways:</w:t>
      </w:r>
      <w:r>
        <w:rPr>
          <w:b/>
          <w:bCs/>
        </w:rPr>
        <w:t xml:space="preserve"> </w:t>
      </w:r>
      <w:r w:rsidRPr="00063106">
        <w:t>Using country-level data for 2000–2020, how do environmental footprint pressures relate to economic output (GDP) in the short and long run for countries achieving similar levels of societal well-being? Which development pathways exhibit relative decoupling (0 &lt;</w:t>
      </w:r>
      <w:r w:rsidR="003E24D9">
        <w:t xml:space="preserve"> trend</w:t>
      </w:r>
      <w:r w:rsidRPr="00063106">
        <w:t xml:space="preserve"> elasticity</w:t>
      </w:r>
      <w:r w:rsidR="003E24D9">
        <w:fldChar w:fldCharType="begin"/>
      </w:r>
      <w:r w:rsidR="003E24D9">
        <w:instrText xml:space="preserve"> ADDIN ZOTERO_ITEM CSL_CITATION {"citationID":"b2Km9jar","properties":{"formattedCitation":"\\super 16\\nosupersub{}","plainCitation":"16","noteIndex":0},"citationItems":[{"id":1446,"uris":["http://zotero.org/users/16193428/items/3G3CWLJ4"],"itemData":{"id":1446,"type":"article-journal","container-title":"IMF Working Papers","DOI":"10.5089/9781484345283.001","ISSN":"1018-5941","issue":"56","language":"en","page":"1","source":"DOI.org (Crossref)","title":"The Long-Run Decoupling of Emissions and Output: Evidence from the Largest Emitters","title-short":"The Long-Run Decoupling of Emissions and Output","volume":"18","author":[{"family":"Cohen","given":"Gail"},{"family":"Jalles","given":"João Tovar"},{"family":"Loungani","given":"Prakash"},{"family":"Marto","given":"Ricardo"}],"issued":{"date-parts":[["2018"]]}}}],"schema":"https://github.com/citation-style-language/schema/raw/master/csl-citation.json"} </w:instrText>
      </w:r>
      <w:r w:rsidR="003E24D9">
        <w:fldChar w:fldCharType="separate"/>
      </w:r>
      <w:r w:rsidR="003E24D9" w:rsidRPr="003E24D9">
        <w:rPr>
          <w:rFonts w:cs="Times New Roman"/>
          <w:vertAlign w:val="superscript"/>
        </w:rPr>
        <w:t>16</w:t>
      </w:r>
      <w:r w:rsidR="003E24D9">
        <w:fldChar w:fldCharType="end"/>
      </w:r>
      <w:r w:rsidRPr="00063106">
        <w:t xml:space="preserve"> &lt; 1) or absolute decoupling (</w:t>
      </w:r>
      <w:r w:rsidR="003E24D9">
        <w:t xml:space="preserve">trend </w:t>
      </w:r>
      <w:r w:rsidRPr="00063106">
        <w:t>elasticity &lt; 0) of environmental footprint pressure from GDP?</w:t>
      </w:r>
    </w:p>
    <w:p w14:paraId="029C06F6" w14:textId="6E5F4C2A" w:rsidR="00063106" w:rsidRPr="00063106" w:rsidRDefault="00063106" w:rsidP="00063106">
      <w:pPr>
        <w:numPr>
          <w:ilvl w:val="0"/>
          <w:numId w:val="10"/>
        </w:numPr>
        <w:spacing w:after="120"/>
        <w:jc w:val="both"/>
      </w:pPr>
      <w:r w:rsidRPr="00063106">
        <w:rPr>
          <w:b/>
          <w:bCs/>
        </w:rPr>
        <w:t>RQ2 — Benchmarking CGE model outcomes:</w:t>
      </w:r>
      <w:r>
        <w:t xml:space="preserve"> </w:t>
      </w:r>
      <w:r w:rsidRPr="00063106">
        <w:t>For groups of countries sharing similar development pathways, do baseline</w:t>
      </w:r>
      <w:r w:rsidR="00FB17D7">
        <w:t>s</w:t>
      </w:r>
      <w:r w:rsidRPr="00063106">
        <w:t xml:space="preserve"> generated by GTAP-RD and EPPA produce environmental footprint outcomes that are </w:t>
      </w:r>
      <w:r>
        <w:t xml:space="preserve">comparable </w:t>
      </w:r>
      <w:r w:rsidR="003E24D9">
        <w:t xml:space="preserve">to </w:t>
      </w:r>
      <w:r>
        <w:t xml:space="preserve">or not </w:t>
      </w:r>
      <w:r w:rsidRPr="00063106">
        <w:t>t</w:t>
      </w:r>
      <w:r w:rsidR="00FB17D7">
        <w:t>o</w:t>
      </w:r>
      <w:r w:rsidRPr="00063106">
        <w:t xml:space="preserve"> those implied by the empirically estimated footprint–GDP relationships?</w:t>
      </w:r>
    </w:p>
    <w:p w14:paraId="591864FD" w14:textId="7F5B1DCF" w:rsidR="00063106" w:rsidRPr="00A2679E" w:rsidRDefault="00063106" w:rsidP="006D170E">
      <w:pPr>
        <w:numPr>
          <w:ilvl w:val="0"/>
          <w:numId w:val="10"/>
        </w:numPr>
        <w:spacing w:after="120"/>
        <w:jc w:val="both"/>
      </w:pPr>
      <w:r w:rsidRPr="00063106">
        <w:rPr>
          <w:b/>
          <w:bCs/>
        </w:rPr>
        <w:t xml:space="preserve">RQ3 — </w:t>
      </w:r>
      <w:r w:rsidRPr="00A2679E">
        <w:rPr>
          <w:b/>
          <w:bCs/>
        </w:rPr>
        <w:t xml:space="preserve">Final </w:t>
      </w:r>
      <w:r w:rsidRPr="00063106">
        <w:rPr>
          <w:b/>
          <w:bCs/>
        </w:rPr>
        <w:t>Demand restructuring and basic-needs provision</w:t>
      </w:r>
      <w:r w:rsidRPr="00063106">
        <w:t>:</w:t>
      </w:r>
      <w:r>
        <w:t xml:space="preserve"> </w:t>
      </w:r>
      <w:r w:rsidR="006D170E" w:rsidRPr="006D170E">
        <w:t>How does explicitly restructuring final demand in GTAP-RD and EPPA models to ensure the provision of Decent Living Standards—a minimum bundle of goods and services required to meet basic human needs—affect (</w:t>
      </w:r>
      <w:proofErr w:type="spellStart"/>
      <w:r w:rsidR="006D170E" w:rsidRPr="006D170E">
        <w:t>i</w:t>
      </w:r>
      <w:proofErr w:type="spellEnd"/>
      <w:r w:rsidR="006D170E" w:rsidRPr="006D170E">
        <w:t xml:space="preserve">) the sectoral composition of household demand and (ii) the resulting consumption-based environmental footprints, conditional on countries’ observed development stages? </w:t>
      </w:r>
      <w:proofErr w:type="gramStart"/>
      <w:r w:rsidR="006D170E" w:rsidRPr="006D170E">
        <w:t>In particular, to</w:t>
      </w:r>
      <w:proofErr w:type="gramEnd"/>
      <w:r w:rsidR="006D170E" w:rsidRPr="006D170E">
        <w:t xml:space="preserve"> what extent does reallocating demand toward basic services and essential goods, while constraining non-essential consumption in line with observed 2000–2020 real-world patterns, modify the scale and composition effects that drive environmental impacts in policy simulations?</w:t>
      </w:r>
    </w:p>
    <w:p w14:paraId="1E5853FD" w14:textId="55C09B73" w:rsidR="009F487F" w:rsidRDefault="00583DCD" w:rsidP="00296214">
      <w:pPr>
        <w:spacing w:after="120"/>
        <w:jc w:val="both"/>
      </w:pPr>
      <w:r>
        <w:rPr>
          <w:b/>
        </w:rPr>
        <w:t xml:space="preserve">Data. </w:t>
      </w:r>
      <w:r>
        <w:t>We assemble a 2000-2020 country panel covering approximately 98% of the world's population. Societal well-being is measured with the Social Progress Index (SPI), which aggregates 52 outcome indicators spanning basic needs, foundations of well-being, and opportunity. To better connect outcomes to the material and service conditions that enable them, we integrate SPI with the Decent Living Standards (DLS) framing by adding provisioning indicators (e.g., safely managed water, clean cooking, adequate shelter, basic health-system capacity, and dietary adequacy). Environmental pressure is captured using consumption-based footprints for greenhouse-gas emissions, water use, and biodiversity-related impacts (summarized as a multi-footprint 'environmental footprint' indicator).</w:t>
      </w:r>
    </w:p>
    <w:p w14:paraId="3D9ADAB7" w14:textId="0727EA42" w:rsidR="009F487F" w:rsidRDefault="00583DCD" w:rsidP="004E63CE">
      <w:pPr>
        <w:spacing w:after="120"/>
        <w:jc w:val="both"/>
      </w:pPr>
      <w:r>
        <w:rPr>
          <w:b/>
        </w:rPr>
        <w:t xml:space="preserve">Methods. </w:t>
      </w:r>
      <w:r>
        <w:t xml:space="preserve">First, we apply time-series clustering to country trajectories (2000-2020) to identify typologies of development pathways in which well-being dimensions and footprints coevolve. Second, within each cluster, we test for panel cointegration among the footprint indicator, </w:t>
      </w:r>
      <w:r w:rsidRPr="006D170E">
        <w:t xml:space="preserve">GDP, and TFP (using unit-root and cointegration tests that allow heterogeneity across countries) and estimate both long-run elasticities (fully modified OLS) and short-run dynamics (panel error-correction models). This yields cluster-specific 'expected' </w:t>
      </w:r>
      <w:r w:rsidR="006D170E" w:rsidRPr="006D170E">
        <w:t xml:space="preserve">environmental </w:t>
      </w:r>
      <w:r w:rsidRPr="006D170E">
        <w:t>footprint responses to change</w:t>
      </w:r>
      <w:r w:rsidR="006D170E" w:rsidRPr="006D170E">
        <w:t xml:space="preserve"> either</w:t>
      </w:r>
      <w:r w:rsidRPr="006D170E">
        <w:t xml:space="preserve"> in GDP </w:t>
      </w:r>
      <w:r w:rsidR="006D170E" w:rsidRPr="006D170E">
        <w:t>or in</w:t>
      </w:r>
      <w:r w:rsidRPr="006D170E">
        <w:t xml:space="preserve"> productivity</w:t>
      </w:r>
      <w:r w:rsidR="004817A6" w:rsidRPr="006D170E">
        <w:t>, along with</w:t>
      </w:r>
      <w:r w:rsidRPr="006D170E">
        <w:t xml:space="preserve"> a speed-of-adjustment parameter that measures how quickly deviations from the long-run path are corrected.</w:t>
      </w:r>
    </w:p>
    <w:p w14:paraId="78C57518" w14:textId="5F714E9E" w:rsidR="009F487F" w:rsidRDefault="00583DCD" w:rsidP="004E63CE">
      <w:pPr>
        <w:spacing w:after="120"/>
        <w:jc w:val="both"/>
      </w:pPr>
      <w:r>
        <w:rPr>
          <w:b/>
        </w:rPr>
        <w:t xml:space="preserve">Illustrative results (historical benchmark). </w:t>
      </w:r>
      <w:r>
        <w:t>In the clusters retained for long-run analysis, the</w:t>
      </w:r>
      <w:r w:rsidR="006D170E">
        <w:t xml:space="preserve"> observed data show </w:t>
      </w:r>
      <w:r w:rsidR="006D170E" w:rsidRPr="006D170E">
        <w:t>(using unit-root and cointegration tests</w:t>
      </w:r>
      <w:r w:rsidR="006D170E">
        <w:t>) show that</w:t>
      </w:r>
      <w:r w:rsidRPr="006430F8">
        <w:t xml:space="preserve"> footprint-GDP </w:t>
      </w:r>
      <w:r w:rsidR="006D170E">
        <w:t xml:space="preserve">trend </w:t>
      </w:r>
      <w:r w:rsidRPr="006430F8">
        <w:t>elasticities are consistently below one (relative decoupling), but the</w:t>
      </w:r>
      <w:r>
        <w:t xml:space="preserve"> </w:t>
      </w:r>
      <w:r w:rsidRPr="006D170E">
        <w:t>productivity channel</w:t>
      </w:r>
      <w:r>
        <w:t xml:space="preserve"> and the short-run responses differ sharply across </w:t>
      </w:r>
      <w:r w:rsidR="008B30F4">
        <w:t xml:space="preserve">well-being </w:t>
      </w:r>
      <w:r>
        <w:t>pathways. For example, two clusters</w:t>
      </w:r>
      <w:r w:rsidR="008B30F4">
        <w:t xml:space="preserve"> with average Human Development </w:t>
      </w:r>
      <w:r w:rsidR="006D170E">
        <w:t>Index (</w:t>
      </w:r>
      <w:r w:rsidR="008B30F4">
        <w:t>HDI) level</w:t>
      </w:r>
      <w:r w:rsidR="006D170E">
        <w:t>s</w:t>
      </w:r>
      <w:r>
        <w:t xml:space="preserve"> (weighted-average HDI </w:t>
      </w:r>
      <w:r w:rsidR="00AB251B">
        <w:t>of 0.77-0.78) display similarly weak long-run income coupling (elasticities of 0.19-0.27) but differ in adjustment speed and in the signs</w:t>
      </w:r>
      <w:r>
        <w:t xml:space="preserve"> of </w:t>
      </w:r>
      <w:r w:rsidRPr="006D170E">
        <w:t xml:space="preserve">short-run GDP and TFP shocks. In contrast, a lower-HDI cluster including India exhibits a </w:t>
      </w:r>
      <w:proofErr w:type="gramStart"/>
      <w:r w:rsidRPr="006D170E">
        <w:t>small long</w:t>
      </w:r>
      <w:proofErr w:type="gramEnd"/>
      <w:r w:rsidRPr="006D170E">
        <w:t xml:space="preserve">-run income elasticity (about 0.21) alongside a </w:t>
      </w:r>
      <w:proofErr w:type="gramStart"/>
      <w:r w:rsidRPr="006D170E">
        <w:t>large long</w:t>
      </w:r>
      <w:proofErr w:type="gramEnd"/>
      <w:r w:rsidRPr="006D170E">
        <w:t>-run footprint-saving TFP effect (about</w:t>
      </w:r>
      <w:r>
        <w:t xml:space="preserve"> -0.76), while short-run GDP and TFP shocks still raise footprints, consistent with transitional build-out effects.</w:t>
      </w:r>
      <w:r w:rsidR="006D170E">
        <w:t xml:space="preserve"> Shocking, alternatively, GDP and TFP in our CGE models in the scope of our study will </w:t>
      </w:r>
      <w:r w:rsidR="00AB251B">
        <w:t>attempt</w:t>
      </w:r>
      <w:r w:rsidR="006D170E">
        <w:t xml:space="preserve"> to observe if the same trends are observed</w:t>
      </w:r>
      <w:r w:rsidR="00AB251B">
        <w:t xml:space="preserve"> in the baseline of the models.</w:t>
      </w:r>
    </w:p>
    <w:p w14:paraId="56C5AA7B" w14:textId="7C61935D" w:rsidR="0078131A" w:rsidRDefault="00583DCD" w:rsidP="004E63CE">
      <w:pPr>
        <w:spacing w:after="120"/>
        <w:jc w:val="both"/>
      </w:pPr>
      <w:r>
        <w:rPr>
          <w:b/>
        </w:rPr>
        <w:lastRenderedPageBreak/>
        <w:t xml:space="preserve">Integrating the benchmark with GTAP-RD and EPPA. </w:t>
      </w:r>
      <w:r>
        <w:t xml:space="preserve">We translate GTAP-RD and EPPA scenario outputs into consumption-based </w:t>
      </w:r>
      <w:r w:rsidR="00AC31CF">
        <w:t xml:space="preserve">multi-footprint values and compare </w:t>
      </w:r>
      <w:r w:rsidR="001B48DD">
        <w:t>th</w:t>
      </w:r>
      <w:r w:rsidR="0078131A">
        <w:t xml:space="preserve">ose baselines </w:t>
      </w:r>
      <w:r w:rsidR="006D170E">
        <w:t>with the previously calculated historical benchmark</w:t>
      </w:r>
      <w:r>
        <w:t xml:space="preserve">. </w:t>
      </w:r>
    </w:p>
    <w:p w14:paraId="37735910" w14:textId="3879AD73" w:rsidR="009F487F" w:rsidRDefault="0078131A" w:rsidP="004E63CE">
      <w:pPr>
        <w:spacing w:after="120"/>
        <w:jc w:val="both"/>
      </w:pPr>
      <w:r w:rsidRPr="0078131A">
        <w:rPr>
          <w:b/>
          <w:bCs/>
        </w:rPr>
        <w:t>Modifying the Final Demand:</w:t>
      </w:r>
      <w:r>
        <w:t xml:space="preserve"> </w:t>
      </w:r>
      <w:r w:rsidR="00E70DC1" w:rsidRPr="00E70DC1">
        <w:t>To represent an explicit restructuring of private consumption toward Decent Living Standards, we augment the private demand system with commodity-specific preference shifters and impose a budget-share-weighted add-up constraint to keep aggregate private expenditure consistent. We then calibrate these shifters so that simulated private consumption shares match the DLS target vector by development-pathway cluster, and we apply the calibrated preference shifts in the baseline/policy runs.</w:t>
      </w:r>
    </w:p>
    <w:p w14:paraId="5F2C9A58" w14:textId="77777777" w:rsidR="009F487F" w:rsidRDefault="00583DCD" w:rsidP="004E63CE">
      <w:pPr>
        <w:spacing w:after="120"/>
        <w:jc w:val="both"/>
      </w:pPr>
      <w:r>
        <w:rPr>
          <w:b/>
        </w:rPr>
        <w:t xml:space="preserve">Contribution. </w:t>
      </w:r>
      <w:r>
        <w:t>The proposed workflow links Beyond-GDP outcome metrics (SPI), basic-needs provisioning (DLS), and consumption-based multi-footprints to CGE policy analysis. It provides (i) pathway-specific empirical elasticities that can benchmark or validate model-based policy results, and (ii) a bridge between global trade/energy-economy scenarios and multidimensional notions of progress under explicit sustainability constraints.</w:t>
      </w:r>
    </w:p>
    <w:p w14:paraId="71C0A848" w14:textId="05667205" w:rsidR="002D1EA8" w:rsidRPr="002D1EA8" w:rsidRDefault="002D1EA8" w:rsidP="004E63CE">
      <w:pPr>
        <w:spacing w:after="120"/>
        <w:jc w:val="both"/>
        <w:rPr>
          <w:b/>
          <w:bCs/>
        </w:rPr>
      </w:pPr>
      <w:r w:rsidRPr="002D1EA8">
        <w:rPr>
          <w:b/>
          <w:bCs/>
        </w:rPr>
        <w:t>Results</w:t>
      </w:r>
    </w:p>
    <w:p w14:paraId="54B31BF2" w14:textId="4AB09608" w:rsidR="002D1EA8" w:rsidRDefault="002D1EA8" w:rsidP="004E63CE">
      <w:pPr>
        <w:spacing w:after="120"/>
        <w:jc w:val="both"/>
        <w:rPr>
          <w:b/>
          <w:bCs/>
        </w:rPr>
      </w:pPr>
      <w:r w:rsidRPr="002D1EA8">
        <w:rPr>
          <w:b/>
          <w:bCs/>
        </w:rPr>
        <w:t xml:space="preserve">RQ1 </w:t>
      </w:r>
    </w:p>
    <w:p w14:paraId="12585C2B" w14:textId="77777777" w:rsidR="002D1EA8" w:rsidRDefault="002D1EA8" w:rsidP="002D1EA8">
      <w:pPr>
        <w:spacing w:after="100" w:line="260" w:lineRule="auto"/>
        <w:jc w:val="both"/>
      </w:pPr>
      <w:r>
        <w:t xml:space="preserve">We assemble an annual 173-country panel for 2000–2020 covering roughly 98% of world population. Each country is </w:t>
      </w:r>
      <w:proofErr w:type="spellStart"/>
      <w:r>
        <w:t>summarised</w:t>
      </w:r>
      <w:proofErr w:type="spellEnd"/>
      <w:r>
        <w:t xml:space="preserve"> by its 21-year trajectory in two complementary spaces: well-being outcomes (the 52 indicators of the Social Progress Index, SPI) and basic-needs provisioning (Decent Living Standards indicators: safely managed water, clean cooking, shelter, health capacity, dietary adequacy). Hierarchical time-series clustering on these trajectories returns eleven development pathways, ranked by mean Human Development Index. Consumption-based footprints—greenhouse gases, biodiversity pressure, and scarce-water use—come from a global multi-regional input–output accounting so that trade-embodied pressures are attributed to final demand rather than to territorial production.</w:t>
      </w:r>
    </w:p>
    <w:p w14:paraId="62D4A986" w14:textId="77777777" w:rsidR="002D1EA8" w:rsidRDefault="002D1EA8" w:rsidP="002D1EA8">
      <w:pPr>
        <w:spacing w:before="100" w:after="60"/>
      </w:pPr>
      <w:r>
        <w:rPr>
          <w:b/>
          <w:bCs/>
          <w:sz w:val="20"/>
          <w:szCs w:val="20"/>
        </w:rPr>
        <w:t>Econometric test of decoupling within each pathway</w:t>
      </w:r>
    </w:p>
    <w:p w14:paraId="13785399" w14:textId="77777777" w:rsidR="002D1EA8" w:rsidRDefault="002D1EA8" w:rsidP="002D1EA8">
      <w:pPr>
        <w:spacing w:after="100" w:line="260" w:lineRule="auto"/>
        <w:jc w:val="both"/>
      </w:pPr>
      <w:r>
        <w:t>Inside each pathway we ask whether the environmental footprint (EF) and GDP share a common stochastic trend. We first apply panel unit-root tests (</w:t>
      </w:r>
      <w:proofErr w:type="spellStart"/>
      <w:r>
        <w:t>Im</w:t>
      </w:r>
      <w:proofErr w:type="spellEnd"/>
      <w:r>
        <w:t>–</w:t>
      </w:r>
      <w:proofErr w:type="spellStart"/>
      <w:r>
        <w:t>Pesaran</w:t>
      </w:r>
      <w:proofErr w:type="spellEnd"/>
      <w:r>
        <w:t xml:space="preserve">–Shin, Levin–Lin–Chu, Maddala–Wu); where variables are integrated of order one, we test for cointegration with the Pedroni and Kao statistics. In pathways that pass both sets of tests, a long-run elasticity of EF with respect to GDP (β₁, a trend elasticity in the sense of Cohen et al. 2018) is estimated by Fully Modified OLS, and, where total-factor-productivity (TFP) data are available, a productivity elasticity β₂ is added. Short-run dynamics are recovered from a panel error-correction model, which yields an annual speed of adjustment φ (the fraction of any deviation from the long-run path corrected per year) and impact elasticities γ₁ and γ₂ for contemporaneous GDP and TFP shocks. A pathway exhibits </w:t>
      </w:r>
      <w:r>
        <w:rPr>
          <w:b/>
          <w:bCs/>
        </w:rPr>
        <w:t>relative decoupling</w:t>
      </w:r>
      <w:r>
        <w:t xml:space="preserve"> when 0 &lt; β₁ &lt; 1 and </w:t>
      </w:r>
      <w:r>
        <w:rPr>
          <w:b/>
          <w:bCs/>
        </w:rPr>
        <w:t>absolute decoupling</w:t>
      </w:r>
      <w:r>
        <w:t xml:space="preserve"> when β₁ &lt; 0.</w:t>
      </w:r>
    </w:p>
    <w:p w14:paraId="0A2BC6DD" w14:textId="77777777" w:rsidR="002D1EA8" w:rsidRDefault="002D1EA8" w:rsidP="002D1EA8">
      <w:pPr>
        <w:spacing w:before="100" w:after="60"/>
      </w:pPr>
      <w:r>
        <w:rPr>
          <w:b/>
          <w:bCs/>
          <w:sz w:val="20"/>
          <w:szCs w:val="20"/>
        </w:rPr>
        <w:t>What the data show</w:t>
      </w:r>
    </w:p>
    <w:p w14:paraId="4C78BB31" w14:textId="02914B1F" w:rsidR="002D1EA8" w:rsidRDefault="002D1EA8" w:rsidP="002D1EA8">
      <w:pPr>
        <w:spacing w:after="100" w:line="260" w:lineRule="auto"/>
        <w:jc w:val="both"/>
      </w:pPr>
      <w:r>
        <w:t xml:space="preserve">Across every pathway retained for long-run analysis, the income elasticity of the footprint is positive but smaller than </w:t>
      </w:r>
      <w:proofErr w:type="gramStart"/>
      <w:r>
        <w:t>one—i.e</w:t>
      </w:r>
      <w:proofErr w:type="gramEnd"/>
      <w:r>
        <w:t xml:space="preserve">. footprints rise more slowly than GDP but do not fall as GDP grows. </w:t>
      </w:r>
      <w:r>
        <w:rPr>
          <w:b/>
          <w:bCs/>
        </w:rPr>
        <w:t>No pathway displays absolute decoupling over 2000–202</w:t>
      </w:r>
      <w:r>
        <w:rPr>
          <w:b/>
          <w:bCs/>
        </w:rPr>
        <w:t>2</w:t>
      </w:r>
      <w:r>
        <w:rPr>
          <w:b/>
          <w:bCs/>
        </w:rPr>
        <w:t>.</w:t>
      </w:r>
      <w:r>
        <w:t xml:space="preserve"> Relative decoupling is universal, but its mechanics vary sharply by development stage.</w:t>
      </w:r>
    </w:p>
    <w:p w14:paraId="4EB21566" w14:textId="77777777" w:rsidR="002D1EA8" w:rsidRDefault="002D1EA8" w:rsidP="002D1EA8">
      <w:pPr>
        <w:spacing w:after="100" w:line="260" w:lineRule="auto"/>
        <w:jc w:val="both"/>
      </w:pPr>
      <w:r>
        <w:t xml:space="preserve">Among two upper-middle-income pathways with essentially identical HDI (~0.77–0.78), long-run coupling is similarly weak (β₁ between 0.19 and 0.27), but short-run dynamics diverge. One pathway absorbs GDP shocks by temporarily lowering footprints (γ₁ negative) and returns to equilibrium only slowly (φ ≈ −0.16; about one-sixth of any deviation is corrected per year). The other shows </w:t>
      </w:r>
      <w:proofErr w:type="gramStart"/>
      <w:r>
        <w:t>large short</w:t>
      </w:r>
      <w:proofErr w:type="gramEnd"/>
      <w:r>
        <w:t xml:space="preserve">-run footprint increases when GDP rises (γ₁ &gt; 0.6) and converges more than twice as fast (φ ≈ −0.35). </w:t>
      </w:r>
      <w:r>
        <w:lastRenderedPageBreak/>
        <w:t>Productivity is footprint-raising in both (β₂ positive), indicating that efficiency gains alone have not yet offset scale effects at this income level.</w:t>
      </w:r>
    </w:p>
    <w:p w14:paraId="20EBD8A7" w14:textId="77777777" w:rsidR="002D1EA8" w:rsidRDefault="002D1EA8" w:rsidP="002D1EA8">
      <w:pPr>
        <w:spacing w:after="100" w:line="260" w:lineRule="auto"/>
        <w:jc w:val="both"/>
      </w:pPr>
      <w:r>
        <w:t>At lower HDI levels the productivity channel reverses. In one pathway that includes India, Rwanda, and Mauritania, income coupling is modest (β₁ ≈ 0.21) but productivity is strongly footprint-saving in the long run (β₂ ≈ −0.76), consistent with technological leapfrogging rather than structural build-up. In the short run, however, both GDP and TFP shocks still raise footprints, reflecting transitional infrastructure expansion. A second low-HDI pathway is more income-sensitive (β₁ ≈ 0.64) with weaker long-run TFP savings (β₂ ≈ −0.22) and slow adjustment, pointing to different policy priorities along otherwise similar income paths.</w:t>
      </w:r>
    </w:p>
    <w:p w14:paraId="12E3360B" w14:textId="77777777" w:rsidR="002D1EA8" w:rsidRDefault="002D1EA8" w:rsidP="002D1EA8">
      <w:pPr>
        <w:spacing w:after="100" w:line="260" w:lineRule="auto"/>
        <w:jc w:val="both"/>
      </w:pPr>
      <w:r>
        <w:t>The DLS-focused partition, which drops institutional indicators and isolates material provisioning, confirms the pattern: the two retained clusters again show relative decoupling (β₁ ≈ 0.33 and 0.53) but differ on the short-run GDP response—one pathway has a muted contemporaneous reaction while the other shows a pronounced temporary footprint spike during growth episodes.</w:t>
      </w:r>
    </w:p>
    <w:p w14:paraId="319D0064" w14:textId="77777777" w:rsidR="002D1EA8" w:rsidRDefault="002D1EA8" w:rsidP="002D1EA8">
      <w:pPr>
        <w:spacing w:before="100" w:after="60"/>
      </w:pPr>
      <w:r>
        <w:rPr>
          <w:b/>
          <w:bCs/>
          <w:sz w:val="20"/>
          <w:szCs w:val="20"/>
        </w:rPr>
        <w:t>Implication for the benchmark</w:t>
      </w:r>
    </w:p>
    <w:p w14:paraId="6F24BF3D" w14:textId="77777777" w:rsidR="002D1EA8" w:rsidRDefault="002D1EA8" w:rsidP="002D1EA8">
      <w:pPr>
        <w:spacing w:after="100" w:line="260" w:lineRule="auto"/>
        <w:jc w:val="both"/>
      </w:pPr>
      <w:r>
        <w:t>The answer to RQ1 is therefore twofold. (1) At the country-panel scale over 2000–2020, relative decoupling of consumption-based environmental pressure from GDP is observed universally within the pathways that meet the econometric preconditions, while absolute decoupling is not observed in any of them. (2) Identical HDI hides very different scale-versus-efficiency balances: the same well-being outcomes are reached through short-run dynamics and productivity channels that can move in opposite directions. Each pathway therefore comes with its own empirical tuple (β₁, β₂, φ, γ₁, γ₂), which acts as the expected footprint response to GDP or productivity shocks and provides a pathway-specific yardstick against which the GTAP-RD and EPPA baselines will be compared under RQ2.</w:t>
      </w:r>
    </w:p>
    <w:p w14:paraId="64B98285" w14:textId="77777777" w:rsidR="002D1EA8" w:rsidRPr="002D1EA8" w:rsidRDefault="002D1EA8" w:rsidP="004E63CE">
      <w:pPr>
        <w:spacing w:after="120"/>
        <w:jc w:val="both"/>
        <w:rPr>
          <w:b/>
          <w:bCs/>
        </w:rPr>
      </w:pPr>
    </w:p>
    <w:p w14:paraId="717B3E0C" w14:textId="0079770A" w:rsidR="002D1EA8" w:rsidRPr="002D1EA8" w:rsidRDefault="002D1EA8" w:rsidP="004E63CE">
      <w:pPr>
        <w:spacing w:after="120"/>
        <w:jc w:val="both"/>
        <w:rPr>
          <w:b/>
          <w:bCs/>
        </w:rPr>
      </w:pPr>
      <w:r w:rsidRPr="002D1EA8">
        <w:rPr>
          <w:b/>
          <w:bCs/>
        </w:rPr>
        <w:t>RQ2</w:t>
      </w:r>
      <w:r>
        <w:rPr>
          <w:b/>
          <w:bCs/>
        </w:rPr>
        <w:t xml:space="preserve"> Forthcoming</w:t>
      </w:r>
    </w:p>
    <w:p w14:paraId="58981F57" w14:textId="7E9CB8B1" w:rsidR="002D1EA8" w:rsidRDefault="002D1EA8" w:rsidP="004E63CE">
      <w:pPr>
        <w:spacing w:after="120"/>
        <w:jc w:val="both"/>
        <w:rPr>
          <w:b/>
          <w:bCs/>
        </w:rPr>
      </w:pPr>
      <w:r w:rsidRPr="002D1EA8">
        <w:rPr>
          <w:b/>
          <w:bCs/>
        </w:rPr>
        <w:t>RQ3</w:t>
      </w:r>
      <w:r>
        <w:rPr>
          <w:b/>
          <w:bCs/>
        </w:rPr>
        <w:t xml:space="preserve"> </w:t>
      </w:r>
      <w:r>
        <w:rPr>
          <w:b/>
          <w:bCs/>
        </w:rPr>
        <w:t>Forthcoming</w:t>
      </w:r>
    </w:p>
    <w:p w14:paraId="5E1A6D53" w14:textId="36E0E205" w:rsidR="002D1EA8" w:rsidRDefault="002D1EA8">
      <w:pPr>
        <w:rPr>
          <w:b/>
          <w:bCs/>
        </w:rPr>
      </w:pPr>
      <w:r>
        <w:rPr>
          <w:b/>
          <w:bCs/>
        </w:rPr>
        <w:br w:type="page"/>
      </w:r>
    </w:p>
    <w:p w14:paraId="6C4B9DA0" w14:textId="77777777" w:rsidR="002D1EA8" w:rsidRPr="002D1EA8" w:rsidRDefault="002D1EA8" w:rsidP="004E63CE">
      <w:pPr>
        <w:spacing w:after="120"/>
        <w:jc w:val="both"/>
        <w:rPr>
          <w:b/>
          <w:bCs/>
        </w:rPr>
      </w:pPr>
    </w:p>
    <w:p w14:paraId="3F6879D6" w14:textId="69B4A7BD" w:rsidR="00861B3F" w:rsidRPr="00894DAC" w:rsidRDefault="00861B3F" w:rsidP="004E63CE">
      <w:pPr>
        <w:spacing w:after="120"/>
        <w:jc w:val="both"/>
        <w:rPr>
          <w:b/>
          <w:sz w:val="16"/>
          <w:szCs w:val="16"/>
        </w:rPr>
      </w:pPr>
      <w:r w:rsidRPr="00894DAC">
        <w:rPr>
          <w:b/>
          <w:sz w:val="16"/>
          <w:szCs w:val="16"/>
        </w:rPr>
        <w:t>References</w:t>
      </w:r>
    </w:p>
    <w:p w14:paraId="189568BE" w14:textId="77777777" w:rsidR="003E24D9" w:rsidRPr="00894DAC" w:rsidRDefault="0095559B" w:rsidP="003E24D9">
      <w:pPr>
        <w:pStyle w:val="Bibliography"/>
        <w:rPr>
          <w:rFonts w:cs="Times New Roman"/>
          <w:sz w:val="16"/>
          <w:szCs w:val="16"/>
        </w:rPr>
      </w:pPr>
      <w:r w:rsidRPr="00894DAC">
        <w:rPr>
          <w:sz w:val="16"/>
          <w:szCs w:val="16"/>
        </w:rPr>
        <w:fldChar w:fldCharType="begin"/>
      </w:r>
      <w:r w:rsidR="00DB2CB5" w:rsidRPr="00894DAC">
        <w:rPr>
          <w:sz w:val="16"/>
          <w:szCs w:val="16"/>
        </w:rPr>
        <w:instrText xml:space="preserve"> ADDIN ZOTERO_BIBL {"uncited":[],"omitted":[],"custom":[]} CSL_BIBLIOGRAPHY </w:instrText>
      </w:r>
      <w:r w:rsidRPr="00894DAC">
        <w:rPr>
          <w:sz w:val="16"/>
          <w:szCs w:val="16"/>
        </w:rPr>
        <w:fldChar w:fldCharType="separate"/>
      </w:r>
      <w:r w:rsidR="003E24D9" w:rsidRPr="00894DAC">
        <w:rPr>
          <w:rFonts w:cs="Times New Roman"/>
          <w:sz w:val="16"/>
          <w:szCs w:val="16"/>
        </w:rPr>
        <w:t>1.</w:t>
      </w:r>
      <w:r w:rsidR="003E24D9" w:rsidRPr="00894DAC">
        <w:rPr>
          <w:rFonts w:cs="Times New Roman"/>
          <w:sz w:val="16"/>
          <w:szCs w:val="16"/>
        </w:rPr>
        <w:tab/>
        <w:t xml:space="preserve">Costanza, R. A theory of socio-ecological system change. </w:t>
      </w:r>
      <w:r w:rsidR="003E24D9" w:rsidRPr="00894DAC">
        <w:rPr>
          <w:rFonts w:cs="Times New Roman"/>
          <w:i/>
          <w:iCs/>
          <w:sz w:val="16"/>
          <w:szCs w:val="16"/>
        </w:rPr>
        <w:t>J. Bioeconomics</w:t>
      </w:r>
      <w:r w:rsidR="003E24D9" w:rsidRPr="00894DAC">
        <w:rPr>
          <w:rFonts w:cs="Times New Roman"/>
          <w:sz w:val="16"/>
          <w:szCs w:val="16"/>
        </w:rPr>
        <w:t xml:space="preserve"> </w:t>
      </w:r>
      <w:r w:rsidR="003E24D9" w:rsidRPr="00894DAC">
        <w:rPr>
          <w:rFonts w:cs="Times New Roman"/>
          <w:b/>
          <w:bCs/>
          <w:sz w:val="16"/>
          <w:szCs w:val="16"/>
        </w:rPr>
        <w:t>16</w:t>
      </w:r>
      <w:r w:rsidR="003E24D9" w:rsidRPr="00894DAC">
        <w:rPr>
          <w:rFonts w:cs="Times New Roman"/>
          <w:sz w:val="16"/>
          <w:szCs w:val="16"/>
        </w:rPr>
        <w:t>, 39–44 (2014).</w:t>
      </w:r>
    </w:p>
    <w:p w14:paraId="36DFF027" w14:textId="77777777" w:rsidR="003E24D9" w:rsidRPr="00894DAC" w:rsidRDefault="003E24D9" w:rsidP="003E24D9">
      <w:pPr>
        <w:pStyle w:val="Bibliography"/>
        <w:rPr>
          <w:rFonts w:cs="Times New Roman"/>
          <w:sz w:val="16"/>
          <w:szCs w:val="16"/>
        </w:rPr>
      </w:pPr>
      <w:r w:rsidRPr="00894DAC">
        <w:rPr>
          <w:rFonts w:cs="Times New Roman"/>
          <w:sz w:val="16"/>
          <w:szCs w:val="16"/>
        </w:rPr>
        <w:t>2.</w:t>
      </w:r>
      <w:r w:rsidRPr="00894DAC">
        <w:rPr>
          <w:rFonts w:cs="Times New Roman"/>
          <w:sz w:val="16"/>
          <w:szCs w:val="16"/>
        </w:rPr>
        <w:tab/>
        <w:t xml:space="preserve">Dasgupta, P. The Economics of Biodiversity: The Dasgupta Review - Full Report. </w:t>
      </w:r>
      <w:r w:rsidRPr="00894DAC">
        <w:rPr>
          <w:rFonts w:cs="Times New Roman"/>
          <w:i/>
          <w:iCs/>
          <w:sz w:val="16"/>
          <w:szCs w:val="16"/>
        </w:rPr>
        <w:t>Lond. HM Treas.</w:t>
      </w:r>
      <w:r w:rsidRPr="00894DAC">
        <w:rPr>
          <w:rFonts w:cs="Times New Roman"/>
          <w:sz w:val="16"/>
          <w:szCs w:val="16"/>
        </w:rPr>
        <w:t xml:space="preserve"> (2021).</w:t>
      </w:r>
    </w:p>
    <w:p w14:paraId="480CEBAC" w14:textId="77777777" w:rsidR="003E24D9" w:rsidRPr="00894DAC" w:rsidRDefault="003E24D9" w:rsidP="003E24D9">
      <w:pPr>
        <w:pStyle w:val="Bibliography"/>
        <w:rPr>
          <w:rFonts w:cs="Times New Roman"/>
          <w:sz w:val="16"/>
          <w:szCs w:val="16"/>
        </w:rPr>
      </w:pPr>
      <w:r w:rsidRPr="00894DAC">
        <w:rPr>
          <w:rFonts w:cs="Times New Roman"/>
          <w:sz w:val="16"/>
          <w:szCs w:val="16"/>
        </w:rPr>
        <w:t>3.</w:t>
      </w:r>
      <w:r w:rsidRPr="00894DAC">
        <w:rPr>
          <w:rFonts w:cs="Times New Roman"/>
          <w:sz w:val="16"/>
          <w:szCs w:val="16"/>
        </w:rPr>
        <w:tab/>
        <w:t>Beyond GDP: a review and conceptual framework for measuring sustainable and inclusive wellbeing - ScienceDirect. https://doi.org/10.1016/S2542-5196(24)00147-5 doi:10.1016/S2542-5196(24)00147-5.</w:t>
      </w:r>
    </w:p>
    <w:p w14:paraId="32BA07B7" w14:textId="77777777" w:rsidR="003E24D9" w:rsidRPr="00894DAC" w:rsidRDefault="003E24D9" w:rsidP="003E24D9">
      <w:pPr>
        <w:pStyle w:val="Bibliography"/>
        <w:rPr>
          <w:rFonts w:cs="Times New Roman"/>
          <w:sz w:val="16"/>
          <w:szCs w:val="16"/>
        </w:rPr>
      </w:pPr>
      <w:r w:rsidRPr="00894DAC">
        <w:rPr>
          <w:rFonts w:cs="Times New Roman"/>
          <w:sz w:val="16"/>
          <w:szCs w:val="16"/>
        </w:rPr>
        <w:t>4.</w:t>
      </w:r>
      <w:r w:rsidRPr="00894DAC">
        <w:rPr>
          <w:rFonts w:cs="Times New Roman"/>
          <w:sz w:val="16"/>
          <w:szCs w:val="16"/>
        </w:rPr>
        <w:tab/>
        <w:t xml:space="preserve">Koskimäki, T. Targeting socioeconomic transformations to achieve global sustainability. </w:t>
      </w:r>
      <w:r w:rsidRPr="00894DAC">
        <w:rPr>
          <w:rFonts w:cs="Times New Roman"/>
          <w:i/>
          <w:iCs/>
          <w:sz w:val="16"/>
          <w:szCs w:val="16"/>
        </w:rPr>
        <w:t>Ecol. Econ.</w:t>
      </w:r>
      <w:r w:rsidRPr="00894DAC">
        <w:rPr>
          <w:rFonts w:cs="Times New Roman"/>
          <w:sz w:val="16"/>
          <w:szCs w:val="16"/>
        </w:rPr>
        <w:t xml:space="preserve"> </w:t>
      </w:r>
      <w:r w:rsidRPr="00894DAC">
        <w:rPr>
          <w:rFonts w:cs="Times New Roman"/>
          <w:b/>
          <w:bCs/>
          <w:sz w:val="16"/>
          <w:szCs w:val="16"/>
        </w:rPr>
        <w:t>211</w:t>
      </w:r>
      <w:r w:rsidRPr="00894DAC">
        <w:rPr>
          <w:rFonts w:cs="Times New Roman"/>
          <w:sz w:val="16"/>
          <w:szCs w:val="16"/>
        </w:rPr>
        <w:t>, 107871 (2023).</w:t>
      </w:r>
    </w:p>
    <w:p w14:paraId="25C6D657" w14:textId="77777777" w:rsidR="003E24D9" w:rsidRPr="00894DAC" w:rsidRDefault="003E24D9" w:rsidP="003E24D9">
      <w:pPr>
        <w:pStyle w:val="Bibliography"/>
        <w:rPr>
          <w:rFonts w:cs="Times New Roman"/>
          <w:sz w:val="16"/>
          <w:szCs w:val="16"/>
        </w:rPr>
      </w:pPr>
      <w:r w:rsidRPr="00894DAC">
        <w:rPr>
          <w:rFonts w:cs="Times New Roman"/>
          <w:sz w:val="16"/>
          <w:szCs w:val="16"/>
        </w:rPr>
        <w:t>5.</w:t>
      </w:r>
      <w:r w:rsidRPr="00894DAC">
        <w:rPr>
          <w:rFonts w:cs="Times New Roman"/>
          <w:sz w:val="16"/>
          <w:szCs w:val="16"/>
        </w:rPr>
        <w:tab/>
        <w:t xml:space="preserve">Stiglitz, J. E., Fitoussi, J.-P. &amp; Durand, M. </w:t>
      </w:r>
      <w:r w:rsidRPr="00894DAC">
        <w:rPr>
          <w:rFonts w:cs="Times New Roman"/>
          <w:i/>
          <w:iCs/>
          <w:sz w:val="16"/>
          <w:szCs w:val="16"/>
        </w:rPr>
        <w:t>Beyond GDP: Measuring What Counts for Economic and Social Performance</w:t>
      </w:r>
      <w:r w:rsidRPr="00894DAC">
        <w:rPr>
          <w:rFonts w:cs="Times New Roman"/>
          <w:sz w:val="16"/>
          <w:szCs w:val="16"/>
        </w:rPr>
        <w:t>. (OECD, 2018). doi:10.1787/9789264307292-en.</w:t>
      </w:r>
    </w:p>
    <w:p w14:paraId="58199FCC" w14:textId="77777777" w:rsidR="003E24D9" w:rsidRPr="00894DAC" w:rsidRDefault="003E24D9" w:rsidP="003E24D9">
      <w:pPr>
        <w:pStyle w:val="Bibliography"/>
        <w:rPr>
          <w:rFonts w:cs="Times New Roman"/>
          <w:sz w:val="16"/>
          <w:szCs w:val="16"/>
        </w:rPr>
      </w:pPr>
      <w:r w:rsidRPr="00894DAC">
        <w:rPr>
          <w:rFonts w:cs="Times New Roman"/>
          <w:sz w:val="16"/>
          <w:szCs w:val="16"/>
        </w:rPr>
        <w:t>6.</w:t>
      </w:r>
      <w:r w:rsidRPr="00894DAC">
        <w:rPr>
          <w:rFonts w:cs="Times New Roman"/>
          <w:sz w:val="16"/>
          <w:szCs w:val="16"/>
        </w:rPr>
        <w:tab/>
        <w:t xml:space="preserve">Frugoli, P. A., Almeida, C. M. V. B., Agostinho, F., Giannetti, B. F. &amp; Huisingh, D. Can measures of well-being and progress help societies to achieve sustainable development? </w:t>
      </w:r>
      <w:r w:rsidRPr="00894DAC">
        <w:rPr>
          <w:rFonts w:cs="Times New Roman"/>
          <w:i/>
          <w:iCs/>
          <w:sz w:val="16"/>
          <w:szCs w:val="16"/>
        </w:rPr>
        <w:t>J. Clean. Prod.</w:t>
      </w:r>
      <w:r w:rsidRPr="00894DAC">
        <w:rPr>
          <w:rFonts w:cs="Times New Roman"/>
          <w:sz w:val="16"/>
          <w:szCs w:val="16"/>
        </w:rPr>
        <w:t xml:space="preserve"> </w:t>
      </w:r>
      <w:r w:rsidRPr="00894DAC">
        <w:rPr>
          <w:rFonts w:cs="Times New Roman"/>
          <w:b/>
          <w:bCs/>
          <w:sz w:val="16"/>
          <w:szCs w:val="16"/>
        </w:rPr>
        <w:t>90</w:t>
      </w:r>
      <w:r w:rsidRPr="00894DAC">
        <w:rPr>
          <w:rFonts w:cs="Times New Roman"/>
          <w:sz w:val="16"/>
          <w:szCs w:val="16"/>
        </w:rPr>
        <w:t>, 370–380 (2015).</w:t>
      </w:r>
    </w:p>
    <w:p w14:paraId="6A1426EE" w14:textId="77777777" w:rsidR="003E24D9" w:rsidRPr="00894DAC" w:rsidRDefault="003E24D9" w:rsidP="003E24D9">
      <w:pPr>
        <w:pStyle w:val="Bibliography"/>
        <w:rPr>
          <w:rFonts w:cs="Times New Roman"/>
          <w:sz w:val="16"/>
          <w:szCs w:val="16"/>
        </w:rPr>
      </w:pPr>
      <w:r w:rsidRPr="00894DAC">
        <w:rPr>
          <w:rFonts w:cs="Times New Roman"/>
          <w:sz w:val="16"/>
          <w:szCs w:val="16"/>
        </w:rPr>
        <w:t>7.</w:t>
      </w:r>
      <w:r w:rsidRPr="00894DAC">
        <w:rPr>
          <w:rFonts w:cs="Times New Roman"/>
          <w:sz w:val="16"/>
          <w:szCs w:val="16"/>
        </w:rPr>
        <w:tab/>
        <w:t xml:space="preserve">Giannetti, B. F., Agostinho, F., Almeida, C. M. V. B. &amp; Huisingh, D. A review of limitations of GDP and alternative indices to monitor human wellbeing and to manage eco-system functionality. </w:t>
      </w:r>
      <w:r w:rsidRPr="00894DAC">
        <w:rPr>
          <w:rFonts w:cs="Times New Roman"/>
          <w:i/>
          <w:iCs/>
          <w:sz w:val="16"/>
          <w:szCs w:val="16"/>
        </w:rPr>
        <w:t>J. Clean. Prod.</w:t>
      </w:r>
      <w:r w:rsidRPr="00894DAC">
        <w:rPr>
          <w:rFonts w:cs="Times New Roman"/>
          <w:sz w:val="16"/>
          <w:szCs w:val="16"/>
        </w:rPr>
        <w:t xml:space="preserve"> </w:t>
      </w:r>
      <w:r w:rsidRPr="00894DAC">
        <w:rPr>
          <w:rFonts w:cs="Times New Roman"/>
          <w:b/>
          <w:bCs/>
          <w:sz w:val="16"/>
          <w:szCs w:val="16"/>
        </w:rPr>
        <w:t>87</w:t>
      </w:r>
      <w:r w:rsidRPr="00894DAC">
        <w:rPr>
          <w:rFonts w:cs="Times New Roman"/>
          <w:sz w:val="16"/>
          <w:szCs w:val="16"/>
        </w:rPr>
        <w:t>, 11–25 (2015).</w:t>
      </w:r>
    </w:p>
    <w:p w14:paraId="22265FCA" w14:textId="77777777" w:rsidR="003E24D9" w:rsidRPr="00894DAC" w:rsidRDefault="003E24D9" w:rsidP="003E24D9">
      <w:pPr>
        <w:pStyle w:val="Bibliography"/>
        <w:rPr>
          <w:rFonts w:cs="Times New Roman"/>
          <w:sz w:val="16"/>
          <w:szCs w:val="16"/>
        </w:rPr>
      </w:pPr>
      <w:r w:rsidRPr="00894DAC">
        <w:rPr>
          <w:rFonts w:cs="Times New Roman"/>
          <w:sz w:val="16"/>
          <w:szCs w:val="16"/>
        </w:rPr>
        <w:t>8.</w:t>
      </w:r>
      <w:r w:rsidRPr="00894DAC">
        <w:rPr>
          <w:rFonts w:cs="Times New Roman"/>
          <w:sz w:val="16"/>
          <w:szCs w:val="16"/>
        </w:rPr>
        <w:tab/>
        <w:t xml:space="preserve">Maslow, A. H. A Theory of Human Motivation. </w:t>
      </w:r>
      <w:r w:rsidRPr="00894DAC">
        <w:rPr>
          <w:rFonts w:cs="Times New Roman"/>
          <w:i/>
          <w:iCs/>
          <w:sz w:val="16"/>
          <w:szCs w:val="16"/>
        </w:rPr>
        <w:t>Psychol. Rev.</w:t>
      </w:r>
      <w:r w:rsidRPr="00894DAC">
        <w:rPr>
          <w:rFonts w:cs="Times New Roman"/>
          <w:sz w:val="16"/>
          <w:szCs w:val="16"/>
        </w:rPr>
        <w:t xml:space="preserve"> </w:t>
      </w:r>
      <w:r w:rsidRPr="00894DAC">
        <w:rPr>
          <w:rFonts w:cs="Times New Roman"/>
          <w:b/>
          <w:bCs/>
          <w:sz w:val="16"/>
          <w:szCs w:val="16"/>
        </w:rPr>
        <w:t>50</w:t>
      </w:r>
      <w:r w:rsidRPr="00894DAC">
        <w:rPr>
          <w:rFonts w:cs="Times New Roman"/>
          <w:sz w:val="16"/>
          <w:szCs w:val="16"/>
        </w:rPr>
        <w:t>, 370–396 (1943).</w:t>
      </w:r>
    </w:p>
    <w:p w14:paraId="35358E5E" w14:textId="77777777" w:rsidR="003E24D9" w:rsidRPr="00894DAC" w:rsidRDefault="003E24D9" w:rsidP="003E24D9">
      <w:pPr>
        <w:pStyle w:val="Bibliography"/>
        <w:rPr>
          <w:rFonts w:cs="Times New Roman"/>
          <w:sz w:val="16"/>
          <w:szCs w:val="16"/>
        </w:rPr>
      </w:pPr>
      <w:r w:rsidRPr="00894DAC">
        <w:rPr>
          <w:rFonts w:cs="Times New Roman"/>
          <w:sz w:val="16"/>
          <w:szCs w:val="16"/>
        </w:rPr>
        <w:t>9.</w:t>
      </w:r>
      <w:r w:rsidRPr="00894DAC">
        <w:rPr>
          <w:rFonts w:cs="Times New Roman"/>
          <w:sz w:val="16"/>
          <w:szCs w:val="16"/>
        </w:rPr>
        <w:tab/>
        <w:t xml:space="preserve">Acquah, A., Nsiah, T. K., Antie, E. N. A. &amp; Otoo, B. Literature Review on Theories of Motivation. </w:t>
      </w:r>
      <w:r w:rsidRPr="00894DAC">
        <w:rPr>
          <w:rFonts w:cs="Times New Roman"/>
          <w:i/>
          <w:iCs/>
          <w:sz w:val="16"/>
          <w:szCs w:val="16"/>
        </w:rPr>
        <w:t>EPRA Int. J. Econ. Bus. Rev.</w:t>
      </w:r>
      <w:r w:rsidRPr="00894DAC">
        <w:rPr>
          <w:rFonts w:cs="Times New Roman"/>
          <w:sz w:val="16"/>
          <w:szCs w:val="16"/>
        </w:rPr>
        <w:t xml:space="preserve"> </w:t>
      </w:r>
      <w:r w:rsidRPr="00894DAC">
        <w:rPr>
          <w:rFonts w:cs="Times New Roman"/>
          <w:b/>
          <w:bCs/>
          <w:sz w:val="16"/>
          <w:szCs w:val="16"/>
        </w:rPr>
        <w:t>9</w:t>
      </w:r>
      <w:r w:rsidRPr="00894DAC">
        <w:rPr>
          <w:rFonts w:cs="Times New Roman"/>
          <w:sz w:val="16"/>
          <w:szCs w:val="16"/>
        </w:rPr>
        <w:t>, 25–29 (2021).</w:t>
      </w:r>
    </w:p>
    <w:p w14:paraId="62A378A6" w14:textId="77777777" w:rsidR="003E24D9" w:rsidRPr="00894DAC" w:rsidRDefault="003E24D9" w:rsidP="003E24D9">
      <w:pPr>
        <w:pStyle w:val="Bibliography"/>
        <w:rPr>
          <w:rFonts w:cs="Times New Roman"/>
          <w:sz w:val="16"/>
          <w:szCs w:val="16"/>
        </w:rPr>
      </w:pPr>
      <w:r w:rsidRPr="00894DAC">
        <w:rPr>
          <w:rFonts w:cs="Times New Roman"/>
          <w:sz w:val="16"/>
          <w:szCs w:val="16"/>
        </w:rPr>
        <w:t>10.</w:t>
      </w:r>
      <w:r w:rsidRPr="00894DAC">
        <w:rPr>
          <w:rFonts w:cs="Times New Roman"/>
          <w:sz w:val="16"/>
          <w:szCs w:val="16"/>
        </w:rPr>
        <w:tab/>
        <w:t xml:space="preserve">Sen, A. </w:t>
      </w:r>
      <w:r w:rsidRPr="00894DAC">
        <w:rPr>
          <w:rFonts w:cs="Times New Roman"/>
          <w:i/>
          <w:iCs/>
          <w:sz w:val="16"/>
          <w:szCs w:val="16"/>
        </w:rPr>
        <w:t>Development as Freedom</w:t>
      </w:r>
      <w:r w:rsidRPr="00894DAC">
        <w:rPr>
          <w:rFonts w:cs="Times New Roman"/>
          <w:sz w:val="16"/>
          <w:szCs w:val="16"/>
        </w:rPr>
        <w:t>. (Alfred Knopf, New York, 1999).</w:t>
      </w:r>
    </w:p>
    <w:p w14:paraId="3458639A" w14:textId="77777777" w:rsidR="003E24D9" w:rsidRPr="00894DAC" w:rsidRDefault="003E24D9" w:rsidP="003E24D9">
      <w:pPr>
        <w:pStyle w:val="Bibliography"/>
        <w:rPr>
          <w:rFonts w:cs="Times New Roman"/>
          <w:sz w:val="16"/>
          <w:szCs w:val="16"/>
        </w:rPr>
      </w:pPr>
      <w:r w:rsidRPr="00894DAC">
        <w:rPr>
          <w:rFonts w:cs="Times New Roman"/>
          <w:sz w:val="16"/>
          <w:szCs w:val="16"/>
        </w:rPr>
        <w:t>11.</w:t>
      </w:r>
      <w:r w:rsidRPr="00894DAC">
        <w:rPr>
          <w:rFonts w:cs="Times New Roman"/>
          <w:sz w:val="16"/>
          <w:szCs w:val="16"/>
        </w:rPr>
        <w:tab/>
        <w:t xml:space="preserve">Max-Neef, M. A. </w:t>
      </w:r>
      <w:r w:rsidRPr="00894DAC">
        <w:rPr>
          <w:rFonts w:cs="Times New Roman"/>
          <w:i/>
          <w:iCs/>
          <w:sz w:val="16"/>
          <w:szCs w:val="16"/>
        </w:rPr>
        <w:t>Human Scale Development:Conception, Application and Further Reflections</w:t>
      </w:r>
      <w:r w:rsidRPr="00894DAC">
        <w:rPr>
          <w:rFonts w:cs="Times New Roman"/>
          <w:sz w:val="16"/>
          <w:szCs w:val="16"/>
        </w:rPr>
        <w:t>. (Apex Press, 1989).</w:t>
      </w:r>
    </w:p>
    <w:p w14:paraId="3DF1E8FB" w14:textId="77777777" w:rsidR="003E24D9" w:rsidRPr="00894DAC" w:rsidRDefault="003E24D9" w:rsidP="003E24D9">
      <w:pPr>
        <w:pStyle w:val="Bibliography"/>
        <w:rPr>
          <w:rFonts w:cs="Times New Roman"/>
          <w:sz w:val="16"/>
          <w:szCs w:val="16"/>
        </w:rPr>
      </w:pPr>
      <w:r w:rsidRPr="00894DAC">
        <w:rPr>
          <w:rFonts w:cs="Times New Roman"/>
          <w:sz w:val="16"/>
          <w:szCs w:val="16"/>
        </w:rPr>
        <w:t>12.</w:t>
      </w:r>
      <w:r w:rsidRPr="00894DAC">
        <w:rPr>
          <w:rFonts w:cs="Times New Roman"/>
          <w:sz w:val="16"/>
          <w:szCs w:val="16"/>
        </w:rPr>
        <w:tab/>
        <w:t>Costanza, R., Hart, M., Talberth, J. &amp; Posner, S. Beyond GDP: The Need for New Measures of Progress. (2009).</w:t>
      </w:r>
    </w:p>
    <w:p w14:paraId="0483BD74" w14:textId="77777777" w:rsidR="003E24D9" w:rsidRPr="00894DAC" w:rsidRDefault="003E24D9" w:rsidP="003E24D9">
      <w:pPr>
        <w:pStyle w:val="Bibliography"/>
        <w:rPr>
          <w:rFonts w:cs="Times New Roman"/>
          <w:sz w:val="16"/>
          <w:szCs w:val="16"/>
        </w:rPr>
      </w:pPr>
      <w:r w:rsidRPr="00894DAC">
        <w:rPr>
          <w:rFonts w:cs="Times New Roman"/>
          <w:sz w:val="16"/>
          <w:szCs w:val="16"/>
        </w:rPr>
        <w:t>13.</w:t>
      </w:r>
      <w:r w:rsidRPr="00894DAC">
        <w:rPr>
          <w:rFonts w:cs="Times New Roman"/>
          <w:sz w:val="16"/>
          <w:szCs w:val="16"/>
        </w:rPr>
        <w:tab/>
        <w:t xml:space="preserve">Costanza, R. </w:t>
      </w:r>
      <w:r w:rsidRPr="00894DAC">
        <w:rPr>
          <w:rFonts w:cs="Times New Roman"/>
          <w:i/>
          <w:iCs/>
          <w:sz w:val="16"/>
          <w:szCs w:val="16"/>
        </w:rPr>
        <w:t>et al.</w:t>
      </w:r>
      <w:r w:rsidRPr="00894DAC">
        <w:rPr>
          <w:rFonts w:cs="Times New Roman"/>
          <w:sz w:val="16"/>
          <w:szCs w:val="16"/>
        </w:rPr>
        <w:t xml:space="preserve"> Modelling and measuring sustainable wellbeing in connection with the UN Sustainable Development Goals. </w:t>
      </w:r>
      <w:r w:rsidRPr="00894DAC">
        <w:rPr>
          <w:rFonts w:cs="Times New Roman"/>
          <w:i/>
          <w:iCs/>
          <w:sz w:val="16"/>
          <w:szCs w:val="16"/>
        </w:rPr>
        <w:t>Ecol. Econ.</w:t>
      </w:r>
      <w:r w:rsidRPr="00894DAC">
        <w:rPr>
          <w:rFonts w:cs="Times New Roman"/>
          <w:sz w:val="16"/>
          <w:szCs w:val="16"/>
        </w:rPr>
        <w:t xml:space="preserve"> </w:t>
      </w:r>
      <w:r w:rsidRPr="00894DAC">
        <w:rPr>
          <w:rFonts w:cs="Times New Roman"/>
          <w:b/>
          <w:bCs/>
          <w:sz w:val="16"/>
          <w:szCs w:val="16"/>
        </w:rPr>
        <w:t>130</w:t>
      </w:r>
      <w:r w:rsidRPr="00894DAC">
        <w:rPr>
          <w:rFonts w:cs="Times New Roman"/>
          <w:sz w:val="16"/>
          <w:szCs w:val="16"/>
        </w:rPr>
        <w:t>, 350–355 (2016).</w:t>
      </w:r>
    </w:p>
    <w:p w14:paraId="4D07BD91" w14:textId="77777777" w:rsidR="003E24D9" w:rsidRPr="00894DAC" w:rsidRDefault="003E24D9" w:rsidP="003E24D9">
      <w:pPr>
        <w:pStyle w:val="Bibliography"/>
        <w:rPr>
          <w:rFonts w:cs="Times New Roman"/>
          <w:sz w:val="16"/>
          <w:szCs w:val="16"/>
        </w:rPr>
      </w:pPr>
      <w:r w:rsidRPr="00894DAC">
        <w:rPr>
          <w:rFonts w:cs="Times New Roman"/>
          <w:sz w:val="16"/>
          <w:szCs w:val="16"/>
        </w:rPr>
        <w:t>14.</w:t>
      </w:r>
      <w:r w:rsidRPr="00894DAC">
        <w:rPr>
          <w:rFonts w:cs="Times New Roman"/>
          <w:sz w:val="16"/>
          <w:szCs w:val="16"/>
        </w:rPr>
        <w:tab/>
        <w:t xml:space="preserve">Fioramonti, L. </w:t>
      </w:r>
      <w:r w:rsidRPr="00894DAC">
        <w:rPr>
          <w:rFonts w:cs="Times New Roman"/>
          <w:i/>
          <w:iCs/>
          <w:sz w:val="16"/>
          <w:szCs w:val="16"/>
        </w:rPr>
        <w:t>et al.</w:t>
      </w:r>
      <w:r w:rsidRPr="00894DAC">
        <w:rPr>
          <w:rFonts w:cs="Times New Roman"/>
          <w:sz w:val="16"/>
          <w:szCs w:val="16"/>
        </w:rPr>
        <w:t xml:space="preserve"> Wellbeing economy: An effective paradigm to mainstream post-growth policies? </w:t>
      </w:r>
      <w:r w:rsidRPr="00894DAC">
        <w:rPr>
          <w:rFonts w:cs="Times New Roman"/>
          <w:i/>
          <w:iCs/>
          <w:sz w:val="16"/>
          <w:szCs w:val="16"/>
        </w:rPr>
        <w:t>Ecol. Econ.</w:t>
      </w:r>
      <w:r w:rsidRPr="00894DAC">
        <w:rPr>
          <w:rFonts w:cs="Times New Roman"/>
          <w:sz w:val="16"/>
          <w:szCs w:val="16"/>
        </w:rPr>
        <w:t xml:space="preserve"> </w:t>
      </w:r>
      <w:r w:rsidRPr="00894DAC">
        <w:rPr>
          <w:rFonts w:cs="Times New Roman"/>
          <w:b/>
          <w:bCs/>
          <w:sz w:val="16"/>
          <w:szCs w:val="16"/>
        </w:rPr>
        <w:t>192</w:t>
      </w:r>
      <w:r w:rsidRPr="00894DAC">
        <w:rPr>
          <w:rFonts w:cs="Times New Roman"/>
          <w:sz w:val="16"/>
          <w:szCs w:val="16"/>
        </w:rPr>
        <w:t>, 107261 (2022).</w:t>
      </w:r>
    </w:p>
    <w:p w14:paraId="3D0046E2" w14:textId="77777777" w:rsidR="003E24D9" w:rsidRPr="00894DAC" w:rsidRDefault="003E24D9" w:rsidP="003E24D9">
      <w:pPr>
        <w:pStyle w:val="Bibliography"/>
        <w:rPr>
          <w:rFonts w:cs="Times New Roman"/>
          <w:sz w:val="16"/>
          <w:szCs w:val="16"/>
        </w:rPr>
      </w:pPr>
      <w:r w:rsidRPr="00894DAC">
        <w:rPr>
          <w:rFonts w:cs="Times New Roman"/>
          <w:sz w:val="16"/>
          <w:szCs w:val="16"/>
        </w:rPr>
        <w:t>15.</w:t>
      </w:r>
      <w:r w:rsidRPr="00894DAC">
        <w:rPr>
          <w:rFonts w:cs="Times New Roman"/>
          <w:sz w:val="16"/>
          <w:szCs w:val="16"/>
        </w:rPr>
        <w:tab/>
      </w:r>
      <w:r w:rsidRPr="00894DAC">
        <w:rPr>
          <w:rFonts w:cs="Times New Roman"/>
          <w:i/>
          <w:iCs/>
          <w:sz w:val="16"/>
          <w:szCs w:val="16"/>
        </w:rPr>
        <w:t>Toward an Integrated Science of Wellbeing</w:t>
      </w:r>
      <w:r w:rsidRPr="00894DAC">
        <w:rPr>
          <w:rFonts w:cs="Times New Roman"/>
          <w:sz w:val="16"/>
          <w:szCs w:val="16"/>
        </w:rPr>
        <w:t>. (Oxford University PressNew York, 2023). doi:10.1093/oso/9780197567579.001.0001.</w:t>
      </w:r>
    </w:p>
    <w:p w14:paraId="4EAC1275" w14:textId="77777777" w:rsidR="003E24D9" w:rsidRPr="00894DAC" w:rsidRDefault="003E24D9" w:rsidP="003E24D9">
      <w:pPr>
        <w:pStyle w:val="Bibliography"/>
        <w:rPr>
          <w:rFonts w:cs="Times New Roman"/>
          <w:sz w:val="16"/>
          <w:szCs w:val="16"/>
        </w:rPr>
      </w:pPr>
      <w:r w:rsidRPr="00894DAC">
        <w:rPr>
          <w:rFonts w:cs="Times New Roman"/>
          <w:sz w:val="16"/>
          <w:szCs w:val="16"/>
        </w:rPr>
        <w:t>16.</w:t>
      </w:r>
      <w:r w:rsidRPr="00894DAC">
        <w:rPr>
          <w:rFonts w:cs="Times New Roman"/>
          <w:sz w:val="16"/>
          <w:szCs w:val="16"/>
        </w:rPr>
        <w:tab/>
        <w:t xml:space="preserve">Cohen, G., Jalles, J. T., Loungani, P. &amp; Marto, R. The Long-Run Decoupling of Emissions and Output: Evidence from the Largest Emitters. </w:t>
      </w:r>
      <w:r w:rsidRPr="00894DAC">
        <w:rPr>
          <w:rFonts w:cs="Times New Roman"/>
          <w:i/>
          <w:iCs/>
          <w:sz w:val="16"/>
          <w:szCs w:val="16"/>
        </w:rPr>
        <w:t>IMF Work. Pap.</w:t>
      </w:r>
      <w:r w:rsidRPr="00894DAC">
        <w:rPr>
          <w:rFonts w:cs="Times New Roman"/>
          <w:sz w:val="16"/>
          <w:szCs w:val="16"/>
        </w:rPr>
        <w:t xml:space="preserve"> </w:t>
      </w:r>
      <w:r w:rsidRPr="00894DAC">
        <w:rPr>
          <w:rFonts w:cs="Times New Roman"/>
          <w:b/>
          <w:bCs/>
          <w:sz w:val="16"/>
          <w:szCs w:val="16"/>
        </w:rPr>
        <w:t>18</w:t>
      </w:r>
      <w:r w:rsidRPr="00894DAC">
        <w:rPr>
          <w:rFonts w:cs="Times New Roman"/>
          <w:sz w:val="16"/>
          <w:szCs w:val="16"/>
        </w:rPr>
        <w:t>, 1 (2018).</w:t>
      </w:r>
    </w:p>
    <w:p w14:paraId="02282071" w14:textId="154FCC97" w:rsidR="00165E6E" w:rsidRDefault="0095559B" w:rsidP="004E63CE">
      <w:pPr>
        <w:spacing w:after="120"/>
        <w:jc w:val="both"/>
      </w:pPr>
      <w:r w:rsidRPr="00894DAC">
        <w:rPr>
          <w:sz w:val="16"/>
          <w:szCs w:val="16"/>
        </w:rPr>
        <w:fldChar w:fldCharType="end"/>
      </w:r>
    </w:p>
    <w:sectPr w:rsidR="00165E6E" w:rsidSect="006B132C">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64E0C" w14:textId="77777777" w:rsidR="00B73EE6" w:rsidRDefault="00B73EE6" w:rsidP="002D1EA8">
      <w:pPr>
        <w:spacing w:after="0" w:line="240" w:lineRule="auto"/>
      </w:pPr>
      <w:r>
        <w:separator/>
      </w:r>
    </w:p>
  </w:endnote>
  <w:endnote w:type="continuationSeparator" w:id="0">
    <w:p w14:paraId="7ADB0750" w14:textId="77777777" w:rsidR="00B73EE6" w:rsidRDefault="00B73EE6" w:rsidP="002D1E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40E63" w14:textId="77777777" w:rsidR="002D1EA8" w:rsidRDefault="002D1E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A65C6" w14:textId="77777777" w:rsidR="002D1EA8" w:rsidRDefault="002D1E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3BCCE" w14:textId="77777777" w:rsidR="002D1EA8" w:rsidRDefault="002D1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45FDC" w14:textId="77777777" w:rsidR="00B73EE6" w:rsidRDefault="00B73EE6" w:rsidP="002D1EA8">
      <w:pPr>
        <w:spacing w:after="0" w:line="240" w:lineRule="auto"/>
      </w:pPr>
      <w:r>
        <w:separator/>
      </w:r>
    </w:p>
  </w:footnote>
  <w:footnote w:type="continuationSeparator" w:id="0">
    <w:p w14:paraId="3A3BECD5" w14:textId="77777777" w:rsidR="00B73EE6" w:rsidRDefault="00B73EE6" w:rsidP="002D1E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93BE9" w14:textId="6368FDF1" w:rsidR="002D1EA8" w:rsidRDefault="002D1EA8">
    <w:pPr>
      <w:pStyle w:val="Header"/>
    </w:pPr>
    <w:r>
      <w:rPr>
        <w:noProof/>
      </w:rPr>
      <w:pict w14:anchorId="46FFEE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90.75pt;height:45.4pt;rotation:315;z-index:-251655168;mso-position-horizontal:center;mso-position-horizontal-relative:margin;mso-position-vertical:center;mso-position-vertical-relative:margin" o:allowincell="f" fillcolor="silver" stroked="f">
          <v:fill opacity=".5"/>
          <v:textpath style="font-family:&quot;Times New Roman&quot;;font-size:1pt" string="DRAFT: NOT FOR PUBLICATIO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E7454" w14:textId="6FD125BC" w:rsidR="002D1EA8" w:rsidRDefault="002D1EA8">
    <w:pPr>
      <w:pStyle w:val="Header"/>
    </w:pPr>
    <w:r>
      <w:rPr>
        <w:noProof/>
      </w:rPr>
      <w:pict w14:anchorId="79E8B7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90.75pt;height:45.4pt;rotation:315;z-index:-251653120;mso-position-horizontal:center;mso-position-horizontal-relative:margin;mso-position-vertical:center;mso-position-vertical-relative:margin" o:allowincell="f" fillcolor="silver" stroked="f">
          <v:fill opacity=".5"/>
          <v:textpath style="font-family:&quot;Times New Roman&quot;;font-size:1pt" string="DRAFT: NOT FOR PUBLICATIO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5B1EF" w14:textId="5BB2E3CB" w:rsidR="002D1EA8" w:rsidRDefault="002D1EA8">
    <w:pPr>
      <w:pStyle w:val="Header"/>
    </w:pPr>
    <w:r>
      <w:rPr>
        <w:noProof/>
      </w:rPr>
      <w:pict w14:anchorId="0F0C08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590.75pt;height:45.4pt;rotation:315;z-index:-251657216;mso-position-horizontal:center;mso-position-horizontal-relative:margin;mso-position-vertical:center;mso-position-vertical-relative:margin" o:allowincell="f" fillcolor="silver" stroked="f">
          <v:fill opacity=".5"/>
          <v:textpath style="font-family:&quot;Times New Roman&quot;;font-size:1pt" string="DRAFT: NOT FOR PUBLICATIO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F3B4F86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2C014FB"/>
    <w:multiLevelType w:val="multilevel"/>
    <w:tmpl w:val="35D8E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0794372">
    <w:abstractNumId w:val="8"/>
  </w:num>
  <w:num w:numId="2" w16cid:durableId="706150652">
    <w:abstractNumId w:val="6"/>
  </w:num>
  <w:num w:numId="3" w16cid:durableId="851720146">
    <w:abstractNumId w:val="5"/>
  </w:num>
  <w:num w:numId="4" w16cid:durableId="2136751710">
    <w:abstractNumId w:val="4"/>
  </w:num>
  <w:num w:numId="5" w16cid:durableId="1823227859">
    <w:abstractNumId w:val="7"/>
  </w:num>
  <w:num w:numId="6" w16cid:durableId="1026249278">
    <w:abstractNumId w:val="3"/>
  </w:num>
  <w:num w:numId="7" w16cid:durableId="619188543">
    <w:abstractNumId w:val="2"/>
  </w:num>
  <w:num w:numId="8" w16cid:durableId="1601914159">
    <w:abstractNumId w:val="1"/>
  </w:num>
  <w:num w:numId="9" w16cid:durableId="1089346872">
    <w:abstractNumId w:val="0"/>
  </w:num>
  <w:num w:numId="10" w16cid:durableId="4290124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6197"/>
    <w:rsid w:val="00034616"/>
    <w:rsid w:val="0003748C"/>
    <w:rsid w:val="0006063C"/>
    <w:rsid w:val="00063106"/>
    <w:rsid w:val="00121012"/>
    <w:rsid w:val="0012113F"/>
    <w:rsid w:val="00147B0E"/>
    <w:rsid w:val="0015074B"/>
    <w:rsid w:val="00165E6E"/>
    <w:rsid w:val="001B48DD"/>
    <w:rsid w:val="001F59D7"/>
    <w:rsid w:val="001F7C4A"/>
    <w:rsid w:val="0025612A"/>
    <w:rsid w:val="002738BF"/>
    <w:rsid w:val="00277D8B"/>
    <w:rsid w:val="00296214"/>
    <w:rsid w:val="0029639D"/>
    <w:rsid w:val="002A0647"/>
    <w:rsid w:val="002B5F97"/>
    <w:rsid w:val="002D1EA8"/>
    <w:rsid w:val="00326F90"/>
    <w:rsid w:val="003E24D9"/>
    <w:rsid w:val="003E2B10"/>
    <w:rsid w:val="003E6E91"/>
    <w:rsid w:val="003F593E"/>
    <w:rsid w:val="00434740"/>
    <w:rsid w:val="00461898"/>
    <w:rsid w:val="004817A6"/>
    <w:rsid w:val="004A5BB1"/>
    <w:rsid w:val="004D6549"/>
    <w:rsid w:val="004E63CE"/>
    <w:rsid w:val="004F1C70"/>
    <w:rsid w:val="00527E4E"/>
    <w:rsid w:val="005344F8"/>
    <w:rsid w:val="0056267B"/>
    <w:rsid w:val="00583DCD"/>
    <w:rsid w:val="005A1AF9"/>
    <w:rsid w:val="005A355C"/>
    <w:rsid w:val="005A3DA4"/>
    <w:rsid w:val="005B1F3E"/>
    <w:rsid w:val="005C51BB"/>
    <w:rsid w:val="006132E2"/>
    <w:rsid w:val="00632949"/>
    <w:rsid w:val="006430F8"/>
    <w:rsid w:val="006B132C"/>
    <w:rsid w:val="006D170E"/>
    <w:rsid w:val="00716D75"/>
    <w:rsid w:val="00744D06"/>
    <w:rsid w:val="00750DEE"/>
    <w:rsid w:val="0078131A"/>
    <w:rsid w:val="007D605E"/>
    <w:rsid w:val="00837239"/>
    <w:rsid w:val="00842B8B"/>
    <w:rsid w:val="0085079D"/>
    <w:rsid w:val="00861B3F"/>
    <w:rsid w:val="00894DAC"/>
    <w:rsid w:val="008A3548"/>
    <w:rsid w:val="008B30F4"/>
    <w:rsid w:val="008C4620"/>
    <w:rsid w:val="0095559B"/>
    <w:rsid w:val="009669E1"/>
    <w:rsid w:val="0098256E"/>
    <w:rsid w:val="0098599B"/>
    <w:rsid w:val="009869E3"/>
    <w:rsid w:val="009C5453"/>
    <w:rsid w:val="009F487F"/>
    <w:rsid w:val="00A0737C"/>
    <w:rsid w:val="00A2679E"/>
    <w:rsid w:val="00A31692"/>
    <w:rsid w:val="00AA1D8D"/>
    <w:rsid w:val="00AA6A25"/>
    <w:rsid w:val="00AB251B"/>
    <w:rsid w:val="00AC31CF"/>
    <w:rsid w:val="00AE0387"/>
    <w:rsid w:val="00B135AC"/>
    <w:rsid w:val="00B47730"/>
    <w:rsid w:val="00B73EE6"/>
    <w:rsid w:val="00C57F7D"/>
    <w:rsid w:val="00CA766A"/>
    <w:rsid w:val="00CB0664"/>
    <w:rsid w:val="00D06C34"/>
    <w:rsid w:val="00D0788D"/>
    <w:rsid w:val="00D93E17"/>
    <w:rsid w:val="00DB2CB5"/>
    <w:rsid w:val="00DE5AA4"/>
    <w:rsid w:val="00E432EF"/>
    <w:rsid w:val="00E45D9E"/>
    <w:rsid w:val="00E70DC1"/>
    <w:rsid w:val="00E9305C"/>
    <w:rsid w:val="00EA00E4"/>
    <w:rsid w:val="00EB4566"/>
    <w:rsid w:val="00EB4A45"/>
    <w:rsid w:val="00EB6CC8"/>
    <w:rsid w:val="00EC57AD"/>
    <w:rsid w:val="00EF273C"/>
    <w:rsid w:val="00FB17D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6A6790AA-C388-4ADD-8CAD-56BD794D8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F1C70"/>
    <w:rPr>
      <w:color w:val="0000FF" w:themeColor="hyperlink"/>
      <w:u w:val="single"/>
    </w:rPr>
  </w:style>
  <w:style w:type="character" w:styleId="UnresolvedMention">
    <w:name w:val="Unresolved Mention"/>
    <w:basedOn w:val="DefaultParagraphFont"/>
    <w:uiPriority w:val="99"/>
    <w:semiHidden/>
    <w:unhideWhenUsed/>
    <w:rsid w:val="004F1C70"/>
    <w:rPr>
      <w:color w:val="605E5C"/>
      <w:shd w:val="clear" w:color="auto" w:fill="E1DFDD"/>
    </w:rPr>
  </w:style>
  <w:style w:type="paragraph" w:styleId="Bibliography">
    <w:name w:val="Bibliography"/>
    <w:basedOn w:val="Normal"/>
    <w:next w:val="Normal"/>
    <w:uiPriority w:val="37"/>
    <w:unhideWhenUsed/>
    <w:rsid w:val="0095559B"/>
    <w:pPr>
      <w:tabs>
        <w:tab w:val="left" w:pos="384"/>
      </w:tabs>
      <w:spacing w:after="0" w:line="480" w:lineRule="auto"/>
      <w:ind w:left="384" w:hanging="384"/>
    </w:pPr>
  </w:style>
  <w:style w:type="character" w:styleId="CommentReference">
    <w:name w:val="annotation reference"/>
    <w:basedOn w:val="DefaultParagraphFont"/>
    <w:uiPriority w:val="99"/>
    <w:semiHidden/>
    <w:unhideWhenUsed/>
    <w:rsid w:val="00716D75"/>
    <w:rPr>
      <w:sz w:val="16"/>
      <w:szCs w:val="16"/>
    </w:rPr>
  </w:style>
  <w:style w:type="paragraph" w:styleId="CommentText">
    <w:name w:val="annotation text"/>
    <w:basedOn w:val="Normal"/>
    <w:link w:val="CommentTextChar"/>
    <w:uiPriority w:val="99"/>
    <w:unhideWhenUsed/>
    <w:rsid w:val="00716D75"/>
    <w:pPr>
      <w:spacing w:line="240" w:lineRule="auto"/>
    </w:pPr>
    <w:rPr>
      <w:sz w:val="20"/>
      <w:szCs w:val="20"/>
    </w:rPr>
  </w:style>
  <w:style w:type="character" w:customStyle="1" w:styleId="CommentTextChar">
    <w:name w:val="Comment Text Char"/>
    <w:basedOn w:val="DefaultParagraphFont"/>
    <w:link w:val="CommentText"/>
    <w:uiPriority w:val="99"/>
    <w:rsid w:val="00716D75"/>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16D75"/>
    <w:rPr>
      <w:b/>
      <w:bCs/>
    </w:rPr>
  </w:style>
  <w:style w:type="character" w:customStyle="1" w:styleId="CommentSubjectChar">
    <w:name w:val="Comment Subject Char"/>
    <w:basedOn w:val="CommentTextChar"/>
    <w:link w:val="CommentSubject"/>
    <w:uiPriority w:val="99"/>
    <w:semiHidden/>
    <w:rsid w:val="00716D75"/>
    <w:rPr>
      <w:rFonts w:ascii="Times New Roman" w:eastAsia="Times New Roman" w:hAnsi="Times New Roman"/>
      <w:b/>
      <w:bCs/>
      <w:sz w:val="20"/>
      <w:szCs w:val="20"/>
    </w:rPr>
  </w:style>
  <w:style w:type="paragraph" w:styleId="BalloonText">
    <w:name w:val="Balloon Text"/>
    <w:basedOn w:val="Normal"/>
    <w:link w:val="BalloonTextChar"/>
    <w:uiPriority w:val="99"/>
    <w:semiHidden/>
    <w:unhideWhenUsed/>
    <w:rsid w:val="001211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113F"/>
    <w:rPr>
      <w:rFonts w:ascii="Segoe UI" w:eastAsia="Times New Roman" w:hAnsi="Segoe UI" w:cs="Segoe UI"/>
      <w:sz w:val="18"/>
      <w:szCs w:val="18"/>
    </w:rPr>
  </w:style>
  <w:style w:type="paragraph" w:styleId="Revision">
    <w:name w:val="Revision"/>
    <w:hidden/>
    <w:uiPriority w:val="99"/>
    <w:semiHidden/>
    <w:rsid w:val="0085079D"/>
    <w:pPr>
      <w:spacing w:after="0" w:line="240" w:lineRule="auto"/>
    </w:pPr>
    <w:rPr>
      <w:rFonts w:ascii="Times New Roman" w:eastAsia="Times New Roman" w:hAnsi="Times New Roman"/>
    </w:rPr>
  </w:style>
  <w:style w:type="paragraph" w:styleId="NormalWeb">
    <w:name w:val="Normal (Web)"/>
    <w:basedOn w:val="Normal"/>
    <w:uiPriority w:val="99"/>
    <w:semiHidden/>
    <w:unhideWhenUsed/>
    <w:rsid w:val="006D170E"/>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9D1CFB-BF68-474C-9D8A-971C12851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5754</Words>
  <Characters>32798</Characters>
  <Application>Microsoft Office Word</Application>
  <DocSecurity>0</DocSecurity>
  <Lines>273</Lines>
  <Paragraphs>76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Manager/>
  <Company/>
  <LinksUpToDate>false</LinksUpToDate>
  <CharactersWithSpaces>38476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Etienne Berthet</cp:lastModifiedBy>
  <cp:revision>4</cp:revision>
  <dcterms:created xsi:type="dcterms:W3CDTF">2026-04-16T03:51:00Z</dcterms:created>
  <dcterms:modified xsi:type="dcterms:W3CDTF">2026-04-16T04:00:00Z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34cea4c1-0230-4131-a365-4cf3aeddb9e3</vt:lpwstr>
  </property>
  <property fmtid="{D5CDD505-2E9C-101B-9397-08002B2CF9AE}" pid="3" name="ZOTERO_PREF_1">
    <vt:lpwstr>&lt;data data-version="3" zotero-version="7.0.31"&gt;&lt;session id="EBBH7AgD"/&gt;&lt;style id="http://www.zotero.org/styles/nature" hasBibliography="1" bibliographyStyleHasBeenSet="1"/&gt;&lt;prefs&gt;&lt;pref name="fieldType" value="Field"/&gt;&lt;pref name="automaticJournalAbbreviati</vt:lpwstr>
  </property>
  <property fmtid="{D5CDD505-2E9C-101B-9397-08002B2CF9AE}" pid="4" name="ZOTERO_PREF_2">
    <vt:lpwstr>ons" value="true"/&gt;&lt;/prefs&gt;&lt;/data&gt;</vt:lpwstr>
  </property>
</Properties>
</file>