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A53" w:rsidRDefault="00C64A53" w:rsidP="004C1D5A">
      <w:pPr>
        <w:pStyle w:val="BookTitle1"/>
        <w:ind w:left="0" w:right="-30"/>
        <w:jc w:val="center"/>
        <w:rPr>
          <w:sz w:val="40"/>
          <w:szCs w:val="40"/>
        </w:rPr>
      </w:pPr>
      <w:bookmarkStart w:id="0" w:name="_Toc514735110"/>
    </w:p>
    <w:p w:rsidR="004C1D5A" w:rsidRPr="004C1D5A" w:rsidRDefault="00D820FE" w:rsidP="004C1D5A">
      <w:pPr>
        <w:pStyle w:val="BookTitle1"/>
        <w:ind w:left="0" w:right="-30"/>
        <w:jc w:val="center"/>
        <w:rPr>
          <w:sz w:val="40"/>
          <w:szCs w:val="40"/>
        </w:rPr>
      </w:pPr>
      <w:r w:rsidRPr="00D820FE">
        <w:rPr>
          <w:sz w:val="40"/>
          <w:szCs w:val="40"/>
        </w:rPr>
        <w:t>Firms, Trade and Employment in Tunisia</w:t>
      </w:r>
    </w:p>
    <w:p w:rsidR="00182AAD" w:rsidRDefault="0074487E">
      <w:pPr>
        <w:pStyle w:val="BodyText10"/>
        <w:jc w:val="center"/>
      </w:pPr>
      <w:r w:rsidRPr="00243BD5">
        <w:rPr>
          <w:highlight w:val="yellow"/>
        </w:rPr>
        <w:t>Leila Baghdadi</w:t>
      </w:r>
      <w:bookmarkStart w:id="1" w:name="_GoBack"/>
      <w:bookmarkEnd w:id="1"/>
      <w:r w:rsidRPr="0074487E">
        <w:footnoteReference w:customMarkFollows="1" w:id="1"/>
        <w:sym w:font="Symbol" w:char="F02A"/>
      </w:r>
      <w:r w:rsidR="00FF383B">
        <w:t>, Hassen Arouri**</w:t>
      </w:r>
    </w:p>
    <w:p w:rsidR="00D820FE" w:rsidRPr="006E588B" w:rsidRDefault="00D820FE" w:rsidP="00D820FE">
      <w:pPr>
        <w:pStyle w:val="BodyText1"/>
        <w:spacing w:after="0"/>
        <w:jc w:val="left"/>
        <w:rPr>
          <w:lang w:val="en-US"/>
        </w:rPr>
      </w:pPr>
    </w:p>
    <w:p w:rsidR="004C1D5A" w:rsidRPr="006E588B" w:rsidRDefault="004C1D5A" w:rsidP="004C1D5A">
      <w:pPr>
        <w:spacing w:after="0"/>
        <w:jc w:val="left"/>
        <w:rPr>
          <w:szCs w:val="20"/>
          <w:lang w:val="en-US"/>
        </w:rPr>
      </w:pPr>
    </w:p>
    <w:p w:rsidR="004C1D5A" w:rsidRPr="006E588B" w:rsidRDefault="004C1D5A" w:rsidP="004C1D5A">
      <w:pPr>
        <w:spacing w:after="0"/>
        <w:jc w:val="left"/>
        <w:rPr>
          <w:szCs w:val="20"/>
          <w:lang w:val="en-US"/>
        </w:rPr>
      </w:pPr>
    </w:p>
    <w:p w:rsidR="004C1D5A" w:rsidRPr="006E588B" w:rsidRDefault="00E34B51" w:rsidP="004C1D5A">
      <w:pPr>
        <w:pStyle w:val="BodyText1"/>
        <w:jc w:val="center"/>
        <w:rPr>
          <w:lang w:val="en-US"/>
        </w:rPr>
      </w:pPr>
      <w:r>
        <w:rPr>
          <w:lang w:val="en-US"/>
        </w:rPr>
        <w:t xml:space="preserve">October, </w:t>
      </w:r>
      <w:r w:rsidR="009C23BB" w:rsidRPr="006E588B">
        <w:rPr>
          <w:lang w:val="en-US"/>
        </w:rPr>
        <w:t>2015</w:t>
      </w:r>
    </w:p>
    <w:p w:rsidR="004C1D5A" w:rsidRPr="006E588B" w:rsidRDefault="004C1D5A" w:rsidP="004C1D5A">
      <w:pPr>
        <w:spacing w:after="0"/>
        <w:jc w:val="left"/>
        <w:rPr>
          <w:b/>
          <w:sz w:val="24"/>
          <w:lang w:val="en-US"/>
        </w:rPr>
      </w:pPr>
    </w:p>
    <w:p w:rsidR="004C1D5A" w:rsidRPr="006E588B" w:rsidRDefault="004C1D5A" w:rsidP="004C1D5A">
      <w:pPr>
        <w:spacing w:after="0"/>
        <w:jc w:val="left"/>
        <w:rPr>
          <w:b/>
          <w:sz w:val="24"/>
          <w:lang w:val="en-US"/>
        </w:rPr>
      </w:pPr>
    </w:p>
    <w:bookmarkEnd w:id="0"/>
    <w:p w:rsidR="00A94E5D" w:rsidRPr="006E588B" w:rsidRDefault="005F6CB7" w:rsidP="004C1D5A">
      <w:pPr>
        <w:spacing w:after="0"/>
        <w:ind w:left="3600" w:firstLine="720"/>
        <w:jc w:val="left"/>
        <w:rPr>
          <w:b/>
          <w:szCs w:val="20"/>
          <w:lang w:val="en-US"/>
        </w:rPr>
      </w:pPr>
      <w:r w:rsidRPr="006E588B">
        <w:rPr>
          <w:b/>
          <w:szCs w:val="20"/>
          <w:lang w:val="en-US"/>
        </w:rPr>
        <w:t>Abstract</w:t>
      </w:r>
    </w:p>
    <w:p w:rsidR="004C1D5A" w:rsidRPr="006E588B" w:rsidRDefault="004C1D5A" w:rsidP="004C1D5A">
      <w:pPr>
        <w:spacing w:after="0"/>
        <w:ind w:left="3600" w:firstLine="720"/>
        <w:jc w:val="left"/>
        <w:rPr>
          <w:b/>
          <w:sz w:val="24"/>
          <w:lang w:val="en-US"/>
        </w:rPr>
      </w:pPr>
    </w:p>
    <w:p w:rsidR="009E1161" w:rsidRPr="00E367D7" w:rsidRDefault="009E1161" w:rsidP="00944D9A">
      <w:pPr>
        <w:pStyle w:val="BodyText1"/>
      </w:pPr>
      <w:bookmarkStart w:id="2" w:name="_Toc238621515"/>
      <w:bookmarkEnd w:id="2"/>
      <w:r>
        <w:t xml:space="preserve">This paper aims to investigate whether exposure to international trade increases the firm’s ability to create jobs, </w:t>
      </w:r>
      <w:r w:rsidR="004D4BB9">
        <w:t xml:space="preserve">improve </w:t>
      </w:r>
      <w:r>
        <w:t xml:space="preserve">its productivity and profitability </w:t>
      </w:r>
      <w:r w:rsidR="00E12C3B">
        <w:t xml:space="preserve">using </w:t>
      </w:r>
      <w:r>
        <w:t>a unique Tunisian firm level data</w:t>
      </w:r>
      <w:r w:rsidR="00E34B51">
        <w:t xml:space="preserve"> set</w:t>
      </w:r>
      <w:r>
        <w:t>. Several types of firms are considered: onshore non-exporters and importers, onshore exporters and non-importers, onshore exporters and importers, offshore exporters and non-importers and offshore exporters and importers. Findings are mixed concerning firm’s invol</w:t>
      </w:r>
      <w:r w:rsidR="0087176D">
        <w:t>ve</w:t>
      </w:r>
      <w:r>
        <w:t xml:space="preserve">ment in trade and job creation. Onshore firms exclusively importing and offshore </w:t>
      </w:r>
      <w:r w:rsidR="00944D9A">
        <w:t>firms (exporters and two way traders)</w:t>
      </w:r>
      <w:r>
        <w:t xml:space="preserve"> appear to be the only ones to create jobs compared to non traders. Evidence related to the relationship between firm’s performance and trade status is more clear-cut. Tunisian firms involved in foreign markets are more productive and profitable than non-traders.</w:t>
      </w:r>
    </w:p>
    <w:p w:rsidR="004C1D5A" w:rsidRDefault="004C1D5A">
      <w:pPr>
        <w:spacing w:after="0"/>
        <w:jc w:val="left"/>
        <w:rPr>
          <w:szCs w:val="20"/>
        </w:rPr>
      </w:pPr>
    </w:p>
    <w:p w:rsidR="004C1D5A" w:rsidRDefault="004C1D5A">
      <w:pPr>
        <w:spacing w:after="0"/>
        <w:jc w:val="left"/>
        <w:rPr>
          <w:szCs w:val="20"/>
        </w:rPr>
      </w:pPr>
      <w:r w:rsidRPr="004C1D5A">
        <w:rPr>
          <w:b/>
          <w:szCs w:val="20"/>
        </w:rPr>
        <w:t>JEL Classification</w:t>
      </w:r>
      <w:r>
        <w:rPr>
          <w:szCs w:val="20"/>
        </w:rPr>
        <w:t>: F14, L15</w:t>
      </w:r>
    </w:p>
    <w:p w:rsidR="004C1D5A" w:rsidRDefault="004C1D5A">
      <w:pPr>
        <w:spacing w:after="0"/>
        <w:jc w:val="left"/>
        <w:rPr>
          <w:szCs w:val="20"/>
        </w:rPr>
      </w:pPr>
    </w:p>
    <w:p w:rsidR="004C1D5A" w:rsidRDefault="004C1D5A" w:rsidP="00842B88">
      <w:pPr>
        <w:spacing w:after="0"/>
        <w:jc w:val="left"/>
        <w:rPr>
          <w:szCs w:val="20"/>
        </w:rPr>
      </w:pPr>
      <w:r w:rsidRPr="004C1D5A">
        <w:rPr>
          <w:b/>
          <w:szCs w:val="20"/>
        </w:rPr>
        <w:t>Keywords</w:t>
      </w:r>
      <w:r>
        <w:rPr>
          <w:szCs w:val="20"/>
        </w:rPr>
        <w:t xml:space="preserve">: trade, </w:t>
      </w:r>
      <w:r w:rsidR="00842B88">
        <w:rPr>
          <w:szCs w:val="20"/>
        </w:rPr>
        <w:t>productivity, profitability, job creation</w:t>
      </w:r>
      <w:r>
        <w:rPr>
          <w:szCs w:val="20"/>
        </w:rPr>
        <w:t>, SME</w:t>
      </w: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4C1D5A" w:rsidRDefault="004C1D5A">
      <w:pPr>
        <w:spacing w:after="0"/>
        <w:jc w:val="left"/>
        <w:rPr>
          <w:szCs w:val="20"/>
        </w:rPr>
      </w:pPr>
    </w:p>
    <w:p w:rsidR="008E78FF" w:rsidRPr="004C1D5A" w:rsidRDefault="008E78FF">
      <w:pPr>
        <w:spacing w:after="0"/>
        <w:jc w:val="left"/>
        <w:rPr>
          <w:szCs w:val="20"/>
        </w:rPr>
      </w:pPr>
      <w:r w:rsidRPr="004C1D5A">
        <w:rPr>
          <w:szCs w:val="20"/>
        </w:rPr>
        <w:br w:type="page"/>
      </w:r>
    </w:p>
    <w:p w:rsidR="008E78FF" w:rsidRPr="00D0715C" w:rsidRDefault="008E78FF" w:rsidP="00A929F3">
      <w:pPr>
        <w:pStyle w:val="BodyText1"/>
        <w:sectPr w:rsidR="008E78FF" w:rsidRPr="00D0715C" w:rsidSect="009D3444">
          <w:headerReference w:type="even" r:id="rId8"/>
          <w:headerReference w:type="default" r:id="rId9"/>
          <w:footerReference w:type="even" r:id="rId10"/>
          <w:footerReference w:type="default" r:id="rId11"/>
          <w:type w:val="oddPage"/>
          <w:pgSz w:w="11906" w:h="16838" w:code="9"/>
          <w:pgMar w:top="1701" w:right="1134" w:bottom="1701" w:left="1304" w:header="709" w:footer="709" w:gutter="0"/>
          <w:pgNumType w:fmt="lowerRoman"/>
          <w:cols w:space="708"/>
          <w:titlePg/>
          <w:docGrid w:linePitch="360"/>
        </w:sectPr>
      </w:pPr>
    </w:p>
    <w:p w:rsidR="00B36A09" w:rsidRDefault="00B36A09" w:rsidP="00FD557B">
      <w:pPr>
        <w:pStyle w:val="ChapterNoandTitle"/>
      </w:pPr>
      <w:bookmarkStart w:id="3" w:name="_Toc285627183"/>
      <w:r>
        <w:lastRenderedPageBreak/>
        <w:t>Introduction</w:t>
      </w:r>
      <w:bookmarkEnd w:id="3"/>
    </w:p>
    <w:p w:rsidR="00E367D7" w:rsidRDefault="00E367D7" w:rsidP="00E367D7">
      <w:pPr>
        <w:pStyle w:val="BodyText1"/>
      </w:pPr>
      <w:r>
        <w:t xml:space="preserve">Policy makers as well as researchers </w:t>
      </w:r>
      <w:r w:rsidR="005C37A2">
        <w:t xml:space="preserve">have </w:t>
      </w:r>
      <w:r>
        <w:t>agree</w:t>
      </w:r>
      <w:r w:rsidR="005C37A2">
        <w:t>d</w:t>
      </w:r>
      <w:r>
        <w:t xml:space="preserve"> during the last decades on the benefits of international trade to both developed and developing countries. Research on the subject </w:t>
      </w:r>
      <w:r w:rsidR="005C37A2">
        <w:t xml:space="preserve">has </w:t>
      </w:r>
      <w:r>
        <w:t xml:space="preserve">underlined the various benefits. These studies are mainly based on macro analysis. </w:t>
      </w:r>
    </w:p>
    <w:p w:rsidR="00E367D7" w:rsidRDefault="00E367D7" w:rsidP="006F1784">
      <w:pPr>
        <w:pStyle w:val="BodyText1"/>
      </w:pPr>
      <w:r>
        <w:t xml:space="preserve">Most recently, researchers </w:t>
      </w:r>
      <w:r w:rsidR="005C37A2">
        <w:t xml:space="preserve">have </w:t>
      </w:r>
      <w:r>
        <w:t>turned to firm level data to explore the effects of foreign exposure on enterprises. They find that firms exposed to international trade are able to create more jobs</w:t>
      </w:r>
      <w:r w:rsidR="002C7E2E">
        <w:t>(Moser et al, 2010)</w:t>
      </w:r>
      <w:r w:rsidR="006F1784">
        <w:t xml:space="preserve"> and </w:t>
      </w:r>
      <w:r>
        <w:t>are more productive</w:t>
      </w:r>
      <w:r w:rsidR="002C7E2E">
        <w:t xml:space="preserve"> (Iacovone et al, 2012)</w:t>
      </w:r>
      <w:r>
        <w:t>. Exporters may learn from their foreign partners, more productive than themselves. Exporters are forced to upgrad</w:t>
      </w:r>
      <w:r w:rsidR="00183DDF">
        <w:t xml:space="preserve">e their products to stay in </w:t>
      </w:r>
      <w:r>
        <w:t>markets. Exporting firms becoming more productive are potentially able to create more jobs and to grow.</w:t>
      </w:r>
    </w:p>
    <w:p w:rsidR="00135BDF" w:rsidRPr="00E367D7" w:rsidRDefault="00B8541C" w:rsidP="00385B12">
      <w:pPr>
        <w:pStyle w:val="BodyText1"/>
      </w:pPr>
      <w:r>
        <w:t>T</w:t>
      </w:r>
      <w:r w:rsidRPr="00B8541C">
        <w:t xml:space="preserve">hese studies </w:t>
      </w:r>
      <w:r w:rsidR="00E367D7">
        <w:t xml:space="preserve">focus </w:t>
      </w:r>
      <w:r>
        <w:t xml:space="preserve">mainly on </w:t>
      </w:r>
      <w:r w:rsidR="00E367D7">
        <w:t>exporters</w:t>
      </w:r>
      <w:r w:rsidR="00135BDF">
        <w:t xml:space="preserve"> in the manufacturing sector</w:t>
      </w:r>
      <w:r w:rsidR="00E367D7">
        <w:t xml:space="preserve"> in the developed world. Evidence for developing countries is still scarce. Importers as a group a</w:t>
      </w:r>
      <w:r w:rsidR="004D4BB9">
        <w:t xml:space="preserve">re also less studied. </w:t>
      </w:r>
      <w:r w:rsidR="007910B7">
        <w:t>These issues are particularly relevant in Tunisia, where</w:t>
      </w:r>
      <w:r w:rsidR="00385B12">
        <w:t xml:space="preserve"> a series of economic reforms targeting</w:t>
      </w:r>
      <w:r w:rsidR="007910B7">
        <w:t xml:space="preserve"> unemployment issues,</w:t>
      </w:r>
      <w:r w:rsidR="00385B12">
        <w:t xml:space="preserve"> SMEs assistance, regulations and export led growth </w:t>
      </w:r>
      <w:r w:rsidR="005C37A2">
        <w:t>are debated</w:t>
      </w:r>
      <w:r w:rsidR="00385B12">
        <w:t>.</w:t>
      </w:r>
      <w:r w:rsidR="004D4BB9">
        <w:t>This paper</w:t>
      </w:r>
      <w:r w:rsidR="00E367D7">
        <w:t xml:space="preserve"> aims to explore these questions using a unique Tunisian firm level data</w:t>
      </w:r>
      <w:r w:rsidR="005C37A2">
        <w:t xml:space="preserve"> set</w:t>
      </w:r>
      <w:r w:rsidR="00E367D7">
        <w:t xml:space="preserve">. </w:t>
      </w:r>
      <w:r w:rsidR="00634ADC">
        <w:t>We investigate whether exposure to international trade increases the firm’s ability to create jobs, its productivity</w:t>
      </w:r>
      <w:r w:rsidR="004D4BB9">
        <w:t xml:space="preserve"> and profitability. </w:t>
      </w:r>
      <w:r w:rsidR="000107C9">
        <w:t>A particularity of the Tunisian economy</w:t>
      </w:r>
      <w:r w:rsidR="001D7CDB">
        <w:t xml:space="preserve">,the onshore-offshore dichotomy, </w:t>
      </w:r>
      <w:r w:rsidR="00E926D4">
        <w:t xml:space="preserve">which is </w:t>
      </w:r>
      <w:r w:rsidR="00641FCF">
        <w:t xml:space="preserve">actually </w:t>
      </w:r>
      <w:r w:rsidR="00E926D4">
        <w:t xml:space="preserve">at the heart of the </w:t>
      </w:r>
      <w:r w:rsidR="001D7CDB">
        <w:t>policy debate</w:t>
      </w:r>
      <w:r w:rsidR="00E926D4">
        <w:t xml:space="preserve"> in the country,</w:t>
      </w:r>
      <w:r w:rsidR="001D7CDB">
        <w:t xml:space="preserve"> is also investigated</w:t>
      </w:r>
      <w:r w:rsidR="000107C9">
        <w:t xml:space="preserve">. </w:t>
      </w:r>
      <w:r w:rsidR="004D4BB9">
        <w:t>S</w:t>
      </w:r>
      <w:r w:rsidR="00634ADC">
        <w:t>everal types of firms</w:t>
      </w:r>
      <w:r w:rsidR="004D4BB9">
        <w:t xml:space="preserve"> are considered</w:t>
      </w:r>
      <w:r w:rsidR="00634ADC">
        <w:t xml:space="preserve">: onshore non-exporters and importers, onshore exporters and non-importers, onshore exporters and importers, offshore exporters and non-importers and offshore exporters and importers. </w:t>
      </w:r>
      <w:r w:rsidR="00135BDF">
        <w:t>Our results</w:t>
      </w:r>
      <w:r w:rsidR="00DD5460">
        <w:t xml:space="preserve"> are mixed concerning firm’s invol</w:t>
      </w:r>
      <w:r w:rsidR="0087176D">
        <w:t>ve</w:t>
      </w:r>
      <w:r w:rsidR="00DD5460">
        <w:t xml:space="preserve">ment in trade and job creation. Onshore firms exclusively importing and </w:t>
      </w:r>
      <w:r w:rsidR="00183DDF">
        <w:t>offshore two way traders appear</w:t>
      </w:r>
      <w:r w:rsidR="00DD5460">
        <w:t xml:space="preserve"> to be the only ones to create jobs compared to non traders. Evidence related to the relationship between firm’s perfo</w:t>
      </w:r>
      <w:r w:rsidR="00842B88">
        <w:t>rmance and trade status is more clear-</w:t>
      </w:r>
      <w:r w:rsidR="00DD5460">
        <w:t xml:space="preserve">cut. Tunisian firms involved in foreign markets are </w:t>
      </w:r>
      <w:r w:rsidR="00135BDF">
        <w:t>more productive and profitable than non-traders.</w:t>
      </w:r>
    </w:p>
    <w:p w:rsidR="00B71681" w:rsidRDefault="00135BDF" w:rsidP="00385B12">
      <w:pPr>
        <w:pStyle w:val="BodyText1"/>
      </w:pPr>
      <w:r>
        <w:t xml:space="preserve">The remainder of the paper is as follows. </w:t>
      </w:r>
      <w:r w:rsidR="00183DDF">
        <w:t xml:space="preserve">In the first section, </w:t>
      </w:r>
      <w:r w:rsidR="00E367D7">
        <w:t xml:space="preserve">we describe </w:t>
      </w:r>
      <w:r w:rsidR="00DD5460">
        <w:t xml:space="preserve">trade policy in Tunisia and its </w:t>
      </w:r>
      <w:r w:rsidR="00E367D7">
        <w:t xml:space="preserve">efforts to increase its exports. In the second section, we </w:t>
      </w:r>
      <w:r w:rsidR="00634ADC">
        <w:t xml:space="preserve">present the data used, </w:t>
      </w:r>
      <w:r w:rsidR="00E367D7">
        <w:t>provide statistics on firms’ dynamic in Tunisia and</w:t>
      </w:r>
      <w:r w:rsidR="000A4A87">
        <w:t xml:space="preserve"> discuss the results concerning</w:t>
      </w:r>
      <w:r w:rsidR="00634ADC">
        <w:t>the relationship between</w:t>
      </w:r>
      <w:r w:rsidR="000A4A87">
        <w:t xml:space="preserve"> firm’s engagement in international markets and their ability to create jobs.</w:t>
      </w:r>
      <w:r w:rsidR="00E367D7">
        <w:t>Third, we analyze the impact of these differe</w:t>
      </w:r>
      <w:r w:rsidR="000A4A87">
        <w:t>nt statuses on internationalized firm’s</w:t>
      </w:r>
      <w:r w:rsidR="00E367D7">
        <w:t xml:space="preserve"> productivity and profitability.</w:t>
      </w:r>
    </w:p>
    <w:p w:rsidR="00544CD8" w:rsidRDefault="00E367D7" w:rsidP="006B691F">
      <w:pPr>
        <w:pStyle w:val="Heading1"/>
      </w:pPr>
      <w:r w:rsidRPr="00E367D7">
        <w:t>Trade Policy in Tunisia</w:t>
      </w:r>
    </w:p>
    <w:p w:rsidR="008A1F7E" w:rsidRPr="002700F9" w:rsidRDefault="00E367D7" w:rsidP="00E57104">
      <w:pPr>
        <w:pStyle w:val="BodyText1"/>
      </w:pPr>
      <w:r w:rsidRPr="00E367D7">
        <w:rPr>
          <w:lang w:val="en-US"/>
        </w:rPr>
        <w:t>After Tunisia’s independence</w:t>
      </w:r>
      <w:r w:rsidR="005C37A2">
        <w:rPr>
          <w:lang w:val="en-US"/>
        </w:rPr>
        <w:t>,</w:t>
      </w:r>
      <w:r w:rsidRPr="00E367D7">
        <w:rPr>
          <w:lang w:val="en-US"/>
        </w:rPr>
        <w:t xml:space="preserve"> in the fifties, the country adopted a policy of import substitution with high trade barriers</w:t>
      </w:r>
      <w:r w:rsidR="005C37A2">
        <w:rPr>
          <w:lang w:val="en-US"/>
        </w:rPr>
        <w:t>,</w:t>
      </w:r>
      <w:r w:rsidRPr="00E367D7">
        <w:rPr>
          <w:lang w:val="en-US"/>
        </w:rPr>
        <w:t xml:space="preserve"> with the aim to protect domestic producers. In 1972, the government started to change gradually its trade policy and shifted toward more openness by creating an offshore regime to attract foreign direct investment for export-oriented production. </w:t>
      </w:r>
      <w:r w:rsidR="00DD25C1">
        <w:rPr>
          <w:lang w:val="en-US"/>
        </w:rPr>
        <w:t xml:space="preserve">Several incentives were offered to these </w:t>
      </w:r>
      <w:r w:rsidR="008A1F7E" w:rsidRPr="002700F9">
        <w:t>exporting manufacturing companies</w:t>
      </w:r>
      <w:r w:rsidR="00DD25C1">
        <w:rPr>
          <w:lang w:val="en-US"/>
        </w:rPr>
        <w:t xml:space="preserve">in the </w:t>
      </w:r>
      <w:r w:rsidR="00DD25C1" w:rsidRPr="002700F9">
        <w:t>investment law (Law 72-38)</w:t>
      </w:r>
      <w:r w:rsidR="005C37A2">
        <w:t>,</w:t>
      </w:r>
      <w:r w:rsidR="00DD25C1" w:rsidRPr="002700F9">
        <w:t xml:space="preserve"> such as</w:t>
      </w:r>
      <w:r w:rsidR="005C37A2">
        <w:t>:</w:t>
      </w:r>
      <w:r w:rsidR="008A1F7E" w:rsidRPr="002700F9">
        <w:t>partial or total tax exemption for periods of 10-20 years</w:t>
      </w:r>
      <w:r w:rsidR="00601E4A">
        <w:t>,</w:t>
      </w:r>
      <w:r w:rsidR="008A1F7E" w:rsidRPr="002700F9">
        <w:t xml:space="preserve"> and 50 per cent reduction thereafter (granted also to partially exporting firms)</w:t>
      </w:r>
      <w:r w:rsidR="00601E4A">
        <w:t>;</w:t>
      </w:r>
      <w:r w:rsidR="008A1F7E" w:rsidRPr="002700F9">
        <w:t xml:space="preserve"> full tax exemption on reinvested profits and income</w:t>
      </w:r>
      <w:r w:rsidR="00601E4A">
        <w:t>;</w:t>
      </w:r>
      <w:r w:rsidR="008A1F7E" w:rsidRPr="002700F9">
        <w:t xml:space="preserve"> total exemption from customs duties on imported capital goods, raw materials, semi-finished goods and services. </w:t>
      </w:r>
      <w:r w:rsidR="00E57104">
        <w:rPr>
          <w:lang w:val="en-US"/>
        </w:rPr>
        <w:t>The State</w:t>
      </w:r>
      <w:r w:rsidR="00E57104" w:rsidRPr="00E57104">
        <w:rPr>
          <w:lang w:val="en-US"/>
        </w:rPr>
        <w:t xml:space="preserve"> also often provides the necessary infrastructure and assumes employers’ social security contributions during 5 years.</w:t>
      </w:r>
      <w:r w:rsidR="005D56F2" w:rsidRPr="002700F9">
        <w:t xml:space="preserve">These </w:t>
      </w:r>
      <w:r w:rsidR="00DD25C1" w:rsidRPr="002700F9">
        <w:t xml:space="preserve">firms were not bounded </w:t>
      </w:r>
      <w:r w:rsidR="0087176D" w:rsidRPr="002700F9">
        <w:t>geographically</w:t>
      </w:r>
      <w:r w:rsidR="00DD25C1" w:rsidRPr="002700F9">
        <w:t>.</w:t>
      </w:r>
      <w:r w:rsidR="00E57104" w:rsidRPr="00E57104">
        <w:rPr>
          <w:lang w:val="en-US"/>
        </w:rPr>
        <w:t xml:space="preserve">Fully exporting firms benefit from tax exemptions on profit and income taxes during the first ten years of their activity, a 50-percent reduction for another ten years, and full tax deduction for reinvested profits. The state also grants duty-free access to all inputs and equipment. </w:t>
      </w:r>
    </w:p>
    <w:p w:rsidR="00E367D7" w:rsidRPr="00E367D7" w:rsidRDefault="00E367D7" w:rsidP="00E367D7">
      <w:pPr>
        <w:pStyle w:val="BodyText1"/>
        <w:rPr>
          <w:lang w:val="en-US"/>
        </w:rPr>
      </w:pPr>
      <w:r w:rsidRPr="00E367D7">
        <w:rPr>
          <w:lang w:val="en-US"/>
        </w:rPr>
        <w:t xml:space="preserve">In the </w:t>
      </w:r>
      <w:r w:rsidR="0087176D" w:rsidRPr="00E367D7">
        <w:rPr>
          <w:lang w:val="en-US"/>
        </w:rPr>
        <w:t>mid-eighties</w:t>
      </w:r>
      <w:r w:rsidRPr="00E367D7">
        <w:rPr>
          <w:lang w:val="en-US"/>
        </w:rPr>
        <w:t>, major reform policies were adopted with the implementation of the Structural Adjustment Program, which included unilateral tariff liberalization, the reform of import procedures, and the removal of many quantitative import restrictions. Tunisia took also a very important step by joining the World Trade Organization since its creation in 1990.</w:t>
      </w:r>
    </w:p>
    <w:p w:rsidR="00E367D7" w:rsidRPr="00E367D7" w:rsidRDefault="00E367D7" w:rsidP="00E367D7">
      <w:pPr>
        <w:pStyle w:val="BodyText1"/>
        <w:rPr>
          <w:lang w:val="en-US"/>
        </w:rPr>
      </w:pPr>
      <w:r w:rsidRPr="00E367D7">
        <w:rPr>
          <w:lang w:val="en-US"/>
        </w:rPr>
        <w:t xml:space="preserve">Besides unilateral trade liberalization, Tunisia has negotiated preferential trade agreements within the </w:t>
      </w:r>
      <w:r w:rsidR="00E67E6F" w:rsidRPr="00E367D7">
        <w:rPr>
          <w:lang w:val="en-US"/>
        </w:rPr>
        <w:t>M</w:t>
      </w:r>
      <w:r w:rsidR="00E67E6F">
        <w:rPr>
          <w:lang w:val="en-US"/>
        </w:rPr>
        <w:t>ENA</w:t>
      </w:r>
      <w:r w:rsidRPr="00E367D7">
        <w:rPr>
          <w:lang w:val="en-US"/>
        </w:rPr>
        <w:t xml:space="preserve">region and beyond. The agreement signed with the European Union is seen as one of the most important country’s preferential trading arrangements. It was signed in 1995, entered into force in 1996 and resulted in the dismantling of industrial tariff barriers </w:t>
      </w:r>
      <w:r w:rsidR="00601E4A">
        <w:rPr>
          <w:lang w:val="en-US"/>
        </w:rPr>
        <w:t>for</w:t>
      </w:r>
      <w:r w:rsidRPr="00E367D7">
        <w:rPr>
          <w:lang w:val="en-US"/>
        </w:rPr>
        <w:t xml:space="preserve">the country’s main trading industrial products by January 1st, 2008. </w:t>
      </w:r>
    </w:p>
    <w:p w:rsidR="00351979" w:rsidRDefault="00E367D7" w:rsidP="00351979">
      <w:pPr>
        <w:pStyle w:val="BodyText1"/>
        <w:rPr>
          <w:lang w:val="en-US"/>
        </w:rPr>
      </w:pPr>
      <w:r w:rsidRPr="00E367D7">
        <w:rPr>
          <w:lang w:val="en-US"/>
        </w:rPr>
        <w:lastRenderedPageBreak/>
        <w:t xml:space="preserve">Moreover, all imports from the 16 other members of the Greater Arab Free Trade Area (GAFTA) have been admitted completely duty-free since January 2005. Since 2000, Tunisia has also adopted a number of export </w:t>
      </w:r>
      <w:r w:rsidR="00E67E6F">
        <w:rPr>
          <w:lang w:val="en-US"/>
        </w:rPr>
        <w:t xml:space="preserve">development </w:t>
      </w:r>
      <w:r w:rsidRPr="00E367D7">
        <w:rPr>
          <w:lang w:val="en-US"/>
        </w:rPr>
        <w:t>programs targeting in particular trade facilitation and the support of exporting firms. These policies have resulted in a significant decrease in tariff levels as well as an important increase in trade flows, even if these changes impacted mostly the industrial sector.</w:t>
      </w:r>
    </w:p>
    <w:p w:rsidR="00651DFD" w:rsidRPr="00651DFD" w:rsidRDefault="00651DFD" w:rsidP="00351979">
      <w:pPr>
        <w:pStyle w:val="BodyText1"/>
        <w:rPr>
          <w:lang w:val="en-US"/>
        </w:rPr>
      </w:pPr>
      <w:r w:rsidRPr="00651DFD">
        <w:rPr>
          <w:lang w:val="en-US"/>
        </w:rPr>
        <w:t>Trade policies were also reinforced by the implementation of several trade support institutions. The</w:t>
      </w:r>
      <w:r w:rsidR="00601E4A">
        <w:rPr>
          <w:lang w:val="en-US"/>
        </w:rPr>
        <w:t>ir</w:t>
      </w:r>
      <w:r w:rsidRPr="00651DFD">
        <w:rPr>
          <w:lang w:val="en-US"/>
        </w:rPr>
        <w:t xml:space="preserve"> stated objective is to help the private sector face the increasing competition from global markets</w:t>
      </w:r>
      <w:r w:rsidR="00601E4A">
        <w:rPr>
          <w:lang w:val="en-US"/>
        </w:rPr>
        <w:t>,</w:t>
      </w:r>
      <w:r w:rsidR="008A1F7E">
        <w:rPr>
          <w:lang w:val="en-US"/>
        </w:rPr>
        <w:t xml:space="preserve"> and </w:t>
      </w:r>
      <w:r w:rsidRPr="00651DFD">
        <w:rPr>
          <w:lang w:val="en-US"/>
        </w:rPr>
        <w:t xml:space="preserve">to help new exporters to </w:t>
      </w:r>
      <w:r w:rsidR="008A1F7E">
        <w:rPr>
          <w:lang w:val="en-US"/>
        </w:rPr>
        <w:t>reach them by overcoming</w:t>
      </w:r>
      <w:r w:rsidRPr="00651DFD">
        <w:rPr>
          <w:lang w:val="en-US"/>
        </w:rPr>
        <w:t xml:space="preserve"> the lack of information and </w:t>
      </w:r>
      <w:r w:rsidR="008A1F7E">
        <w:rPr>
          <w:lang w:val="en-US"/>
        </w:rPr>
        <w:t xml:space="preserve">various </w:t>
      </w:r>
      <w:r w:rsidR="008B7E2A">
        <w:rPr>
          <w:lang w:val="en-US"/>
        </w:rPr>
        <w:t>barriers</w:t>
      </w:r>
      <w:r w:rsidRPr="00651DFD">
        <w:rPr>
          <w:lang w:val="en-US"/>
        </w:rPr>
        <w:t>. These institutions</w:t>
      </w:r>
      <w:r w:rsidR="00351979">
        <w:rPr>
          <w:lang w:val="en-US"/>
        </w:rPr>
        <w:t>, created in 1973, are the</w:t>
      </w:r>
      <w:r w:rsidR="00DD25C1">
        <w:rPr>
          <w:lang w:val="en-US"/>
        </w:rPr>
        <w:t xml:space="preserve">Industry Promotion </w:t>
      </w:r>
      <w:r w:rsidRPr="00651DFD">
        <w:rPr>
          <w:lang w:val="en-US"/>
        </w:rPr>
        <w:t>Agency (API) and</w:t>
      </w:r>
      <w:r w:rsidR="00601E4A">
        <w:rPr>
          <w:lang w:val="en-US"/>
        </w:rPr>
        <w:t>t</w:t>
      </w:r>
      <w:r w:rsidR="00DD25C1">
        <w:rPr>
          <w:lang w:val="en-US"/>
        </w:rPr>
        <w:t>he Export Promotion Centre</w:t>
      </w:r>
      <w:r w:rsidR="00E62CF8">
        <w:rPr>
          <w:lang w:val="en-US"/>
        </w:rPr>
        <w:t xml:space="preserve"> </w:t>
      </w:r>
      <w:r w:rsidR="00351979">
        <w:rPr>
          <w:lang w:val="en-US"/>
        </w:rPr>
        <w:t>(CEPEX). API</w:t>
      </w:r>
      <w:r w:rsidR="00601E4A">
        <w:rPr>
          <w:lang w:val="en-US"/>
        </w:rPr>
        <w:t xml:space="preserve">’stask is </w:t>
      </w:r>
      <w:r w:rsidR="00351979">
        <w:rPr>
          <w:lang w:val="en-US"/>
        </w:rPr>
        <w:t xml:space="preserve">to </w:t>
      </w:r>
      <w:r w:rsidR="00351979" w:rsidRPr="00651DFD">
        <w:rPr>
          <w:lang w:val="en-US"/>
        </w:rPr>
        <w:t>promote governmental policies in the industrial sector</w:t>
      </w:r>
      <w:r w:rsidRPr="00651DFD">
        <w:rPr>
          <w:lang w:val="en-US"/>
        </w:rPr>
        <w:t>under the control of the Ministry of Indus</w:t>
      </w:r>
      <w:r w:rsidR="00351979">
        <w:rPr>
          <w:lang w:val="en-US"/>
        </w:rPr>
        <w:t xml:space="preserve">try. </w:t>
      </w:r>
      <w:r w:rsidRPr="00651DFD">
        <w:rPr>
          <w:lang w:val="en-US"/>
        </w:rPr>
        <w:t>CEPEX aim</w:t>
      </w:r>
      <w:r w:rsidR="00351979">
        <w:rPr>
          <w:lang w:val="en-US"/>
        </w:rPr>
        <w:t>s</w:t>
      </w:r>
      <w:r w:rsidRPr="00651DFD">
        <w:rPr>
          <w:lang w:val="en-US"/>
        </w:rPr>
        <w:t xml:space="preserve"> to support Tunisian exporters providing them with wide range of services. It is supervised by the Ministry of Trade, Tourism and Handicrafts. </w:t>
      </w:r>
    </w:p>
    <w:p w:rsidR="00651DFD" w:rsidRPr="00651DFD" w:rsidRDefault="00651DFD" w:rsidP="00844BE0">
      <w:pPr>
        <w:pStyle w:val="BodyText1"/>
        <w:rPr>
          <w:lang w:val="en-US"/>
        </w:rPr>
      </w:pPr>
      <w:r w:rsidRPr="00651DFD">
        <w:rPr>
          <w:lang w:val="en-US"/>
        </w:rPr>
        <w:t xml:space="preserve">Alongside </w:t>
      </w:r>
      <w:r w:rsidR="00844BE0">
        <w:rPr>
          <w:lang w:val="en-US"/>
        </w:rPr>
        <w:t>CEPEX and API</w:t>
      </w:r>
      <w:r w:rsidRPr="00651DFD">
        <w:rPr>
          <w:lang w:val="en-US"/>
        </w:rPr>
        <w:t>,</w:t>
      </w:r>
      <w:r w:rsidR="00844BE0">
        <w:rPr>
          <w:lang w:val="en-US"/>
        </w:rPr>
        <w:t xml:space="preserve"> there are several programs </w:t>
      </w:r>
      <w:r w:rsidR="0087176D">
        <w:rPr>
          <w:lang w:val="en-US"/>
        </w:rPr>
        <w:t>intended</w:t>
      </w:r>
      <w:r w:rsidR="00844BE0">
        <w:rPr>
          <w:lang w:val="en-US"/>
        </w:rPr>
        <w:t xml:space="preserve"> to</w:t>
      </w:r>
      <w:r w:rsidRPr="00651DFD">
        <w:rPr>
          <w:lang w:val="en-US"/>
        </w:rPr>
        <w:t xml:space="preserve"> help Tunisian SMEs in general to develop their activities such as </w:t>
      </w:r>
      <w:r w:rsidR="00CB7F04">
        <w:rPr>
          <w:lang w:val="en-US"/>
        </w:rPr>
        <w:t>several</w:t>
      </w:r>
      <w:r w:rsidRPr="00651DFD">
        <w:rPr>
          <w:lang w:val="en-US"/>
        </w:rPr>
        <w:t xml:space="preserve"> Technical Centers and the Office of Product Upgrade (Bure</w:t>
      </w:r>
      <w:r w:rsidR="00844BE0">
        <w:rPr>
          <w:lang w:val="en-US"/>
        </w:rPr>
        <w:t>au de Mise à Niveau, BMN). They</w:t>
      </w:r>
      <w:r w:rsidRPr="00651DFD">
        <w:rPr>
          <w:lang w:val="en-US"/>
        </w:rPr>
        <w:t xml:space="preserve"> have the mission to modernize private enterprises providing them professional and technical expertise. </w:t>
      </w:r>
    </w:p>
    <w:p w:rsidR="00651DFD" w:rsidRPr="00651DFD" w:rsidRDefault="00651DFD" w:rsidP="00DD25C1">
      <w:pPr>
        <w:pStyle w:val="BodyText1"/>
        <w:rPr>
          <w:lang w:val="en-US"/>
        </w:rPr>
      </w:pPr>
      <w:r w:rsidRPr="00651DFD">
        <w:rPr>
          <w:lang w:val="en-US"/>
        </w:rPr>
        <w:t xml:space="preserve">In addition, there are also </w:t>
      </w:r>
      <w:r w:rsidR="00CB7F04">
        <w:rPr>
          <w:lang w:val="en-US"/>
        </w:rPr>
        <w:t>other</w:t>
      </w:r>
      <w:r w:rsidRPr="00651DFD">
        <w:rPr>
          <w:lang w:val="en-US"/>
        </w:rPr>
        <w:t xml:space="preserve"> key non-governmental entities such as the Employers Trade Union (Union Tunisienne de l’Industrie, du Commerce et de l’Artisanat, UTICA) and the Arab Institute of CEOs (InstitutArabe des Chefs d’Entreprises, IACE). The</w:t>
      </w:r>
      <w:r w:rsidR="008B7E2A">
        <w:rPr>
          <w:lang w:val="en-US"/>
        </w:rPr>
        <w:t xml:space="preserve"> aim of the</w:t>
      </w:r>
      <w:r w:rsidRPr="00651DFD">
        <w:rPr>
          <w:lang w:val="en-US"/>
        </w:rPr>
        <w:t xml:space="preserve"> first organization is to protect the interest of employers and to insure the representation of its members in several public institutions such as </w:t>
      </w:r>
      <w:r>
        <w:rPr>
          <w:lang w:val="en-US"/>
        </w:rPr>
        <w:t>CEPEX. The second organization</w:t>
      </w:r>
      <w:r w:rsidRPr="00651DFD">
        <w:rPr>
          <w:lang w:val="en-US"/>
        </w:rPr>
        <w:t>aim</w:t>
      </w:r>
      <w:r w:rsidR="008B7E2A">
        <w:rPr>
          <w:lang w:val="en-US"/>
        </w:rPr>
        <w:t>s</w:t>
      </w:r>
      <w:r w:rsidRPr="00651DFD">
        <w:rPr>
          <w:lang w:val="en-US"/>
        </w:rPr>
        <w:t xml:space="preserve"> to deliver solutionsto the problems faced by Tunisian firms in their development.</w:t>
      </w:r>
    </w:p>
    <w:p w:rsidR="00EF4BDA" w:rsidRDefault="00E367D7" w:rsidP="000750FC">
      <w:pPr>
        <w:pStyle w:val="BodyText1"/>
        <w:rPr>
          <w:lang w:val="en-US"/>
        </w:rPr>
      </w:pPr>
      <w:r w:rsidRPr="00E367D7">
        <w:rPr>
          <w:lang w:val="en-US"/>
        </w:rPr>
        <w:t xml:space="preserve">Trade policies adopted during the last two decades by Tunisia were relatively successful. As </w:t>
      </w:r>
      <w:r w:rsidR="00022D04">
        <w:rPr>
          <w:lang w:val="en-US"/>
        </w:rPr>
        <w:t>F</w:t>
      </w:r>
      <w:r w:rsidRPr="00E367D7">
        <w:rPr>
          <w:lang w:val="en-US"/>
        </w:rPr>
        <w:t xml:space="preserve">igure 1 shows, exports increased significantly during the period 2000-2010. Some sectors such as manufactured products have gained competitiveness in international markets </w:t>
      </w:r>
      <w:r w:rsidR="00E67E6F">
        <w:rPr>
          <w:lang w:val="en-US"/>
        </w:rPr>
        <w:t>due</w:t>
      </w:r>
      <w:r w:rsidRPr="00E367D7">
        <w:rPr>
          <w:lang w:val="en-US"/>
        </w:rPr>
        <w:t xml:space="preserve">to the introduction of the offshore sector. Tunisia became an open economy compared to other upper middle income countries. Tunisia’s trade openness is similar to Costa Rica and Gabon. Tunisia is more open than Lebanon, Algeria and Romania but is less open than Jordan and Mauritius. </w:t>
      </w:r>
    </w:p>
    <w:p w:rsidR="00182AAD" w:rsidRDefault="00EF4BDA" w:rsidP="00182AAD">
      <w:pPr>
        <w:pStyle w:val="FigureNoandTitle"/>
        <w:rPr>
          <w:lang w:val="en-US"/>
        </w:rPr>
      </w:pPr>
      <w:r w:rsidRPr="004E46B8">
        <w:rPr>
          <w:lang w:val="en-US"/>
        </w:rPr>
        <w:t>Figure 1: The evolution of Tunisia’s exports for the period 2000-2010</w:t>
      </w:r>
    </w:p>
    <w:p w:rsidR="004E46B8" w:rsidRDefault="00347C65" w:rsidP="004E46B8">
      <w:pPr>
        <w:pStyle w:val="FigureNoandTitle"/>
        <w:rPr>
          <w:lang w:val="en-US"/>
        </w:rPr>
      </w:pPr>
      <w:r>
        <w:rPr>
          <w:noProof/>
          <w:lang w:val="en-US"/>
        </w:rPr>
        <w:drawing>
          <wp:inline distT="0" distB="0" distL="0" distR="0">
            <wp:extent cx="5189034" cy="2401677"/>
            <wp:effectExtent l="0" t="0" r="0" b="0"/>
            <wp:docPr id="2" name="Image 1" descr="Graph ex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export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7856" cy="2401132"/>
                    </a:xfrm>
                    <a:prstGeom prst="rect">
                      <a:avLst/>
                    </a:prstGeom>
                    <a:noFill/>
                    <a:ln w="9525">
                      <a:noFill/>
                      <a:miter lim="800000"/>
                      <a:headEnd/>
                      <a:tailEnd/>
                    </a:ln>
                  </pic:spPr>
                </pic:pic>
              </a:graphicData>
            </a:graphic>
          </wp:inline>
        </w:drawing>
      </w:r>
    </w:p>
    <w:p w:rsidR="004E46B8" w:rsidRDefault="004E46B8" w:rsidP="004E46B8">
      <w:pPr>
        <w:pStyle w:val="Source"/>
      </w:pPr>
      <w:r w:rsidRPr="004E46B8">
        <w:rPr>
          <w:b/>
        </w:rPr>
        <w:t>Source:</w:t>
      </w:r>
      <w:r w:rsidR="005D56F2">
        <w:t xml:space="preserve"> WITS </w:t>
      </w:r>
    </w:p>
    <w:p w:rsidR="000750FC" w:rsidRDefault="000750FC" w:rsidP="00E93E8C">
      <w:pPr>
        <w:pStyle w:val="BodyText1"/>
      </w:pPr>
      <w:r>
        <w:rPr>
          <w:lang w:val="en-US"/>
        </w:rPr>
        <w:t>F</w:t>
      </w:r>
      <w:r w:rsidRPr="00E367D7">
        <w:rPr>
          <w:lang w:val="en-US"/>
        </w:rPr>
        <w:t>igure 2</w:t>
      </w:r>
      <w:r w:rsidR="00844BE0">
        <w:rPr>
          <w:lang w:val="en-US"/>
        </w:rPr>
        <w:t xml:space="preserve"> reveals that </w:t>
      </w:r>
      <w:r w:rsidRPr="00E367D7">
        <w:rPr>
          <w:lang w:val="en-US"/>
        </w:rPr>
        <w:t>Tunisia has a</w:t>
      </w:r>
      <w:r>
        <w:rPr>
          <w:lang w:val="en-US"/>
        </w:rPr>
        <w:t>n average</w:t>
      </w:r>
      <w:r w:rsidRPr="00E367D7">
        <w:rPr>
          <w:lang w:val="en-US"/>
        </w:rPr>
        <w:t xml:space="preserve"> level of trade openness </w:t>
      </w:r>
      <w:r w:rsidR="00EF4BDA">
        <w:rPr>
          <w:lang w:val="en-US"/>
        </w:rPr>
        <w:t>and</w:t>
      </w:r>
      <w:r w:rsidRPr="00E367D7">
        <w:rPr>
          <w:lang w:val="en-US"/>
        </w:rPr>
        <w:t>it is</w:t>
      </w:r>
      <w:r>
        <w:rPr>
          <w:lang w:val="en-US"/>
        </w:rPr>
        <w:t xml:space="preserve"> not</w:t>
      </w:r>
      <w:r w:rsidRPr="00E367D7">
        <w:rPr>
          <w:lang w:val="en-US"/>
        </w:rPr>
        <w:t xml:space="preserve"> an outlier</w:t>
      </w:r>
      <w:r>
        <w:rPr>
          <w:lang w:val="en-US"/>
        </w:rPr>
        <w:t xml:space="preserve"> compared to other upper middle income countries</w:t>
      </w:r>
      <w:r w:rsidRPr="00E367D7">
        <w:rPr>
          <w:lang w:val="en-US"/>
        </w:rPr>
        <w:t>.</w:t>
      </w:r>
      <w:r w:rsidR="00844BE0">
        <w:rPr>
          <w:lang w:val="en-US"/>
        </w:rPr>
        <w:t xml:space="preserve"> Despite</w:t>
      </w:r>
      <w:r>
        <w:rPr>
          <w:lang w:val="en-US"/>
        </w:rPr>
        <w:t xml:space="preserve"> this relative success in expanding its exports, Tunisia still suffers from many shortcomings unveiled by the World Bank (2014). First, </w:t>
      </w:r>
      <w:r w:rsidRPr="002700F9">
        <w:t>export sophistication is low and significantly below what would have been predicted by its level of income. Second, more than half of Tunisia’s exports are final goods, many of which are only assembled in Tunisia</w:t>
      </w:r>
      <w:r>
        <w:rPr>
          <w:lang w:val="en-US"/>
        </w:rPr>
        <w:t xml:space="preserve">. </w:t>
      </w:r>
      <w:r w:rsidRPr="002700F9">
        <w:t xml:space="preserve">Using input-output tables, the World Bank (2014) demonstrates that value added to Tunisian exports ratio was only 33 percent in 2009. </w:t>
      </w:r>
      <w:r w:rsidRPr="002700F9">
        <w:lastRenderedPageBreak/>
        <w:t xml:space="preserve">Third, the French and Italian markets are the main destination countries of Tunisian final goods. The structure of exports suggests that Tunisia assembles intermediates for </w:t>
      </w:r>
      <w:r w:rsidR="00E93E8C" w:rsidRPr="002700F9">
        <w:t>these two major partners</w:t>
      </w:r>
      <w:r w:rsidRPr="002700F9">
        <w:t xml:space="preserve">. Firms in these countries take naturally advantage of the offshore regime. </w:t>
      </w:r>
    </w:p>
    <w:p w:rsidR="00182AAD" w:rsidRPr="00182AAD" w:rsidRDefault="00EF4BDA" w:rsidP="00182AAD">
      <w:pPr>
        <w:pStyle w:val="FigureNoandTitle"/>
        <w:rPr>
          <w:lang w:val="en-US"/>
        </w:rPr>
      </w:pPr>
      <w:r w:rsidRPr="004E46B8">
        <w:rPr>
          <w:lang w:val="en-US"/>
        </w:rPr>
        <w:t>Figure 2: Tunisia’s Trade openness compared to upper middle income countries during 2000-2010</w:t>
      </w:r>
    </w:p>
    <w:p w:rsidR="004E46B8" w:rsidRDefault="005A761F" w:rsidP="00B11B81">
      <w:pPr>
        <w:pStyle w:val="FigureNoandTitle"/>
        <w:rPr>
          <w:lang w:val="en-US"/>
        </w:rPr>
      </w:pPr>
      <w:r>
        <w:rPr>
          <w:noProof/>
          <w:lang w:val="en-US"/>
        </w:rPr>
        <w:drawing>
          <wp:inline distT="0" distB="0" distL="0" distR="0">
            <wp:extent cx="5162309" cy="2531903"/>
            <wp:effectExtent l="0" t="0" r="635" b="1905"/>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9310" cy="2535337"/>
                    </a:xfrm>
                    <a:prstGeom prst="rect">
                      <a:avLst/>
                    </a:prstGeom>
                    <a:noFill/>
                  </pic:spPr>
                </pic:pic>
              </a:graphicData>
            </a:graphic>
          </wp:inline>
        </w:drawing>
      </w:r>
    </w:p>
    <w:p w:rsidR="00EF4BDA" w:rsidRDefault="004E46B8" w:rsidP="004E46B8">
      <w:pPr>
        <w:pStyle w:val="Source"/>
      </w:pPr>
      <w:r w:rsidRPr="00BC2A7D">
        <w:rPr>
          <w:b/>
        </w:rPr>
        <w:t>Source:</w:t>
      </w:r>
      <w:r w:rsidRPr="004E46B8">
        <w:t xml:space="preserve"> World development indicator</w:t>
      </w:r>
      <w:r w:rsidR="007D57CF">
        <w:t>s</w:t>
      </w:r>
      <w:r w:rsidRPr="004E46B8">
        <w:t>; author’s calculation</w:t>
      </w:r>
    </w:p>
    <w:p w:rsidR="005D1711" w:rsidRDefault="00EF4BDA" w:rsidP="005D1711">
      <w:pPr>
        <w:pStyle w:val="BodyText1"/>
        <w:rPr>
          <w:lang w:val="en-US"/>
        </w:rPr>
      </w:pPr>
      <w:r w:rsidRPr="000D6AF9">
        <w:rPr>
          <w:lang w:val="en-US"/>
        </w:rPr>
        <w:t>Tunisia made also several efforts to attract Fore</w:t>
      </w:r>
      <w:r>
        <w:rPr>
          <w:lang w:val="en-US"/>
        </w:rPr>
        <w:t>ign Direct Investment. Figure 3</w:t>
      </w:r>
      <w:r w:rsidRPr="000D6AF9">
        <w:rPr>
          <w:lang w:val="en-US"/>
        </w:rPr>
        <w:t xml:space="preserve"> shows that Tunisia is relatively underperforming compared to other upper middle income countries such as Lebanon, Romania and Jordan even if Tunisia is more open than the two first countries</w:t>
      </w:r>
      <w:r w:rsidR="009A334E">
        <w:rPr>
          <w:lang w:val="en-US"/>
        </w:rPr>
        <w:t>,</w:t>
      </w:r>
      <w:r w:rsidRPr="000D6AF9">
        <w:rPr>
          <w:lang w:val="en-US"/>
        </w:rPr>
        <w:t xml:space="preserve"> as shown in </w:t>
      </w:r>
      <w:r>
        <w:rPr>
          <w:lang w:val="en-US"/>
        </w:rPr>
        <w:t>F</w:t>
      </w:r>
      <w:r w:rsidRPr="000D6AF9">
        <w:rPr>
          <w:lang w:val="en-US"/>
        </w:rPr>
        <w:t>igure 2.</w:t>
      </w:r>
      <w:r>
        <w:rPr>
          <w:lang w:val="en-US"/>
        </w:rPr>
        <w:t xml:space="preserve"> Moreover</w:t>
      </w:r>
      <w:r w:rsidRPr="000D6AF9">
        <w:rPr>
          <w:lang w:val="en-US"/>
        </w:rPr>
        <w:t>,</w:t>
      </w:r>
      <w:r>
        <w:rPr>
          <w:lang w:val="en-US"/>
        </w:rPr>
        <w:t xml:space="preserve"> the level of FDI received is lower than a typical country of its trade openness level (Figure 4). The World Bank</w:t>
      </w:r>
      <w:r w:rsidR="009A334E">
        <w:rPr>
          <w:lang w:val="en-US"/>
        </w:rPr>
        <w:t>,</w:t>
      </w:r>
      <w:r>
        <w:rPr>
          <w:lang w:val="en-US"/>
        </w:rPr>
        <w:t xml:space="preserve"> in its report “Unfinished Business” (2014)</w:t>
      </w:r>
      <w:r w:rsidR="009A334E">
        <w:rPr>
          <w:lang w:val="en-US"/>
        </w:rPr>
        <w:t>,</w:t>
      </w:r>
      <w:r>
        <w:rPr>
          <w:lang w:val="en-US"/>
        </w:rPr>
        <w:t xml:space="preserve"> reveals that FDI inflows are mainly targeting natural resources (60% in average during 2006-2012). Investment in manufacturing are concentrated in low value added and assembly activities (26% during 2006-2012). In addition, FDI in the services sector is still low (below 10%).</w:t>
      </w: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Default="00E62CF8" w:rsidP="005D1711">
      <w:pPr>
        <w:pStyle w:val="BodyText1"/>
        <w:rPr>
          <w:lang w:val="en-US"/>
        </w:rPr>
      </w:pPr>
    </w:p>
    <w:p w:rsidR="00E62CF8" w:rsidRPr="005D1711" w:rsidRDefault="00E62CF8" w:rsidP="005D1711">
      <w:pPr>
        <w:pStyle w:val="BodyText1"/>
        <w:rPr>
          <w:lang w:val="en-US"/>
        </w:rPr>
      </w:pPr>
    </w:p>
    <w:p w:rsidR="00182AAD" w:rsidRDefault="00EF4BDA" w:rsidP="00182AAD">
      <w:pPr>
        <w:pStyle w:val="BodyText1"/>
        <w:rPr>
          <w:lang w:val="en-US"/>
        </w:rPr>
      </w:pPr>
      <w:r w:rsidRPr="006871FB">
        <w:rPr>
          <w:rFonts w:eastAsia="Times New Roman"/>
          <w:b/>
          <w:bCs/>
          <w:kern w:val="36"/>
          <w:sz w:val="22"/>
          <w:szCs w:val="32"/>
          <w:lang w:val="en-US"/>
        </w:rPr>
        <w:lastRenderedPageBreak/>
        <w:t>Figure 3:</w:t>
      </w:r>
      <w:r w:rsidRPr="006871FB">
        <w:rPr>
          <w:rFonts w:eastAsia="Times New Roman"/>
          <w:b/>
          <w:bCs/>
          <w:kern w:val="36"/>
          <w:sz w:val="22"/>
          <w:szCs w:val="32"/>
          <w:lang w:val="en-US"/>
        </w:rPr>
        <w:tab/>
        <w:t>FDI inflows as share of GDP, 2000-2010 average</w:t>
      </w:r>
    </w:p>
    <w:p w:rsidR="00EF4BDA" w:rsidRDefault="00F81F23" w:rsidP="00F81F23">
      <w:pPr>
        <w:pStyle w:val="FigureNoandTitle"/>
        <w:rPr>
          <w:lang w:val="en-US"/>
        </w:rPr>
      </w:pPr>
      <w:r>
        <w:rPr>
          <w:noProof/>
          <w:lang w:val="en-US"/>
        </w:rPr>
        <w:drawing>
          <wp:inline distT="0" distB="0" distL="0" distR="0">
            <wp:extent cx="5162309" cy="2654460"/>
            <wp:effectExtent l="0" t="0" r="63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74889" cy="2660929"/>
                    </a:xfrm>
                    <a:prstGeom prst="rect">
                      <a:avLst/>
                    </a:prstGeom>
                    <a:noFill/>
                  </pic:spPr>
                </pic:pic>
              </a:graphicData>
            </a:graphic>
          </wp:inline>
        </w:drawing>
      </w:r>
    </w:p>
    <w:p w:rsidR="00182AAD" w:rsidRDefault="00F81F23" w:rsidP="00182AAD">
      <w:pPr>
        <w:pStyle w:val="FigureNoandTitle"/>
        <w:rPr>
          <w:rStyle w:val="SourceChar"/>
          <w:b w:val="0"/>
          <w:bCs w:val="0"/>
        </w:rPr>
      </w:pPr>
      <w:r w:rsidRPr="00F81F23">
        <w:rPr>
          <w:rStyle w:val="SourceChar"/>
          <w:b w:val="0"/>
        </w:rPr>
        <w:t>Source:</w:t>
      </w:r>
      <w:r w:rsidRPr="00F81F23">
        <w:rPr>
          <w:rStyle w:val="SourceChar"/>
        </w:rPr>
        <w:t xml:space="preserve"> World development indicator</w:t>
      </w:r>
      <w:r w:rsidR="007F1390">
        <w:rPr>
          <w:rStyle w:val="SourceChar"/>
        </w:rPr>
        <w:t>s</w:t>
      </w:r>
      <w:r w:rsidR="00CD5BFE">
        <w:rPr>
          <w:rStyle w:val="SourceChar"/>
        </w:rPr>
        <w:t>;</w:t>
      </w:r>
      <w:r w:rsidRPr="00F81F23">
        <w:rPr>
          <w:rStyle w:val="SourceChar"/>
        </w:rPr>
        <w:t xml:space="preserve"> author’s calculation</w:t>
      </w:r>
    </w:p>
    <w:p w:rsidR="003C4867" w:rsidRDefault="003C4867" w:rsidP="003C4867">
      <w:pPr>
        <w:pStyle w:val="FigureNoandTitle"/>
        <w:rPr>
          <w:lang w:val="en-US"/>
        </w:rPr>
      </w:pPr>
      <w:r>
        <w:rPr>
          <w:lang w:val="en-US"/>
        </w:rPr>
        <w:t>Figure 4:</w:t>
      </w:r>
      <w:r>
        <w:rPr>
          <w:lang w:val="en-US"/>
        </w:rPr>
        <w:tab/>
      </w:r>
      <w:r>
        <w:t>FDI inflows and trade openness; comparison of Tunisia with some upper middle income countries, 2000-2010 average</w:t>
      </w:r>
    </w:p>
    <w:p w:rsidR="003C4867" w:rsidRPr="00F81F23" w:rsidRDefault="003C4867" w:rsidP="00F81F23">
      <w:pPr>
        <w:pStyle w:val="BodyText1"/>
        <w:rPr>
          <w:rStyle w:val="SourceChar"/>
        </w:rPr>
      </w:pPr>
      <w:r>
        <w:rPr>
          <w:noProof/>
          <w:lang w:val="en-US"/>
        </w:rPr>
        <w:drawing>
          <wp:inline distT="0" distB="0" distL="0" distR="0">
            <wp:extent cx="5374888" cy="2507697"/>
            <wp:effectExtent l="0" t="0" r="0" b="6985"/>
            <wp:docPr id="1" name="Image 1" descr="Graph fdi op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fdi open2"/>
                    <pic:cNvPicPr>
                      <a:picLocks noChangeAspect="1" noChangeArrowheads="1"/>
                    </pic:cNvPicPr>
                  </pic:nvPicPr>
                  <pic:blipFill>
                    <a:blip r:embed="rId15"/>
                    <a:srcRect/>
                    <a:stretch>
                      <a:fillRect/>
                    </a:stretch>
                  </pic:blipFill>
                  <pic:spPr bwMode="auto">
                    <a:xfrm>
                      <a:off x="0" y="0"/>
                      <a:ext cx="5384607" cy="2512232"/>
                    </a:xfrm>
                    <a:prstGeom prst="rect">
                      <a:avLst/>
                    </a:prstGeom>
                    <a:noFill/>
                    <a:ln w="9525">
                      <a:noFill/>
                      <a:miter lim="800000"/>
                      <a:headEnd/>
                      <a:tailEnd/>
                    </a:ln>
                  </pic:spPr>
                </pic:pic>
              </a:graphicData>
            </a:graphic>
          </wp:inline>
        </w:drawing>
      </w:r>
    </w:p>
    <w:p w:rsidR="00E76D61" w:rsidRDefault="00E76D61" w:rsidP="00E76D61">
      <w:pPr>
        <w:pStyle w:val="BodyText1"/>
        <w:rPr>
          <w:rStyle w:val="SourceChar"/>
        </w:rPr>
      </w:pPr>
      <w:r w:rsidRPr="00F81F23">
        <w:rPr>
          <w:rStyle w:val="SourceChar"/>
          <w:b/>
        </w:rPr>
        <w:t>Source:</w:t>
      </w:r>
      <w:r w:rsidRPr="00F81F23">
        <w:rPr>
          <w:rStyle w:val="SourceChar"/>
        </w:rPr>
        <w:t xml:space="preserve"> World development indicator</w:t>
      </w:r>
      <w:r>
        <w:rPr>
          <w:rStyle w:val="SourceChar"/>
        </w:rPr>
        <w:t>s;</w:t>
      </w:r>
      <w:r w:rsidRPr="00F81F23">
        <w:rPr>
          <w:rStyle w:val="SourceChar"/>
        </w:rPr>
        <w:t xml:space="preserve"> author’s calculation</w:t>
      </w:r>
    </w:p>
    <w:p w:rsidR="00023C9C" w:rsidRDefault="00023C9C" w:rsidP="00023C9C">
      <w:pPr>
        <w:pStyle w:val="BodyText1"/>
        <w:rPr>
          <w:rStyle w:val="SourceChar"/>
          <w:sz w:val="20"/>
        </w:rPr>
      </w:pPr>
      <w:r>
        <w:rPr>
          <w:rStyle w:val="SourceChar"/>
          <w:sz w:val="20"/>
        </w:rPr>
        <w:t>To sum up, Tunisia trade policies helped the country to underscore an overall good performance in terms of exports</w:t>
      </w:r>
      <w:r w:rsidR="00B760BA">
        <w:rPr>
          <w:rStyle w:val="SourceChar"/>
          <w:sz w:val="20"/>
        </w:rPr>
        <w:t>’</w:t>
      </w:r>
      <w:r>
        <w:rPr>
          <w:rStyle w:val="SourceChar"/>
          <w:sz w:val="20"/>
        </w:rPr>
        <w:t>flows and trade openness. Nonetheless, there are still shortcomings</w:t>
      </w:r>
      <w:r w:rsidR="00B760BA">
        <w:rPr>
          <w:rStyle w:val="SourceChar"/>
          <w:sz w:val="20"/>
        </w:rPr>
        <w:t xml:space="preserve">:exports </w:t>
      </w:r>
      <w:r>
        <w:rPr>
          <w:rStyle w:val="SourceChar"/>
          <w:sz w:val="20"/>
        </w:rPr>
        <w:t>in terms of content and sophistication are quite disappointing</w:t>
      </w:r>
      <w:r w:rsidR="00B760BA">
        <w:rPr>
          <w:rStyle w:val="SourceChar"/>
          <w:sz w:val="20"/>
        </w:rPr>
        <w:t>;</w:t>
      </w:r>
      <w:r>
        <w:rPr>
          <w:rStyle w:val="SourceChar"/>
          <w:sz w:val="20"/>
        </w:rPr>
        <w:t xml:space="preserve"> Tunisian final products lack sophistication</w:t>
      </w:r>
      <w:r w:rsidR="00B760BA">
        <w:rPr>
          <w:rStyle w:val="SourceChar"/>
          <w:sz w:val="20"/>
        </w:rPr>
        <w:t>;</w:t>
      </w:r>
      <w:r>
        <w:rPr>
          <w:rStyle w:val="SourceChar"/>
          <w:sz w:val="20"/>
        </w:rPr>
        <w:t xml:space="preserve"> and the added value to the export ratio is very low. Similarly, FDI inflows are concentrating in natural resources and in low manufacturing products. Therefore, it seems that Tunisia is stuck </w:t>
      </w:r>
      <w:r w:rsidR="00B760BA">
        <w:rPr>
          <w:rStyle w:val="SourceChar"/>
          <w:sz w:val="20"/>
        </w:rPr>
        <w:t xml:space="preserve">with </w:t>
      </w:r>
      <w:r>
        <w:rPr>
          <w:rStyle w:val="SourceChar"/>
          <w:sz w:val="20"/>
        </w:rPr>
        <w:t xml:space="preserve">producing low quality goods and mainly assembling intermediates. </w:t>
      </w:r>
    </w:p>
    <w:p w:rsidR="00023C9C" w:rsidRDefault="00023C9C" w:rsidP="00023C9C">
      <w:pPr>
        <w:pStyle w:val="BodyText1"/>
        <w:rPr>
          <w:lang w:val="en-US"/>
        </w:rPr>
      </w:pPr>
      <w:r>
        <w:rPr>
          <w:rStyle w:val="SourceChar"/>
          <w:sz w:val="20"/>
        </w:rPr>
        <w:t xml:space="preserve">For the World Bank (2014), the investment policy of Tunisia represented by the offshore-onshore dichotomy explains partially this underperformance. Firms in </w:t>
      </w:r>
      <w:r>
        <w:rPr>
          <w:lang w:val="en-US"/>
        </w:rPr>
        <w:t>the protected onshore sector survive thanks to privileges and rents</w:t>
      </w:r>
      <w:r w:rsidR="00B760BA">
        <w:rPr>
          <w:lang w:val="en-US"/>
        </w:rPr>
        <w:t>,</w:t>
      </w:r>
      <w:r>
        <w:rPr>
          <w:lang w:val="en-US"/>
        </w:rPr>
        <w:t xml:space="preserve"> whereas the offshore regime is more competitive. However, these firms, competing globally, </w:t>
      </w:r>
      <w:r w:rsidR="0087176D">
        <w:rPr>
          <w:lang w:val="en-US"/>
        </w:rPr>
        <w:t>cannot</w:t>
      </w:r>
      <w:r>
        <w:rPr>
          <w:lang w:val="en-US"/>
        </w:rPr>
        <w:t xml:space="preserve"> use low quality inputs produced by onshore firms and are forced to import their input. As a result, both types of firms register low productivity and low added value.</w:t>
      </w:r>
    </w:p>
    <w:p w:rsidR="00023C9C" w:rsidRDefault="00023C9C" w:rsidP="00023C9C">
      <w:pPr>
        <w:pStyle w:val="BodyText1"/>
        <w:rPr>
          <w:lang w:val="en-US"/>
        </w:rPr>
      </w:pPr>
      <w:r>
        <w:rPr>
          <w:lang w:val="en-US"/>
        </w:rPr>
        <w:lastRenderedPageBreak/>
        <w:t xml:space="preserve">Because of its importance in the Tunisian economy, the offshore-onshore divide is given full attention in this study while investigating the effects of firm exposure to international markets on firm’s performance and job creation.  </w:t>
      </w:r>
    </w:p>
    <w:p w:rsidR="008B27E2" w:rsidRDefault="008B27E2" w:rsidP="00E76D61">
      <w:pPr>
        <w:pStyle w:val="BodyText1"/>
        <w:rPr>
          <w:rStyle w:val="SourceChar"/>
        </w:rPr>
      </w:pPr>
    </w:p>
    <w:p w:rsidR="002A75E4" w:rsidRDefault="002A75E4" w:rsidP="002A75E4">
      <w:pPr>
        <w:pStyle w:val="Heading1"/>
      </w:pPr>
      <w:r>
        <w:t>Literature Review</w:t>
      </w:r>
    </w:p>
    <w:p w:rsidR="00460B27" w:rsidRPr="00460B27" w:rsidRDefault="00460B27" w:rsidP="00E51D4E">
      <w:pPr>
        <w:rPr>
          <w:rFonts w:cs="Arial"/>
          <w:szCs w:val="20"/>
          <w:lang w:val="en-US"/>
        </w:rPr>
      </w:pPr>
      <w:r w:rsidRPr="00460B27">
        <w:rPr>
          <w:rFonts w:cs="Arial"/>
          <w:szCs w:val="20"/>
          <w:lang w:val="en-US"/>
        </w:rPr>
        <w:t>The recent trade literature based on heterogeneous firms involved in international markets</w:t>
      </w:r>
      <w:r w:rsidR="00183DDF">
        <w:rPr>
          <w:rFonts w:cs="Arial"/>
          <w:szCs w:val="20"/>
          <w:lang w:val="en-US"/>
        </w:rPr>
        <w:t xml:space="preserve"> shows that they </w:t>
      </w:r>
      <w:r w:rsidRPr="00460B27">
        <w:rPr>
          <w:rFonts w:cs="Arial"/>
          <w:szCs w:val="20"/>
          <w:lang w:val="en-US"/>
        </w:rPr>
        <w:t>are more productive and employ more workers. The seminal work of Melitz (2003) underlines that trade liberalization will lead to within-industry reallocation of economic activity towards</w:t>
      </w:r>
      <w:r>
        <w:rPr>
          <w:rFonts w:cs="Arial"/>
          <w:szCs w:val="20"/>
          <w:lang w:val="en-US"/>
        </w:rPr>
        <w:t xml:space="preserve"> internationalized</w:t>
      </w:r>
      <w:r w:rsidRPr="00460B27">
        <w:rPr>
          <w:rFonts w:cs="Arial"/>
          <w:szCs w:val="20"/>
          <w:lang w:val="en-US"/>
        </w:rPr>
        <w:t xml:space="preserve"> firms.</w:t>
      </w:r>
      <w:r>
        <w:rPr>
          <w:rFonts w:cs="Arial"/>
          <w:szCs w:val="20"/>
          <w:lang w:val="en-US"/>
        </w:rPr>
        <w:t xml:space="preserve"> The latter</w:t>
      </w:r>
      <w:r w:rsidRPr="00460B27">
        <w:rPr>
          <w:rFonts w:cs="Arial"/>
          <w:szCs w:val="20"/>
          <w:lang w:val="en-US"/>
        </w:rPr>
        <w:t xml:space="preserve"> are more likely to expand and create jobs. Levinsohn (1999) and Davis, Haltiwanger and Schuh (1996) have linked exports and imports to job creation, destruction and reallocation. Their analyses focus on employment shifts between import- and export-oriented industries. Their findings imply that employment shifts explain only partially total job reallocation. Pisu (2008), using firm-level information about exports and imports, finds that firms operating in international markets have higher growth rates of employment on average than enterprises involved only in local markets. Firms engaged in international markets appear to create and destroy jobs simultaneously. </w:t>
      </w:r>
      <w:r w:rsidR="00E51D4E">
        <w:rPr>
          <w:rFonts w:cs="Arial"/>
          <w:szCs w:val="20"/>
          <w:lang w:val="en-US"/>
        </w:rPr>
        <w:t xml:space="preserve">More recently, Jaud and Freund (2015) and Rijkers et al (2014) provide evidence of the employment creation premium associated with participating in international trade in Tunisia. Exporters employ </w:t>
      </w:r>
      <w:r w:rsidR="0053237E">
        <w:rPr>
          <w:rFonts w:cs="Arial"/>
          <w:szCs w:val="20"/>
          <w:lang w:val="en-US"/>
        </w:rPr>
        <w:t xml:space="preserve">one </w:t>
      </w:r>
      <w:r w:rsidR="00E51D4E">
        <w:rPr>
          <w:rFonts w:cs="Arial"/>
          <w:szCs w:val="20"/>
          <w:lang w:val="en-US"/>
        </w:rPr>
        <w:t xml:space="preserve">third of all wage jobs, importers employ more than half, and firms that export and/import account for over 55 percent of total wage jobs. These studies also underline the importance of the offshore regime. While these firms account for only 5 percent </w:t>
      </w:r>
      <w:r w:rsidR="0053237E">
        <w:rPr>
          <w:rFonts w:cs="Arial"/>
          <w:szCs w:val="20"/>
          <w:lang w:val="en-US"/>
        </w:rPr>
        <w:t xml:space="preserve">of </w:t>
      </w:r>
      <w:r w:rsidR="00E51D4E">
        <w:rPr>
          <w:rFonts w:cs="Arial"/>
          <w:szCs w:val="20"/>
          <w:lang w:val="en-US"/>
        </w:rPr>
        <w:t xml:space="preserve">exporters in 2010, they employ 33 percent of wage </w:t>
      </w:r>
      <w:r w:rsidR="0087176D">
        <w:rPr>
          <w:rFonts w:cs="Arial"/>
          <w:szCs w:val="20"/>
          <w:lang w:val="en-US"/>
        </w:rPr>
        <w:t>employment. They</w:t>
      </w:r>
      <w:r w:rsidR="00E51D4E">
        <w:rPr>
          <w:rFonts w:cs="Arial"/>
          <w:szCs w:val="20"/>
          <w:lang w:val="en-US"/>
        </w:rPr>
        <w:t xml:space="preserve"> also find that importers are performing extremely well.</w:t>
      </w:r>
    </w:p>
    <w:p w:rsidR="00460B27" w:rsidRPr="00460B27" w:rsidRDefault="00435E1F" w:rsidP="00435E1F">
      <w:pPr>
        <w:rPr>
          <w:rFonts w:cs="Arial"/>
          <w:szCs w:val="20"/>
          <w:lang w:val="en-US"/>
        </w:rPr>
      </w:pPr>
      <w:r>
        <w:rPr>
          <w:rFonts w:cs="Arial"/>
          <w:szCs w:val="20"/>
          <w:lang w:val="en-US"/>
        </w:rPr>
        <w:t>T</w:t>
      </w:r>
      <w:r w:rsidR="00460B27" w:rsidRPr="00460B27">
        <w:rPr>
          <w:rFonts w:cs="Arial"/>
          <w:szCs w:val="20"/>
          <w:lang w:val="en-US"/>
        </w:rPr>
        <w:t xml:space="preserve">he recent </w:t>
      </w:r>
      <w:r>
        <w:rPr>
          <w:rFonts w:cs="Arial"/>
          <w:szCs w:val="20"/>
          <w:lang w:val="en-US"/>
        </w:rPr>
        <w:t>literature on</w:t>
      </w:r>
      <w:r w:rsidRPr="00460B27">
        <w:rPr>
          <w:rFonts w:cs="Arial"/>
          <w:szCs w:val="20"/>
          <w:lang w:val="en-US"/>
        </w:rPr>
        <w:t xml:space="preserve"> firms in international trade </w:t>
      </w:r>
      <w:r>
        <w:rPr>
          <w:rFonts w:cs="Arial"/>
          <w:szCs w:val="20"/>
          <w:lang w:val="en-US"/>
        </w:rPr>
        <w:t>shows</w:t>
      </w:r>
      <w:r w:rsidR="00460B27" w:rsidRPr="00460B27">
        <w:rPr>
          <w:rFonts w:cs="Arial"/>
          <w:szCs w:val="20"/>
          <w:lang w:val="en-US"/>
        </w:rPr>
        <w:t xml:space="preserve"> that exporters are more productive than non exporters. Two hypotheses are advanced (see Bernard and Jensen 1999; Bernard and Wagner 199</w:t>
      </w:r>
      <w:r w:rsidR="004F1609">
        <w:rPr>
          <w:rFonts w:cs="Arial"/>
          <w:szCs w:val="20"/>
          <w:lang w:val="en-US"/>
        </w:rPr>
        <w:t xml:space="preserve">7). The first hypothesis is </w:t>
      </w:r>
      <w:r w:rsidR="00460B27" w:rsidRPr="00460B27">
        <w:rPr>
          <w:rFonts w:cs="Arial"/>
          <w:szCs w:val="20"/>
          <w:lang w:val="en-US"/>
        </w:rPr>
        <w:t>self-selection of more productive firms into export markets. Entering new markets imply facing additional costs of selling goods (transportation costs, distribution or marketing costs, personnel with skill</w:t>
      </w:r>
      <w:r w:rsidR="00F4755B">
        <w:rPr>
          <w:rFonts w:cs="Arial"/>
          <w:szCs w:val="20"/>
          <w:lang w:val="en-US"/>
        </w:rPr>
        <w:t>s</w:t>
      </w:r>
      <w:r w:rsidR="00460B27" w:rsidRPr="00460B27">
        <w:rPr>
          <w:rFonts w:cs="Arial"/>
          <w:szCs w:val="20"/>
          <w:lang w:val="en-US"/>
        </w:rPr>
        <w:t xml:space="preserve"> to manage foreign networks, or production costs in modifying current domestic products for foreign consumption). These new barriers can be overcome only by </w:t>
      </w:r>
      <w:r w:rsidR="00F4755B">
        <w:rPr>
          <w:rFonts w:cs="Arial"/>
          <w:szCs w:val="20"/>
          <w:lang w:val="en-US"/>
        </w:rPr>
        <w:t xml:space="preserve">the </w:t>
      </w:r>
      <w:r w:rsidR="00460B27" w:rsidRPr="00460B27">
        <w:rPr>
          <w:rFonts w:cs="Arial"/>
          <w:szCs w:val="20"/>
          <w:lang w:val="en-US"/>
        </w:rPr>
        <w:t xml:space="preserve">most successful firms. Furthermore, a firm that plans to export </w:t>
      </w:r>
      <w:r w:rsidR="001B73C2">
        <w:rPr>
          <w:rFonts w:cs="Arial"/>
          <w:szCs w:val="20"/>
          <w:lang w:val="en-US"/>
        </w:rPr>
        <w:t>in the future</w:t>
      </w:r>
      <w:r w:rsidR="00460B27" w:rsidRPr="00460B27">
        <w:rPr>
          <w:rFonts w:cs="Arial"/>
          <w:szCs w:val="20"/>
          <w:lang w:val="en-US"/>
        </w:rPr>
        <w:t xml:space="preserve"> will engage in an improvement process </w:t>
      </w:r>
      <w:r w:rsidR="001B73C2">
        <w:rPr>
          <w:rFonts w:cs="Arial"/>
          <w:szCs w:val="20"/>
          <w:lang w:val="en-US"/>
        </w:rPr>
        <w:t>in order</w:t>
      </w:r>
      <w:r w:rsidR="00460B27" w:rsidRPr="00460B27">
        <w:rPr>
          <w:rFonts w:cs="Arial"/>
          <w:szCs w:val="20"/>
          <w:lang w:val="en-US"/>
        </w:rPr>
        <w:t xml:space="preserve"> to be competitive on the foreign market. The second hypothesis is the role of learning-by-exporting. Internationalized firms learn from international buyers and competitors who will help them improve their post-entry performance. In addition, firms participating in international markets are exposed to fierce competition and must improve rapidly their </w:t>
      </w:r>
      <w:r w:rsidR="00460B27">
        <w:rPr>
          <w:rFonts w:cs="Arial"/>
          <w:szCs w:val="20"/>
          <w:lang w:val="en-US"/>
        </w:rPr>
        <w:t>productivity</w:t>
      </w:r>
      <w:r w:rsidR="00460B27" w:rsidRPr="00460B27">
        <w:rPr>
          <w:rFonts w:cs="Arial"/>
          <w:szCs w:val="20"/>
          <w:lang w:val="en-US"/>
        </w:rPr>
        <w:t>. These hypotheses are confirmed by growing empirical evidence. As shown by Greenaway and</w:t>
      </w:r>
      <w:r w:rsidR="0036625E">
        <w:rPr>
          <w:rFonts w:cs="Arial"/>
          <w:szCs w:val="20"/>
          <w:lang w:val="en-US"/>
        </w:rPr>
        <w:t xml:space="preserve"> Kneller (2007</w:t>
      </w:r>
      <w:r w:rsidR="00D74548">
        <w:rPr>
          <w:rFonts w:cs="Arial"/>
          <w:szCs w:val="20"/>
          <w:lang w:val="en-US"/>
        </w:rPr>
        <w:t>) and Wagner (2012</w:t>
      </w:r>
      <w:r w:rsidR="00460B27" w:rsidRPr="00460B27">
        <w:rPr>
          <w:rFonts w:cs="Arial"/>
          <w:szCs w:val="20"/>
          <w:lang w:val="en-US"/>
        </w:rPr>
        <w:t>) in their literature surveys, exporters are superior to non-exporters along several firm-level characteristics, such as productivity, employment and research and development e</w:t>
      </w:r>
      <w:r w:rsidR="00D74548">
        <w:rPr>
          <w:rFonts w:cs="Arial"/>
          <w:szCs w:val="20"/>
          <w:lang w:val="en-US"/>
        </w:rPr>
        <w:t>xpenditures. Wagner (2012</w:t>
      </w:r>
      <w:r w:rsidR="005E60B7">
        <w:rPr>
          <w:rFonts w:cs="Arial"/>
          <w:szCs w:val="20"/>
          <w:lang w:val="en-US"/>
        </w:rPr>
        <w:t>) shows</w:t>
      </w:r>
      <w:r w:rsidR="004F1609">
        <w:rPr>
          <w:rFonts w:cs="Arial"/>
          <w:szCs w:val="20"/>
          <w:lang w:val="en-US"/>
        </w:rPr>
        <w:t>results are mixed concerning</w:t>
      </w:r>
      <w:r w:rsidR="00460B27" w:rsidRPr="00460B27">
        <w:rPr>
          <w:rFonts w:cs="Arial"/>
          <w:szCs w:val="20"/>
          <w:lang w:val="en-US"/>
        </w:rPr>
        <w:t xml:space="preserve"> learning-by-exporting hypothesis. Exporting does not necessarily improve firms</w:t>
      </w:r>
      <w:r w:rsidR="00F4755B">
        <w:rPr>
          <w:rFonts w:cs="Arial"/>
          <w:szCs w:val="20"/>
          <w:lang w:val="en-US"/>
        </w:rPr>
        <w:t xml:space="preserve">’ </w:t>
      </w:r>
      <w:r w:rsidR="0087176D">
        <w:rPr>
          <w:rFonts w:cs="Arial"/>
          <w:szCs w:val="20"/>
          <w:lang w:val="en-US"/>
        </w:rPr>
        <w:t>performance</w:t>
      </w:r>
      <w:r w:rsidR="00460B27" w:rsidRPr="00460B27">
        <w:rPr>
          <w:rFonts w:cs="Arial"/>
          <w:szCs w:val="20"/>
          <w:lang w:val="en-US"/>
        </w:rPr>
        <w:t>.</w:t>
      </w:r>
      <w:r w:rsidR="00460B27" w:rsidRPr="00460B27">
        <w:rPr>
          <w:rFonts w:cs="Arial"/>
          <w:szCs w:val="20"/>
          <w:lang w:val="en-US"/>
        </w:rPr>
        <w:tab/>
      </w:r>
    </w:p>
    <w:p w:rsidR="00460B27" w:rsidRPr="00460B27" w:rsidRDefault="00460B27" w:rsidP="00183DDF">
      <w:pPr>
        <w:rPr>
          <w:rFonts w:cs="Arial"/>
          <w:szCs w:val="20"/>
          <w:lang w:val="en-US"/>
        </w:rPr>
      </w:pPr>
      <w:r w:rsidRPr="00460B27">
        <w:rPr>
          <w:rFonts w:cs="Arial"/>
          <w:szCs w:val="20"/>
          <w:lang w:val="en-US"/>
        </w:rPr>
        <w:t>Thus far, imports have</w:t>
      </w:r>
      <w:r w:rsidR="00183DDF">
        <w:rPr>
          <w:rFonts w:cs="Arial"/>
          <w:szCs w:val="20"/>
          <w:lang w:val="en-US"/>
        </w:rPr>
        <w:t xml:space="preserve"> been relatively under looked in</w:t>
      </w:r>
      <w:r w:rsidRPr="00460B27">
        <w:rPr>
          <w:rFonts w:cs="Arial"/>
          <w:szCs w:val="20"/>
          <w:lang w:val="en-US"/>
        </w:rPr>
        <w:t xml:space="preserve"> the empirical literature. The few studies ta</w:t>
      </w:r>
      <w:r w:rsidR="00183DDF">
        <w:rPr>
          <w:rFonts w:cs="Arial"/>
          <w:szCs w:val="20"/>
          <w:lang w:val="en-US"/>
        </w:rPr>
        <w:t xml:space="preserve">ckling this subject rely on the two hypothesis discussed earlier i.e. </w:t>
      </w:r>
      <w:r w:rsidRPr="00460B27">
        <w:rPr>
          <w:rFonts w:cs="Arial"/>
          <w:szCs w:val="20"/>
          <w:lang w:val="en-US"/>
        </w:rPr>
        <w:t>self selection of more productive firms into import markets and learni</w:t>
      </w:r>
      <w:r w:rsidR="00183DDF">
        <w:rPr>
          <w:rFonts w:cs="Arial"/>
          <w:szCs w:val="20"/>
          <w:lang w:val="en-US"/>
        </w:rPr>
        <w:t xml:space="preserve">ng by importing. Concerning the </w:t>
      </w:r>
      <w:r w:rsidRPr="00460B27">
        <w:rPr>
          <w:rFonts w:cs="Arial"/>
          <w:szCs w:val="20"/>
          <w:lang w:val="en-US"/>
        </w:rPr>
        <w:t xml:space="preserve">self-selection hypothesis, two arguments are </w:t>
      </w:r>
      <w:r w:rsidR="004C7CDA">
        <w:rPr>
          <w:rFonts w:cs="Arial"/>
          <w:szCs w:val="20"/>
          <w:lang w:val="en-US"/>
        </w:rPr>
        <w:t>discussed</w:t>
      </w:r>
      <w:r w:rsidRPr="00460B27">
        <w:rPr>
          <w:rFonts w:cs="Arial"/>
          <w:szCs w:val="20"/>
          <w:lang w:val="en-US"/>
        </w:rPr>
        <w:t>. First, the use of fo</w:t>
      </w:r>
      <w:r w:rsidR="00817768">
        <w:rPr>
          <w:rFonts w:cs="Arial"/>
          <w:szCs w:val="20"/>
          <w:lang w:val="en-US"/>
        </w:rPr>
        <w:t xml:space="preserve">reign intermediates increases </w:t>
      </w:r>
      <w:r w:rsidRPr="00460B27">
        <w:rPr>
          <w:rFonts w:cs="Arial"/>
          <w:szCs w:val="20"/>
          <w:lang w:val="en-US"/>
        </w:rPr>
        <w:t>firm’s productivity. Second, only already productive firms are able to import intermediates due to fixed costs (search process for potential foreign suppliers, inspection of goods, negotiation, contract formulation, customs procedure</w:t>
      </w:r>
      <w:r w:rsidR="004D0746">
        <w:rPr>
          <w:rFonts w:cs="Arial"/>
          <w:szCs w:val="20"/>
          <w:lang w:val="en-US"/>
        </w:rPr>
        <w:t>s (see Kasahara and Lapham (2013</w:t>
      </w:r>
      <w:r w:rsidRPr="00460B27">
        <w:rPr>
          <w:rFonts w:cs="Arial"/>
          <w:szCs w:val="20"/>
          <w:lang w:val="en-US"/>
        </w:rPr>
        <w:t>), Andersson et al. (2008), Castellani et al. (2010)).</w:t>
      </w:r>
    </w:p>
    <w:p w:rsidR="00460B27" w:rsidRPr="00460B27" w:rsidRDefault="00F4755B" w:rsidP="00460B27">
      <w:pPr>
        <w:rPr>
          <w:rFonts w:cs="Arial"/>
          <w:szCs w:val="20"/>
          <w:lang w:val="en-US"/>
        </w:rPr>
      </w:pPr>
      <w:r>
        <w:rPr>
          <w:rFonts w:cs="Arial"/>
          <w:szCs w:val="20"/>
          <w:lang w:val="en-US"/>
        </w:rPr>
        <w:t>With</w:t>
      </w:r>
      <w:r w:rsidR="00460B27" w:rsidRPr="00460B27">
        <w:rPr>
          <w:rFonts w:cs="Arial"/>
          <w:szCs w:val="20"/>
          <w:lang w:val="en-US"/>
        </w:rPr>
        <w:t>regard to learning-by-importing, several points are advanced. First, importing firms can use higher quality inputs. Furthermore, the choice of importing allows a firm to allocate its resources and to specialize on activities where it has particular advantage. If importing increases productivity, this might lead firms to self-select into export markets and help to improve their success in these markets, which might contribute to an explanation why two-way traders are the most productive firms on average (see Andersson et al. (2008), Castellani et al. (2010), Altomonte and Békés (2010), Halpern et al. (2005) and Muuls and Pisu (2009)).</w:t>
      </w:r>
    </w:p>
    <w:p w:rsidR="00460B27" w:rsidRPr="00460B27" w:rsidRDefault="00460B27" w:rsidP="00460B27">
      <w:pPr>
        <w:rPr>
          <w:rFonts w:cs="Arial"/>
          <w:szCs w:val="20"/>
          <w:lang w:val="en-US"/>
        </w:rPr>
      </w:pPr>
      <w:r w:rsidRPr="00460B27">
        <w:rPr>
          <w:rFonts w:cs="Arial"/>
          <w:szCs w:val="20"/>
          <w:lang w:val="en-US"/>
        </w:rPr>
        <w:t>Most studies concentrate on manufactured goods</w:t>
      </w:r>
      <w:r>
        <w:rPr>
          <w:rFonts w:cs="Arial"/>
          <w:szCs w:val="20"/>
          <w:lang w:val="en-US"/>
        </w:rPr>
        <w:t>. Few of them focus on the services sector</w:t>
      </w:r>
      <w:r w:rsidRPr="00460B27">
        <w:rPr>
          <w:rFonts w:cs="Arial"/>
          <w:szCs w:val="20"/>
          <w:lang w:val="en-US"/>
        </w:rPr>
        <w:t>. Nonetheless, the empirical literature points out that: (i) exporters are more productive than non-exporters, (ii) productive firms self select into services exports but no evidence for learning-by-exporting effects on productivity growth (Vogel and Wagner (2011)).</w:t>
      </w:r>
    </w:p>
    <w:p w:rsidR="00460B27" w:rsidRDefault="00FB06C5" w:rsidP="00D17FA8">
      <w:pPr>
        <w:rPr>
          <w:rFonts w:cs="Arial"/>
          <w:szCs w:val="20"/>
          <w:lang w:val="en-US"/>
        </w:rPr>
      </w:pPr>
      <w:r w:rsidRPr="00FB06C5">
        <w:rPr>
          <w:rFonts w:cs="Arial"/>
          <w:szCs w:val="20"/>
        </w:rPr>
        <w:lastRenderedPageBreak/>
        <w:t xml:space="preserve">Surprisingly, </w:t>
      </w:r>
      <w:r>
        <w:rPr>
          <w:rFonts w:cs="Arial"/>
          <w:szCs w:val="20"/>
        </w:rPr>
        <w:t xml:space="preserve">the effect of international trade on profitability is also undercovered. Till now, the small number of studies gives mixed </w:t>
      </w:r>
      <w:r w:rsidR="004C7CDA">
        <w:rPr>
          <w:rFonts w:cs="Arial"/>
          <w:szCs w:val="20"/>
        </w:rPr>
        <w:t xml:space="preserve">empirical </w:t>
      </w:r>
      <w:r>
        <w:rPr>
          <w:rFonts w:cs="Arial"/>
          <w:szCs w:val="20"/>
        </w:rPr>
        <w:t>results. There is still no consensus on the positive effects of eng</w:t>
      </w:r>
      <w:r w:rsidR="004F1609">
        <w:rPr>
          <w:rFonts w:cs="Arial"/>
          <w:szCs w:val="20"/>
        </w:rPr>
        <w:t>ag</w:t>
      </w:r>
      <w:r>
        <w:rPr>
          <w:rFonts w:cs="Arial"/>
          <w:szCs w:val="20"/>
        </w:rPr>
        <w:t xml:space="preserve">ing in international activities on firm’s profitability. </w:t>
      </w:r>
      <w:r w:rsidR="00D74548">
        <w:rPr>
          <w:rFonts w:cs="Arial"/>
          <w:szCs w:val="20"/>
          <w:lang w:val="en-US"/>
        </w:rPr>
        <w:t>Wagner (2011</w:t>
      </w:r>
      <w:r w:rsidR="00460B27" w:rsidRPr="00460B27">
        <w:rPr>
          <w:rFonts w:cs="Arial"/>
          <w:szCs w:val="20"/>
          <w:lang w:val="en-US"/>
        </w:rPr>
        <w:t xml:space="preserve">) </w:t>
      </w:r>
      <w:r w:rsidR="001B73C2">
        <w:rPr>
          <w:rFonts w:cs="Arial"/>
          <w:szCs w:val="20"/>
          <w:lang w:val="en-US"/>
        </w:rPr>
        <w:t>investigates</w:t>
      </w:r>
      <w:r w:rsidR="00460B27" w:rsidRPr="00460B27">
        <w:rPr>
          <w:rFonts w:cs="Arial"/>
          <w:szCs w:val="20"/>
          <w:lang w:val="en-US"/>
        </w:rPr>
        <w:t xml:space="preserve"> the relationship between profitability and three types of </w:t>
      </w:r>
      <w:r w:rsidR="00F4755B">
        <w:rPr>
          <w:rFonts w:cs="Arial"/>
          <w:szCs w:val="20"/>
          <w:lang w:val="en-US"/>
        </w:rPr>
        <w:t>G</w:t>
      </w:r>
      <w:r w:rsidR="00AC6FC2">
        <w:rPr>
          <w:rFonts w:cs="Arial"/>
          <w:szCs w:val="20"/>
          <w:lang w:val="en-US"/>
        </w:rPr>
        <w:t>erman manufacturing firms</w:t>
      </w:r>
      <w:r w:rsidR="00F4755B">
        <w:rPr>
          <w:rFonts w:cs="Arial"/>
          <w:szCs w:val="20"/>
          <w:lang w:val="en-US"/>
        </w:rPr>
        <w:t>:</w:t>
      </w:r>
      <w:r w:rsidR="00E62CF8">
        <w:rPr>
          <w:rFonts w:cs="Arial"/>
          <w:szCs w:val="20"/>
          <w:lang w:val="en-US"/>
        </w:rPr>
        <w:t xml:space="preserve"> </w:t>
      </w:r>
      <w:r w:rsidR="001B73C2">
        <w:rPr>
          <w:rFonts w:cs="Arial"/>
          <w:szCs w:val="20"/>
          <w:lang w:val="en-US"/>
        </w:rPr>
        <w:t>exporters, importers</w:t>
      </w:r>
      <w:r w:rsidR="00460B27" w:rsidRPr="00460B27">
        <w:rPr>
          <w:rFonts w:cs="Arial"/>
          <w:szCs w:val="20"/>
          <w:lang w:val="en-US"/>
        </w:rPr>
        <w:t xml:space="preserve"> and two-way trade</w:t>
      </w:r>
      <w:r w:rsidR="001B73C2">
        <w:rPr>
          <w:rFonts w:cs="Arial"/>
          <w:szCs w:val="20"/>
          <w:lang w:val="en-US"/>
        </w:rPr>
        <w:t>rs</w:t>
      </w:r>
      <w:r w:rsidR="00460B27" w:rsidRPr="00460B27">
        <w:rPr>
          <w:rFonts w:cs="Arial"/>
          <w:szCs w:val="20"/>
          <w:lang w:val="en-US"/>
        </w:rPr>
        <w:t xml:space="preserve">. </w:t>
      </w:r>
      <w:r w:rsidR="001B73C2">
        <w:rPr>
          <w:rFonts w:cs="Arial"/>
          <w:szCs w:val="20"/>
          <w:lang w:val="en-US"/>
        </w:rPr>
        <w:t>Findings are not conclusiveconcerning trade effects</w:t>
      </w:r>
      <w:r w:rsidR="00460B27" w:rsidRPr="00460B27">
        <w:rPr>
          <w:rFonts w:cs="Arial"/>
          <w:szCs w:val="20"/>
          <w:lang w:val="en-US"/>
        </w:rPr>
        <w:t xml:space="preserve"> on profits. </w:t>
      </w:r>
      <w:r w:rsidR="001B73C2">
        <w:rPr>
          <w:rFonts w:cs="Arial"/>
          <w:szCs w:val="20"/>
          <w:lang w:val="en-US"/>
        </w:rPr>
        <w:t xml:space="preserve">The author explains that productivity advantages of </w:t>
      </w:r>
      <w:r w:rsidR="00460B27" w:rsidRPr="00460B27">
        <w:rPr>
          <w:rFonts w:cs="Arial"/>
          <w:szCs w:val="20"/>
          <w:lang w:val="en-US"/>
        </w:rPr>
        <w:t>trading firms</w:t>
      </w:r>
      <w:r w:rsidR="001B73C2">
        <w:rPr>
          <w:rFonts w:cs="Arial"/>
          <w:szCs w:val="20"/>
          <w:lang w:val="en-US"/>
        </w:rPr>
        <w:t xml:space="preserve"> in Germany</w:t>
      </w:r>
      <w:r w:rsidR="00460B27" w:rsidRPr="00460B27">
        <w:rPr>
          <w:rFonts w:cs="Arial"/>
          <w:szCs w:val="20"/>
          <w:lang w:val="en-US"/>
        </w:rPr>
        <w:t xml:space="preserve"> are </w:t>
      </w:r>
      <w:r w:rsidR="00D17FA8">
        <w:rPr>
          <w:rFonts w:cs="Arial"/>
          <w:szCs w:val="20"/>
          <w:lang w:val="en-US"/>
        </w:rPr>
        <w:t>counterbalanced</w:t>
      </w:r>
      <w:r w:rsidR="00460B27" w:rsidRPr="00460B27">
        <w:rPr>
          <w:rFonts w:cs="Arial"/>
          <w:szCs w:val="20"/>
          <w:lang w:val="en-US"/>
        </w:rPr>
        <w:t xml:space="preserve"> by extra costs related to selling and buying on foreign markets. </w:t>
      </w:r>
    </w:p>
    <w:p w:rsidR="000D285C" w:rsidRDefault="000D285C" w:rsidP="00372A3B">
      <w:pPr>
        <w:rPr>
          <w:rFonts w:cs="Arial"/>
          <w:szCs w:val="20"/>
          <w:lang w:val="en-US"/>
        </w:rPr>
      </w:pPr>
      <w:r>
        <w:rPr>
          <w:rFonts w:cs="Arial"/>
          <w:szCs w:val="20"/>
          <w:lang w:val="en-US"/>
        </w:rPr>
        <w:t xml:space="preserve">Evidence on Tunisian firms in international trade is rather limited. Indeed, very few studies </w:t>
      </w:r>
      <w:r w:rsidR="00183DDF">
        <w:rPr>
          <w:rFonts w:cs="Arial"/>
          <w:szCs w:val="20"/>
          <w:lang w:val="en-US"/>
        </w:rPr>
        <w:t xml:space="preserve">explored this topic </w:t>
      </w:r>
      <w:r>
        <w:rPr>
          <w:rFonts w:cs="Arial"/>
          <w:szCs w:val="20"/>
          <w:lang w:val="en-US"/>
        </w:rPr>
        <w:t xml:space="preserve">using firm level data. </w:t>
      </w:r>
      <w:r w:rsidR="00372A3B">
        <w:rPr>
          <w:rFonts w:cs="Arial"/>
          <w:szCs w:val="20"/>
          <w:lang w:val="en-US"/>
        </w:rPr>
        <w:t>Marouani and Mouelhi (2014, 2015)</w:t>
      </w:r>
      <w:r>
        <w:rPr>
          <w:rFonts w:cs="Arial"/>
          <w:szCs w:val="20"/>
          <w:lang w:val="en-US"/>
        </w:rPr>
        <w:t xml:space="preserve">, </w:t>
      </w:r>
      <w:r w:rsidR="007C4D03" w:rsidRPr="002700F9">
        <w:rPr>
          <w:rFonts w:cs="Arial"/>
          <w:szCs w:val="20"/>
        </w:rPr>
        <w:t>employing</w:t>
      </w:r>
      <w:r w:rsidR="00372A3B" w:rsidRPr="002700F9">
        <w:rPr>
          <w:rFonts w:cs="Arial"/>
          <w:szCs w:val="20"/>
        </w:rPr>
        <w:t xml:space="preserve"> respectively firm’s data anda mixed </w:t>
      </w:r>
      <w:r w:rsidRPr="002700F9">
        <w:rPr>
          <w:rFonts w:cs="Arial"/>
          <w:szCs w:val="20"/>
        </w:rPr>
        <w:t xml:space="preserve">sectoral and firm’s sample data, explain that trade did not contribute much to the increase in Tunisian firm’s productivity in the last three decades. Mattoussi and Ayadi (2014), </w:t>
      </w:r>
      <w:r w:rsidR="007C4D03" w:rsidRPr="002700F9">
        <w:rPr>
          <w:rFonts w:cs="Arial"/>
          <w:szCs w:val="20"/>
        </w:rPr>
        <w:t>exploiting</w:t>
      </w:r>
      <w:r w:rsidRPr="002700F9">
        <w:rPr>
          <w:rFonts w:cs="Arial"/>
          <w:szCs w:val="20"/>
        </w:rPr>
        <w:t xml:space="preserve"> a </w:t>
      </w:r>
      <w:r w:rsidR="00F4755B">
        <w:rPr>
          <w:rFonts w:cs="Arial"/>
          <w:szCs w:val="20"/>
        </w:rPr>
        <w:t>T</w:t>
      </w:r>
      <w:r w:rsidRPr="002700F9">
        <w:rPr>
          <w:rFonts w:cs="Arial"/>
          <w:szCs w:val="20"/>
        </w:rPr>
        <w:t>unisian firm’s sample during 2004-2006, give evidence of the self selection of fully exporting firms into export markets.</w:t>
      </w:r>
    </w:p>
    <w:p w:rsidR="00B00C71" w:rsidRDefault="000D285C" w:rsidP="00183DDF">
      <w:pPr>
        <w:rPr>
          <w:rFonts w:cs="Arial"/>
          <w:szCs w:val="20"/>
          <w:lang w:val="en-US"/>
        </w:rPr>
      </w:pPr>
      <w:r>
        <w:rPr>
          <w:rFonts w:cs="Arial"/>
          <w:szCs w:val="20"/>
          <w:lang w:val="en-US"/>
        </w:rPr>
        <w:t xml:space="preserve">The present study aims to fill </w:t>
      </w:r>
      <w:r w:rsidR="00183DDF">
        <w:rPr>
          <w:rFonts w:cs="Arial"/>
          <w:szCs w:val="20"/>
          <w:lang w:val="en-US"/>
        </w:rPr>
        <w:t>this</w:t>
      </w:r>
      <w:r>
        <w:rPr>
          <w:rFonts w:cs="Arial"/>
          <w:szCs w:val="20"/>
          <w:lang w:val="en-US"/>
        </w:rPr>
        <w:t xml:space="preserve"> gap in the knowledge of Tunisian firm’s performance in international trade. It </w:t>
      </w:r>
      <w:r w:rsidR="00230B8B">
        <w:rPr>
          <w:rFonts w:cs="Arial"/>
          <w:szCs w:val="20"/>
          <w:lang w:val="en-US"/>
        </w:rPr>
        <w:t>explore</w:t>
      </w:r>
      <w:r>
        <w:rPr>
          <w:rFonts w:cs="Arial"/>
          <w:szCs w:val="20"/>
          <w:lang w:val="en-US"/>
        </w:rPr>
        <w:t>s</w:t>
      </w:r>
      <w:r w:rsidR="00230B8B">
        <w:rPr>
          <w:rFonts w:cs="Arial"/>
          <w:szCs w:val="20"/>
          <w:lang w:val="en-US"/>
        </w:rPr>
        <w:t xml:space="preserve"> the </w:t>
      </w:r>
      <w:r w:rsidR="00D17FA8">
        <w:rPr>
          <w:rFonts w:cs="Arial"/>
          <w:szCs w:val="20"/>
          <w:lang w:val="en-US"/>
        </w:rPr>
        <w:t>impact of three trade statuses,</w:t>
      </w:r>
      <w:r w:rsidR="00230B8B">
        <w:rPr>
          <w:rFonts w:cs="Arial"/>
          <w:szCs w:val="20"/>
          <w:lang w:val="en-US"/>
        </w:rPr>
        <w:t xml:space="preserve"> importers, exporters and two way traders on job creation, profitability and productivity.</w:t>
      </w:r>
      <w:r w:rsidR="00D17FA8">
        <w:rPr>
          <w:rFonts w:cs="Arial"/>
          <w:szCs w:val="20"/>
          <w:lang w:val="en-US"/>
        </w:rPr>
        <w:t xml:space="preserve"> In addition, we investigate another characteristic of the Tunisian firms which is the onshore-offshore divide. </w:t>
      </w:r>
      <w:r w:rsidR="00F334B7">
        <w:rPr>
          <w:rFonts w:cs="Arial"/>
          <w:szCs w:val="20"/>
          <w:lang w:val="en-US"/>
        </w:rPr>
        <w:t xml:space="preserve">We </w:t>
      </w:r>
      <w:r w:rsidR="00230B8B">
        <w:rPr>
          <w:rFonts w:cs="Arial"/>
          <w:szCs w:val="20"/>
          <w:lang w:val="en-US"/>
        </w:rPr>
        <w:t xml:space="preserve">look to three sectors, manufacturing, non manufacturing and services sectors. </w:t>
      </w:r>
      <w:r>
        <w:rPr>
          <w:rFonts w:cs="Arial"/>
          <w:szCs w:val="20"/>
          <w:lang w:val="en-US"/>
        </w:rPr>
        <w:t xml:space="preserve">To that end, we use a unique dataset, le Repertoire National des </w:t>
      </w:r>
      <w:r w:rsidR="0087176D">
        <w:rPr>
          <w:rFonts w:cs="Arial"/>
          <w:szCs w:val="20"/>
          <w:lang w:val="en-US"/>
        </w:rPr>
        <w:t>Enterprises</w:t>
      </w:r>
      <w:r>
        <w:rPr>
          <w:rFonts w:cs="Arial"/>
          <w:szCs w:val="20"/>
          <w:lang w:val="en-US"/>
        </w:rPr>
        <w:t xml:space="preserve"> (Tunisian registery of firms) which is described in the following section.</w:t>
      </w:r>
    </w:p>
    <w:p w:rsidR="004167E7" w:rsidRPr="00460B27" w:rsidRDefault="004167E7" w:rsidP="00183DDF">
      <w:pPr>
        <w:rPr>
          <w:rFonts w:cs="Arial"/>
          <w:szCs w:val="20"/>
          <w:lang w:val="en-US"/>
        </w:rPr>
      </w:pPr>
    </w:p>
    <w:p w:rsidR="000D6AF9" w:rsidRDefault="000D6AF9" w:rsidP="000F61F8">
      <w:pPr>
        <w:pStyle w:val="Heading1"/>
      </w:pPr>
      <w:r w:rsidRPr="000D6AF9">
        <w:t>Trade, Firms’ dynamic and employment</w:t>
      </w:r>
    </w:p>
    <w:p w:rsidR="000D6AF9" w:rsidRDefault="000D6AF9" w:rsidP="009B7A52">
      <w:pPr>
        <w:pStyle w:val="Heading2A"/>
      </w:pPr>
      <w:r w:rsidRPr="000D6AF9">
        <w:t>Data used</w:t>
      </w:r>
    </w:p>
    <w:p w:rsidR="000D6AF9" w:rsidRDefault="000D6AF9" w:rsidP="00944D9A">
      <w:pPr>
        <w:pStyle w:val="BodyText1"/>
      </w:pPr>
      <w:r>
        <w:t>The main data set used for this study is the Tunisian registry of firms, the Répertoire National des Entreprises (RNE) for the period 2000-2010</w:t>
      </w:r>
      <w:r w:rsidR="00FE3EB0">
        <w:t>,</w:t>
      </w:r>
      <w:r>
        <w:t xml:space="preserve"> collected by the National Institute of Statistics in Tunisia (Institut National de la Statistique). The RNE uses information from the social security fund (CaisseNationale de la SécuritéSociale – CNSS) which is the source for the employment data, as well as from Tunisian Customs, the Tunisian Ministry of Finance, and the Tunisian Investment Promotion Agency (l’Agence de Promotion de l’Industrie et de l’Innovation – APII). It has information on the employment, age and main activity of all registered private firms.</w:t>
      </w:r>
      <w:r w:rsidR="000564B6">
        <w:t xml:space="preserve"> T</w:t>
      </w:r>
      <w:r>
        <w:t xml:space="preserve">he Répertoire </w:t>
      </w:r>
      <w:r w:rsidR="000564B6">
        <w:t xml:space="preserve">covers </w:t>
      </w:r>
      <w:r>
        <w:t>all enterprises</w:t>
      </w:r>
      <w:r w:rsidR="000564B6">
        <w:t xml:space="preserve"> including firms without employees</w:t>
      </w:r>
      <w:r w:rsidR="0052100A">
        <w:t>, i.e. registered self-</w:t>
      </w:r>
      <w:r w:rsidR="000564B6">
        <w:t>employed</w:t>
      </w:r>
      <w:r>
        <w:t>. This allows us to examine the dynamics of these firms, which are often not covered by firm censuses, and to assess their contribution to aggre</w:t>
      </w:r>
      <w:r w:rsidR="00944D9A">
        <w:t>gate net job creation, which we</w:t>
      </w:r>
      <w:r>
        <w:t xml:space="preserve"> demonstrate to be very important.</w:t>
      </w:r>
      <w:r w:rsidR="0052100A">
        <w:t xml:space="preserve"> It covers also all sectors, agricultural and non agricultural, for a long period of time and record the entry o</w:t>
      </w:r>
      <w:r w:rsidR="00245A1E">
        <w:t>r</w:t>
      </w:r>
      <w:r w:rsidR="0052100A">
        <w:t xml:space="preserve"> exit of firms. </w:t>
      </w:r>
    </w:p>
    <w:p w:rsidR="009F6944" w:rsidRPr="009F6944" w:rsidRDefault="009F6944" w:rsidP="002F747F">
      <w:pPr>
        <w:pStyle w:val="BodyText1"/>
      </w:pPr>
      <w:r w:rsidRPr="009F6944">
        <w:t xml:space="preserve">Productivity and profitability variables are constructed using profit and turnover data from the Tunisian Ministry of Finance spanning the universe of private firms’ tax records for the period 2006 through 2010. The latter was merged to RNE. </w:t>
      </w:r>
      <w:r w:rsidR="002F747F">
        <w:t>A detailed description of the RNE can be found in Rijkers et al (2014).</w:t>
      </w:r>
    </w:p>
    <w:p w:rsidR="000D6AF9" w:rsidRDefault="000D6AF9" w:rsidP="000D6AF9">
      <w:pPr>
        <w:pStyle w:val="BodyText1"/>
      </w:pPr>
      <w:r>
        <w:t>We present first the firms’ dynamic in Tunisia. Second, we will investigate firms’ ability to create jobs</w:t>
      </w:r>
      <w:r w:rsidR="00115143">
        <w:t>,</w:t>
      </w:r>
      <w:r w:rsidR="00FE3EB0">
        <w:t>with a focus on</w:t>
      </w:r>
      <w:r>
        <w:t>firms that are connected to international trade.</w:t>
      </w:r>
    </w:p>
    <w:p w:rsidR="00956E5F" w:rsidRDefault="00956E5F" w:rsidP="000D6AF9">
      <w:pPr>
        <w:pStyle w:val="BodyText1"/>
      </w:pPr>
    </w:p>
    <w:p w:rsidR="000D6AF9" w:rsidRDefault="000D6AF9" w:rsidP="000D6AF9">
      <w:pPr>
        <w:pStyle w:val="Heading2"/>
      </w:pPr>
      <w:r w:rsidRPr="000D6AF9">
        <w:t>Firms’ dynamic in Tunisia:</w:t>
      </w:r>
    </w:p>
    <w:p w:rsidR="000D6AF9" w:rsidRDefault="00E16185" w:rsidP="00E16185">
      <w:pPr>
        <w:pStyle w:val="Heading2A"/>
      </w:pPr>
      <w:r>
        <w:t>Tunisian firm size distribution is</w:t>
      </w:r>
      <w:r w:rsidR="000D6AF9" w:rsidRPr="000D6AF9">
        <w:t xml:space="preserve"> skewed toward small </w:t>
      </w:r>
      <w:r>
        <w:t>firms</w:t>
      </w:r>
    </w:p>
    <w:p w:rsidR="000D6AF9" w:rsidRDefault="00245A1E" w:rsidP="00504A76">
      <w:pPr>
        <w:pStyle w:val="BodyText10"/>
      </w:pPr>
      <w:r>
        <w:t>D</w:t>
      </w:r>
      <w:r w:rsidRPr="000D6AF9">
        <w:t>uring 2000-2010</w:t>
      </w:r>
      <w:r>
        <w:t xml:space="preserve">, </w:t>
      </w:r>
      <w:r w:rsidR="000D6AF9" w:rsidRPr="000D6AF9">
        <w:t>96,6% of private firms in Tunisia are employing less than 6 employees. 2,7% of private firms in Tunisia employ between 6 and 49 employees.  0,5% of private firms employ between 50 and 199 employees. 72% of these firms are importers and/or exporters. Big firms employing more than 200 employees account for only 0,15%</w:t>
      </w:r>
      <w:r w:rsidR="00D26287" w:rsidRPr="000D6AF9">
        <w:t>of private firms</w:t>
      </w:r>
      <w:r w:rsidR="000D6AF9" w:rsidRPr="000D6AF9">
        <w:t>. 76% of these firms are importers or exporters. 38% of them are offshore.</w:t>
      </w:r>
      <w:r w:rsidR="001E0B72">
        <w:t xml:space="preserve"> Despite their important share in the Tunisian </w:t>
      </w:r>
      <w:r w:rsidR="0087176D">
        <w:t>economy</w:t>
      </w:r>
      <w:r w:rsidR="001E0B72">
        <w:t>, Rijkers et al (2014) show that Tunisian small firms contribute the least to employment creation. Furthermore, they demonstrate that the lack of entry and growth of medium and large enterprises is the main reason of Tunisia’s weak job creation.</w:t>
      </w:r>
    </w:p>
    <w:p w:rsidR="000D6AF9" w:rsidRDefault="000D6AF9" w:rsidP="000D6AF9">
      <w:pPr>
        <w:pStyle w:val="Heading2A"/>
      </w:pPr>
      <w:r w:rsidRPr="000D6AF9">
        <w:lastRenderedPageBreak/>
        <w:t>The importance of the offshore sector</w:t>
      </w:r>
    </w:p>
    <w:p w:rsidR="000D6AF9" w:rsidRDefault="003757C4" w:rsidP="002D0827">
      <w:pPr>
        <w:pStyle w:val="BodyText10"/>
      </w:pPr>
      <w:r>
        <w:t xml:space="preserve">Data show that </w:t>
      </w:r>
      <w:r w:rsidR="000D6AF9" w:rsidRPr="000D6AF9">
        <w:t>2% of private firms in Tunisia during the period 2000-2010 are offshore. They employ 29% of the total employed population. Their turnover account</w:t>
      </w:r>
      <w:r w:rsidR="005F4B9C">
        <w:t>s</w:t>
      </w:r>
      <w:r w:rsidR="000D6AF9" w:rsidRPr="000D6AF9">
        <w:t xml:space="preserve"> for 20% of the economy. The share of their exports represents 78% of total exports. </w:t>
      </w:r>
      <w:r w:rsidR="002D0827">
        <w:t xml:space="preserve">Figure </w:t>
      </w:r>
      <w:r w:rsidR="00C94527">
        <w:t>5</w:t>
      </w:r>
      <w:r w:rsidR="002D0827">
        <w:t xml:space="preserve"> reports the share of offshore firms and the share of importing and/or exporting firms over the total number of firmsby activity. Figure </w:t>
      </w:r>
      <w:r w:rsidR="00C94527">
        <w:t xml:space="preserve">6 </w:t>
      </w:r>
      <w:r w:rsidR="002D0827">
        <w:t>shows the percentage of employees employed by offshore firm</w:t>
      </w:r>
      <w:r w:rsidR="00C94527">
        <w:t>s</w:t>
      </w:r>
      <w:r w:rsidR="002D0827">
        <w:t xml:space="preserve"> and the percentage of employees employed by importing and/or exporting firms over total employees in a specific activity. As discussed earlier, offshore firms are a subgroup of importing and/or exporting firms.  </w:t>
      </w:r>
      <w:r w:rsidR="00D26287">
        <w:t>F</w:t>
      </w:r>
      <w:r w:rsidR="000D6AF9" w:rsidRPr="000D6AF9">
        <w:t xml:space="preserve">igure </w:t>
      </w:r>
      <w:r w:rsidR="00C94527">
        <w:t xml:space="preserve">5 </w:t>
      </w:r>
      <w:r w:rsidR="002D0827">
        <w:t>reveals that</w:t>
      </w:r>
      <w:r w:rsidR="000D6AF9" w:rsidRPr="000D6AF9">
        <w:t xml:space="preserve">they are mostly concentrated in “Textile, clothing, leather and footwear”. 24% of firms operating in this activity are offshore. Offshore firms employ 85% of employees in “Textile, clothing, leather and footwear” as it can be observed in </w:t>
      </w:r>
      <w:r w:rsidR="003D07E7">
        <w:t>F</w:t>
      </w:r>
      <w:r w:rsidR="000D6AF9" w:rsidRPr="000D6AF9">
        <w:t xml:space="preserve">igure </w:t>
      </w:r>
      <w:r w:rsidR="00C94527">
        <w:t>6</w:t>
      </w:r>
      <w:r w:rsidR="000D6AF9" w:rsidRPr="000D6AF9">
        <w:t xml:space="preserve">. 15% of firms operating in “Machinery and Mechanical equipment, electrical and electronic manufacturing” are offshore and they employ 76% of employees in this </w:t>
      </w:r>
      <w:r w:rsidR="00D2084C">
        <w:t>sector</w:t>
      </w:r>
      <w:r w:rsidR="000D6AF9" w:rsidRPr="000D6AF9">
        <w:t xml:space="preserve">(see figure </w:t>
      </w:r>
      <w:r w:rsidR="00C94527">
        <w:t>6</w:t>
      </w:r>
      <w:r w:rsidR="000D6AF9" w:rsidRPr="000D6AF9">
        <w:t>).</w:t>
      </w:r>
    </w:p>
    <w:p w:rsidR="000D6AF9" w:rsidRDefault="000D6AF9" w:rsidP="00504A76">
      <w:pPr>
        <w:pStyle w:val="BodyText10"/>
      </w:pPr>
      <w:r w:rsidRPr="000D6AF9">
        <w:t xml:space="preserve">Importing and/or exporting firms including the offshore sector represent 44% of total firms. As it </w:t>
      </w:r>
      <w:r w:rsidR="00D2084C">
        <w:t xml:space="preserve">is shown </w:t>
      </w:r>
      <w:r w:rsidRPr="000D6AF9">
        <w:t xml:space="preserve">in </w:t>
      </w:r>
      <w:r w:rsidR="003D07E7">
        <w:t>F</w:t>
      </w:r>
      <w:r w:rsidRPr="000D6AF9">
        <w:t xml:space="preserve">igure </w:t>
      </w:r>
      <w:r w:rsidR="00C94527">
        <w:t>5</w:t>
      </w:r>
      <w:r w:rsidRPr="000D6AF9">
        <w:t xml:space="preserve">, 27% of these firms operate in “Textile, clothing, leather and footwear”. They employ 96% of total employees in this activity </w:t>
      </w:r>
      <w:r w:rsidR="00D2084C">
        <w:t>(see</w:t>
      </w:r>
      <w:r w:rsidRPr="000D6AF9">
        <w:t xml:space="preserve"> figure </w:t>
      </w:r>
      <w:r w:rsidR="00C94527">
        <w:t>6</w:t>
      </w:r>
      <w:r w:rsidR="00D2084C">
        <w:t>)</w:t>
      </w:r>
      <w:r w:rsidRPr="000D6AF9">
        <w:t>. 24% of these firms operate in “Machinery and Mechanical equipment, electrical and electronic manufacturing” and “Chemical industries”. They employ in their respective sectors 90%</w:t>
      </w:r>
      <w:r w:rsidR="00D2084C">
        <w:t xml:space="preserve"> of the total employed population</w:t>
      </w:r>
      <w:r w:rsidRPr="000D6AF9">
        <w:t>.</w:t>
      </w:r>
    </w:p>
    <w:p w:rsidR="000D6AF9" w:rsidRDefault="000D6AF9" w:rsidP="000D6AF9">
      <w:pPr>
        <w:pStyle w:val="FigureNoandTitle"/>
        <w:rPr>
          <w:rFonts w:eastAsia="Arial"/>
          <w:lang w:val="en-US"/>
        </w:rPr>
      </w:pPr>
      <w:r w:rsidRPr="000D6AF9">
        <w:rPr>
          <w:rFonts w:eastAsia="Arial"/>
          <w:lang w:val="en-US"/>
        </w:rPr>
        <w:t xml:space="preserve">Figure </w:t>
      </w:r>
      <w:r w:rsidR="00C94527">
        <w:rPr>
          <w:rFonts w:eastAsia="Arial"/>
          <w:lang w:val="en-US"/>
        </w:rPr>
        <w:t>5</w:t>
      </w:r>
      <w:r w:rsidRPr="000D6AF9">
        <w:rPr>
          <w:rFonts w:eastAsia="Arial"/>
          <w:lang w:val="en-US"/>
        </w:rPr>
        <w:t>: Shares in the number of firms by activity2000-2010</w:t>
      </w:r>
    </w:p>
    <w:p w:rsidR="005C4FCA" w:rsidRPr="005C4FCA" w:rsidRDefault="005F0BF4" w:rsidP="005C4FCA">
      <w:pPr>
        <w:pStyle w:val="BodyText1"/>
        <w:rPr>
          <w:lang w:val="en-US"/>
        </w:rPr>
      </w:pPr>
      <w:r w:rsidRPr="005F0BF4">
        <w:rPr>
          <w:noProof/>
          <w:lang w:val="en-US"/>
        </w:rPr>
        <w:drawing>
          <wp:inline distT="0" distB="0" distL="0" distR="0">
            <wp:extent cx="6043961" cy="3233854"/>
            <wp:effectExtent l="0" t="0" r="13970" b="24130"/>
            <wp:docPr id="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D6AF9" w:rsidRDefault="00BC2A7D" w:rsidP="00BC2A7D">
      <w:pPr>
        <w:pStyle w:val="Source"/>
      </w:pPr>
      <w:r w:rsidRPr="00656119">
        <w:rPr>
          <w:b/>
        </w:rPr>
        <w:t>Source</w:t>
      </w:r>
      <w:r w:rsidR="00CD5BFE">
        <w:rPr>
          <w:b/>
        </w:rPr>
        <w:t xml:space="preserve">: </w:t>
      </w:r>
      <w:r w:rsidR="00CD5BFE" w:rsidRPr="00EA74C1">
        <w:rPr>
          <w:bCs/>
        </w:rPr>
        <w:t>Tunisian registry of firms</w:t>
      </w:r>
      <w:r w:rsidR="00EA74C1" w:rsidRPr="00EA74C1">
        <w:rPr>
          <w:bCs/>
        </w:rPr>
        <w:t xml:space="preserve">; </w:t>
      </w:r>
      <w:r w:rsidR="00ED358C" w:rsidRPr="00EA74C1">
        <w:rPr>
          <w:bCs/>
        </w:rPr>
        <w:t>author’s</w:t>
      </w:r>
      <w:r w:rsidR="00ED358C" w:rsidRPr="008E682A">
        <w:t xml:space="preserve"> calculation</w:t>
      </w:r>
    </w:p>
    <w:p w:rsidR="00BC2A7D" w:rsidRDefault="00BC2A7D" w:rsidP="00BC2A7D">
      <w:pPr>
        <w:pStyle w:val="FigureNoandTitle"/>
        <w:rPr>
          <w:lang w:val="en-US"/>
        </w:rPr>
      </w:pPr>
      <w:r w:rsidRPr="00BC2A7D">
        <w:rPr>
          <w:rFonts w:eastAsia="Arial"/>
          <w:lang w:val="en-US"/>
        </w:rPr>
        <w:lastRenderedPageBreak/>
        <w:t xml:space="preserve">Figure </w:t>
      </w:r>
      <w:r w:rsidR="00C94527">
        <w:rPr>
          <w:rFonts w:eastAsia="Arial"/>
          <w:lang w:val="en-US"/>
        </w:rPr>
        <w:t>6</w:t>
      </w:r>
      <w:r w:rsidRPr="00BC2A7D">
        <w:rPr>
          <w:rFonts w:eastAsia="Arial"/>
          <w:lang w:val="en-US"/>
        </w:rPr>
        <w:t>: Shares in employment by activity</w:t>
      </w:r>
      <w:r w:rsidR="002D0827">
        <w:rPr>
          <w:rFonts w:eastAsia="Arial"/>
          <w:lang w:val="en-US"/>
        </w:rPr>
        <w:t>,</w:t>
      </w:r>
      <w:r w:rsidRPr="00BC2A7D">
        <w:rPr>
          <w:lang w:val="en-US"/>
        </w:rPr>
        <w:t>2000-2010</w:t>
      </w:r>
    </w:p>
    <w:p w:rsidR="005C4FCA" w:rsidRDefault="00817768" w:rsidP="005C4FCA">
      <w:pPr>
        <w:pStyle w:val="BodyText1"/>
      </w:pPr>
      <w:r w:rsidRPr="00817768">
        <w:rPr>
          <w:noProof/>
          <w:lang w:val="en-US"/>
        </w:rPr>
        <w:drawing>
          <wp:inline distT="0" distB="0" distL="0" distR="0">
            <wp:extent cx="6043961" cy="3367668"/>
            <wp:effectExtent l="0" t="0" r="13970" b="23495"/>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94527" w:rsidRDefault="00C94527" w:rsidP="00C94527">
      <w:pPr>
        <w:pStyle w:val="Source"/>
      </w:pPr>
      <w:r w:rsidRPr="00656119">
        <w:rPr>
          <w:b/>
        </w:rPr>
        <w:t>Source</w:t>
      </w:r>
      <w:r>
        <w:rPr>
          <w:b/>
        </w:rPr>
        <w:t xml:space="preserve">: </w:t>
      </w:r>
      <w:r w:rsidRPr="00EA74C1">
        <w:rPr>
          <w:bCs/>
        </w:rPr>
        <w:t>Tunisian registry of firms; author’s</w:t>
      </w:r>
      <w:r w:rsidRPr="008E682A">
        <w:t xml:space="preserve"> calculation</w:t>
      </w:r>
    </w:p>
    <w:p w:rsidR="002D0827" w:rsidRPr="00656119" w:rsidRDefault="002D0827" w:rsidP="005C4FCA">
      <w:pPr>
        <w:pStyle w:val="BodyText1"/>
      </w:pPr>
    </w:p>
    <w:p w:rsidR="00BC2A7D" w:rsidRDefault="00BC2A7D" w:rsidP="00BC2A7D">
      <w:pPr>
        <w:pStyle w:val="Heading2"/>
        <w:rPr>
          <w:lang w:val="en-US"/>
        </w:rPr>
      </w:pPr>
      <w:r w:rsidRPr="00BC2A7D">
        <w:rPr>
          <w:lang w:val="en-US"/>
        </w:rPr>
        <w:t>Firms’ growth and job creation</w:t>
      </w:r>
    </w:p>
    <w:p w:rsidR="00BC2A7D" w:rsidRDefault="00BC2A7D" w:rsidP="00504A76">
      <w:pPr>
        <w:pStyle w:val="BodyText10"/>
        <w:rPr>
          <w:lang w:val="en-US"/>
        </w:rPr>
      </w:pPr>
      <w:r w:rsidRPr="00BC2A7D">
        <w:rPr>
          <w:lang w:val="en-US"/>
        </w:rPr>
        <w:t>The transition of firms</w:t>
      </w:r>
      <w:r w:rsidR="009B7A52">
        <w:rPr>
          <w:lang w:val="en-US"/>
        </w:rPr>
        <w:t>,</w:t>
      </w:r>
      <w:r w:rsidRPr="00BC2A7D">
        <w:rPr>
          <w:lang w:val="en-US"/>
        </w:rPr>
        <w:t xml:space="preserve"> differentiated by their relation to </w:t>
      </w:r>
      <w:r w:rsidR="009B7A52">
        <w:rPr>
          <w:lang w:val="en-US"/>
        </w:rPr>
        <w:t>i</w:t>
      </w:r>
      <w:r w:rsidRPr="00BC2A7D">
        <w:rPr>
          <w:lang w:val="en-US"/>
        </w:rPr>
        <w:t>nternational trade and by broad size-classes during the period 2000-2010</w:t>
      </w:r>
      <w:r w:rsidR="009B7A52">
        <w:rPr>
          <w:lang w:val="en-US"/>
        </w:rPr>
        <w:t>,</w:t>
      </w:r>
      <w:r w:rsidRPr="00BC2A7D">
        <w:rPr>
          <w:lang w:val="en-US"/>
        </w:rPr>
        <w:t xml:space="preserve"> as displayed in </w:t>
      </w:r>
      <w:r w:rsidR="00ED1661">
        <w:rPr>
          <w:lang w:val="en-US"/>
        </w:rPr>
        <w:t>F</w:t>
      </w:r>
      <w:r w:rsidRPr="00BC2A7D">
        <w:rPr>
          <w:lang w:val="en-US"/>
        </w:rPr>
        <w:t xml:space="preserve">igure </w:t>
      </w:r>
      <w:r w:rsidR="00C94527">
        <w:rPr>
          <w:lang w:val="en-US"/>
        </w:rPr>
        <w:t>7</w:t>
      </w:r>
      <w:r w:rsidR="00ED1661">
        <w:rPr>
          <w:lang w:val="en-US"/>
        </w:rPr>
        <w:t>,</w:t>
      </w:r>
      <w:r w:rsidRPr="00BC2A7D">
        <w:rPr>
          <w:lang w:val="en-US"/>
        </w:rPr>
        <w:t xml:space="preserve"> unveil</w:t>
      </w:r>
      <w:r w:rsidR="00EA74C1">
        <w:rPr>
          <w:lang w:val="en-US"/>
        </w:rPr>
        <w:t>s</w:t>
      </w:r>
      <w:r w:rsidRPr="00BC2A7D">
        <w:rPr>
          <w:lang w:val="en-US"/>
        </w:rPr>
        <w:t xml:space="preserve"> the overall low rates of growth. Figure </w:t>
      </w:r>
      <w:r w:rsidR="00C94527">
        <w:rPr>
          <w:lang w:val="en-US"/>
        </w:rPr>
        <w:t xml:space="preserve">7 </w:t>
      </w:r>
      <w:r w:rsidRPr="00BC2A7D">
        <w:rPr>
          <w:lang w:val="en-US"/>
        </w:rPr>
        <w:t>is based on employment transitions matrices during 200</w:t>
      </w:r>
      <w:r w:rsidR="00530E11">
        <w:rPr>
          <w:lang w:val="en-US"/>
        </w:rPr>
        <w:t>0</w:t>
      </w:r>
      <w:r w:rsidRPr="00BC2A7D">
        <w:rPr>
          <w:lang w:val="en-US"/>
        </w:rPr>
        <w:t>-</w:t>
      </w:r>
      <w:r w:rsidR="00726431">
        <w:rPr>
          <w:lang w:val="en-US"/>
        </w:rPr>
        <w:t xml:space="preserve">2010 presented </w:t>
      </w:r>
      <w:r w:rsidR="00C94527">
        <w:rPr>
          <w:lang w:val="en-US"/>
        </w:rPr>
        <w:t xml:space="preserve">in </w:t>
      </w:r>
      <w:r w:rsidR="00726431">
        <w:rPr>
          <w:lang w:val="en-US"/>
        </w:rPr>
        <w:t>Appendix I</w:t>
      </w:r>
      <w:r w:rsidRPr="00BC2A7D">
        <w:rPr>
          <w:lang w:val="en-US"/>
        </w:rPr>
        <w:t>. Micro enterprises are defined as firms employing less than 6 workers. Small enterprises are defined as firms employing 6 to 49 employees. Medium enterprises are firms employing 50 to 199 employees. Large firms are those employing more than 199 workers.</w:t>
      </w:r>
    </w:p>
    <w:p w:rsidR="00656119" w:rsidRDefault="00BC2A7D" w:rsidP="004E2FEC">
      <w:pPr>
        <w:pStyle w:val="BodyText10"/>
        <w:rPr>
          <w:lang w:val="en-US"/>
        </w:rPr>
      </w:pPr>
      <w:r w:rsidRPr="00BC2A7D">
        <w:rPr>
          <w:lang w:val="en-US"/>
        </w:rPr>
        <w:t xml:space="preserve">Figure </w:t>
      </w:r>
      <w:r w:rsidR="00C94527">
        <w:rPr>
          <w:lang w:val="en-US"/>
        </w:rPr>
        <w:t>7</w:t>
      </w:r>
      <w:r w:rsidRPr="00BC2A7D">
        <w:rPr>
          <w:lang w:val="en-US"/>
        </w:rPr>
        <w:t xml:space="preserve">reveals that most firms do not grow. For example, only 0.47% of micro enterprises </w:t>
      </w:r>
      <w:r w:rsidR="009B7A52">
        <w:rPr>
          <w:lang w:val="en-US"/>
        </w:rPr>
        <w:t>have been</w:t>
      </w:r>
      <w:r w:rsidRPr="00BC2A7D">
        <w:rPr>
          <w:lang w:val="en-US"/>
        </w:rPr>
        <w:t>grow</w:t>
      </w:r>
      <w:r w:rsidR="009B7A52">
        <w:rPr>
          <w:lang w:val="en-US"/>
        </w:rPr>
        <w:t>ing</w:t>
      </w:r>
      <w:r w:rsidRPr="00BC2A7D">
        <w:rPr>
          <w:lang w:val="en-US"/>
        </w:rPr>
        <w:t xml:space="preserve"> during 2000-2010.Figure </w:t>
      </w:r>
      <w:r w:rsidR="001C5844">
        <w:rPr>
          <w:lang w:val="en-US"/>
        </w:rPr>
        <w:t>7</w:t>
      </w:r>
      <w:r w:rsidRPr="00BC2A7D">
        <w:rPr>
          <w:lang w:val="en-US"/>
        </w:rPr>
        <w:t xml:space="preserve">also shows that firms </w:t>
      </w:r>
      <w:r w:rsidR="00BB1FD5">
        <w:rPr>
          <w:lang w:val="en-US"/>
        </w:rPr>
        <w:t xml:space="preserve">involved </w:t>
      </w:r>
      <w:r w:rsidRPr="00BC2A7D">
        <w:rPr>
          <w:lang w:val="en-US"/>
        </w:rPr>
        <w:t>in international trade (offshore, exporter, importer and/or exporter) are more likely to register growth rate. The probability to increase in the firm’s size is highly related to their connection to international trade. For instance, small offshore firms register the highest rate of growth. 9% of them became medium firms during 2000-2010. 4,9% of medium offshore firm</w:t>
      </w:r>
      <w:r w:rsidR="00ED1661">
        <w:rPr>
          <w:lang w:val="en-US"/>
        </w:rPr>
        <w:t>s</w:t>
      </w:r>
      <w:r w:rsidRPr="00BC2A7D">
        <w:rPr>
          <w:lang w:val="en-US"/>
        </w:rPr>
        <w:t xml:space="preserve"> became large firms. 5,16% of exporter and/or importer small firms became medium. 4,28% of medium firms became large.</w:t>
      </w:r>
    </w:p>
    <w:p w:rsidR="00726431" w:rsidRDefault="00726431" w:rsidP="00726431">
      <w:pPr>
        <w:pStyle w:val="BodyText10"/>
        <w:rPr>
          <w:lang w:val="en-US"/>
        </w:rPr>
      </w:pPr>
      <w:r w:rsidRPr="009D6E95">
        <w:rPr>
          <w:lang w:val="en-US"/>
        </w:rPr>
        <w:t>During the period 2000-20</w:t>
      </w:r>
      <w:r>
        <w:rPr>
          <w:lang w:val="en-US"/>
        </w:rPr>
        <w:t>10</w:t>
      </w:r>
      <w:r w:rsidRPr="009D6E95">
        <w:rPr>
          <w:lang w:val="en-US"/>
        </w:rPr>
        <w:t xml:space="preserve">, 216,000 formal </w:t>
      </w:r>
      <w:r>
        <w:rPr>
          <w:lang w:val="en-US"/>
        </w:rPr>
        <w:t xml:space="preserve">jobs </w:t>
      </w:r>
      <w:r w:rsidRPr="009D6E95">
        <w:rPr>
          <w:lang w:val="en-US"/>
        </w:rPr>
        <w:t>are created by importing and/or exporting firms</w:t>
      </w:r>
      <w:r>
        <w:rPr>
          <w:lang w:val="en-US"/>
        </w:rPr>
        <w:t>,</w:t>
      </w:r>
      <w:r w:rsidRPr="009D6E95">
        <w:rPr>
          <w:lang w:val="en-US"/>
        </w:rPr>
        <w:t xml:space="preserve"> including 155,000 created by offshore companies</w:t>
      </w:r>
      <w:r>
        <w:rPr>
          <w:lang w:val="en-US"/>
        </w:rPr>
        <w:t>.</w:t>
      </w:r>
    </w:p>
    <w:p w:rsidR="00EF53DA" w:rsidRDefault="00656119" w:rsidP="00EF53DA">
      <w:pPr>
        <w:pStyle w:val="FigureNoandTitle"/>
        <w:rPr>
          <w:lang w:val="en-US"/>
        </w:rPr>
      </w:pPr>
      <w:r w:rsidRPr="00656119">
        <w:rPr>
          <w:rFonts w:eastAsia="Arial"/>
          <w:lang w:val="en-US"/>
        </w:rPr>
        <w:t xml:space="preserve">Figure </w:t>
      </w:r>
      <w:r w:rsidR="00C94527">
        <w:rPr>
          <w:rFonts w:eastAsia="Arial"/>
          <w:lang w:val="en-US"/>
        </w:rPr>
        <w:t>7</w:t>
      </w:r>
      <w:r w:rsidRPr="00656119">
        <w:rPr>
          <w:rFonts w:eastAsia="Arial"/>
          <w:lang w:val="en-US"/>
        </w:rPr>
        <w:t xml:space="preserve">: Percentage of firms registering growth </w:t>
      </w:r>
      <w:r w:rsidRPr="00656119">
        <w:rPr>
          <w:lang w:val="en-US"/>
        </w:rPr>
        <w:t>2000-2010</w:t>
      </w:r>
    </w:p>
    <w:p w:rsidR="00182AAD" w:rsidRDefault="00182AAD" w:rsidP="00182AAD">
      <w:pPr>
        <w:pStyle w:val="BodyText1"/>
        <w:rPr>
          <w:lang w:val="en-US"/>
        </w:rPr>
      </w:pPr>
    </w:p>
    <w:p w:rsidR="00656119" w:rsidRPr="00656119" w:rsidRDefault="00656119" w:rsidP="00656119">
      <w:pPr>
        <w:pStyle w:val="BodyText1"/>
        <w:rPr>
          <w:lang w:val="en-US"/>
        </w:rPr>
      </w:pPr>
      <w:r w:rsidRPr="00656119">
        <w:rPr>
          <w:noProof/>
          <w:lang w:val="en-US"/>
        </w:rPr>
        <w:lastRenderedPageBreak/>
        <w:drawing>
          <wp:inline distT="0" distB="0" distL="0" distR="0">
            <wp:extent cx="5885815" cy="2476500"/>
            <wp:effectExtent l="19050" t="0" r="19685" b="0"/>
            <wp:docPr id="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56119" w:rsidRPr="00656119" w:rsidRDefault="00656119" w:rsidP="00656119">
      <w:pPr>
        <w:pStyle w:val="Source"/>
        <w:rPr>
          <w:b/>
        </w:rPr>
      </w:pPr>
      <w:r w:rsidRPr="00656119">
        <w:rPr>
          <w:b/>
        </w:rPr>
        <w:t>Source</w:t>
      </w:r>
      <w:r w:rsidR="00530E11">
        <w:rPr>
          <w:b/>
        </w:rPr>
        <w:t xml:space="preserve">: </w:t>
      </w:r>
      <w:r w:rsidR="00530E11" w:rsidRPr="00EA74C1">
        <w:rPr>
          <w:bCs/>
        </w:rPr>
        <w:t>Tunisian Registery of Firms</w:t>
      </w:r>
      <w:r w:rsidR="00EA74C1" w:rsidRPr="00EA74C1">
        <w:rPr>
          <w:bCs/>
        </w:rPr>
        <w:t>;</w:t>
      </w:r>
      <w:r w:rsidR="00E62CF8">
        <w:rPr>
          <w:bCs/>
        </w:rPr>
        <w:t xml:space="preserve"> </w:t>
      </w:r>
      <w:r w:rsidR="00BB1FD5" w:rsidRPr="008E682A">
        <w:t>author’s calculation</w:t>
      </w:r>
    </w:p>
    <w:p w:rsidR="00161BBE" w:rsidRDefault="00161BBE" w:rsidP="00161BBE">
      <w:pPr>
        <w:pStyle w:val="Heading2"/>
        <w:rPr>
          <w:lang w:val="en-US"/>
        </w:rPr>
      </w:pPr>
      <w:r>
        <w:rPr>
          <w:lang w:val="en-US"/>
        </w:rPr>
        <w:t xml:space="preserve"> Do Tunisian firms in international trade create more jobs?</w:t>
      </w:r>
    </w:p>
    <w:p w:rsidR="00365C1E" w:rsidRDefault="00E0719E" w:rsidP="00973AB7">
      <w:pPr>
        <w:pStyle w:val="BodyText1"/>
        <w:rPr>
          <w:lang w:val="en-US"/>
        </w:rPr>
      </w:pPr>
      <w:r>
        <w:rPr>
          <w:lang w:val="en-US"/>
        </w:rPr>
        <w:t xml:space="preserve">Our aim is to investigate </w:t>
      </w:r>
      <w:r w:rsidR="00365C1E">
        <w:rPr>
          <w:lang w:val="en-US"/>
        </w:rPr>
        <w:t xml:space="preserve">the effect of </w:t>
      </w:r>
      <w:r w:rsidR="00387C9A">
        <w:rPr>
          <w:lang w:val="en-US"/>
        </w:rPr>
        <w:t xml:space="preserve">the firm’s </w:t>
      </w:r>
      <w:r w:rsidR="00365C1E">
        <w:rPr>
          <w:lang w:val="en-US"/>
        </w:rPr>
        <w:t>trade status on creating jobs</w:t>
      </w:r>
      <w:r w:rsidR="00FD0071">
        <w:rPr>
          <w:lang w:val="en-US"/>
        </w:rPr>
        <w:t xml:space="preserve"> for the period 2000-2010</w:t>
      </w:r>
      <w:r w:rsidR="00365C1E">
        <w:rPr>
          <w:lang w:val="en-US"/>
        </w:rPr>
        <w:t xml:space="preserve">. </w:t>
      </w:r>
      <w:r w:rsidR="00387C9A">
        <w:rPr>
          <w:lang w:val="en-US"/>
        </w:rPr>
        <w:t xml:space="preserve">To this end, we </w:t>
      </w:r>
      <w:r w:rsidR="00FD0071">
        <w:rPr>
          <w:lang w:val="en-US"/>
        </w:rPr>
        <w:t>follow Rijkers et</w:t>
      </w:r>
      <w:r w:rsidR="00567223">
        <w:rPr>
          <w:lang w:val="en-US"/>
        </w:rPr>
        <w:t xml:space="preserve"> al (2014)</w:t>
      </w:r>
      <w:r w:rsidR="00FD0071">
        <w:rPr>
          <w:lang w:val="en-US"/>
        </w:rPr>
        <w:t>,</w:t>
      </w:r>
      <w:r w:rsidR="004A7E11">
        <w:rPr>
          <w:lang w:val="en-US"/>
        </w:rPr>
        <w:t xml:space="preserve"> Jaud and Freund (2015),</w:t>
      </w:r>
      <w:r w:rsidR="00E62CF8">
        <w:rPr>
          <w:lang w:val="en-US"/>
        </w:rPr>
        <w:t xml:space="preserve"> </w:t>
      </w:r>
      <w:r w:rsidR="00FD0071" w:rsidRPr="002700F9">
        <w:t>Davis et al., 1996, and Haltiwanger et al (2013)</w:t>
      </w:r>
      <w:r w:rsidR="00567223">
        <w:rPr>
          <w:lang w:val="en-US"/>
        </w:rPr>
        <w:t xml:space="preserve">. We </w:t>
      </w:r>
      <w:r w:rsidR="00387C9A">
        <w:rPr>
          <w:lang w:val="en-US"/>
        </w:rPr>
        <w:t xml:space="preserve">use a measure of </w:t>
      </w:r>
      <w:r w:rsidR="00567223">
        <w:rPr>
          <w:lang w:val="en-US"/>
        </w:rPr>
        <w:t>firm-level employment growth,</w:t>
      </w: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it</m:t>
            </m:r>
          </m:sub>
        </m:sSub>
      </m:oMath>
      <w:r w:rsidR="00567223">
        <w:rPr>
          <w:lang w:val="en-US"/>
        </w:rPr>
        <w:t xml:space="preserve">, which refers to a change in employment from year t-1 to year t, divided by average size: </w:t>
      </w: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it</m:t>
            </m:r>
          </m:sub>
        </m:sSub>
        <m:r>
          <w:rPr>
            <w:rFonts w:ascii="Cambria Math" w:hAnsi="Cambria Math"/>
            <w:lang w:val="en-US"/>
          </w:rPr>
          <m:t xml:space="preserve">=2 </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it-1</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it+1</m:t>
                </m:r>
              </m:sub>
            </m:sSub>
            <m:r>
              <w:rPr>
                <w:rFonts w:ascii="Cambria Math" w:hAnsi="Cambria Math"/>
                <w:lang w:val="en-US"/>
              </w:rPr>
              <m:t>)</m:t>
            </m:r>
          </m:den>
        </m:f>
      </m:oMath>
      <w:r w:rsidR="00FD0071">
        <w:rPr>
          <w:lang w:val="en-US"/>
        </w:rPr>
        <w:t xml:space="preserve"> where </w:t>
      </w: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it</m:t>
            </m:r>
          </m:sub>
        </m:sSub>
      </m:oMath>
      <w:r w:rsidR="00FD0071">
        <w:rPr>
          <w:lang w:val="en-US"/>
        </w:rPr>
        <w:t xml:space="preserve">is employment in firm </w:t>
      </w:r>
      <m:oMath>
        <m:r>
          <w:rPr>
            <w:rFonts w:ascii="Cambria Math" w:hAnsi="Cambria Math"/>
            <w:lang w:val="en-US"/>
          </w:rPr>
          <m:t>i</m:t>
        </m:r>
      </m:oMath>
      <w:r w:rsidR="00FD0071" w:rsidDel="00C6388D">
        <w:rPr>
          <w:lang w:val="en-US"/>
        </w:rPr>
        <w:t xml:space="preserve">at </w:t>
      </w:r>
      <w:r w:rsidR="00C6388D">
        <w:rPr>
          <w:lang w:val="en-US"/>
        </w:rPr>
        <w:t xml:space="preserve">in </w:t>
      </w:r>
      <w:r w:rsidR="00FD0071">
        <w:rPr>
          <w:lang w:val="en-US"/>
        </w:rPr>
        <w:t xml:space="preserve">year </w:t>
      </w:r>
      <m:oMath>
        <m:r>
          <w:rPr>
            <w:rFonts w:ascii="Cambria Math" w:hAnsi="Cambria Math"/>
            <w:lang w:val="en-US"/>
          </w:rPr>
          <m:t>t</m:t>
        </m:r>
      </m:oMath>
      <w:r w:rsidR="00FD0071">
        <w:rPr>
          <w:lang w:val="en-US"/>
        </w:rPr>
        <w:t xml:space="preserve">. We call </w:t>
      </w: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it</m:t>
            </m:r>
          </m:sub>
        </m:sSub>
      </m:oMath>
      <w:r w:rsidR="00FD0071">
        <w:rPr>
          <w:lang w:val="en-US"/>
        </w:rPr>
        <w:t xml:space="preserve">net job creation. </w:t>
      </w:r>
    </w:p>
    <w:p w:rsidR="00140191" w:rsidRDefault="00FD0071" w:rsidP="00140191">
      <w:pPr>
        <w:pStyle w:val="BodyText1"/>
        <w:tabs>
          <w:tab w:val="left" w:pos="6180"/>
        </w:tabs>
        <w:rPr>
          <w:lang w:val="en-US"/>
        </w:rPr>
      </w:pPr>
      <w:r>
        <w:rPr>
          <w:lang w:val="en-US"/>
        </w:rPr>
        <w:t>Our estimation strategy consists on the following specification:</w:t>
      </w:r>
      <w:r w:rsidR="00140191">
        <w:rPr>
          <w:lang w:val="en-US"/>
        </w:rPr>
        <w:tab/>
      </w:r>
    </w:p>
    <w:p w:rsidR="00FD0071" w:rsidRDefault="007C0A74" w:rsidP="003D4891">
      <w:pPr>
        <w:pStyle w:val="BodyText1"/>
        <w:rPr>
          <w:lang w:val="en-US"/>
        </w:rPr>
      </w:pPr>
      <m:oMathPara>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Onshore non exporting and importing firms</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Onshore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sSub>
            <m:sSubPr>
              <m:ctrlPr>
                <w:rPr>
                  <w:rFonts w:ascii="Cambria Math" w:hAnsi="Cambria Math"/>
                  <w:i/>
                  <w:lang w:val="en-US"/>
                </w:rPr>
              </m:ctrlPr>
            </m:sSubPr>
            <m:e>
              <m:r>
                <w:rPr>
                  <w:rFonts w:ascii="Cambria Math" w:hAnsi="Cambria Math"/>
                  <w:lang w:val="en-US"/>
                </w:rPr>
                <m:t>Onshore firms exporting and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sSub>
            <m:sSubPr>
              <m:ctrlPr>
                <w:rPr>
                  <w:rFonts w:ascii="Cambria Math" w:hAnsi="Cambria Math"/>
                  <w:i/>
                  <w:lang w:val="en-US"/>
                </w:rPr>
              </m:ctrlPr>
            </m:sSubPr>
            <m:e>
              <m:r>
                <w:rPr>
                  <w:rFonts w:ascii="Cambria Math" w:hAnsi="Cambria Math"/>
                  <w:lang w:val="en-US"/>
                </w:rPr>
                <m:t>Offshore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5</m:t>
              </m:r>
            </m:sub>
          </m:sSub>
          <m:sSub>
            <m:sSubPr>
              <m:ctrlPr>
                <w:rPr>
                  <w:rFonts w:ascii="Cambria Math" w:hAnsi="Cambria Math"/>
                  <w:i/>
                  <w:lang w:val="en-US"/>
                </w:rPr>
              </m:ctrlPr>
            </m:sSubPr>
            <m:e>
              <m:r>
                <w:rPr>
                  <w:rFonts w:ascii="Cambria Math" w:hAnsi="Cambria Math"/>
                  <w:lang w:val="en-US"/>
                </w:rPr>
                <m:t>Offshore firms exporting and importing</m:t>
              </m:r>
            </m:e>
            <m:sub>
              <m:r>
                <w:rPr>
                  <w:rFonts w:ascii="Cambria Math" w:hAnsi="Cambria Math"/>
                  <w:lang w:val="en-US"/>
                </w:rPr>
                <m:t>it</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2 </m:t>
              </m:r>
            </m:sub>
          </m:sSub>
          <m:r>
            <w:rPr>
              <w:rFonts w:ascii="Cambria Math" w:hAnsi="Cambria Math"/>
              <w:lang w:val="en-US"/>
            </w:rPr>
            <m:t xml:space="preserve"> Size+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r>
            <w:rPr>
              <w:rFonts w:ascii="Cambria Math" w:hAnsi="Cambria Math"/>
              <w:lang w:val="en-US"/>
            </w:rPr>
            <m:t xml:space="preserve"> Age+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r>
            <w:rPr>
              <w:rFonts w:ascii="Cambria Math" w:hAnsi="Cambria Math"/>
              <w:lang w:val="en-US"/>
            </w:rPr>
            <m:t>Legal Status+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5 </m:t>
              </m:r>
            </m:sub>
          </m:sSub>
          <m:r>
            <w:rPr>
              <w:rFonts w:ascii="Cambria Math" w:hAnsi="Cambria Math"/>
              <w:lang w:val="en-US"/>
            </w:rPr>
            <m:t>Dynamic Effects+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6  </m:t>
              </m:r>
            </m:sub>
          </m:sSub>
          <m:r>
            <w:rPr>
              <w:rFonts w:ascii="Cambria Math" w:hAnsi="Cambria Math"/>
              <w:lang w:val="en-US"/>
            </w:rPr>
            <m:t xml:space="preserve">I+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7 </m:t>
              </m:r>
            </m:sub>
          </m:sSub>
          <m:r>
            <w:rPr>
              <w:rFonts w:ascii="Cambria Math" w:hAnsi="Cambria Math"/>
              <w:lang w:val="en-US"/>
            </w:rPr>
            <m:t>τ+ε    (1)</m:t>
          </m:r>
        </m:oMath>
      </m:oMathPara>
    </w:p>
    <w:p w:rsidR="005154D3" w:rsidRDefault="005154D3" w:rsidP="00951C5D">
      <w:pPr>
        <w:pStyle w:val="BodyText10"/>
        <w:rPr>
          <w:lang w:val="en-US"/>
        </w:rPr>
      </w:pPr>
      <w:r>
        <w:rPr>
          <w:lang w:val="en-US"/>
        </w:rPr>
        <w:t xml:space="preserve">Where </w:t>
      </w:r>
      <m:oMath>
        <m:r>
          <w:rPr>
            <w:rFonts w:ascii="Cambria Math" w:hAnsi="Cambria Math"/>
            <w:lang w:val="en-US"/>
          </w:rPr>
          <m:t>Size</m:t>
        </m:r>
      </m:oMath>
      <w:r>
        <w:rPr>
          <w:lang w:val="en-US"/>
        </w:rPr>
        <w:t xml:space="preserve"> is a vector of size dummies, </w:t>
      </w:r>
      <m:oMath>
        <m:r>
          <w:rPr>
            <w:rFonts w:ascii="Cambria Math" w:hAnsi="Cambria Math"/>
            <w:lang w:val="en-US"/>
          </w:rPr>
          <m:t xml:space="preserve">Age </m:t>
        </m:r>
      </m:oMath>
      <w:r w:rsidR="00F42F5D">
        <w:rPr>
          <w:lang w:val="en-US"/>
        </w:rPr>
        <w:t xml:space="preserve">is a vector of age dummies, </w:t>
      </w:r>
      <m:oMath>
        <m:r>
          <w:rPr>
            <w:rFonts w:ascii="Cambria Math" w:hAnsi="Cambria Math"/>
            <w:lang w:val="en-US"/>
          </w:rPr>
          <m:t>Legal Status</m:t>
        </m:r>
      </m:oMath>
      <w:r w:rsidR="00A05273">
        <w:rPr>
          <w:lang w:val="en-US"/>
        </w:rPr>
        <w:t xml:space="preserve">is a vector of the various legal types of firms (physical person, anonimous entity, limited liability company, single member limited liability company), </w:t>
      </w:r>
      <m:oMath>
        <m:r>
          <w:rPr>
            <w:rFonts w:ascii="Cambria Math" w:hAnsi="Cambria Math"/>
            <w:lang w:val="en-US"/>
          </w:rPr>
          <m:t>Dynamic Effects</m:t>
        </m:r>
      </m:oMath>
      <w:r w:rsidR="009E3C64">
        <w:rPr>
          <w:lang w:val="en-US"/>
        </w:rPr>
        <w:t xml:space="preserve"> is a vector of dummies capturing the history of the firm (active firm, entry and exit), </w:t>
      </w:r>
      <m:oMath>
        <m:r>
          <w:rPr>
            <w:rFonts w:ascii="Cambria Math" w:hAnsi="Cambria Math"/>
            <w:lang w:val="en-US"/>
          </w:rPr>
          <m:t>I</m:t>
        </m:r>
      </m:oMath>
      <w:r w:rsidR="009E3C64">
        <w:rPr>
          <w:lang w:val="en-US"/>
        </w:rPr>
        <w:t xml:space="preserve"> is a vector of industry dummies and </w:t>
      </w:r>
      <m:oMath>
        <m:r>
          <w:rPr>
            <w:rFonts w:ascii="Cambria Math" w:hAnsi="Cambria Math"/>
            <w:lang w:val="en-US"/>
          </w:rPr>
          <m:t xml:space="preserve">τ </m:t>
        </m:r>
      </m:oMath>
      <w:r w:rsidR="009E3C64">
        <w:rPr>
          <w:lang w:val="en-US"/>
        </w:rPr>
        <w:t xml:space="preserve"> is a vector of time dummies. </w:t>
      </w:r>
      <w:r w:rsidR="00951C5D">
        <w:rPr>
          <w:lang w:val="en-US"/>
        </w:rPr>
        <w:t>Differently from Rijkers et al (2014), Jaud and Freund (2015), w</w:t>
      </w:r>
      <w:r w:rsidR="003D4891">
        <w:rPr>
          <w:lang w:val="en-US"/>
        </w:rPr>
        <w:t xml:space="preserve">e </w:t>
      </w:r>
      <w:r w:rsidR="00951C5D">
        <w:rPr>
          <w:lang w:val="en-US"/>
        </w:rPr>
        <w:t>differentiate firms following both their trade activity (imports and/or exports) and tax regime (</w:t>
      </w:r>
      <w:r w:rsidR="00B072B9">
        <w:rPr>
          <w:lang w:val="en-US"/>
        </w:rPr>
        <w:t>onshore</w:t>
      </w:r>
      <w:r w:rsidR="00951C5D">
        <w:rPr>
          <w:lang w:val="en-US"/>
        </w:rPr>
        <w:t>, offshore). Thus, we consider</w:t>
      </w:r>
      <w:r w:rsidR="003D4891">
        <w:rPr>
          <w:lang w:val="en-US"/>
        </w:rPr>
        <w:t xml:space="preserve"> five firm’s trade status i.e. onshore non exporting and importing firms, onshore firms exporting and non importing, onshore firms exporting and importing, offshore firms exporting and non importing, offshore firms exporting and importing. We take the category of onshore firms non exporting and non importing as our reference group which we refer </w:t>
      </w:r>
      <w:r w:rsidR="00B072B9">
        <w:rPr>
          <w:lang w:val="en-US"/>
        </w:rPr>
        <w:t xml:space="preserve">to </w:t>
      </w:r>
      <w:r w:rsidR="003D4891">
        <w:rPr>
          <w:lang w:val="en-US"/>
        </w:rPr>
        <w:t>as the non trad</w:t>
      </w:r>
      <w:r w:rsidR="00B072B9">
        <w:rPr>
          <w:lang w:val="en-US"/>
        </w:rPr>
        <w:t>ing</w:t>
      </w:r>
      <w:r w:rsidR="003D4891">
        <w:rPr>
          <w:lang w:val="en-US"/>
        </w:rPr>
        <w:t xml:space="preserve"> firms.</w:t>
      </w:r>
      <w:r w:rsidR="00951C5D">
        <w:rPr>
          <w:lang w:val="en-US"/>
        </w:rPr>
        <w:t xml:space="preserve"> Rijkers et al (2014), Jaud and Freund (2015) identify offshore firms, onshore firms, exporting</w:t>
      </w:r>
      <w:r w:rsidR="009E11B7">
        <w:rPr>
          <w:lang w:val="en-US"/>
        </w:rPr>
        <w:t xml:space="preserve"> (both offshore and onshore)</w:t>
      </w:r>
      <w:r w:rsidR="00951C5D">
        <w:rPr>
          <w:lang w:val="en-US"/>
        </w:rPr>
        <w:t xml:space="preserve">, importing </w:t>
      </w:r>
      <w:r w:rsidR="009E11B7">
        <w:rPr>
          <w:lang w:val="en-US"/>
        </w:rPr>
        <w:t xml:space="preserve">(offshore and onshore) </w:t>
      </w:r>
      <w:r w:rsidR="00951C5D">
        <w:rPr>
          <w:lang w:val="en-US"/>
        </w:rPr>
        <w:t>and finally exporting and importing</w:t>
      </w:r>
      <w:r w:rsidR="009E11B7">
        <w:rPr>
          <w:lang w:val="en-US"/>
        </w:rPr>
        <w:t xml:space="preserve"> (offshore and onshore)</w:t>
      </w:r>
      <w:r w:rsidR="00951C5D">
        <w:rPr>
          <w:lang w:val="en-US"/>
        </w:rPr>
        <w:t xml:space="preserve">. </w:t>
      </w:r>
    </w:p>
    <w:p w:rsidR="00BC2A7D" w:rsidRDefault="009E11B7" w:rsidP="003D4891">
      <w:pPr>
        <w:pStyle w:val="BodyText10"/>
        <w:rPr>
          <w:lang w:val="en-US"/>
        </w:rPr>
      </w:pPr>
      <w:r>
        <w:rPr>
          <w:lang w:val="en-US"/>
        </w:rPr>
        <w:t xml:space="preserve">Before turning to </w:t>
      </w:r>
      <w:r w:rsidR="003D4891">
        <w:rPr>
          <w:lang w:val="en-US"/>
        </w:rPr>
        <w:t>empirical results, F</w:t>
      </w:r>
      <w:r w:rsidR="00656119" w:rsidRPr="00656119">
        <w:rPr>
          <w:lang w:val="en-US"/>
        </w:rPr>
        <w:t xml:space="preserve">igure </w:t>
      </w:r>
      <w:r w:rsidR="00B072B9">
        <w:rPr>
          <w:lang w:val="en-US"/>
        </w:rPr>
        <w:t>8</w:t>
      </w:r>
      <w:r w:rsidR="003D4891">
        <w:rPr>
          <w:lang w:val="en-US"/>
        </w:rPr>
        <w:t xml:space="preserve">gives us the contribution of different types of firms to net job creation </w:t>
      </w:r>
      <w:r w:rsidR="00656119" w:rsidRPr="00656119">
        <w:rPr>
          <w:lang w:val="en-US"/>
        </w:rPr>
        <w:t>during the period 2000-2010.</w:t>
      </w:r>
      <w:r w:rsidR="00F54E50">
        <w:rPr>
          <w:lang w:val="en-US"/>
        </w:rPr>
        <w:t>T</w:t>
      </w:r>
      <w:r w:rsidR="00656119" w:rsidRPr="00656119">
        <w:rPr>
          <w:lang w:val="en-US"/>
        </w:rPr>
        <w:t xml:space="preserve">his figure </w:t>
      </w:r>
      <w:r w:rsidR="00F54E50">
        <w:rPr>
          <w:lang w:val="en-US"/>
        </w:rPr>
        <w:t xml:space="preserve">reveals </w:t>
      </w:r>
      <w:r w:rsidR="00656119" w:rsidRPr="00656119">
        <w:rPr>
          <w:lang w:val="en-US"/>
        </w:rPr>
        <w:t>the important</w:t>
      </w:r>
      <w:r w:rsidR="00434FCF">
        <w:rPr>
          <w:lang w:val="en-US"/>
        </w:rPr>
        <w:t xml:space="preserve"> contribution of</w:t>
      </w:r>
      <w:r w:rsidR="00656119" w:rsidRPr="00656119">
        <w:rPr>
          <w:lang w:val="en-US"/>
        </w:rPr>
        <w:t xml:space="preserve"> firms with international trade activities (offshore, exporting and/or importing firms, etc.) in </w:t>
      </w:r>
      <w:r w:rsidR="00434FCF">
        <w:rPr>
          <w:lang w:val="en-US"/>
        </w:rPr>
        <w:t>job creation</w:t>
      </w:r>
      <w:r w:rsidR="00656119" w:rsidRPr="00656119">
        <w:rPr>
          <w:lang w:val="en-US"/>
        </w:rPr>
        <w:t xml:space="preserve">. </w:t>
      </w:r>
      <w:r w:rsidR="00434FCF">
        <w:rPr>
          <w:lang w:val="en-US"/>
        </w:rPr>
        <w:t>As an example, total net job creation in 2008 is 63</w:t>
      </w:r>
      <w:r w:rsidR="00B072B9">
        <w:rPr>
          <w:lang w:val="en-US"/>
        </w:rPr>
        <w:t>,</w:t>
      </w:r>
      <w:r w:rsidR="00434FCF">
        <w:rPr>
          <w:lang w:val="en-US"/>
        </w:rPr>
        <w:t xml:space="preserve">853.  </w:t>
      </w:r>
      <w:r w:rsidR="00656119" w:rsidRPr="00656119">
        <w:rPr>
          <w:lang w:val="en-US"/>
        </w:rPr>
        <w:t>54</w:t>
      </w:r>
      <w:r w:rsidR="00434FCF">
        <w:rPr>
          <w:lang w:val="en-US"/>
        </w:rPr>
        <w:t xml:space="preserve">,74 </w:t>
      </w:r>
      <w:r w:rsidR="00656119" w:rsidRPr="00656119">
        <w:rPr>
          <w:lang w:val="en-US"/>
        </w:rPr>
        <w:t xml:space="preserve">% of the overall job creation </w:t>
      </w:r>
      <w:r w:rsidR="00434FCF">
        <w:rPr>
          <w:lang w:val="en-US"/>
        </w:rPr>
        <w:t xml:space="preserve">in 2008 </w:t>
      </w:r>
      <w:r w:rsidR="00656119" w:rsidRPr="00656119">
        <w:rPr>
          <w:lang w:val="en-US"/>
        </w:rPr>
        <w:t>is created by exporter and/or importer firms.</w:t>
      </w:r>
      <w:r w:rsidR="00434FCF">
        <w:rPr>
          <w:lang w:val="en-US"/>
        </w:rPr>
        <w:t xml:space="preserve"> Offshore firms contribute significantly to job creation</w:t>
      </w:r>
      <w:r w:rsidR="00B072B9">
        <w:rPr>
          <w:lang w:val="en-US"/>
        </w:rPr>
        <w:t xml:space="preserve"> as well</w:t>
      </w:r>
      <w:r w:rsidR="00434FCF">
        <w:rPr>
          <w:lang w:val="en-US"/>
        </w:rPr>
        <w:t>. They add up 36,27% to overall job creation in 2008.</w:t>
      </w:r>
    </w:p>
    <w:p w:rsidR="00656119" w:rsidRPr="00656119" w:rsidRDefault="00656119" w:rsidP="00656119">
      <w:pPr>
        <w:pStyle w:val="FigureNoandTitle"/>
        <w:rPr>
          <w:lang w:val="en-US"/>
        </w:rPr>
      </w:pPr>
      <w:r w:rsidRPr="00656119">
        <w:rPr>
          <w:rFonts w:eastAsia="Arial"/>
          <w:lang w:val="en-US"/>
        </w:rPr>
        <w:lastRenderedPageBreak/>
        <w:t xml:space="preserve">Figure </w:t>
      </w:r>
      <w:r w:rsidR="00B072B9">
        <w:rPr>
          <w:rFonts w:eastAsia="Arial"/>
          <w:lang w:val="en-US"/>
        </w:rPr>
        <w:t>8</w:t>
      </w:r>
      <w:r w:rsidRPr="00656119">
        <w:rPr>
          <w:rFonts w:eastAsia="Arial"/>
          <w:lang w:val="en-US"/>
        </w:rPr>
        <w:t>: Net job creation by firm's international trade status2000-2010</w:t>
      </w:r>
    </w:p>
    <w:p w:rsidR="00656119" w:rsidRDefault="00656119" w:rsidP="00656119">
      <w:pPr>
        <w:pStyle w:val="BodyText1"/>
        <w:rPr>
          <w:lang w:val="en-US"/>
        </w:rPr>
      </w:pPr>
      <w:r w:rsidRPr="00656119">
        <w:rPr>
          <w:noProof/>
          <w:lang w:val="en-US"/>
        </w:rPr>
        <w:drawing>
          <wp:inline distT="0" distB="0" distL="0" distR="0">
            <wp:extent cx="6012180" cy="2701434"/>
            <wp:effectExtent l="19050" t="0" r="26670" b="3666"/>
            <wp:docPr id="1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F5B57" w:rsidRDefault="00656119" w:rsidP="00656119">
      <w:pPr>
        <w:pStyle w:val="Source"/>
        <w:rPr>
          <w:b/>
        </w:rPr>
      </w:pPr>
      <w:r w:rsidRPr="00656119">
        <w:rPr>
          <w:b/>
        </w:rPr>
        <w:t>Source:</w:t>
      </w:r>
      <w:r w:rsidR="00E62CF8">
        <w:rPr>
          <w:b/>
        </w:rPr>
        <w:t xml:space="preserve"> </w:t>
      </w:r>
      <w:r w:rsidR="00CD5BFE" w:rsidRPr="00EA74C1">
        <w:rPr>
          <w:bCs/>
        </w:rPr>
        <w:t>Tunisian registry of firms;</w:t>
      </w:r>
      <w:r w:rsidR="00E62CF8">
        <w:rPr>
          <w:bCs/>
        </w:rPr>
        <w:t xml:space="preserve"> </w:t>
      </w:r>
      <w:r w:rsidR="00A97570" w:rsidRPr="008E682A">
        <w:t>author’s calculation</w:t>
      </w:r>
    </w:p>
    <w:p w:rsidR="00CE67A6" w:rsidRDefault="00FF5B57" w:rsidP="00855BFE">
      <w:pPr>
        <w:pStyle w:val="BodyText10"/>
        <w:ind w:left="-90"/>
      </w:pPr>
      <w:r w:rsidRPr="001843D7">
        <w:t xml:space="preserve">Table 1 </w:t>
      </w:r>
      <w:r w:rsidR="003D4891">
        <w:t>displays the empirical findings of specification (1). It shows</w:t>
      </w:r>
      <w:r w:rsidR="00CE67A6">
        <w:t xml:space="preserve">mixed results and unveils a lot of heterogeneity among </w:t>
      </w:r>
      <w:r w:rsidRPr="001843D7">
        <w:t>firms connected to international trade</w:t>
      </w:r>
      <w:r w:rsidR="00CE67A6">
        <w:t>. Not all of them</w:t>
      </w:r>
      <w:r w:rsidRPr="001843D7">
        <w:t xml:space="preserve"> contribute significantly to net job creation compared to non traders (firms n</w:t>
      </w:r>
      <w:r w:rsidR="00CE67A6">
        <w:t>ot exporting and not importing). For instance</w:t>
      </w:r>
      <w:r w:rsidR="003D4891" w:rsidRPr="001843D7">
        <w:t xml:space="preserve">, </w:t>
      </w:r>
      <w:r w:rsidR="00852BF3">
        <w:t>non-</w:t>
      </w:r>
      <w:r w:rsidR="003D4891" w:rsidRPr="001843D7">
        <w:t xml:space="preserve">exporting and importing </w:t>
      </w:r>
      <w:r w:rsidR="00CE67A6">
        <w:t xml:space="preserve">onshore </w:t>
      </w:r>
      <w:r w:rsidR="003D4891" w:rsidRPr="001843D7">
        <w:t xml:space="preserve">firms create </w:t>
      </w:r>
      <w:r w:rsidR="003D4891">
        <w:t>5.4</w:t>
      </w:r>
      <w:r w:rsidR="003D4891" w:rsidRPr="001843D7">
        <w:t xml:space="preserve">% </w:t>
      </w:r>
      <w:r w:rsidR="00C838C4">
        <w:t>more</w:t>
      </w:r>
      <w:r w:rsidR="003D4891" w:rsidRPr="001843D7">
        <w:t xml:space="preserve">jobs compared to non traders in the manufacturing activities </w:t>
      </w:r>
      <w:r w:rsidR="00CE67A6">
        <w:t xml:space="preserve">and 1.2% in the services sector </w:t>
      </w:r>
      <w:r w:rsidR="003D4891" w:rsidRPr="001843D7">
        <w:t xml:space="preserve">during the period 2000-2010. </w:t>
      </w:r>
      <w:r w:rsidR="00CE67A6">
        <w:t xml:space="preserve">Interestingly, offshore exporters are creating 9.9% more jobs compared to non traders and only in the services sector. </w:t>
      </w:r>
      <w:r w:rsidR="003D4891" w:rsidRPr="001843D7">
        <w:t xml:space="preserve">Offshore </w:t>
      </w:r>
      <w:r w:rsidR="003D4891">
        <w:t xml:space="preserve">exporting </w:t>
      </w:r>
      <w:r w:rsidR="003D4891" w:rsidRPr="001843D7">
        <w:t xml:space="preserve">and importing firms are adding </w:t>
      </w:r>
      <w:r w:rsidR="003D4891">
        <w:t>7</w:t>
      </w:r>
      <w:r w:rsidR="003D4891" w:rsidRPr="001843D7">
        <w:t>% of jobs in the manufacturing activities</w:t>
      </w:r>
      <w:r w:rsidR="00CE67A6">
        <w:t xml:space="preserve"> and 11.9% in the services sector</w:t>
      </w:r>
      <w:r w:rsidR="003D4891" w:rsidRPr="001843D7">
        <w:t xml:space="preserve"> compared </w:t>
      </w:r>
      <w:r w:rsidR="00CE67A6">
        <w:t>to non traders during 2000-2010</w:t>
      </w:r>
      <w:r w:rsidR="00B163BC">
        <w:t xml:space="preserve">. </w:t>
      </w:r>
    </w:p>
    <w:p w:rsidR="00333CD4" w:rsidRDefault="00855BFE" w:rsidP="0066133D">
      <w:pPr>
        <w:pStyle w:val="BodyText10"/>
        <w:ind w:left="-90"/>
      </w:pPr>
      <w:r>
        <w:t>To sum up, three main elements emerge from Table 1. First, not all internationalized f</w:t>
      </w:r>
      <w:r w:rsidR="00951C5D">
        <w:t>irms are creating more employment</w:t>
      </w:r>
      <w:r>
        <w:t xml:space="preserve"> than non traders. This heterogeneity might explain the result of Marouani and Mouelhi (2014, 2015) who find that trade did not impact significantly employment.</w:t>
      </w:r>
      <w:r w:rsidR="00E62CF8">
        <w:t xml:space="preserve"> </w:t>
      </w:r>
      <w:r>
        <w:t>Second, importing activities seem to affect positively employment. Our results</w:t>
      </w:r>
      <w:r w:rsidR="00951C5D">
        <w:t xml:space="preserve"> confirm the findings of Rijkers et al (2014) and Jaud and Freud (2015). They </w:t>
      </w:r>
      <w:r w:rsidR="009E46C7">
        <w:t xml:space="preserve">are </w:t>
      </w:r>
      <w:r w:rsidR="00951C5D">
        <w:t>also</w:t>
      </w:r>
      <w:r w:rsidR="009E46C7">
        <w:t xml:space="preserve"> in line</w:t>
      </w:r>
      <w:r>
        <w:t xml:space="preserve"> to a certain extent</w:t>
      </w:r>
      <w:r w:rsidR="009E46C7">
        <w:t xml:space="preserve"> with</w:t>
      </w:r>
      <w:r>
        <w:t xml:space="preserve"> those of Pisu (2008). The author reveals the differences between internationali</w:t>
      </w:r>
      <w:r w:rsidR="003E5156">
        <w:t>zed firms in terms of job creat</w:t>
      </w:r>
      <w:r>
        <w:t>ion. Importing activities impact positively job creati</w:t>
      </w:r>
      <w:r w:rsidR="003E5156">
        <w:t>on in manufacturing contra</w:t>
      </w:r>
      <w:r>
        <w:t xml:space="preserve">ry to exporting activities. Third, </w:t>
      </w:r>
      <w:r w:rsidR="00951C5D">
        <w:t xml:space="preserve">a last finding gives </w:t>
      </w:r>
      <w:r w:rsidR="0066133D">
        <w:t xml:space="preserve">further insights to the analysis of </w:t>
      </w:r>
      <w:r w:rsidR="00951C5D">
        <w:t>Rijkers and al (2014) and Jaud and Freu</w:t>
      </w:r>
      <w:r w:rsidR="009E11B7">
        <w:t>n</w:t>
      </w:r>
      <w:r w:rsidR="00951C5D">
        <w:t>d (2015). The authors find that offshore firms create more jobs in net than onshore firms</w:t>
      </w:r>
      <w:r w:rsidR="003E5156">
        <w:t xml:space="preserve"> (traders and non traders)</w:t>
      </w:r>
      <w:r w:rsidR="00951C5D">
        <w:t xml:space="preserve">.  </w:t>
      </w:r>
      <w:r w:rsidR="0066133D">
        <w:t xml:space="preserve">Our estimations show that offshore firms contribute to </w:t>
      </w:r>
      <w:r w:rsidR="00C838C4">
        <w:t xml:space="preserve">more </w:t>
      </w:r>
      <w:r w:rsidR="0066133D">
        <w:t>net job creation</w:t>
      </w:r>
      <w:r w:rsidR="00C838C4">
        <w:t xml:space="preserve"> than non traders</w:t>
      </w:r>
      <w:r w:rsidR="0066133D">
        <w:t xml:space="preserve"> mainly in the services sector</w:t>
      </w:r>
      <w:r w:rsidR="00C838C4">
        <w:t>,</w:t>
      </w:r>
      <w:r w:rsidR="00E62CF8">
        <w:t xml:space="preserve"> </w:t>
      </w:r>
      <w:r w:rsidR="00951C5D">
        <w:t>while onshore firms create more jo</w:t>
      </w:r>
      <w:r w:rsidR="0066133D">
        <w:t xml:space="preserve">bs </w:t>
      </w:r>
      <w:r w:rsidR="00C838C4">
        <w:t xml:space="preserve">than non traders </w:t>
      </w:r>
      <w:r w:rsidR="0066133D">
        <w:t>in the manufacturing sector.</w:t>
      </w:r>
    </w:p>
    <w:p w:rsidR="00D97052" w:rsidRDefault="00D97052" w:rsidP="00D97052">
      <w:pPr>
        <w:pStyle w:val="TableNoandTitle"/>
        <w:rPr>
          <w:lang w:val="en-US"/>
        </w:rPr>
      </w:pPr>
      <w:r w:rsidRPr="00D97052">
        <w:rPr>
          <w:lang w:val="en-US"/>
        </w:rPr>
        <w:t xml:space="preserve">Table 1: Firms in </w:t>
      </w:r>
      <w:r w:rsidR="004B5B8D">
        <w:rPr>
          <w:lang w:val="en-US"/>
        </w:rPr>
        <w:t>i</w:t>
      </w:r>
      <w:r w:rsidRPr="00D97052">
        <w:rPr>
          <w:lang w:val="en-US"/>
        </w:rPr>
        <w:t xml:space="preserve">nternational </w:t>
      </w:r>
      <w:r w:rsidR="004B5B8D">
        <w:rPr>
          <w:lang w:val="en-US"/>
        </w:rPr>
        <w:t>t</w:t>
      </w:r>
      <w:r w:rsidRPr="00D97052">
        <w:rPr>
          <w:lang w:val="en-US"/>
        </w:rPr>
        <w:t xml:space="preserve">rade and </w:t>
      </w:r>
      <w:r w:rsidR="004B5B8D">
        <w:rPr>
          <w:lang w:val="en-US"/>
        </w:rPr>
        <w:t>n</w:t>
      </w:r>
      <w:r w:rsidRPr="00D97052">
        <w:rPr>
          <w:lang w:val="en-US"/>
        </w:rPr>
        <w:t xml:space="preserve">et </w:t>
      </w:r>
      <w:r w:rsidR="004B5B8D">
        <w:rPr>
          <w:lang w:val="en-US"/>
        </w:rPr>
        <w:t>j</w:t>
      </w:r>
      <w:r w:rsidRPr="00D97052">
        <w:rPr>
          <w:lang w:val="en-US"/>
        </w:rPr>
        <w:t xml:space="preserve">ob </w:t>
      </w:r>
      <w:r w:rsidR="004B5B8D">
        <w:rPr>
          <w:lang w:val="en-US"/>
        </w:rPr>
        <w:t>c</w:t>
      </w:r>
      <w:r w:rsidRPr="00D97052">
        <w:rPr>
          <w:lang w:val="en-US"/>
        </w:rPr>
        <w:t>reation 2000-2010</w:t>
      </w:r>
    </w:p>
    <w:tbl>
      <w:tblPr>
        <w:tblW w:w="9580" w:type="dxa"/>
        <w:tblInd w:w="70" w:type="dxa"/>
        <w:tblCellMar>
          <w:left w:w="70" w:type="dxa"/>
          <w:right w:w="70" w:type="dxa"/>
        </w:tblCellMar>
        <w:tblLook w:val="04A0" w:firstRow="1" w:lastRow="0" w:firstColumn="1" w:lastColumn="0" w:noHBand="0" w:noVBand="1"/>
      </w:tblPr>
      <w:tblGrid>
        <w:gridCol w:w="3536"/>
        <w:gridCol w:w="1082"/>
        <w:gridCol w:w="1161"/>
        <w:gridCol w:w="1330"/>
        <w:gridCol w:w="1310"/>
        <w:gridCol w:w="1161"/>
      </w:tblGrid>
      <w:tr w:rsidR="00C76185" w:rsidRPr="004A4438" w:rsidTr="00032942">
        <w:trPr>
          <w:trHeight w:val="300"/>
        </w:trPr>
        <w:tc>
          <w:tcPr>
            <w:tcW w:w="3536" w:type="dxa"/>
            <w:tcBorders>
              <w:top w:val="single" w:sz="4" w:space="0" w:color="auto"/>
              <w:left w:val="nil"/>
              <w:bottom w:val="nil"/>
              <w:right w:val="nil"/>
            </w:tcBorders>
            <w:shd w:val="clear" w:color="auto" w:fill="auto"/>
            <w:noWrap/>
            <w:vAlign w:val="bottom"/>
            <w:hideMark/>
          </w:tcPr>
          <w:p w:rsidR="00C76185" w:rsidRPr="004A4438" w:rsidRDefault="00C76185" w:rsidP="00032942">
            <w:pPr>
              <w:rPr>
                <w:rFonts w:ascii="Calibri" w:hAnsi="Calibri" w:cs="Calibri"/>
                <w:color w:val="000000"/>
                <w:sz w:val="17"/>
                <w:szCs w:val="17"/>
                <w:lang w:eastAsia="fr-FR"/>
              </w:rPr>
            </w:pPr>
            <w:r w:rsidRPr="004A4438">
              <w:rPr>
                <w:rFonts w:ascii="Calibri" w:hAnsi="Calibri" w:cs="Calibri"/>
                <w:color w:val="000000"/>
                <w:sz w:val="17"/>
                <w:szCs w:val="17"/>
                <w:lang w:eastAsia="fr-FR"/>
              </w:rPr>
              <w:t> </w:t>
            </w:r>
          </w:p>
        </w:tc>
        <w:tc>
          <w:tcPr>
            <w:tcW w:w="1082" w:type="dxa"/>
            <w:vMerge w:val="restart"/>
            <w:tcBorders>
              <w:top w:val="single" w:sz="4" w:space="0" w:color="auto"/>
              <w:left w:val="nil"/>
              <w:bottom w:val="single" w:sz="4" w:space="0" w:color="000000"/>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All firms</w:t>
            </w:r>
          </w:p>
        </w:tc>
        <w:tc>
          <w:tcPr>
            <w:tcW w:w="4962" w:type="dxa"/>
            <w:gridSpan w:val="4"/>
            <w:tcBorders>
              <w:top w:val="single" w:sz="4" w:space="0" w:color="auto"/>
              <w:left w:val="nil"/>
              <w:bottom w:val="single" w:sz="4" w:space="0" w:color="auto"/>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eastAsia="fr-FR"/>
              </w:rPr>
            </w:pPr>
            <w:r w:rsidRPr="004A4438">
              <w:rPr>
                <w:rFonts w:ascii="Times New Roman" w:hAnsi="Times New Roman"/>
                <w:b/>
                <w:bCs/>
                <w:color w:val="000000"/>
                <w:sz w:val="17"/>
                <w:szCs w:val="17"/>
                <w:lang w:eastAsia="fr-FR"/>
              </w:rPr>
              <w:t>Firms with more than one employee</w:t>
            </w:r>
          </w:p>
        </w:tc>
      </w:tr>
      <w:tr w:rsidR="00C76185" w:rsidRPr="004A4438" w:rsidTr="00032942">
        <w:trPr>
          <w:trHeight w:val="600"/>
        </w:trPr>
        <w:tc>
          <w:tcPr>
            <w:tcW w:w="3536" w:type="dxa"/>
            <w:tcBorders>
              <w:top w:val="nil"/>
              <w:left w:val="nil"/>
              <w:bottom w:val="single" w:sz="4" w:space="0" w:color="auto"/>
              <w:right w:val="nil"/>
            </w:tcBorders>
            <w:shd w:val="clear" w:color="auto" w:fill="auto"/>
            <w:noWrap/>
            <w:vAlign w:val="bottom"/>
            <w:hideMark/>
          </w:tcPr>
          <w:p w:rsidR="00C76185" w:rsidRPr="004A4438" w:rsidRDefault="00C76185" w:rsidP="00032942">
            <w:pPr>
              <w:rPr>
                <w:rFonts w:ascii="Calibri" w:hAnsi="Calibri" w:cs="Calibri"/>
                <w:color w:val="000000"/>
                <w:sz w:val="17"/>
                <w:szCs w:val="17"/>
                <w:lang w:eastAsia="fr-FR"/>
              </w:rPr>
            </w:pPr>
            <w:r w:rsidRPr="004A4438">
              <w:rPr>
                <w:rFonts w:ascii="Calibri" w:hAnsi="Calibri" w:cs="Calibri"/>
                <w:color w:val="000000"/>
                <w:sz w:val="17"/>
                <w:szCs w:val="17"/>
                <w:lang w:eastAsia="fr-FR"/>
              </w:rPr>
              <w:t> </w:t>
            </w:r>
          </w:p>
        </w:tc>
        <w:tc>
          <w:tcPr>
            <w:tcW w:w="1082" w:type="dxa"/>
            <w:vMerge/>
            <w:tcBorders>
              <w:top w:val="single" w:sz="4" w:space="0" w:color="auto"/>
              <w:left w:val="nil"/>
              <w:bottom w:val="single" w:sz="4" w:space="0" w:color="000000"/>
              <w:right w:val="nil"/>
            </w:tcBorders>
            <w:vAlign w:val="center"/>
            <w:hideMark/>
          </w:tcPr>
          <w:p w:rsidR="00C76185" w:rsidRPr="004A4438" w:rsidRDefault="00C76185" w:rsidP="00032942">
            <w:pPr>
              <w:rPr>
                <w:rFonts w:ascii="Times New Roman" w:hAnsi="Times New Roman"/>
                <w:b/>
                <w:bCs/>
                <w:color w:val="000000"/>
                <w:sz w:val="17"/>
                <w:szCs w:val="17"/>
                <w:lang w:eastAsia="fr-FR"/>
              </w:rPr>
            </w:pPr>
          </w:p>
        </w:tc>
        <w:tc>
          <w:tcPr>
            <w:tcW w:w="1161" w:type="dxa"/>
            <w:tcBorders>
              <w:top w:val="nil"/>
              <w:left w:val="nil"/>
              <w:bottom w:val="single" w:sz="4" w:space="0" w:color="auto"/>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All</w:t>
            </w:r>
          </w:p>
        </w:tc>
        <w:tc>
          <w:tcPr>
            <w:tcW w:w="1330" w:type="dxa"/>
            <w:tcBorders>
              <w:top w:val="nil"/>
              <w:left w:val="nil"/>
              <w:bottom w:val="single" w:sz="4" w:space="0" w:color="auto"/>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Manufacturing</w:t>
            </w:r>
          </w:p>
        </w:tc>
        <w:tc>
          <w:tcPr>
            <w:tcW w:w="1310" w:type="dxa"/>
            <w:tcBorders>
              <w:top w:val="nil"/>
              <w:left w:val="nil"/>
              <w:bottom w:val="single" w:sz="4" w:space="0" w:color="auto"/>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Non manufacturing</w:t>
            </w:r>
          </w:p>
        </w:tc>
        <w:tc>
          <w:tcPr>
            <w:tcW w:w="1161" w:type="dxa"/>
            <w:tcBorders>
              <w:top w:val="nil"/>
              <w:left w:val="nil"/>
              <w:bottom w:val="single" w:sz="4" w:space="0" w:color="auto"/>
              <w:right w:val="nil"/>
            </w:tcBorders>
            <w:shd w:val="clear" w:color="auto" w:fill="auto"/>
            <w:hideMark/>
          </w:tcPr>
          <w:p w:rsidR="00C76185" w:rsidRPr="004A4438" w:rsidRDefault="00C76185" w:rsidP="00032942">
            <w:pPr>
              <w:jc w:val="cente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Services</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3D4891" w:rsidP="00032942">
            <w:pPr>
              <w:rPr>
                <w:rFonts w:ascii="Times New Roman" w:hAnsi="Times New Roman"/>
                <w:b/>
                <w:bCs/>
                <w:color w:val="000000"/>
                <w:sz w:val="17"/>
                <w:szCs w:val="17"/>
                <w:lang w:eastAsia="fr-FR"/>
              </w:rPr>
            </w:pPr>
            <w:r>
              <w:rPr>
                <w:rFonts w:ascii="Times New Roman" w:hAnsi="Times New Roman"/>
                <w:b/>
                <w:bCs/>
                <w:color w:val="000000"/>
                <w:sz w:val="17"/>
                <w:szCs w:val="17"/>
                <w:lang w:eastAsia="fr-FR"/>
              </w:rPr>
              <w:t>Onshore n</w:t>
            </w:r>
            <w:r w:rsidR="00C76185" w:rsidRPr="004A4438">
              <w:rPr>
                <w:rFonts w:ascii="Times New Roman" w:hAnsi="Times New Roman"/>
                <w:b/>
                <w:bCs/>
                <w:color w:val="000000"/>
                <w:sz w:val="17"/>
                <w:szCs w:val="17"/>
                <w:lang w:eastAsia="fr-FR"/>
              </w:rPr>
              <w:t>on exporting and importing firms</w:t>
            </w:r>
          </w:p>
        </w:tc>
        <w:tc>
          <w:tcPr>
            <w:tcW w:w="1082"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0.030</w:t>
            </w:r>
            <w:r w:rsidRPr="004A4438">
              <w:rPr>
                <w:rFonts w:ascii="Calibri" w:hAnsi="Calibri" w:cs="Calibri"/>
                <w:color w:val="000000"/>
                <w:sz w:val="17"/>
                <w:szCs w:val="17"/>
              </w:rPr>
              <w:t>***</w:t>
            </w:r>
          </w:p>
        </w:tc>
        <w:tc>
          <w:tcPr>
            <w:tcW w:w="1161"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0.024</w:t>
            </w:r>
            <w:r w:rsidRPr="004A4438">
              <w:rPr>
                <w:rFonts w:ascii="Calibri" w:hAnsi="Calibri" w:cs="Calibri"/>
                <w:color w:val="000000"/>
                <w:sz w:val="17"/>
                <w:szCs w:val="17"/>
              </w:rPr>
              <w:t>***</w:t>
            </w:r>
          </w:p>
        </w:tc>
        <w:tc>
          <w:tcPr>
            <w:tcW w:w="133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0.054</w:t>
            </w:r>
            <w:r w:rsidRPr="004A4438">
              <w:rPr>
                <w:rFonts w:ascii="Calibri" w:hAnsi="Calibri" w:cs="Calibri"/>
                <w:color w:val="000000"/>
                <w:sz w:val="17"/>
                <w:szCs w:val="17"/>
              </w:rPr>
              <w:t>***</w:t>
            </w:r>
          </w:p>
        </w:tc>
        <w:tc>
          <w:tcPr>
            <w:tcW w:w="131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-0.037</w:t>
            </w:r>
            <w:r w:rsidRPr="004A4438">
              <w:rPr>
                <w:rFonts w:ascii="Calibri" w:hAnsi="Calibri" w:cs="Calibri"/>
                <w:color w:val="000000"/>
                <w:sz w:val="17"/>
                <w:szCs w:val="17"/>
              </w:rPr>
              <w:t>***</w:t>
            </w:r>
          </w:p>
        </w:tc>
        <w:tc>
          <w:tcPr>
            <w:tcW w:w="1161"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0.012</w:t>
            </w:r>
            <w:r w:rsidRPr="004A4438">
              <w:rPr>
                <w:rFonts w:ascii="Calibri" w:hAnsi="Calibri" w:cs="Calibri"/>
                <w:color w:val="000000"/>
                <w:sz w:val="17"/>
                <w:szCs w:val="17"/>
              </w:rPr>
              <w:t>***</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eastAsia="fr-FR"/>
              </w:rPr>
            </w:pPr>
            <w:r w:rsidRPr="004A4438">
              <w:rPr>
                <w:rFonts w:ascii="Times New Roman" w:hAnsi="Times New Roman"/>
                <w:b/>
                <w:bCs/>
                <w:color w:val="000000"/>
                <w:sz w:val="17"/>
                <w:szCs w:val="17"/>
                <w:lang w:eastAsia="fr-FR"/>
              </w:rPr>
              <w:t>Onshore firms exporting and non importing</w:t>
            </w:r>
          </w:p>
        </w:tc>
        <w:tc>
          <w:tcPr>
            <w:tcW w:w="1082"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-0.032</w:t>
            </w:r>
            <w:r w:rsidRPr="004A4438">
              <w:rPr>
                <w:rFonts w:ascii="Calibri" w:hAnsi="Calibri" w:cs="Calibri"/>
                <w:color w:val="000000"/>
                <w:sz w:val="17"/>
                <w:szCs w:val="17"/>
              </w:rPr>
              <w:t>***</w:t>
            </w:r>
          </w:p>
        </w:tc>
        <w:tc>
          <w:tcPr>
            <w:tcW w:w="1161"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-0.029</w:t>
            </w:r>
            <w:r w:rsidRPr="004A4438">
              <w:rPr>
                <w:rFonts w:ascii="Calibri" w:hAnsi="Calibri" w:cs="Calibri"/>
                <w:color w:val="000000"/>
                <w:sz w:val="17"/>
                <w:szCs w:val="17"/>
              </w:rPr>
              <w:t>***</w:t>
            </w:r>
          </w:p>
        </w:tc>
        <w:tc>
          <w:tcPr>
            <w:tcW w:w="133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-0.032***</w:t>
            </w:r>
          </w:p>
        </w:tc>
        <w:tc>
          <w:tcPr>
            <w:tcW w:w="131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-0.095**</w:t>
            </w:r>
          </w:p>
        </w:tc>
        <w:tc>
          <w:tcPr>
            <w:tcW w:w="1161"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-0.010</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eastAsia="fr-FR"/>
              </w:rPr>
            </w:pPr>
            <w:r w:rsidRPr="004A4438">
              <w:rPr>
                <w:rFonts w:ascii="Times New Roman" w:hAnsi="Times New Roman"/>
                <w:b/>
                <w:bCs/>
                <w:color w:val="000000"/>
                <w:sz w:val="17"/>
                <w:szCs w:val="17"/>
                <w:lang w:eastAsia="fr-FR"/>
              </w:rPr>
              <w:t>Onshore firms exporting and importing</w:t>
            </w:r>
          </w:p>
        </w:tc>
        <w:tc>
          <w:tcPr>
            <w:tcW w:w="1082"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-0.009*</w:t>
            </w:r>
          </w:p>
        </w:tc>
        <w:tc>
          <w:tcPr>
            <w:tcW w:w="1161"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-0.028***</w:t>
            </w:r>
          </w:p>
        </w:tc>
        <w:tc>
          <w:tcPr>
            <w:tcW w:w="133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-0.019**</w:t>
            </w:r>
          </w:p>
        </w:tc>
        <w:tc>
          <w:tcPr>
            <w:tcW w:w="131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-0.045*</w:t>
            </w:r>
          </w:p>
        </w:tc>
        <w:tc>
          <w:tcPr>
            <w:tcW w:w="1161"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-0.012*</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eastAsia="fr-FR"/>
              </w:rPr>
            </w:pPr>
            <w:r w:rsidRPr="004A4438">
              <w:rPr>
                <w:rFonts w:ascii="Times New Roman" w:hAnsi="Times New Roman"/>
                <w:b/>
                <w:bCs/>
                <w:color w:val="000000"/>
                <w:sz w:val="17"/>
                <w:szCs w:val="17"/>
                <w:lang w:eastAsia="fr-FR"/>
              </w:rPr>
              <w:t>Offshore firms exporting and non importing</w:t>
            </w:r>
          </w:p>
        </w:tc>
        <w:tc>
          <w:tcPr>
            <w:tcW w:w="1082"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-0.073***</w:t>
            </w:r>
          </w:p>
        </w:tc>
        <w:tc>
          <w:tcPr>
            <w:tcW w:w="1161"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sidRPr="004A4438">
              <w:rPr>
                <w:rFonts w:ascii="Calibri" w:hAnsi="Calibri" w:cs="Calibri"/>
                <w:color w:val="000000"/>
                <w:sz w:val="17"/>
                <w:szCs w:val="17"/>
              </w:rPr>
              <w:t>0.0400</w:t>
            </w:r>
            <w:r>
              <w:rPr>
                <w:rFonts w:ascii="Calibri" w:hAnsi="Calibri" w:cs="Calibri"/>
                <w:color w:val="000000"/>
                <w:sz w:val="17"/>
                <w:szCs w:val="17"/>
              </w:rPr>
              <w:t>***</w:t>
            </w:r>
          </w:p>
        </w:tc>
        <w:tc>
          <w:tcPr>
            <w:tcW w:w="133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sidRPr="004A4438">
              <w:rPr>
                <w:rFonts w:ascii="Calibri" w:hAnsi="Calibri" w:cs="Calibri"/>
                <w:color w:val="000000"/>
                <w:sz w:val="17"/>
                <w:szCs w:val="17"/>
              </w:rPr>
              <w:t>-0.0103</w:t>
            </w:r>
          </w:p>
        </w:tc>
        <w:tc>
          <w:tcPr>
            <w:tcW w:w="131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sidRPr="004A4438">
              <w:rPr>
                <w:rFonts w:ascii="Calibri" w:hAnsi="Calibri" w:cs="Calibri"/>
                <w:color w:val="000000"/>
                <w:sz w:val="17"/>
                <w:szCs w:val="17"/>
              </w:rPr>
              <w:t>0.0979</w:t>
            </w:r>
          </w:p>
        </w:tc>
        <w:tc>
          <w:tcPr>
            <w:tcW w:w="1161"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0.099***</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val="en-US" w:eastAsia="fr-FR"/>
              </w:rPr>
            </w:pPr>
            <w:r w:rsidRPr="004A4438">
              <w:rPr>
                <w:rFonts w:ascii="Times New Roman" w:hAnsi="Times New Roman"/>
                <w:b/>
                <w:bCs/>
                <w:color w:val="000000"/>
                <w:sz w:val="17"/>
                <w:szCs w:val="17"/>
                <w:lang w:val="en-US" w:eastAsia="fr-FR"/>
              </w:rPr>
              <w:t>Offshore firms exporting and importing</w:t>
            </w:r>
          </w:p>
        </w:tc>
        <w:tc>
          <w:tcPr>
            <w:tcW w:w="1082"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0.058***</w:t>
            </w:r>
          </w:p>
        </w:tc>
        <w:tc>
          <w:tcPr>
            <w:tcW w:w="1161" w:type="dxa"/>
            <w:tcBorders>
              <w:top w:val="nil"/>
              <w:left w:val="nil"/>
              <w:bottom w:val="nil"/>
              <w:right w:val="nil"/>
            </w:tcBorders>
            <w:shd w:val="clear" w:color="auto" w:fill="auto"/>
            <w:vAlign w:val="bottom"/>
          </w:tcPr>
          <w:p w:rsidR="00C76185" w:rsidRPr="004A4438" w:rsidRDefault="00C76185" w:rsidP="009E46C7">
            <w:pPr>
              <w:jc w:val="center"/>
              <w:rPr>
                <w:rFonts w:ascii="Calibri" w:hAnsi="Calibri" w:cs="Calibri"/>
                <w:color w:val="000000"/>
                <w:sz w:val="17"/>
                <w:szCs w:val="17"/>
              </w:rPr>
            </w:pPr>
            <w:r>
              <w:rPr>
                <w:rFonts w:ascii="Calibri" w:hAnsi="Calibri" w:cs="Calibri"/>
                <w:color w:val="000000"/>
                <w:sz w:val="17"/>
                <w:szCs w:val="17"/>
              </w:rPr>
              <w:t>0.05***</w:t>
            </w:r>
          </w:p>
        </w:tc>
        <w:tc>
          <w:tcPr>
            <w:tcW w:w="133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0.07***</w:t>
            </w:r>
          </w:p>
        </w:tc>
        <w:tc>
          <w:tcPr>
            <w:tcW w:w="1310"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0.173*</w:t>
            </w:r>
          </w:p>
        </w:tc>
        <w:tc>
          <w:tcPr>
            <w:tcW w:w="1161" w:type="dxa"/>
            <w:tcBorders>
              <w:top w:val="nil"/>
              <w:left w:val="nil"/>
              <w:bottom w:val="nil"/>
              <w:right w:val="nil"/>
            </w:tcBorders>
            <w:shd w:val="clear" w:color="auto" w:fill="auto"/>
            <w:vAlign w:val="bottom"/>
          </w:tcPr>
          <w:p w:rsidR="00C76185" w:rsidRPr="004A4438" w:rsidRDefault="00C76185">
            <w:pPr>
              <w:jc w:val="center"/>
              <w:rPr>
                <w:rFonts w:ascii="Calibri" w:hAnsi="Calibri" w:cs="Calibri"/>
                <w:color w:val="000000"/>
                <w:sz w:val="17"/>
                <w:szCs w:val="17"/>
              </w:rPr>
            </w:pPr>
            <w:r>
              <w:rPr>
                <w:rFonts w:ascii="Calibri" w:hAnsi="Calibri" w:cs="Calibri"/>
                <w:color w:val="000000"/>
                <w:sz w:val="17"/>
                <w:szCs w:val="17"/>
              </w:rPr>
              <w:t>0.119***</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val="fr-FR" w:eastAsia="fr-FR"/>
              </w:rPr>
            </w:pPr>
            <w:r>
              <w:rPr>
                <w:rFonts w:ascii="Times New Roman" w:hAnsi="Times New Roman"/>
                <w:b/>
                <w:bCs/>
                <w:color w:val="000000"/>
                <w:sz w:val="17"/>
                <w:szCs w:val="17"/>
                <w:lang w:val="fr-FR" w:eastAsia="fr-FR"/>
              </w:rPr>
              <w:t xml:space="preserve">Firm's </w:t>
            </w:r>
            <w:r w:rsidR="0089097C">
              <w:rPr>
                <w:rFonts w:ascii="Times New Roman" w:hAnsi="Times New Roman"/>
                <w:b/>
                <w:bCs/>
                <w:color w:val="000000"/>
                <w:sz w:val="17"/>
                <w:szCs w:val="17"/>
                <w:lang w:val="fr-FR" w:eastAsia="fr-FR"/>
              </w:rPr>
              <w:t>s</w:t>
            </w:r>
            <w:r>
              <w:rPr>
                <w:rFonts w:ascii="Times New Roman" w:hAnsi="Times New Roman"/>
                <w:b/>
                <w:bCs/>
                <w:color w:val="000000"/>
                <w:sz w:val="17"/>
                <w:szCs w:val="17"/>
                <w:lang w:val="fr-FR" w:eastAsia="fr-FR"/>
              </w:rPr>
              <w:t>ize effects</w:t>
            </w:r>
          </w:p>
        </w:tc>
        <w:tc>
          <w:tcPr>
            <w:tcW w:w="1082" w:type="dxa"/>
            <w:tcBorders>
              <w:top w:val="nil"/>
              <w:left w:val="nil"/>
              <w:bottom w:val="nil"/>
              <w:right w:val="nil"/>
            </w:tcBorders>
            <w:shd w:val="clear" w:color="auto" w:fill="auto"/>
            <w:hideMark/>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hideMark/>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30"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10"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r>
      <w:tr w:rsidR="00C76185" w:rsidRPr="004A4438" w:rsidTr="00032942">
        <w:trPr>
          <w:trHeight w:val="300"/>
        </w:trPr>
        <w:tc>
          <w:tcPr>
            <w:tcW w:w="3536" w:type="dxa"/>
            <w:tcBorders>
              <w:top w:val="nil"/>
              <w:left w:val="nil"/>
              <w:bottom w:val="nil"/>
              <w:right w:val="nil"/>
            </w:tcBorders>
            <w:shd w:val="clear" w:color="auto" w:fill="auto"/>
            <w:vAlign w:val="center"/>
          </w:tcPr>
          <w:p w:rsidR="00C76185" w:rsidRPr="004A4438" w:rsidRDefault="00C76185" w:rsidP="00032942">
            <w:pPr>
              <w:rPr>
                <w:rFonts w:ascii="Times New Roman" w:hAnsi="Times New Roman"/>
                <w:b/>
                <w:bCs/>
                <w:color w:val="000000"/>
                <w:sz w:val="17"/>
                <w:szCs w:val="17"/>
                <w:lang w:val="fr-FR" w:eastAsia="fr-FR"/>
              </w:rPr>
            </w:pPr>
            <w:r>
              <w:rPr>
                <w:rFonts w:ascii="Times New Roman" w:hAnsi="Times New Roman"/>
                <w:b/>
                <w:bCs/>
                <w:color w:val="000000"/>
                <w:sz w:val="17"/>
                <w:szCs w:val="17"/>
                <w:lang w:val="fr-FR" w:eastAsia="fr-FR"/>
              </w:rPr>
              <w:lastRenderedPageBreak/>
              <w:t>Firm’s</w:t>
            </w:r>
            <w:r w:rsidR="0089097C">
              <w:rPr>
                <w:rFonts w:ascii="Times New Roman" w:hAnsi="Times New Roman"/>
                <w:b/>
                <w:bCs/>
                <w:color w:val="000000"/>
                <w:sz w:val="17"/>
                <w:szCs w:val="17"/>
                <w:lang w:val="fr-FR" w:eastAsia="fr-FR"/>
              </w:rPr>
              <w:t>l</w:t>
            </w:r>
            <w:r>
              <w:rPr>
                <w:rFonts w:ascii="Times New Roman" w:hAnsi="Times New Roman"/>
                <w:b/>
                <w:bCs/>
                <w:color w:val="000000"/>
                <w:sz w:val="17"/>
                <w:szCs w:val="17"/>
                <w:lang w:val="fr-FR" w:eastAsia="fr-FR"/>
              </w:rPr>
              <w:t>egal</w:t>
            </w:r>
            <w:r w:rsidR="0089097C">
              <w:rPr>
                <w:rFonts w:ascii="Times New Roman" w:hAnsi="Times New Roman"/>
                <w:b/>
                <w:bCs/>
                <w:color w:val="000000"/>
                <w:sz w:val="17"/>
                <w:szCs w:val="17"/>
                <w:lang w:val="fr-FR" w:eastAsia="fr-FR"/>
              </w:rPr>
              <w:t>s</w:t>
            </w:r>
            <w:r>
              <w:rPr>
                <w:rFonts w:ascii="Times New Roman" w:hAnsi="Times New Roman"/>
                <w:b/>
                <w:bCs/>
                <w:color w:val="000000"/>
                <w:sz w:val="17"/>
                <w:szCs w:val="17"/>
                <w:lang w:val="fr-FR" w:eastAsia="fr-FR"/>
              </w:rPr>
              <w:t>tatus</w:t>
            </w:r>
            <w:r w:rsidR="0089097C">
              <w:rPr>
                <w:rFonts w:ascii="Times New Roman" w:hAnsi="Times New Roman"/>
                <w:b/>
                <w:bCs/>
                <w:color w:val="000000"/>
                <w:sz w:val="17"/>
                <w:szCs w:val="17"/>
                <w:lang w:val="fr-FR" w:eastAsia="fr-FR"/>
              </w:rPr>
              <w:t>e</w:t>
            </w:r>
            <w:r w:rsidRPr="004A4438">
              <w:rPr>
                <w:rFonts w:ascii="Times New Roman" w:hAnsi="Times New Roman"/>
                <w:b/>
                <w:bCs/>
                <w:color w:val="000000"/>
                <w:sz w:val="17"/>
                <w:szCs w:val="17"/>
                <w:lang w:val="fr-FR" w:eastAsia="fr-FR"/>
              </w:rPr>
              <w:t>ffects</w:t>
            </w:r>
          </w:p>
        </w:tc>
        <w:tc>
          <w:tcPr>
            <w:tcW w:w="1082"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3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1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r>
      <w:tr w:rsidR="00C76185" w:rsidRPr="004A4438" w:rsidTr="00032942">
        <w:trPr>
          <w:trHeight w:val="300"/>
        </w:trPr>
        <w:tc>
          <w:tcPr>
            <w:tcW w:w="3536" w:type="dxa"/>
            <w:tcBorders>
              <w:top w:val="nil"/>
              <w:left w:val="nil"/>
              <w:bottom w:val="nil"/>
              <w:right w:val="nil"/>
            </w:tcBorders>
            <w:shd w:val="clear" w:color="auto" w:fill="auto"/>
            <w:vAlign w:val="center"/>
          </w:tcPr>
          <w:p w:rsidR="00C76185" w:rsidRPr="004A4438" w:rsidRDefault="00C76185" w:rsidP="00032942">
            <w:pPr>
              <w:rPr>
                <w:rFonts w:ascii="Times New Roman" w:hAnsi="Times New Roman"/>
                <w:b/>
                <w:bCs/>
                <w:color w:val="000000"/>
                <w:sz w:val="17"/>
                <w:szCs w:val="17"/>
                <w:lang w:val="en-US" w:eastAsia="fr-FR"/>
              </w:rPr>
            </w:pPr>
            <w:r>
              <w:rPr>
                <w:rFonts w:ascii="Times New Roman" w:hAnsi="Times New Roman"/>
                <w:b/>
                <w:bCs/>
                <w:color w:val="000000"/>
                <w:sz w:val="17"/>
                <w:szCs w:val="17"/>
                <w:lang w:val="en-US" w:eastAsia="fr-FR"/>
              </w:rPr>
              <w:t xml:space="preserve">Firm’s dynamic </w:t>
            </w:r>
            <w:r w:rsidRPr="004A4438">
              <w:rPr>
                <w:rFonts w:ascii="Times New Roman" w:hAnsi="Times New Roman"/>
                <w:b/>
                <w:bCs/>
                <w:color w:val="000000"/>
                <w:sz w:val="17"/>
                <w:szCs w:val="17"/>
                <w:lang w:val="en-US" w:eastAsia="fr-FR"/>
              </w:rPr>
              <w:t>(active. entry. exit) Effects</w:t>
            </w:r>
          </w:p>
        </w:tc>
        <w:tc>
          <w:tcPr>
            <w:tcW w:w="1082"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3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1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r>
      <w:tr w:rsidR="00C76185" w:rsidRPr="004A4438" w:rsidTr="00032942">
        <w:trPr>
          <w:trHeight w:val="300"/>
        </w:trPr>
        <w:tc>
          <w:tcPr>
            <w:tcW w:w="3536" w:type="dxa"/>
            <w:tcBorders>
              <w:top w:val="nil"/>
              <w:left w:val="nil"/>
              <w:bottom w:val="nil"/>
              <w:right w:val="nil"/>
            </w:tcBorders>
            <w:shd w:val="clear" w:color="auto" w:fill="auto"/>
            <w:vAlign w:val="center"/>
          </w:tcPr>
          <w:p w:rsidR="00C76185" w:rsidRPr="004A4438" w:rsidRDefault="00C76185" w:rsidP="00032942">
            <w:pPr>
              <w:rPr>
                <w:rFonts w:ascii="Times New Roman" w:hAnsi="Times New Roman"/>
                <w:b/>
                <w:bCs/>
                <w:color w:val="000000"/>
                <w:sz w:val="17"/>
                <w:szCs w:val="17"/>
                <w:lang w:val="fr-FR" w:eastAsia="fr-FR"/>
              </w:rPr>
            </w:pPr>
            <w:r>
              <w:rPr>
                <w:rFonts w:ascii="Times New Roman" w:hAnsi="Times New Roman"/>
                <w:b/>
                <w:bCs/>
                <w:color w:val="000000"/>
                <w:sz w:val="17"/>
                <w:szCs w:val="17"/>
                <w:lang w:val="fr-FR" w:eastAsia="fr-FR"/>
              </w:rPr>
              <w:t>Sector</w:t>
            </w:r>
            <w:r w:rsidRPr="004A4438">
              <w:rPr>
                <w:rFonts w:ascii="Times New Roman" w:hAnsi="Times New Roman"/>
                <w:b/>
                <w:bCs/>
                <w:color w:val="000000"/>
                <w:sz w:val="17"/>
                <w:szCs w:val="17"/>
                <w:lang w:val="fr-FR" w:eastAsia="fr-FR"/>
              </w:rPr>
              <w:t>Effects</w:t>
            </w:r>
          </w:p>
        </w:tc>
        <w:tc>
          <w:tcPr>
            <w:tcW w:w="1082"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3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10"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r>
      <w:tr w:rsidR="00C76185" w:rsidRPr="004A4438" w:rsidTr="00032942">
        <w:trPr>
          <w:trHeight w:val="300"/>
        </w:trPr>
        <w:tc>
          <w:tcPr>
            <w:tcW w:w="3536" w:type="dxa"/>
            <w:tcBorders>
              <w:top w:val="nil"/>
              <w:left w:val="nil"/>
              <w:bottom w:val="nil"/>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Time Effects</w:t>
            </w:r>
          </w:p>
        </w:tc>
        <w:tc>
          <w:tcPr>
            <w:tcW w:w="1082" w:type="dxa"/>
            <w:tcBorders>
              <w:top w:val="nil"/>
              <w:left w:val="nil"/>
              <w:bottom w:val="nil"/>
              <w:right w:val="nil"/>
            </w:tcBorders>
            <w:shd w:val="clear" w:color="auto" w:fill="auto"/>
            <w:hideMark/>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hideMark/>
          </w:tcPr>
          <w:p w:rsidR="00C76185" w:rsidRPr="004A4438" w:rsidRDefault="00C76185" w:rsidP="009E46C7">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30"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310"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c>
          <w:tcPr>
            <w:tcW w:w="1161" w:type="dxa"/>
            <w:tcBorders>
              <w:top w:val="nil"/>
              <w:left w:val="nil"/>
              <w:bottom w:val="nil"/>
              <w:right w:val="nil"/>
            </w:tcBorders>
            <w:shd w:val="clear" w:color="auto" w:fill="auto"/>
            <w:hideMark/>
          </w:tcPr>
          <w:p w:rsidR="00C76185" w:rsidRPr="004A4438" w:rsidRDefault="00C76185">
            <w:pPr>
              <w:jc w:val="center"/>
              <w:rPr>
                <w:rFonts w:ascii="Times New Roman" w:hAnsi="Times New Roman"/>
                <w:color w:val="000000"/>
                <w:sz w:val="17"/>
                <w:szCs w:val="17"/>
                <w:lang w:val="fr-FR" w:eastAsia="fr-FR"/>
              </w:rPr>
            </w:pPr>
            <w:r w:rsidRPr="004A4438">
              <w:rPr>
                <w:rFonts w:ascii="Times New Roman" w:hAnsi="Times New Roman"/>
                <w:color w:val="000000"/>
                <w:sz w:val="17"/>
                <w:szCs w:val="17"/>
                <w:lang w:val="fr-FR" w:eastAsia="fr-FR"/>
              </w:rPr>
              <w:t>Yes</w:t>
            </w:r>
          </w:p>
        </w:tc>
      </w:tr>
      <w:tr w:rsidR="00C76185" w:rsidRPr="004A4438" w:rsidTr="00032942">
        <w:trPr>
          <w:trHeight w:val="300"/>
        </w:trPr>
        <w:tc>
          <w:tcPr>
            <w:tcW w:w="3536" w:type="dxa"/>
            <w:tcBorders>
              <w:top w:val="single" w:sz="4" w:space="0" w:color="auto"/>
              <w:left w:val="nil"/>
              <w:bottom w:val="single" w:sz="4" w:space="0" w:color="auto"/>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N</w:t>
            </w:r>
          </w:p>
        </w:tc>
        <w:tc>
          <w:tcPr>
            <w:tcW w:w="1082" w:type="dxa"/>
            <w:tcBorders>
              <w:top w:val="single" w:sz="4" w:space="0" w:color="auto"/>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1362582</w:t>
            </w:r>
          </w:p>
        </w:tc>
        <w:tc>
          <w:tcPr>
            <w:tcW w:w="1161" w:type="dxa"/>
            <w:tcBorders>
              <w:top w:val="single" w:sz="4" w:space="0" w:color="auto"/>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372706</w:t>
            </w:r>
          </w:p>
        </w:tc>
        <w:tc>
          <w:tcPr>
            <w:tcW w:w="1330" w:type="dxa"/>
            <w:tcBorders>
              <w:top w:val="single" w:sz="4" w:space="0" w:color="auto"/>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90220</w:t>
            </w:r>
          </w:p>
        </w:tc>
        <w:tc>
          <w:tcPr>
            <w:tcW w:w="1310" w:type="dxa"/>
            <w:tcBorders>
              <w:top w:val="single" w:sz="4" w:space="0" w:color="auto"/>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28553</w:t>
            </w:r>
          </w:p>
        </w:tc>
        <w:tc>
          <w:tcPr>
            <w:tcW w:w="1161" w:type="dxa"/>
            <w:tcBorders>
              <w:top w:val="single" w:sz="4" w:space="0" w:color="auto"/>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247304</w:t>
            </w:r>
          </w:p>
        </w:tc>
      </w:tr>
      <w:tr w:rsidR="00C76185" w:rsidRPr="004A4438" w:rsidTr="00032942">
        <w:trPr>
          <w:trHeight w:val="300"/>
        </w:trPr>
        <w:tc>
          <w:tcPr>
            <w:tcW w:w="3536" w:type="dxa"/>
            <w:tcBorders>
              <w:top w:val="nil"/>
              <w:left w:val="nil"/>
              <w:bottom w:val="single" w:sz="4" w:space="0" w:color="auto"/>
              <w:right w:val="nil"/>
            </w:tcBorders>
            <w:shd w:val="clear" w:color="auto" w:fill="auto"/>
            <w:vAlign w:val="center"/>
            <w:hideMark/>
          </w:tcPr>
          <w:p w:rsidR="00C76185" w:rsidRPr="004A4438" w:rsidRDefault="00C76185" w:rsidP="00032942">
            <w:pPr>
              <w:rPr>
                <w:rFonts w:ascii="Times New Roman" w:hAnsi="Times New Roman"/>
                <w:b/>
                <w:bCs/>
                <w:color w:val="000000"/>
                <w:sz w:val="17"/>
                <w:szCs w:val="17"/>
                <w:lang w:val="fr-FR" w:eastAsia="fr-FR"/>
              </w:rPr>
            </w:pPr>
            <w:r w:rsidRPr="004A4438">
              <w:rPr>
                <w:rFonts w:ascii="Times New Roman" w:hAnsi="Times New Roman"/>
                <w:b/>
                <w:bCs/>
                <w:color w:val="000000"/>
                <w:sz w:val="17"/>
                <w:szCs w:val="17"/>
                <w:lang w:val="fr-FR" w:eastAsia="fr-FR"/>
              </w:rPr>
              <w:t>R2</w:t>
            </w:r>
          </w:p>
        </w:tc>
        <w:tc>
          <w:tcPr>
            <w:tcW w:w="1082" w:type="dxa"/>
            <w:tcBorders>
              <w:top w:val="nil"/>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0.5765</w:t>
            </w:r>
          </w:p>
        </w:tc>
        <w:tc>
          <w:tcPr>
            <w:tcW w:w="1161" w:type="dxa"/>
            <w:tcBorders>
              <w:top w:val="nil"/>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0.4559</w:t>
            </w:r>
          </w:p>
        </w:tc>
        <w:tc>
          <w:tcPr>
            <w:tcW w:w="1330" w:type="dxa"/>
            <w:tcBorders>
              <w:top w:val="nil"/>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0.4492</w:t>
            </w:r>
          </w:p>
        </w:tc>
        <w:tc>
          <w:tcPr>
            <w:tcW w:w="1310" w:type="dxa"/>
            <w:tcBorders>
              <w:top w:val="nil"/>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0.3428</w:t>
            </w:r>
          </w:p>
        </w:tc>
        <w:tc>
          <w:tcPr>
            <w:tcW w:w="1161" w:type="dxa"/>
            <w:tcBorders>
              <w:top w:val="nil"/>
              <w:left w:val="nil"/>
              <w:bottom w:val="single" w:sz="4" w:space="0" w:color="auto"/>
              <w:right w:val="nil"/>
            </w:tcBorders>
            <w:shd w:val="clear" w:color="auto" w:fill="auto"/>
            <w:vAlign w:val="bottom"/>
            <w:hideMark/>
          </w:tcPr>
          <w:p w:rsidR="00182AAD" w:rsidRDefault="00C76185" w:rsidP="00182AAD">
            <w:pPr>
              <w:jc w:val="center"/>
              <w:rPr>
                <w:rFonts w:ascii="Calibri" w:hAnsi="Calibri" w:cs="Calibri"/>
                <w:color w:val="000000"/>
                <w:sz w:val="17"/>
                <w:szCs w:val="17"/>
              </w:rPr>
            </w:pPr>
            <w:r w:rsidRPr="004A4438">
              <w:rPr>
                <w:rFonts w:ascii="Calibri" w:hAnsi="Calibri" w:cs="Calibri"/>
                <w:color w:val="000000"/>
                <w:sz w:val="17"/>
                <w:szCs w:val="17"/>
              </w:rPr>
              <w:t>0.4777</w:t>
            </w:r>
          </w:p>
        </w:tc>
      </w:tr>
    </w:tbl>
    <w:p w:rsidR="009B2DC7" w:rsidRPr="00656119" w:rsidRDefault="009B2DC7" w:rsidP="009B2DC7">
      <w:pPr>
        <w:pStyle w:val="Source"/>
        <w:rPr>
          <w:b/>
        </w:rPr>
      </w:pPr>
      <w:r w:rsidRPr="00656119">
        <w:rPr>
          <w:b/>
        </w:rPr>
        <w:t>Source:</w:t>
      </w:r>
      <w:r w:rsidR="00CD5BFE" w:rsidRPr="00EA74C1">
        <w:rPr>
          <w:bCs/>
        </w:rPr>
        <w:t>Tunisian registry of firms;</w:t>
      </w:r>
      <w:r w:rsidR="00A97570" w:rsidRPr="008E682A">
        <w:t>author’s calculation</w:t>
      </w:r>
    </w:p>
    <w:p w:rsidR="0093472B" w:rsidRDefault="0093472B" w:rsidP="0093472B">
      <w:pPr>
        <w:pStyle w:val="Heading2"/>
        <w:numPr>
          <w:ilvl w:val="0"/>
          <w:numId w:val="0"/>
        </w:numPr>
        <w:ind w:left="680"/>
      </w:pPr>
    </w:p>
    <w:p w:rsidR="0079604C" w:rsidRDefault="00504A76" w:rsidP="00A561C6">
      <w:pPr>
        <w:pStyle w:val="Heading2"/>
      </w:pPr>
      <w:r>
        <w:t>F</w:t>
      </w:r>
      <w:r w:rsidR="003E7B19" w:rsidRPr="003E7B19">
        <w:t>irms’ productivity and profitability and international trade</w:t>
      </w:r>
    </w:p>
    <w:p w:rsidR="003E7B19" w:rsidRDefault="003E7B19" w:rsidP="00080D4C">
      <w:pPr>
        <w:pStyle w:val="BodyText1"/>
      </w:pPr>
      <w:r w:rsidRPr="003E7B19">
        <w:t xml:space="preserve">We present </w:t>
      </w:r>
      <w:r w:rsidR="00080D4C">
        <w:t>in this section</w:t>
      </w:r>
      <w:r w:rsidRPr="003E7B19">
        <w:t>the effects of firm’s international trade connection on its productivity and profitability in Tunisia</w:t>
      </w:r>
      <w:r w:rsidR="009E46C7">
        <w:t>,</w:t>
      </w:r>
      <w:r w:rsidR="00EA25B6">
        <w:t xml:space="preserve"> for the period 2000-2010</w:t>
      </w:r>
      <w:r w:rsidRPr="003E7B19">
        <w:t>.</w:t>
      </w:r>
    </w:p>
    <w:p w:rsidR="003E7B19" w:rsidRDefault="003E7B19" w:rsidP="00844D57">
      <w:pPr>
        <w:pStyle w:val="Heading3"/>
      </w:pPr>
      <w:r w:rsidRPr="003E7B19">
        <w:t>Firms connected to international trade are more productive</w:t>
      </w:r>
    </w:p>
    <w:p w:rsidR="00EA25B6" w:rsidRDefault="00EA25B6" w:rsidP="00B060F0">
      <w:pPr>
        <w:pStyle w:val="BodyText10"/>
        <w:ind w:left="-90"/>
      </w:pPr>
      <w:r>
        <w:t>To estimate the effect of firm’s trade status on productivity; we use the following specification:</w:t>
      </w:r>
    </w:p>
    <w:p w:rsidR="00EA25B6" w:rsidRDefault="007C0A74" w:rsidP="0021668E">
      <w:pPr>
        <w:pStyle w:val="BodyText10"/>
        <w:ind w:left="-90"/>
        <w:rPr>
          <w:lang w:val="en-US"/>
        </w:rPr>
      </w:pPr>
      <m:oMathPara>
        <m:oMath>
          <m:sSub>
            <m:sSubPr>
              <m:ctrlPr>
                <w:rPr>
                  <w:rFonts w:ascii="Cambria Math" w:hAnsi="Cambria Math"/>
                  <w:i/>
                  <w:lang w:val="en-US"/>
                </w:rPr>
              </m:ctrlPr>
            </m:sSubPr>
            <m:e>
              <m:r>
                <w:rPr>
                  <w:rFonts w:ascii="Cambria Math" w:hAnsi="Cambria Math"/>
                  <w:lang w:val="en-US"/>
                </w:rPr>
                <m:t>Productivity</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Onshore non exporting and importing firms</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Onshore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sSub>
            <m:sSubPr>
              <m:ctrlPr>
                <w:rPr>
                  <w:rFonts w:ascii="Cambria Math" w:hAnsi="Cambria Math"/>
                  <w:i/>
                  <w:lang w:val="en-US"/>
                </w:rPr>
              </m:ctrlPr>
            </m:sSubPr>
            <m:e>
              <m:r>
                <w:rPr>
                  <w:rFonts w:ascii="Cambria Math" w:hAnsi="Cambria Math"/>
                  <w:lang w:val="en-US"/>
                </w:rPr>
                <m:t>Onshore firms exporting and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sSub>
            <m:sSubPr>
              <m:ctrlPr>
                <w:rPr>
                  <w:rFonts w:ascii="Cambria Math" w:hAnsi="Cambria Math"/>
                  <w:i/>
                  <w:lang w:val="en-US"/>
                </w:rPr>
              </m:ctrlPr>
            </m:sSubPr>
            <m:e>
              <m:r>
                <w:rPr>
                  <w:rFonts w:ascii="Cambria Math" w:hAnsi="Cambria Math"/>
                  <w:lang w:val="en-US"/>
                </w:rPr>
                <m:t>Offshore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5</m:t>
              </m:r>
            </m:sub>
          </m:sSub>
          <m:sSub>
            <m:sSubPr>
              <m:ctrlPr>
                <w:rPr>
                  <w:rFonts w:ascii="Cambria Math" w:hAnsi="Cambria Math"/>
                  <w:i/>
                  <w:lang w:val="en-US"/>
                </w:rPr>
              </m:ctrlPr>
            </m:sSubPr>
            <m:e>
              <m:r>
                <w:rPr>
                  <w:rFonts w:ascii="Cambria Math" w:hAnsi="Cambria Math"/>
                  <w:lang w:val="en-US"/>
                </w:rPr>
                <m:t>Offshore firms exporting and importing</m:t>
              </m:r>
            </m:e>
            <m:sub>
              <m:r>
                <w:rPr>
                  <w:rFonts w:ascii="Cambria Math" w:hAnsi="Cambria Math"/>
                  <w:lang w:val="en-US"/>
                </w:rPr>
                <m:t>it</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2 </m:t>
              </m:r>
            </m:sub>
          </m:sSub>
          <m:r>
            <w:rPr>
              <w:rFonts w:ascii="Cambria Math" w:hAnsi="Cambria Math"/>
              <w:lang w:val="en-US"/>
            </w:rPr>
            <m:t xml:space="preserve"> Size+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r>
            <w:rPr>
              <w:rFonts w:ascii="Cambria Math" w:hAnsi="Cambria Math"/>
              <w:lang w:val="en-US"/>
            </w:rPr>
            <m:t>Age+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r>
            <w:rPr>
              <w:rFonts w:ascii="Cambria Math" w:hAnsi="Cambria Math"/>
              <w:lang w:val="en-US"/>
            </w:rPr>
            <m:t>Legal Status+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5 </m:t>
              </m:r>
            </m:sub>
          </m:sSub>
          <m:r>
            <w:rPr>
              <w:rFonts w:ascii="Cambria Math" w:hAnsi="Cambria Math"/>
              <w:lang w:val="en-US"/>
            </w:rPr>
            <m:t>Dynamic Effects+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6  </m:t>
              </m:r>
            </m:sub>
          </m:sSub>
          <m:r>
            <w:rPr>
              <w:rFonts w:ascii="Cambria Math" w:hAnsi="Cambria Math"/>
              <w:lang w:val="en-US"/>
            </w:rPr>
            <m:t xml:space="preserve">I+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7 </m:t>
              </m:r>
            </m:sub>
          </m:sSub>
          <m:r>
            <w:rPr>
              <w:rFonts w:ascii="Cambria Math" w:hAnsi="Cambria Math"/>
              <w:lang w:val="en-US"/>
            </w:rPr>
            <m:t>τ+ε     (2)</m:t>
          </m:r>
        </m:oMath>
      </m:oMathPara>
    </w:p>
    <w:p w:rsidR="00EA25B6" w:rsidRDefault="00EA25B6" w:rsidP="00973AB7">
      <w:pPr>
        <w:pStyle w:val="BodyText10"/>
        <w:ind w:left="-90"/>
        <w:rPr>
          <w:lang w:val="en-US"/>
        </w:rPr>
      </w:pPr>
      <w:r>
        <w:rPr>
          <w:lang w:val="en-US"/>
        </w:rPr>
        <w:t xml:space="preserve">Where </w:t>
      </w:r>
      <m:oMath>
        <m:sSub>
          <m:sSubPr>
            <m:ctrlPr>
              <w:rPr>
                <w:rFonts w:ascii="Cambria Math" w:hAnsi="Cambria Math"/>
                <w:i/>
                <w:lang w:val="en-US"/>
              </w:rPr>
            </m:ctrlPr>
          </m:sSubPr>
          <m:e>
            <m:r>
              <w:rPr>
                <w:rFonts w:ascii="Cambria Math" w:hAnsi="Cambria Math"/>
                <w:lang w:val="en-US"/>
              </w:rPr>
              <m:t>Productivity</m:t>
            </m:r>
          </m:e>
          <m:sub>
            <m:r>
              <w:rPr>
                <w:rFonts w:ascii="Cambria Math" w:hAnsi="Cambria Math"/>
                <w:lang w:val="en-US"/>
              </w:rPr>
              <m:t>it</m:t>
            </m:r>
          </m:sub>
        </m:sSub>
      </m:oMath>
      <w:r>
        <w:rPr>
          <w:lang w:val="en-US"/>
        </w:rPr>
        <w:t xml:space="preserve"> is proxied by gross output per worker</w:t>
      </w:r>
      <w:r w:rsidR="0021668E">
        <w:rPr>
          <w:lang w:val="en-US"/>
        </w:rPr>
        <w:t xml:space="preserve"> for a firm </w:t>
      </w:r>
      <m:oMath>
        <m:r>
          <w:rPr>
            <w:rFonts w:ascii="Cambria Math" w:hAnsi="Cambria Math"/>
            <w:lang w:val="en-US"/>
          </w:rPr>
          <m:t>i</m:t>
        </m:r>
      </m:oMath>
      <w:r w:rsidR="0021668E">
        <w:rPr>
          <w:lang w:val="en-US"/>
        </w:rPr>
        <w:t xml:space="preserve"> at time </w:t>
      </w:r>
      <m:oMath>
        <m:r>
          <w:rPr>
            <w:rFonts w:ascii="Cambria Math" w:hAnsi="Cambria Math"/>
            <w:lang w:val="en-US"/>
          </w:rPr>
          <m:t>t</m:t>
        </m:r>
      </m:oMath>
      <w:r>
        <w:rPr>
          <w:lang w:val="en-US"/>
        </w:rPr>
        <w:t xml:space="preserve">, </w:t>
      </w:r>
      <m:oMath>
        <m:r>
          <w:rPr>
            <w:rFonts w:ascii="Cambria Math" w:hAnsi="Cambria Math"/>
            <w:lang w:val="en-US"/>
          </w:rPr>
          <m:t>Size</m:t>
        </m:r>
      </m:oMath>
      <w:r>
        <w:rPr>
          <w:lang w:val="en-US"/>
        </w:rPr>
        <w:t xml:space="preserve"> is a vector of size dummies, </w:t>
      </w:r>
      <m:oMath>
        <m:r>
          <w:rPr>
            <w:rFonts w:ascii="Cambria Math" w:hAnsi="Cambria Math"/>
            <w:lang w:val="en-US"/>
          </w:rPr>
          <m:t>Age</m:t>
        </m:r>
      </m:oMath>
      <w:r>
        <w:rPr>
          <w:lang w:val="en-US"/>
        </w:rPr>
        <w:t xml:space="preserve">is a vector of age dummies, </w:t>
      </w:r>
      <m:oMath>
        <m:r>
          <w:rPr>
            <w:rFonts w:ascii="Cambria Math" w:hAnsi="Cambria Math"/>
            <w:lang w:val="en-US"/>
          </w:rPr>
          <m:t>Legal Status</m:t>
        </m:r>
      </m:oMath>
      <w:r>
        <w:rPr>
          <w:lang w:val="en-US"/>
        </w:rPr>
        <w:t xml:space="preserve">a vector of the various legal types </w:t>
      </w:r>
      <w:r w:rsidR="0021668E">
        <w:rPr>
          <w:lang w:val="en-US"/>
        </w:rPr>
        <w:t xml:space="preserve">of firms </w:t>
      </w:r>
      <w:r>
        <w:rPr>
          <w:lang w:val="en-US"/>
        </w:rPr>
        <w:t xml:space="preserve">(physical person, </w:t>
      </w:r>
      <w:r w:rsidR="0087176D">
        <w:rPr>
          <w:lang w:val="en-US"/>
        </w:rPr>
        <w:t>anonymous</w:t>
      </w:r>
      <w:r>
        <w:rPr>
          <w:lang w:val="en-US"/>
        </w:rPr>
        <w:t xml:space="preserve"> entity, limited liability company, single member limited liability company), </w:t>
      </w:r>
      <m:oMath>
        <m:r>
          <w:rPr>
            <w:rFonts w:ascii="Cambria Math" w:hAnsi="Cambria Math"/>
            <w:lang w:val="en-US"/>
          </w:rPr>
          <m:t>Dynamic Effects</m:t>
        </m:r>
      </m:oMath>
      <w:r>
        <w:rPr>
          <w:lang w:val="en-US"/>
        </w:rPr>
        <w:t xml:space="preserve"> is a vector of dummies capturing the history of the firm (active firm, entry and exit), </w:t>
      </w:r>
      <m:oMath>
        <m:r>
          <w:rPr>
            <w:rFonts w:ascii="Cambria Math" w:hAnsi="Cambria Math"/>
            <w:lang w:val="en-US"/>
          </w:rPr>
          <m:t>I</m:t>
        </m:r>
      </m:oMath>
      <w:r>
        <w:rPr>
          <w:lang w:val="en-US"/>
        </w:rPr>
        <w:t xml:space="preserve"> is a vector of industry dummies and </w:t>
      </w:r>
      <m:oMath>
        <m:r>
          <w:rPr>
            <w:rFonts w:ascii="Cambria Math" w:hAnsi="Cambria Math"/>
            <w:lang w:val="en-US"/>
          </w:rPr>
          <m:t xml:space="preserve">τ </m:t>
        </m:r>
      </m:oMath>
      <w:r>
        <w:rPr>
          <w:lang w:val="en-US"/>
        </w:rPr>
        <w:t xml:space="preserve"> is a vector of time dummies. We consider five firm’s trade status i.e. onshore non exporting and importing firms, onshore firms exporting and non importing, onshore firms exporting and importing, offshore firms exporting and non importing, offshore firms exporting and importing. We take the category of onshore firms non exporting and non importing as our reference group which we refer </w:t>
      </w:r>
      <w:r w:rsidR="00EB1ED4">
        <w:rPr>
          <w:lang w:val="en-US"/>
        </w:rPr>
        <w:t xml:space="preserve">to </w:t>
      </w:r>
      <w:r>
        <w:rPr>
          <w:lang w:val="en-US"/>
        </w:rPr>
        <w:t>as the non trad</w:t>
      </w:r>
      <w:r w:rsidR="00EB1ED4">
        <w:rPr>
          <w:lang w:val="en-US"/>
        </w:rPr>
        <w:t>ing</w:t>
      </w:r>
      <w:r>
        <w:rPr>
          <w:lang w:val="en-US"/>
        </w:rPr>
        <w:t xml:space="preserve"> firms </w:t>
      </w:r>
    </w:p>
    <w:p w:rsidR="007760B9" w:rsidRDefault="003E7B19" w:rsidP="00BC446B">
      <w:pPr>
        <w:pStyle w:val="BodyText10"/>
        <w:ind w:left="-90"/>
      </w:pPr>
      <w:r w:rsidRPr="003E7B19">
        <w:t>Table 2</w:t>
      </w:r>
      <w:r w:rsidR="00EA25B6">
        <w:t xml:space="preserve"> displays the results of specification (2). It</w:t>
      </w:r>
      <w:r w:rsidRPr="003E7B19">
        <w:t xml:space="preserve"> provides evidence that connection to international trade increase</w:t>
      </w:r>
      <w:r w:rsidR="00DF0729">
        <w:t>s</w:t>
      </w:r>
      <w:r w:rsidRPr="003E7B19">
        <w:t xml:space="preserve"> firm</w:t>
      </w:r>
      <w:r w:rsidR="00EB1ED4">
        <w:t>s</w:t>
      </w:r>
      <w:r w:rsidRPr="003E7B19">
        <w:t xml:space="preserve">’ productivity. </w:t>
      </w:r>
      <w:r w:rsidR="00115943">
        <w:t xml:space="preserve">Three main </w:t>
      </w:r>
      <w:r w:rsidR="00D4102A">
        <w:t>observations</w:t>
      </w:r>
      <w:r w:rsidR="00115943">
        <w:t xml:space="preserve"> emerge from Table (2). First, two way traders are the best performers</w:t>
      </w:r>
      <w:r w:rsidR="00300860">
        <w:t xml:space="preserve"> compared to non traders</w:t>
      </w:r>
      <w:r w:rsidR="00115943">
        <w:t xml:space="preserve">, followed by exclusively importers. Exclusively exporters </w:t>
      </w:r>
      <w:r w:rsidR="00D4102A">
        <w:t>come at the end of this ranking</w:t>
      </w:r>
      <w:r w:rsidR="00115943">
        <w:t xml:space="preserve">. Thus, it </w:t>
      </w:r>
      <w:r w:rsidRPr="003E7B19">
        <w:t>appears that</w:t>
      </w:r>
      <w:r w:rsidR="00EA25B6">
        <w:t xml:space="preserve">, </w:t>
      </w:r>
      <w:r w:rsidR="003342A5">
        <w:t xml:space="preserve">for both offshore and onshore firms, </w:t>
      </w:r>
      <w:r w:rsidR="00115943">
        <w:t>importing has</w:t>
      </w:r>
      <w:r w:rsidR="003342A5">
        <w:t xml:space="preserve"> a beneficial effect on their productivity compared to </w:t>
      </w:r>
      <w:r w:rsidR="009519D2">
        <w:t>exclusivelyexport</w:t>
      </w:r>
      <w:r w:rsidR="00300860">
        <w:t>ing</w:t>
      </w:r>
      <w:r w:rsidR="003342A5">
        <w:t>. As an example, onshore non-exporting and importing status increases firm’s productivity by 52.3% compared to o</w:t>
      </w:r>
      <w:r w:rsidR="00EB1ED4">
        <w:t>n</w:t>
      </w:r>
      <w:r w:rsidR="003342A5">
        <w:t xml:space="preserve">shore non exporters and non importers. </w:t>
      </w:r>
      <w:r w:rsidR="00D412C2">
        <w:t>This effect is even more accentuated</w:t>
      </w:r>
      <w:r w:rsidR="00196ED1">
        <w:t xml:space="preserve"> for the manufacturing sector. </w:t>
      </w:r>
      <w:r w:rsidR="00D412C2">
        <w:t>Similarly,</w:t>
      </w:r>
      <w:r w:rsidRPr="003E7B19">
        <w:t>o</w:t>
      </w:r>
      <w:r w:rsidR="00B060F0">
        <w:t>ff</w:t>
      </w:r>
      <w:r w:rsidRPr="003E7B19">
        <w:t>shore exporter and importer status increases significantly firm’s productivity (it increases productivity by 1</w:t>
      </w:r>
      <w:r w:rsidR="00B060F0">
        <w:t>01</w:t>
      </w:r>
      <w:r w:rsidRPr="003E7B19">
        <w:t>% overall, 1</w:t>
      </w:r>
      <w:r w:rsidR="00B060F0">
        <w:t>07</w:t>
      </w:r>
      <w:r w:rsidRPr="003E7B19">
        <w:t>% in the manufacturing activities, 1</w:t>
      </w:r>
      <w:r w:rsidR="00B060F0">
        <w:t>19</w:t>
      </w:r>
      <w:r w:rsidRPr="003E7B19">
        <w:t>% in non manufacturing activities and 1</w:t>
      </w:r>
      <w:r w:rsidR="00B060F0">
        <w:t>03</w:t>
      </w:r>
      <w:r w:rsidRPr="003E7B19">
        <w:t>% in the services activities).</w:t>
      </w:r>
      <w:r w:rsidR="00B060F0">
        <w:t xml:space="preserve"> Importing offshore firms have a better performance (a productivity level higher by 101% relatively to non trading firms) compared to non importing offshore firms (75.3%)). </w:t>
      </w:r>
      <w:r w:rsidR="00BC446B">
        <w:t xml:space="preserve">An explanation of this pro-productivity effect of import is that importers have access to better inputs. Quality intermediates help importers to upgrade their products. </w:t>
      </w:r>
      <w:r w:rsidR="00EC70E9">
        <w:t>In additions, t</w:t>
      </w:r>
      <w:r w:rsidR="00BC446B">
        <w:t>he choice of importing allows firms to focus on their strengths and thus to improve their productivity.</w:t>
      </w:r>
      <w:r w:rsidR="00EC70E9">
        <w:t xml:space="preserve"> Importers and two ways traders are better integrated in international markets. That also might explain their out performance.</w:t>
      </w:r>
    </w:p>
    <w:p w:rsidR="003E7B19" w:rsidRDefault="00115943" w:rsidP="00D4102A">
      <w:pPr>
        <w:pStyle w:val="BodyText10"/>
        <w:ind w:left="-90"/>
      </w:pPr>
      <w:r>
        <w:t xml:space="preserve">Second, </w:t>
      </w:r>
      <w:r w:rsidR="00C97764">
        <w:t>o</w:t>
      </w:r>
      <w:r>
        <w:t>ffshore firms are doin</w:t>
      </w:r>
      <w:r w:rsidR="00EC70E9">
        <w:t>g better than onshore firms (</w:t>
      </w:r>
      <w:r>
        <w:t>relatively to non traders</w:t>
      </w:r>
      <w:r w:rsidR="00EC70E9">
        <w:t>)</w:t>
      </w:r>
      <w:r>
        <w:t xml:space="preserve">. Third, </w:t>
      </w:r>
      <w:r w:rsidR="007F0FC2">
        <w:t xml:space="preserve">the difference in productivity between </w:t>
      </w:r>
      <w:r w:rsidR="00D4102A">
        <w:t xml:space="preserve">internationalized firms </w:t>
      </w:r>
      <w:r w:rsidR="007F0FC2">
        <w:t xml:space="preserve">and non traders is higher </w:t>
      </w:r>
      <w:r w:rsidR="007760B9">
        <w:t>in the manufacturing sector than in services sector. The only exception</w:t>
      </w:r>
      <w:r w:rsidR="00CB4ACB">
        <w:t xml:space="preserve"> is for o</w:t>
      </w:r>
      <w:r w:rsidR="007760B9">
        <w:t xml:space="preserve">ffshore firms exporting and non importing. Our results suggest that </w:t>
      </w:r>
      <w:r w:rsidR="00C97764">
        <w:lastRenderedPageBreak/>
        <w:t xml:space="preserve">the difference in productivity with non traders for </w:t>
      </w:r>
      <w:r w:rsidR="007760B9">
        <w:t xml:space="preserve">these firms </w:t>
      </w:r>
      <w:r w:rsidR="00C97764">
        <w:t>is higher</w:t>
      </w:r>
      <w:r w:rsidR="007760B9">
        <w:t xml:space="preserve"> in services than in the manufacturing sector.</w:t>
      </w:r>
    </w:p>
    <w:p w:rsidR="00BB762B" w:rsidRDefault="00BB762B" w:rsidP="00BB762B">
      <w:pPr>
        <w:pStyle w:val="TableNoandTitle"/>
        <w:ind w:left="0" w:firstLine="0"/>
      </w:pPr>
      <w:r>
        <w:t>Table 2</w:t>
      </w:r>
      <w:r w:rsidRPr="00BB762B">
        <w:t xml:space="preserve">: </w:t>
      </w:r>
      <w:r w:rsidR="007F2763" w:rsidRPr="007F2763">
        <w:t>Firms’ productivity and international trade status 2000-2010</w:t>
      </w:r>
    </w:p>
    <w:tbl>
      <w:tblPr>
        <w:tblW w:w="9366" w:type="dxa"/>
        <w:tblInd w:w="70" w:type="dxa"/>
        <w:tblLayout w:type="fixed"/>
        <w:tblCellMar>
          <w:left w:w="70" w:type="dxa"/>
          <w:right w:w="70" w:type="dxa"/>
        </w:tblCellMar>
        <w:tblLook w:val="04A0" w:firstRow="1" w:lastRow="0" w:firstColumn="1" w:lastColumn="0" w:noHBand="0" w:noVBand="1"/>
      </w:tblPr>
      <w:tblGrid>
        <w:gridCol w:w="3686"/>
        <w:gridCol w:w="908"/>
        <w:gridCol w:w="84"/>
        <w:gridCol w:w="976"/>
        <w:gridCol w:w="84"/>
        <w:gridCol w:w="1208"/>
        <w:gridCol w:w="84"/>
        <w:gridCol w:w="1192"/>
        <w:gridCol w:w="84"/>
        <w:gridCol w:w="940"/>
        <w:gridCol w:w="36"/>
        <w:gridCol w:w="84"/>
      </w:tblGrid>
      <w:tr w:rsidR="00EB1ED4" w:rsidRPr="0014224A" w:rsidTr="00D83BF7">
        <w:trPr>
          <w:gridAfter w:val="2"/>
          <w:wAfter w:w="120" w:type="dxa"/>
          <w:trHeight w:val="310"/>
        </w:trPr>
        <w:tc>
          <w:tcPr>
            <w:tcW w:w="3686" w:type="dxa"/>
            <w:tcBorders>
              <w:top w:val="single" w:sz="4" w:space="0" w:color="auto"/>
              <w:left w:val="nil"/>
              <w:bottom w:val="nil"/>
              <w:right w:val="nil"/>
            </w:tcBorders>
            <w:shd w:val="clear" w:color="auto" w:fill="auto"/>
            <w:noWrap/>
            <w:vAlign w:val="bottom"/>
            <w:hideMark/>
          </w:tcPr>
          <w:p w:rsidR="00EB1ED4" w:rsidRPr="0014224A" w:rsidRDefault="00EB1ED4" w:rsidP="00032942">
            <w:pPr>
              <w:rPr>
                <w:rFonts w:ascii="Calibri" w:hAnsi="Calibri" w:cs="Calibri"/>
                <w:color w:val="000000"/>
                <w:sz w:val="16"/>
                <w:szCs w:val="16"/>
                <w:lang w:eastAsia="fr-FR"/>
              </w:rPr>
            </w:pPr>
            <w:r w:rsidRPr="0014224A">
              <w:rPr>
                <w:rFonts w:ascii="Calibri" w:hAnsi="Calibri" w:cs="Calibri"/>
                <w:color w:val="000000"/>
                <w:sz w:val="16"/>
                <w:szCs w:val="16"/>
                <w:lang w:eastAsia="fr-FR"/>
              </w:rPr>
              <w:t> </w:t>
            </w:r>
          </w:p>
        </w:tc>
        <w:tc>
          <w:tcPr>
            <w:tcW w:w="908" w:type="dxa"/>
            <w:vMerge w:val="restart"/>
            <w:tcBorders>
              <w:top w:val="single" w:sz="4" w:space="0" w:color="auto"/>
              <w:left w:val="nil"/>
              <w:right w:val="nil"/>
            </w:tcBorders>
            <w:vAlign w:val="center"/>
          </w:tcPr>
          <w:p w:rsidR="00EB1ED4" w:rsidRPr="0014224A" w:rsidRDefault="00EB1ED4" w:rsidP="00032942">
            <w:pPr>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All firms</w:t>
            </w:r>
          </w:p>
        </w:tc>
        <w:tc>
          <w:tcPr>
            <w:tcW w:w="4652" w:type="dxa"/>
            <w:gridSpan w:val="8"/>
            <w:tcBorders>
              <w:top w:val="single" w:sz="4" w:space="0" w:color="auto"/>
              <w:left w:val="nil"/>
              <w:bottom w:val="single" w:sz="4" w:space="0" w:color="auto"/>
              <w:right w:val="nil"/>
            </w:tcBorders>
          </w:tcPr>
          <w:p w:rsidR="00EB1ED4" w:rsidRPr="0014224A" w:rsidRDefault="00EB1ED4" w:rsidP="00EB1ED4">
            <w:pPr>
              <w:jc w:val="center"/>
              <w:rPr>
                <w:rFonts w:ascii="Times New Roman" w:hAnsi="Times New Roman"/>
                <w:b/>
                <w:bCs/>
                <w:color w:val="000000"/>
                <w:sz w:val="16"/>
                <w:szCs w:val="16"/>
                <w:lang w:eastAsia="fr-FR"/>
              </w:rPr>
            </w:pPr>
            <w:r w:rsidRPr="0014224A">
              <w:rPr>
                <w:rFonts w:ascii="Times New Roman" w:hAnsi="Times New Roman"/>
                <w:b/>
                <w:bCs/>
                <w:color w:val="000000"/>
                <w:sz w:val="16"/>
                <w:szCs w:val="16"/>
                <w:lang w:eastAsia="fr-FR"/>
              </w:rPr>
              <w:t>Firms with more than one employee</w:t>
            </w:r>
          </w:p>
        </w:tc>
      </w:tr>
      <w:tr w:rsidR="003342A5" w:rsidRPr="0014224A" w:rsidTr="00D83BF7">
        <w:trPr>
          <w:gridAfter w:val="1"/>
          <w:wAfter w:w="84" w:type="dxa"/>
          <w:trHeight w:val="283"/>
        </w:trPr>
        <w:tc>
          <w:tcPr>
            <w:tcW w:w="3686" w:type="dxa"/>
            <w:tcBorders>
              <w:top w:val="nil"/>
              <w:left w:val="nil"/>
              <w:bottom w:val="single" w:sz="4" w:space="0" w:color="auto"/>
              <w:right w:val="nil"/>
            </w:tcBorders>
            <w:shd w:val="clear" w:color="auto" w:fill="auto"/>
            <w:noWrap/>
            <w:vAlign w:val="bottom"/>
            <w:hideMark/>
          </w:tcPr>
          <w:p w:rsidR="003342A5" w:rsidRPr="0014224A" w:rsidRDefault="003342A5" w:rsidP="00032942">
            <w:pPr>
              <w:rPr>
                <w:rFonts w:ascii="Calibri" w:hAnsi="Calibri" w:cs="Calibri"/>
                <w:color w:val="000000"/>
                <w:sz w:val="16"/>
                <w:szCs w:val="16"/>
                <w:lang w:eastAsia="fr-FR"/>
              </w:rPr>
            </w:pPr>
            <w:r w:rsidRPr="0014224A">
              <w:rPr>
                <w:rFonts w:ascii="Calibri" w:hAnsi="Calibri" w:cs="Calibri"/>
                <w:color w:val="000000"/>
                <w:sz w:val="16"/>
                <w:szCs w:val="16"/>
                <w:lang w:eastAsia="fr-FR"/>
              </w:rPr>
              <w:t> </w:t>
            </w:r>
          </w:p>
        </w:tc>
        <w:tc>
          <w:tcPr>
            <w:tcW w:w="908" w:type="dxa"/>
            <w:vMerge/>
            <w:tcBorders>
              <w:left w:val="nil"/>
              <w:bottom w:val="single" w:sz="4" w:space="0" w:color="000000"/>
              <w:right w:val="nil"/>
            </w:tcBorders>
          </w:tcPr>
          <w:p w:rsidR="003342A5" w:rsidRPr="0014224A" w:rsidRDefault="003342A5" w:rsidP="00032942">
            <w:pPr>
              <w:rPr>
                <w:rFonts w:ascii="Times New Roman" w:hAnsi="Times New Roman"/>
                <w:b/>
                <w:bCs/>
                <w:color w:val="000000"/>
                <w:sz w:val="16"/>
                <w:szCs w:val="16"/>
                <w:lang w:eastAsia="fr-FR"/>
              </w:rPr>
            </w:pPr>
          </w:p>
        </w:tc>
        <w:tc>
          <w:tcPr>
            <w:tcW w:w="1060" w:type="dxa"/>
            <w:gridSpan w:val="2"/>
            <w:tcBorders>
              <w:top w:val="single" w:sz="4" w:space="0" w:color="auto"/>
              <w:left w:val="nil"/>
              <w:bottom w:val="single" w:sz="4" w:space="0" w:color="000000"/>
              <w:right w:val="nil"/>
            </w:tcBorders>
            <w:shd w:val="clear" w:color="auto" w:fill="auto"/>
            <w:hideMark/>
          </w:tcPr>
          <w:p w:rsidR="003342A5" w:rsidRPr="0014224A" w:rsidRDefault="003342A5" w:rsidP="00EB1ED4">
            <w:pPr>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All</w:t>
            </w:r>
          </w:p>
        </w:tc>
        <w:tc>
          <w:tcPr>
            <w:tcW w:w="1292" w:type="dxa"/>
            <w:gridSpan w:val="2"/>
            <w:tcBorders>
              <w:top w:val="nil"/>
              <w:left w:val="nil"/>
              <w:bottom w:val="single" w:sz="4" w:space="0" w:color="auto"/>
              <w:right w:val="nil"/>
            </w:tcBorders>
            <w:shd w:val="clear" w:color="auto" w:fill="auto"/>
            <w:hideMark/>
          </w:tcPr>
          <w:p w:rsidR="003342A5" w:rsidRPr="0014224A" w:rsidRDefault="003342A5">
            <w:pPr>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Manufacturing</w:t>
            </w:r>
          </w:p>
        </w:tc>
        <w:tc>
          <w:tcPr>
            <w:tcW w:w="1276" w:type="dxa"/>
            <w:gridSpan w:val="2"/>
            <w:tcBorders>
              <w:top w:val="nil"/>
              <w:left w:val="nil"/>
              <w:bottom w:val="single" w:sz="4" w:space="0" w:color="auto"/>
              <w:right w:val="nil"/>
            </w:tcBorders>
          </w:tcPr>
          <w:p w:rsidR="00182AAD" w:rsidRDefault="003342A5" w:rsidP="00182AAD">
            <w:pPr>
              <w:tabs>
                <w:tab w:val="center" w:pos="657"/>
              </w:tabs>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Non</w:t>
            </w:r>
          </w:p>
          <w:p w:rsidR="00182AAD" w:rsidRDefault="003342A5" w:rsidP="00182AAD">
            <w:pPr>
              <w:tabs>
                <w:tab w:val="center" w:pos="657"/>
              </w:tabs>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Manufacturing</w:t>
            </w:r>
          </w:p>
        </w:tc>
        <w:tc>
          <w:tcPr>
            <w:tcW w:w="1060" w:type="dxa"/>
            <w:gridSpan w:val="3"/>
            <w:tcBorders>
              <w:top w:val="nil"/>
              <w:left w:val="nil"/>
              <w:bottom w:val="single" w:sz="4" w:space="0" w:color="auto"/>
              <w:right w:val="nil"/>
            </w:tcBorders>
            <w:shd w:val="clear" w:color="auto" w:fill="auto"/>
            <w:hideMark/>
          </w:tcPr>
          <w:p w:rsidR="00182AAD" w:rsidRDefault="003342A5" w:rsidP="00182AAD">
            <w:pPr>
              <w:tabs>
                <w:tab w:val="center" w:pos="657"/>
              </w:tabs>
              <w:jc w:val="cente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Services</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eastAsia="fr-FR"/>
              </w:rPr>
            </w:pPr>
            <w:r>
              <w:rPr>
                <w:rFonts w:ascii="Times New Roman" w:hAnsi="Times New Roman"/>
                <w:b/>
                <w:bCs/>
                <w:color w:val="000000"/>
                <w:sz w:val="16"/>
                <w:szCs w:val="16"/>
                <w:lang w:eastAsia="fr-FR"/>
              </w:rPr>
              <w:t>Onshore n</w:t>
            </w:r>
            <w:r w:rsidRPr="0014224A">
              <w:rPr>
                <w:rFonts w:ascii="Times New Roman" w:hAnsi="Times New Roman"/>
                <w:b/>
                <w:bCs/>
                <w:color w:val="000000"/>
                <w:sz w:val="16"/>
                <w:szCs w:val="16"/>
                <w:lang w:eastAsia="fr-FR"/>
              </w:rPr>
              <w:t>on exporting and importing firms</w:t>
            </w:r>
          </w:p>
        </w:tc>
        <w:tc>
          <w:tcPr>
            <w:tcW w:w="992"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0.523</w:t>
            </w:r>
            <w:r w:rsidRPr="0014224A">
              <w:rPr>
                <w:rFonts w:ascii="Calibri" w:hAnsi="Calibri" w:cs="Calibri"/>
                <w:color w:val="000000"/>
                <w:sz w:val="16"/>
                <w:szCs w:val="16"/>
              </w:rPr>
              <w:t>***</w:t>
            </w:r>
          </w:p>
        </w:tc>
        <w:tc>
          <w:tcPr>
            <w:tcW w:w="1060"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0.519***</w:t>
            </w:r>
          </w:p>
        </w:tc>
        <w:tc>
          <w:tcPr>
            <w:tcW w:w="1292"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0.750***</w:t>
            </w:r>
          </w:p>
        </w:tc>
        <w:tc>
          <w:tcPr>
            <w:tcW w:w="1276"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0.687***</w:t>
            </w:r>
          </w:p>
        </w:tc>
        <w:tc>
          <w:tcPr>
            <w:tcW w:w="1060" w:type="dxa"/>
            <w:gridSpan w:val="3"/>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0.388***</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eastAsia="fr-FR"/>
              </w:rPr>
            </w:pPr>
            <w:r w:rsidRPr="0014224A">
              <w:rPr>
                <w:rFonts w:ascii="Times New Roman" w:hAnsi="Times New Roman"/>
                <w:b/>
                <w:bCs/>
                <w:color w:val="000000"/>
                <w:sz w:val="16"/>
                <w:szCs w:val="16"/>
                <w:lang w:eastAsia="fr-FR"/>
              </w:rPr>
              <w:t>Onshore firms exporting and non importing</w:t>
            </w:r>
          </w:p>
        </w:tc>
        <w:tc>
          <w:tcPr>
            <w:tcW w:w="992"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0.273***</w:t>
            </w:r>
          </w:p>
        </w:tc>
        <w:tc>
          <w:tcPr>
            <w:tcW w:w="1060"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0.261***</w:t>
            </w:r>
          </w:p>
        </w:tc>
        <w:tc>
          <w:tcPr>
            <w:tcW w:w="1292"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0.491***</w:t>
            </w:r>
          </w:p>
        </w:tc>
        <w:tc>
          <w:tcPr>
            <w:tcW w:w="1276"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0.451***</w:t>
            </w:r>
          </w:p>
        </w:tc>
        <w:tc>
          <w:tcPr>
            <w:tcW w:w="1060" w:type="dxa"/>
            <w:gridSpan w:val="3"/>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-0.010</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eastAsia="fr-FR"/>
              </w:rPr>
            </w:pPr>
            <w:r w:rsidRPr="0014224A">
              <w:rPr>
                <w:rFonts w:ascii="Times New Roman" w:hAnsi="Times New Roman"/>
                <w:b/>
                <w:bCs/>
                <w:color w:val="000000"/>
                <w:sz w:val="16"/>
                <w:szCs w:val="16"/>
                <w:lang w:eastAsia="fr-FR"/>
              </w:rPr>
              <w:t>Onshore firms exporting and importing</w:t>
            </w:r>
          </w:p>
        </w:tc>
        <w:tc>
          <w:tcPr>
            <w:tcW w:w="992"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0.915***</w:t>
            </w:r>
          </w:p>
        </w:tc>
        <w:tc>
          <w:tcPr>
            <w:tcW w:w="1060"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0.899***</w:t>
            </w:r>
          </w:p>
        </w:tc>
        <w:tc>
          <w:tcPr>
            <w:tcW w:w="1292"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1.122***</w:t>
            </w:r>
          </w:p>
        </w:tc>
        <w:tc>
          <w:tcPr>
            <w:tcW w:w="1276"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1.042***</w:t>
            </w:r>
          </w:p>
        </w:tc>
        <w:tc>
          <w:tcPr>
            <w:tcW w:w="1060" w:type="dxa"/>
            <w:gridSpan w:val="3"/>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0.662***</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eastAsia="fr-FR"/>
              </w:rPr>
            </w:pPr>
            <w:r w:rsidRPr="0014224A">
              <w:rPr>
                <w:rFonts w:ascii="Times New Roman" w:hAnsi="Times New Roman"/>
                <w:b/>
                <w:bCs/>
                <w:color w:val="000000"/>
                <w:sz w:val="16"/>
                <w:szCs w:val="16"/>
                <w:lang w:eastAsia="fr-FR"/>
              </w:rPr>
              <w:t>Offshore firms  exporting and non importing</w:t>
            </w:r>
          </w:p>
        </w:tc>
        <w:tc>
          <w:tcPr>
            <w:tcW w:w="992"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0.753***</w:t>
            </w:r>
          </w:p>
        </w:tc>
        <w:tc>
          <w:tcPr>
            <w:tcW w:w="1060"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0.732***</w:t>
            </w:r>
          </w:p>
        </w:tc>
        <w:tc>
          <w:tcPr>
            <w:tcW w:w="1292"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0.313***</w:t>
            </w:r>
          </w:p>
        </w:tc>
        <w:tc>
          <w:tcPr>
            <w:tcW w:w="1276"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1.851***</w:t>
            </w:r>
          </w:p>
        </w:tc>
        <w:tc>
          <w:tcPr>
            <w:tcW w:w="1060" w:type="dxa"/>
            <w:gridSpan w:val="3"/>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1.213***</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en-US" w:eastAsia="fr-FR"/>
              </w:rPr>
            </w:pPr>
            <w:r w:rsidRPr="0014224A">
              <w:rPr>
                <w:rFonts w:ascii="Times New Roman" w:hAnsi="Times New Roman"/>
                <w:b/>
                <w:bCs/>
                <w:color w:val="000000"/>
                <w:sz w:val="16"/>
                <w:szCs w:val="16"/>
                <w:lang w:val="en-US" w:eastAsia="fr-FR"/>
              </w:rPr>
              <w:t>Offshore firms exporting and importing</w:t>
            </w:r>
          </w:p>
        </w:tc>
        <w:tc>
          <w:tcPr>
            <w:tcW w:w="992"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1.012***</w:t>
            </w:r>
          </w:p>
        </w:tc>
        <w:tc>
          <w:tcPr>
            <w:tcW w:w="1060"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1.000***</w:t>
            </w:r>
          </w:p>
        </w:tc>
        <w:tc>
          <w:tcPr>
            <w:tcW w:w="1292" w:type="dxa"/>
            <w:gridSpan w:val="2"/>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1.077***</w:t>
            </w:r>
          </w:p>
        </w:tc>
        <w:tc>
          <w:tcPr>
            <w:tcW w:w="1276" w:type="dxa"/>
            <w:gridSpan w:val="2"/>
            <w:tcBorders>
              <w:top w:val="nil"/>
              <w:left w:val="nil"/>
              <w:bottom w:val="nil"/>
              <w:right w:val="nil"/>
            </w:tcBorders>
            <w:vAlign w:val="bottom"/>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1.199***</w:t>
            </w:r>
          </w:p>
        </w:tc>
        <w:tc>
          <w:tcPr>
            <w:tcW w:w="1060" w:type="dxa"/>
            <w:gridSpan w:val="3"/>
            <w:tcBorders>
              <w:top w:val="nil"/>
              <w:left w:val="nil"/>
              <w:bottom w:val="nil"/>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Pr>
                <w:rFonts w:ascii="Calibri" w:hAnsi="Calibri" w:cs="Calibri"/>
                <w:color w:val="000000"/>
                <w:sz w:val="16"/>
                <w:szCs w:val="16"/>
              </w:rPr>
              <w:t>1.013***</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Firm's Size Effects</w:t>
            </w:r>
          </w:p>
        </w:tc>
        <w:tc>
          <w:tcPr>
            <w:tcW w:w="992"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top w:val="nil"/>
              <w:left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Firm’s</w:t>
            </w:r>
            <w:r w:rsidRPr="0014224A">
              <w:rPr>
                <w:rFonts w:ascii="Times New Roman" w:hAnsi="Times New Roman"/>
                <w:b/>
                <w:bCs/>
                <w:color w:val="000000"/>
                <w:sz w:val="16"/>
                <w:szCs w:val="16"/>
                <w:lang w:val="fr-FR" w:eastAsia="fr-FR"/>
              </w:rPr>
              <w:t>Age Effects</w:t>
            </w:r>
          </w:p>
        </w:tc>
        <w:tc>
          <w:tcPr>
            <w:tcW w:w="992" w:type="dxa"/>
            <w:gridSpan w:val="2"/>
            <w:tcBorders>
              <w:top w:val="nil"/>
              <w:left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top w:val="nil"/>
              <w:left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en-US" w:eastAsia="fr-FR"/>
              </w:rPr>
            </w:pPr>
            <w:r>
              <w:rPr>
                <w:rFonts w:ascii="Times New Roman" w:hAnsi="Times New Roman"/>
                <w:b/>
                <w:bCs/>
                <w:color w:val="000000"/>
                <w:sz w:val="16"/>
                <w:szCs w:val="16"/>
                <w:lang w:val="en-US" w:eastAsia="fr-FR"/>
              </w:rPr>
              <w:t>Firm’s dynamic</w:t>
            </w:r>
            <w:r w:rsidRPr="0014224A">
              <w:rPr>
                <w:rFonts w:ascii="Times New Roman" w:hAnsi="Times New Roman"/>
                <w:b/>
                <w:bCs/>
                <w:color w:val="000000"/>
                <w:sz w:val="16"/>
                <w:szCs w:val="16"/>
                <w:lang w:val="en-US" w:eastAsia="fr-FR"/>
              </w:rPr>
              <w:t xml:space="preserve"> (active. entry. exit) Effects</w:t>
            </w:r>
          </w:p>
        </w:tc>
        <w:tc>
          <w:tcPr>
            <w:tcW w:w="992" w:type="dxa"/>
            <w:gridSpan w:val="2"/>
            <w:tcBorders>
              <w:top w:val="nil"/>
              <w:left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Firm’sLegalStatus</w:t>
            </w:r>
            <w:r w:rsidRPr="0014224A">
              <w:rPr>
                <w:rFonts w:ascii="Times New Roman" w:hAnsi="Times New Roman"/>
                <w:b/>
                <w:bCs/>
                <w:color w:val="000000"/>
                <w:sz w:val="16"/>
                <w:szCs w:val="16"/>
                <w:lang w:val="fr-FR" w:eastAsia="fr-FR"/>
              </w:rPr>
              <w:t>Effects</w:t>
            </w:r>
          </w:p>
        </w:tc>
        <w:tc>
          <w:tcPr>
            <w:tcW w:w="992" w:type="dxa"/>
            <w:gridSpan w:val="2"/>
            <w:tcBorders>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Sector</w:t>
            </w:r>
            <w:r w:rsidRPr="0014224A">
              <w:rPr>
                <w:rFonts w:ascii="Times New Roman" w:hAnsi="Times New Roman"/>
                <w:b/>
                <w:bCs/>
                <w:color w:val="000000"/>
                <w:sz w:val="16"/>
                <w:szCs w:val="16"/>
                <w:lang w:val="fr-FR" w:eastAsia="fr-FR"/>
              </w:rPr>
              <w:t>Effects</w:t>
            </w:r>
          </w:p>
        </w:tc>
        <w:tc>
          <w:tcPr>
            <w:tcW w:w="992"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top w:val="nil"/>
              <w:left w:val="nil"/>
              <w:bottom w:val="nil"/>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Time Effects</w:t>
            </w:r>
          </w:p>
        </w:tc>
        <w:tc>
          <w:tcPr>
            <w:tcW w:w="992"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3342A5"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3342A5" w:rsidRPr="0014224A" w:rsidTr="00D83BF7">
        <w:trPr>
          <w:trHeight w:val="310"/>
        </w:trPr>
        <w:tc>
          <w:tcPr>
            <w:tcW w:w="3686" w:type="dxa"/>
            <w:tcBorders>
              <w:top w:val="single" w:sz="4" w:space="0" w:color="auto"/>
              <w:left w:val="nil"/>
              <w:bottom w:val="single" w:sz="4" w:space="0" w:color="auto"/>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N</w:t>
            </w:r>
          </w:p>
        </w:tc>
        <w:tc>
          <w:tcPr>
            <w:tcW w:w="992" w:type="dxa"/>
            <w:gridSpan w:val="2"/>
            <w:tcBorders>
              <w:top w:val="single" w:sz="4" w:space="0" w:color="auto"/>
              <w:left w:val="nil"/>
              <w:bottom w:val="single" w:sz="4" w:space="0" w:color="auto"/>
              <w:right w:val="nil"/>
            </w:tcBorders>
            <w:shd w:val="clear" w:color="auto" w:fill="auto"/>
            <w:vAlign w:val="bottom"/>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1634974</w:t>
            </w:r>
          </w:p>
        </w:tc>
        <w:tc>
          <w:tcPr>
            <w:tcW w:w="1060" w:type="dxa"/>
            <w:gridSpan w:val="2"/>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458473</w:t>
            </w:r>
          </w:p>
        </w:tc>
        <w:tc>
          <w:tcPr>
            <w:tcW w:w="1292" w:type="dxa"/>
            <w:gridSpan w:val="2"/>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111023</w:t>
            </w:r>
          </w:p>
        </w:tc>
        <w:tc>
          <w:tcPr>
            <w:tcW w:w="1276" w:type="dxa"/>
            <w:gridSpan w:val="2"/>
            <w:tcBorders>
              <w:top w:val="single" w:sz="4" w:space="0" w:color="auto"/>
              <w:left w:val="nil"/>
              <w:bottom w:val="single" w:sz="4" w:space="0" w:color="auto"/>
              <w:right w:val="nil"/>
            </w:tcBorders>
            <w:shd w:val="clear" w:color="auto" w:fill="auto"/>
            <w:vAlign w:val="bottom"/>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35296</w:t>
            </w:r>
          </w:p>
        </w:tc>
        <w:tc>
          <w:tcPr>
            <w:tcW w:w="1060" w:type="dxa"/>
            <w:gridSpan w:val="3"/>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304047</w:t>
            </w:r>
          </w:p>
        </w:tc>
      </w:tr>
      <w:tr w:rsidR="003342A5" w:rsidRPr="0014224A" w:rsidTr="00D83BF7">
        <w:trPr>
          <w:trHeight w:val="310"/>
        </w:trPr>
        <w:tc>
          <w:tcPr>
            <w:tcW w:w="3686" w:type="dxa"/>
            <w:tcBorders>
              <w:top w:val="single" w:sz="4" w:space="0" w:color="auto"/>
              <w:left w:val="nil"/>
              <w:bottom w:val="single" w:sz="4" w:space="0" w:color="auto"/>
              <w:right w:val="nil"/>
            </w:tcBorders>
            <w:shd w:val="clear" w:color="auto" w:fill="auto"/>
            <w:vAlign w:val="center"/>
            <w:hideMark/>
          </w:tcPr>
          <w:p w:rsidR="003342A5" w:rsidRPr="0014224A" w:rsidRDefault="003342A5" w:rsidP="00032942">
            <w:pP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R2</w:t>
            </w:r>
          </w:p>
        </w:tc>
        <w:tc>
          <w:tcPr>
            <w:tcW w:w="992" w:type="dxa"/>
            <w:gridSpan w:val="2"/>
            <w:tcBorders>
              <w:top w:val="single" w:sz="4" w:space="0" w:color="auto"/>
              <w:left w:val="nil"/>
              <w:bottom w:val="single" w:sz="4" w:space="0" w:color="auto"/>
              <w:right w:val="nil"/>
            </w:tcBorders>
            <w:shd w:val="clear" w:color="auto" w:fill="auto"/>
            <w:vAlign w:val="bottom"/>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0.3279</w:t>
            </w:r>
          </w:p>
        </w:tc>
        <w:tc>
          <w:tcPr>
            <w:tcW w:w="1060" w:type="dxa"/>
            <w:gridSpan w:val="2"/>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0.3476</w:t>
            </w:r>
          </w:p>
        </w:tc>
        <w:tc>
          <w:tcPr>
            <w:tcW w:w="1292" w:type="dxa"/>
            <w:gridSpan w:val="2"/>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0.2606</w:t>
            </w:r>
          </w:p>
        </w:tc>
        <w:tc>
          <w:tcPr>
            <w:tcW w:w="1276" w:type="dxa"/>
            <w:gridSpan w:val="2"/>
            <w:tcBorders>
              <w:top w:val="single" w:sz="4" w:space="0" w:color="auto"/>
              <w:left w:val="nil"/>
              <w:bottom w:val="single" w:sz="4" w:space="0" w:color="auto"/>
              <w:right w:val="nil"/>
            </w:tcBorders>
            <w:shd w:val="clear" w:color="auto" w:fill="auto"/>
            <w:vAlign w:val="bottom"/>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0.1502</w:t>
            </w:r>
          </w:p>
        </w:tc>
        <w:tc>
          <w:tcPr>
            <w:tcW w:w="1060" w:type="dxa"/>
            <w:gridSpan w:val="3"/>
            <w:tcBorders>
              <w:top w:val="single" w:sz="4" w:space="0" w:color="auto"/>
              <w:left w:val="nil"/>
              <w:bottom w:val="single" w:sz="4" w:space="0" w:color="auto"/>
              <w:right w:val="nil"/>
            </w:tcBorders>
            <w:shd w:val="clear" w:color="auto" w:fill="auto"/>
            <w:vAlign w:val="bottom"/>
            <w:hideMark/>
          </w:tcPr>
          <w:p w:rsidR="00182AAD" w:rsidRDefault="003342A5" w:rsidP="00182AAD">
            <w:pPr>
              <w:jc w:val="center"/>
              <w:rPr>
                <w:rFonts w:ascii="Calibri" w:hAnsi="Calibri" w:cs="Calibri"/>
                <w:color w:val="000000"/>
                <w:sz w:val="16"/>
                <w:szCs w:val="16"/>
              </w:rPr>
            </w:pPr>
            <w:r w:rsidRPr="0014224A">
              <w:rPr>
                <w:rFonts w:ascii="Calibri" w:hAnsi="Calibri" w:cs="Calibri"/>
                <w:color w:val="000000"/>
                <w:sz w:val="16"/>
                <w:szCs w:val="16"/>
              </w:rPr>
              <w:t>0.3640</w:t>
            </w:r>
          </w:p>
        </w:tc>
      </w:tr>
    </w:tbl>
    <w:p w:rsidR="00BB762B" w:rsidRDefault="00BB762B" w:rsidP="007F2763">
      <w:pPr>
        <w:pStyle w:val="Source"/>
      </w:pPr>
      <w:r w:rsidRPr="00656119">
        <w:rPr>
          <w:b/>
        </w:rPr>
        <w:t>Source</w:t>
      </w:r>
      <w:r w:rsidRPr="00273064">
        <w:rPr>
          <w:bCs/>
        </w:rPr>
        <w:t>:</w:t>
      </w:r>
      <w:r w:rsidR="003342A5" w:rsidRPr="00273064">
        <w:rPr>
          <w:bCs/>
        </w:rPr>
        <w:t>Tunisian registry of firms;</w:t>
      </w:r>
      <w:r w:rsidR="00A97570" w:rsidRPr="008E682A">
        <w:t>author’s calculation</w:t>
      </w:r>
    </w:p>
    <w:p w:rsidR="00C64A53" w:rsidRDefault="00C64A53" w:rsidP="00DF1C2A">
      <w:pPr>
        <w:pStyle w:val="BodyText1"/>
        <w:rPr>
          <w:lang w:val="en-US"/>
        </w:rPr>
      </w:pPr>
    </w:p>
    <w:p w:rsidR="00C64A53" w:rsidRDefault="00C64A53" w:rsidP="00DF1C2A">
      <w:pPr>
        <w:pStyle w:val="BodyText1"/>
        <w:rPr>
          <w:lang w:val="en-US"/>
        </w:rPr>
      </w:pPr>
    </w:p>
    <w:p w:rsidR="007F2763" w:rsidRDefault="007F2763" w:rsidP="0096611B">
      <w:pPr>
        <w:pStyle w:val="Heading3"/>
      </w:pPr>
      <w:r w:rsidRPr="003E7B19">
        <w:t>Firms’ connected to international trade are more profitable</w:t>
      </w:r>
    </w:p>
    <w:p w:rsidR="00EA25B6" w:rsidRDefault="00C97764" w:rsidP="00EA25B6">
      <w:pPr>
        <w:pStyle w:val="BodyText10"/>
        <w:ind w:left="-90"/>
      </w:pPr>
      <w:r>
        <w:t xml:space="preserve">Finally, we </w:t>
      </w:r>
      <w:r w:rsidR="00EA25B6">
        <w:t xml:space="preserve">turn to the estimation of the effect of firm’s trade status on </w:t>
      </w:r>
      <w:r w:rsidR="0087176D">
        <w:t>profitability</w:t>
      </w:r>
      <w:r w:rsidR="00EA25B6">
        <w:t xml:space="preserve"> using a similar specification to (1) and (2):</w:t>
      </w:r>
    </w:p>
    <w:p w:rsidR="00EA25B6" w:rsidRDefault="007C0A74" w:rsidP="00EA25B6">
      <w:pPr>
        <w:pStyle w:val="BodyText10"/>
        <w:ind w:left="-90"/>
        <w:rPr>
          <w:lang w:val="en-US"/>
        </w:rPr>
      </w:pPr>
      <m:oMathPara>
        <m:oMath>
          <m:sSub>
            <m:sSubPr>
              <m:ctrlPr>
                <w:rPr>
                  <w:rFonts w:ascii="Cambria Math" w:hAnsi="Cambria Math"/>
                  <w:i/>
                  <w:lang w:val="en-US"/>
                </w:rPr>
              </m:ctrlPr>
            </m:sSubPr>
            <m:e>
              <m:r>
                <w:rPr>
                  <w:rFonts w:ascii="Cambria Math" w:hAnsi="Cambria Math"/>
                  <w:lang w:val="en-US"/>
                </w:rPr>
                <m:t>Profitability</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Onshore non exporting and importing firms</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Onshore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sSub>
            <m:sSubPr>
              <m:ctrlPr>
                <w:rPr>
                  <w:rFonts w:ascii="Cambria Math" w:hAnsi="Cambria Math"/>
                  <w:i/>
                  <w:lang w:val="en-US"/>
                </w:rPr>
              </m:ctrlPr>
            </m:sSubPr>
            <m:e>
              <m:r>
                <w:rPr>
                  <w:rFonts w:ascii="Cambria Math" w:hAnsi="Cambria Math"/>
                  <w:lang w:val="en-US"/>
                </w:rPr>
                <m:t>Onshore firms exporting and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sSub>
            <m:sSubPr>
              <m:ctrlPr>
                <w:rPr>
                  <w:rFonts w:ascii="Cambria Math" w:hAnsi="Cambria Math"/>
                  <w:i/>
                  <w:lang w:val="en-US"/>
                </w:rPr>
              </m:ctrlPr>
            </m:sSubPr>
            <m:e>
              <m:r>
                <w:rPr>
                  <w:rFonts w:ascii="Cambria Math" w:hAnsi="Cambria Math"/>
                  <w:lang w:val="en-US"/>
                </w:rPr>
                <m:t>Offshore firms exporting and non importing</m:t>
              </m:r>
            </m:e>
            <m:sub>
              <m:r>
                <w:rPr>
                  <w:rFonts w:ascii="Cambria Math" w:hAnsi="Cambria Math"/>
                  <w:lang w:val="en-US"/>
                </w:rPr>
                <m:t>it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5</m:t>
              </m:r>
            </m:sub>
          </m:sSub>
          <m:sSub>
            <m:sSubPr>
              <m:ctrlPr>
                <w:rPr>
                  <w:rFonts w:ascii="Cambria Math" w:hAnsi="Cambria Math"/>
                  <w:i/>
                  <w:lang w:val="en-US"/>
                </w:rPr>
              </m:ctrlPr>
            </m:sSubPr>
            <m:e>
              <m:r>
                <w:rPr>
                  <w:rFonts w:ascii="Cambria Math" w:hAnsi="Cambria Math"/>
                  <w:lang w:val="en-US"/>
                </w:rPr>
                <m:t>Offshore firms exporting and importing</m:t>
              </m:r>
            </m:e>
            <m:sub>
              <m:r>
                <w:rPr>
                  <w:rFonts w:ascii="Cambria Math" w:hAnsi="Cambria Math"/>
                  <w:lang w:val="en-US"/>
                </w:rPr>
                <m:t>it</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2 </m:t>
              </m:r>
            </m:sub>
          </m:sSub>
          <m:r>
            <w:rPr>
              <w:rFonts w:ascii="Cambria Math" w:hAnsi="Cambria Math"/>
              <w:lang w:val="en-US"/>
            </w:rPr>
            <m:t xml:space="preserve"> Size+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3</m:t>
              </m:r>
            </m:sub>
          </m:sSub>
          <m:r>
            <w:rPr>
              <w:rFonts w:ascii="Cambria Math" w:hAnsi="Cambria Math"/>
              <w:lang w:val="en-US"/>
            </w:rPr>
            <m:t xml:space="preserve"> Age+</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4</m:t>
              </m:r>
            </m:sub>
          </m:sSub>
          <m:r>
            <w:rPr>
              <w:rFonts w:ascii="Cambria Math" w:hAnsi="Cambria Math"/>
              <w:lang w:val="en-US"/>
            </w:rPr>
            <m:t>Legal Status+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5 </m:t>
              </m:r>
            </m:sub>
          </m:sSub>
          <m:r>
            <w:rPr>
              <w:rFonts w:ascii="Cambria Math" w:hAnsi="Cambria Math"/>
              <w:lang w:val="en-US"/>
            </w:rPr>
            <m:t>Dynamic Effects+</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6  </m:t>
              </m:r>
            </m:sub>
          </m:sSub>
          <m:r>
            <w:rPr>
              <w:rFonts w:ascii="Cambria Math" w:hAnsi="Cambria Math"/>
              <w:lang w:val="en-US"/>
            </w:rPr>
            <m:t xml:space="preserve">I+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 xml:space="preserve">7 </m:t>
              </m:r>
            </m:sub>
          </m:sSub>
          <m:r>
            <w:rPr>
              <w:rFonts w:ascii="Cambria Math" w:hAnsi="Cambria Math"/>
              <w:lang w:val="en-US"/>
            </w:rPr>
            <m:t>τ+ϵ     (3)</m:t>
          </m:r>
        </m:oMath>
      </m:oMathPara>
    </w:p>
    <w:p w:rsidR="004D3E23" w:rsidRDefault="004D3E23" w:rsidP="00973AB7">
      <w:pPr>
        <w:pStyle w:val="BodyText10"/>
        <w:ind w:left="-90"/>
      </w:pPr>
      <w:r>
        <w:t xml:space="preserve">Where </w:t>
      </w:r>
      <m:oMath>
        <m:sSub>
          <m:sSubPr>
            <m:ctrlPr>
              <w:rPr>
                <w:rFonts w:ascii="Cambria Math" w:hAnsi="Cambria Math"/>
                <w:i/>
              </w:rPr>
            </m:ctrlPr>
          </m:sSubPr>
          <m:e>
            <m:r>
              <w:rPr>
                <w:rFonts w:ascii="Cambria Math" w:hAnsi="Cambria Math"/>
              </w:rPr>
              <m:t>Profitability</m:t>
            </m:r>
          </m:e>
          <m:sub>
            <m:r>
              <w:rPr>
                <w:rFonts w:ascii="Cambria Math" w:hAnsi="Cambria Math"/>
              </w:rPr>
              <m:t>it</m:t>
            </m:r>
          </m:sub>
        </m:sSub>
      </m:oMath>
      <w:r>
        <w:t xml:space="preserve"> is proxied by profits per worker</w:t>
      </w:r>
      <w:r w:rsidR="00973AB7">
        <w:t xml:space="preserve"> of firm </w:t>
      </w:r>
      <m:oMath>
        <m:r>
          <w:rPr>
            <w:rFonts w:ascii="Cambria Math" w:hAnsi="Cambria Math"/>
          </w:rPr>
          <m:t>i</m:t>
        </m:r>
      </m:oMath>
      <w:r w:rsidR="00973AB7">
        <w:t xml:space="preserve"> at time </w:t>
      </w:r>
      <m:oMath>
        <m:r>
          <w:rPr>
            <w:rFonts w:ascii="Cambria Math" w:hAnsi="Cambria Math"/>
          </w:rPr>
          <m:t>t</m:t>
        </m:r>
      </m:oMath>
      <w:r>
        <w:t>,</w:t>
      </w:r>
      <m:oMath>
        <m:r>
          <w:rPr>
            <w:rFonts w:ascii="Cambria Math" w:hAnsi="Cambria Math"/>
            <w:lang w:val="en-US"/>
          </w:rPr>
          <m:t>Size</m:t>
        </m:r>
      </m:oMath>
      <w:r>
        <w:rPr>
          <w:lang w:val="en-US"/>
        </w:rPr>
        <w:t xml:space="preserve"> is a vector of size dummies, </w:t>
      </w:r>
      <m:oMath>
        <m:r>
          <w:rPr>
            <w:rFonts w:ascii="Cambria Math" w:hAnsi="Cambria Math"/>
            <w:lang w:val="en-US"/>
          </w:rPr>
          <m:t>Age</m:t>
        </m:r>
      </m:oMath>
      <w:r>
        <w:rPr>
          <w:lang w:val="en-US"/>
        </w:rPr>
        <w:t xml:space="preserve">is a vector of age dummies, </w:t>
      </w:r>
      <m:oMath>
        <m:r>
          <w:rPr>
            <w:rFonts w:ascii="Cambria Math" w:hAnsi="Cambria Math"/>
            <w:lang w:val="en-US"/>
          </w:rPr>
          <m:t>Legal Status</m:t>
        </m:r>
      </m:oMath>
      <w:r>
        <w:rPr>
          <w:lang w:val="en-US"/>
        </w:rPr>
        <w:t xml:space="preserve">is a vector of the various legal types of firms (physical person, anonimous entity, limited liability company, single member limited liability company), </w:t>
      </w:r>
      <m:oMath>
        <m:r>
          <w:rPr>
            <w:rFonts w:ascii="Cambria Math" w:hAnsi="Cambria Math"/>
            <w:lang w:val="en-US"/>
          </w:rPr>
          <m:t>Dynamic Effects</m:t>
        </m:r>
      </m:oMath>
      <w:r>
        <w:rPr>
          <w:lang w:val="en-US"/>
        </w:rPr>
        <w:t xml:space="preserve"> is a vector of dummies capturing the history of the firm (active firm, entry and exit), </w:t>
      </w:r>
      <m:oMath>
        <m:r>
          <w:rPr>
            <w:rFonts w:ascii="Cambria Math" w:hAnsi="Cambria Math"/>
            <w:lang w:val="en-US"/>
          </w:rPr>
          <m:t>I</m:t>
        </m:r>
      </m:oMath>
      <w:r>
        <w:rPr>
          <w:lang w:val="en-US"/>
        </w:rPr>
        <w:t xml:space="preserve"> is a vector of industry dummies and </w:t>
      </w:r>
      <m:oMath>
        <m:r>
          <w:rPr>
            <w:rFonts w:ascii="Cambria Math" w:hAnsi="Cambria Math"/>
            <w:lang w:val="en-US"/>
          </w:rPr>
          <m:t xml:space="preserve">τ </m:t>
        </m:r>
      </m:oMath>
      <w:r>
        <w:rPr>
          <w:lang w:val="en-US"/>
        </w:rPr>
        <w:t xml:space="preserve"> is a vector of time dummies. We consider five firm’s trade status i.e. onshore non exporting and importing firms, onshore firms exporting and non importing, onshore firms exporting and importing, offshore firms exporting and non importing, offshore firms exporting and importing. We take the category of onshore firms non exporting and non importing as our reference group which we refer as the non traders firms. </w:t>
      </w:r>
    </w:p>
    <w:p w:rsidR="00AC6FC2" w:rsidRDefault="007F2763" w:rsidP="00AC6FC2">
      <w:pPr>
        <w:pStyle w:val="BodyText10"/>
        <w:ind w:left="-90"/>
      </w:pPr>
      <w:r w:rsidRPr="007F2763">
        <w:t xml:space="preserve">Table 3 </w:t>
      </w:r>
      <w:r w:rsidR="00EA25B6">
        <w:t xml:space="preserve">shows the estimation of </w:t>
      </w:r>
      <w:r w:rsidR="00CD4C6B">
        <w:t xml:space="preserve">specification (3). It </w:t>
      </w:r>
      <w:r w:rsidRPr="007F2763">
        <w:t>provides evidence that connection to international trade increase</w:t>
      </w:r>
      <w:r w:rsidR="003342A5">
        <w:t>s</w:t>
      </w:r>
      <w:r w:rsidRPr="007F2763">
        <w:t xml:space="preserve"> firm’s profi</w:t>
      </w:r>
      <w:r w:rsidR="00A97570">
        <w:t>tability</w:t>
      </w:r>
      <w:r w:rsidRPr="007F2763">
        <w:t>for all activities, manufacturing, non manufacturing and services</w:t>
      </w:r>
      <w:r w:rsidR="00A97570">
        <w:t xml:space="preserve"> subsamples</w:t>
      </w:r>
      <w:r w:rsidRPr="007F2763">
        <w:t>.</w:t>
      </w:r>
      <w:r w:rsidR="00E12C3B">
        <w:t xml:space="preserve"> Our results underline that imports have a pro-profitability effect</w:t>
      </w:r>
      <w:r w:rsidR="007F0FC2">
        <w:t xml:space="preserve"> compared to non trading</w:t>
      </w:r>
      <w:r w:rsidR="00E12C3B">
        <w:t xml:space="preserve">. Again, </w:t>
      </w:r>
      <w:r w:rsidR="007F0FC2">
        <w:t xml:space="preserve">the difference with non traders is highest for </w:t>
      </w:r>
      <w:r w:rsidR="00E12C3B">
        <w:t>two way traders in the onshore regime</w:t>
      </w:r>
      <w:r w:rsidR="007F0FC2">
        <w:t>,</w:t>
      </w:r>
      <w:r w:rsidR="00E12C3B">
        <w:t xml:space="preserve"> followed by only importers. </w:t>
      </w:r>
      <w:r w:rsidR="007F0FC2">
        <w:t xml:space="preserve">The </w:t>
      </w:r>
      <w:r w:rsidR="007F0FC2">
        <w:lastRenderedPageBreak/>
        <w:t xml:space="preserve">difference between non traders and </w:t>
      </w:r>
      <w:r w:rsidR="00E62CF8">
        <w:t xml:space="preserve">onshore </w:t>
      </w:r>
      <w:r w:rsidR="00E12C3B">
        <w:t xml:space="preserve">exporters </w:t>
      </w:r>
      <w:r w:rsidR="007F0FC2">
        <w:t xml:space="preserve">is </w:t>
      </w:r>
      <w:r w:rsidR="00E12C3B">
        <w:t xml:space="preserve">less </w:t>
      </w:r>
      <w:r w:rsidR="007F0FC2">
        <w:t>important</w:t>
      </w:r>
      <w:r w:rsidR="00E12C3B">
        <w:t xml:space="preserve">. Unlike productivity, </w:t>
      </w:r>
      <w:r w:rsidR="007F0FC2">
        <w:t xml:space="preserve">the gap between non traders and </w:t>
      </w:r>
      <w:r w:rsidR="00E12C3B">
        <w:t xml:space="preserve">internationalized firms in the manufacturing sector </w:t>
      </w:r>
      <w:r w:rsidR="007F0FC2">
        <w:t xml:space="preserve">is </w:t>
      </w:r>
      <w:r w:rsidR="00E12C3B">
        <w:t xml:space="preserve">not </w:t>
      </w:r>
      <w:r w:rsidR="00246009">
        <w:t xml:space="preserve">always </w:t>
      </w:r>
      <w:r w:rsidR="007F0FC2">
        <w:t xml:space="preserve">higher than the gap with </w:t>
      </w:r>
      <w:r w:rsidR="00246009">
        <w:t>those operating in services or in the non manufacturing services</w:t>
      </w:r>
      <w:r w:rsidR="00E12C3B">
        <w:t>.</w:t>
      </w:r>
      <w:r w:rsidR="00246009">
        <w:t xml:space="preserve"> For instance, two way traders are making more profits </w:t>
      </w:r>
      <w:r w:rsidR="007F0FC2">
        <w:t xml:space="preserve">than non traders </w:t>
      </w:r>
      <w:r w:rsidR="00246009">
        <w:t>in the services sector.</w:t>
      </w:r>
    </w:p>
    <w:p w:rsidR="00C1088D" w:rsidRDefault="00C1088D" w:rsidP="00C1088D">
      <w:pPr>
        <w:pStyle w:val="TableNoandTitle"/>
        <w:ind w:left="0" w:firstLine="0"/>
      </w:pPr>
      <w:r>
        <w:t>Table 3</w:t>
      </w:r>
      <w:r w:rsidRPr="00BB762B">
        <w:t xml:space="preserve">: </w:t>
      </w:r>
      <w:r w:rsidRPr="00C1088D">
        <w:t>Firms’ profitability and international trade status 2000-2010</w:t>
      </w:r>
    </w:p>
    <w:tbl>
      <w:tblPr>
        <w:tblW w:w="9933" w:type="dxa"/>
        <w:tblInd w:w="70" w:type="dxa"/>
        <w:tblLayout w:type="fixed"/>
        <w:tblCellMar>
          <w:left w:w="70" w:type="dxa"/>
          <w:right w:w="70" w:type="dxa"/>
        </w:tblCellMar>
        <w:tblLook w:val="04A0" w:firstRow="1" w:lastRow="0" w:firstColumn="1" w:lastColumn="0" w:noHBand="0" w:noVBand="1"/>
      </w:tblPr>
      <w:tblGrid>
        <w:gridCol w:w="4253"/>
        <w:gridCol w:w="908"/>
        <w:gridCol w:w="84"/>
        <w:gridCol w:w="976"/>
        <w:gridCol w:w="84"/>
        <w:gridCol w:w="1208"/>
        <w:gridCol w:w="84"/>
        <w:gridCol w:w="1192"/>
        <w:gridCol w:w="84"/>
        <w:gridCol w:w="940"/>
        <w:gridCol w:w="36"/>
        <w:gridCol w:w="84"/>
      </w:tblGrid>
      <w:tr w:rsidR="00C97764" w:rsidRPr="00D849EE" w:rsidTr="00D83BF7">
        <w:trPr>
          <w:gridAfter w:val="2"/>
          <w:wAfter w:w="120" w:type="dxa"/>
          <w:trHeight w:val="310"/>
        </w:trPr>
        <w:tc>
          <w:tcPr>
            <w:tcW w:w="4253" w:type="dxa"/>
            <w:tcBorders>
              <w:top w:val="single" w:sz="4" w:space="0" w:color="auto"/>
              <w:left w:val="nil"/>
              <w:bottom w:val="nil"/>
              <w:right w:val="nil"/>
            </w:tcBorders>
            <w:shd w:val="clear" w:color="auto" w:fill="auto"/>
            <w:noWrap/>
            <w:vAlign w:val="bottom"/>
            <w:hideMark/>
          </w:tcPr>
          <w:p w:rsidR="00C97764" w:rsidRPr="00D849EE" w:rsidRDefault="00C97764" w:rsidP="00032942">
            <w:pPr>
              <w:rPr>
                <w:rFonts w:ascii="Calibri" w:hAnsi="Calibri" w:cs="Calibri"/>
                <w:color w:val="000000"/>
                <w:sz w:val="16"/>
                <w:szCs w:val="16"/>
                <w:lang w:eastAsia="fr-FR"/>
              </w:rPr>
            </w:pPr>
            <w:r w:rsidRPr="00D849EE">
              <w:rPr>
                <w:rFonts w:ascii="Calibri" w:hAnsi="Calibri" w:cs="Calibri"/>
                <w:color w:val="000000"/>
                <w:sz w:val="16"/>
                <w:szCs w:val="16"/>
                <w:lang w:eastAsia="fr-FR"/>
              </w:rPr>
              <w:t> </w:t>
            </w:r>
          </w:p>
        </w:tc>
        <w:tc>
          <w:tcPr>
            <w:tcW w:w="908" w:type="dxa"/>
            <w:vMerge w:val="restart"/>
            <w:tcBorders>
              <w:top w:val="single" w:sz="4" w:space="0" w:color="auto"/>
              <w:left w:val="nil"/>
              <w:right w:val="nil"/>
            </w:tcBorders>
            <w:vAlign w:val="center"/>
          </w:tcPr>
          <w:p w:rsidR="00C97764" w:rsidRPr="00D849EE" w:rsidRDefault="00C97764" w:rsidP="00C97764">
            <w:pPr>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All firms</w:t>
            </w:r>
          </w:p>
        </w:tc>
        <w:tc>
          <w:tcPr>
            <w:tcW w:w="4652" w:type="dxa"/>
            <w:gridSpan w:val="8"/>
            <w:tcBorders>
              <w:top w:val="single" w:sz="4" w:space="0" w:color="auto"/>
              <w:left w:val="nil"/>
              <w:bottom w:val="single" w:sz="4" w:space="0" w:color="auto"/>
              <w:right w:val="nil"/>
            </w:tcBorders>
          </w:tcPr>
          <w:p w:rsidR="00C97764" w:rsidRPr="00D849EE" w:rsidRDefault="00C97764">
            <w:pPr>
              <w:jc w:val="center"/>
              <w:rPr>
                <w:rFonts w:ascii="Times New Roman" w:hAnsi="Times New Roman"/>
                <w:b/>
                <w:bCs/>
                <w:color w:val="000000"/>
                <w:sz w:val="16"/>
                <w:szCs w:val="16"/>
                <w:lang w:eastAsia="fr-FR"/>
              </w:rPr>
            </w:pPr>
            <w:r w:rsidRPr="00D849EE">
              <w:rPr>
                <w:rFonts w:ascii="Times New Roman" w:hAnsi="Times New Roman"/>
                <w:b/>
                <w:bCs/>
                <w:color w:val="000000"/>
                <w:sz w:val="16"/>
                <w:szCs w:val="16"/>
                <w:lang w:eastAsia="fr-FR"/>
              </w:rPr>
              <w:t>Firms with more than one employee</w:t>
            </w:r>
          </w:p>
        </w:tc>
      </w:tr>
      <w:tr w:rsidR="00032942" w:rsidRPr="00D849EE" w:rsidTr="00D83BF7">
        <w:trPr>
          <w:gridAfter w:val="1"/>
          <w:wAfter w:w="84" w:type="dxa"/>
          <w:trHeight w:val="283"/>
        </w:trPr>
        <w:tc>
          <w:tcPr>
            <w:tcW w:w="4253" w:type="dxa"/>
            <w:tcBorders>
              <w:top w:val="nil"/>
              <w:left w:val="nil"/>
              <w:bottom w:val="single" w:sz="4" w:space="0" w:color="auto"/>
              <w:right w:val="nil"/>
            </w:tcBorders>
            <w:shd w:val="clear" w:color="auto" w:fill="auto"/>
            <w:noWrap/>
            <w:vAlign w:val="bottom"/>
            <w:hideMark/>
          </w:tcPr>
          <w:p w:rsidR="00032942" w:rsidRPr="00D849EE" w:rsidRDefault="00032942" w:rsidP="00032942">
            <w:pPr>
              <w:rPr>
                <w:rFonts w:ascii="Calibri" w:hAnsi="Calibri" w:cs="Calibri"/>
                <w:color w:val="000000"/>
                <w:sz w:val="16"/>
                <w:szCs w:val="16"/>
                <w:lang w:eastAsia="fr-FR"/>
              </w:rPr>
            </w:pPr>
            <w:r w:rsidRPr="00D849EE">
              <w:rPr>
                <w:rFonts w:ascii="Calibri" w:hAnsi="Calibri" w:cs="Calibri"/>
                <w:color w:val="000000"/>
                <w:sz w:val="16"/>
                <w:szCs w:val="16"/>
                <w:lang w:eastAsia="fr-FR"/>
              </w:rPr>
              <w:t> </w:t>
            </w:r>
          </w:p>
        </w:tc>
        <w:tc>
          <w:tcPr>
            <w:tcW w:w="908" w:type="dxa"/>
            <w:vMerge/>
            <w:tcBorders>
              <w:left w:val="nil"/>
              <w:bottom w:val="single" w:sz="4" w:space="0" w:color="000000"/>
              <w:right w:val="nil"/>
            </w:tcBorders>
          </w:tcPr>
          <w:p w:rsidR="00182AAD" w:rsidRDefault="00182AAD" w:rsidP="00182AAD">
            <w:pPr>
              <w:jc w:val="center"/>
              <w:rPr>
                <w:rFonts w:ascii="Times New Roman" w:hAnsi="Times New Roman" w:cs="Arial"/>
                <w:b/>
                <w:bCs/>
                <w:iCs/>
                <w:color w:val="000000"/>
                <w:kern w:val="26"/>
                <w:sz w:val="16"/>
                <w:szCs w:val="16"/>
                <w:lang w:eastAsia="fr-FR"/>
              </w:rPr>
            </w:pPr>
          </w:p>
        </w:tc>
        <w:tc>
          <w:tcPr>
            <w:tcW w:w="1060" w:type="dxa"/>
            <w:gridSpan w:val="2"/>
            <w:tcBorders>
              <w:top w:val="single" w:sz="4" w:space="0" w:color="auto"/>
              <w:left w:val="nil"/>
              <w:bottom w:val="single" w:sz="4" w:space="0" w:color="000000"/>
              <w:right w:val="nil"/>
            </w:tcBorders>
            <w:shd w:val="clear" w:color="auto" w:fill="auto"/>
            <w:hideMark/>
          </w:tcPr>
          <w:p w:rsidR="00032942" w:rsidRPr="00D849EE" w:rsidRDefault="00032942" w:rsidP="00C97764">
            <w:pPr>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All</w:t>
            </w:r>
          </w:p>
        </w:tc>
        <w:tc>
          <w:tcPr>
            <w:tcW w:w="1292" w:type="dxa"/>
            <w:gridSpan w:val="2"/>
            <w:tcBorders>
              <w:top w:val="nil"/>
              <w:left w:val="nil"/>
              <w:bottom w:val="single" w:sz="4" w:space="0" w:color="auto"/>
              <w:right w:val="nil"/>
            </w:tcBorders>
            <w:shd w:val="clear" w:color="auto" w:fill="auto"/>
            <w:hideMark/>
          </w:tcPr>
          <w:p w:rsidR="00032942" w:rsidRPr="00D849EE" w:rsidRDefault="00032942">
            <w:pPr>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Manufacturing</w:t>
            </w:r>
          </w:p>
        </w:tc>
        <w:tc>
          <w:tcPr>
            <w:tcW w:w="1276" w:type="dxa"/>
            <w:gridSpan w:val="2"/>
            <w:tcBorders>
              <w:top w:val="nil"/>
              <w:left w:val="nil"/>
              <w:bottom w:val="single" w:sz="4" w:space="0" w:color="auto"/>
              <w:right w:val="nil"/>
            </w:tcBorders>
          </w:tcPr>
          <w:p w:rsidR="00182AAD" w:rsidRDefault="00032942" w:rsidP="00182AAD">
            <w:pPr>
              <w:tabs>
                <w:tab w:val="center" w:pos="657"/>
              </w:tabs>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Non</w:t>
            </w:r>
          </w:p>
          <w:p w:rsidR="00182AAD" w:rsidRDefault="00032942" w:rsidP="00182AAD">
            <w:pPr>
              <w:tabs>
                <w:tab w:val="center" w:pos="657"/>
              </w:tabs>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Manufacturing</w:t>
            </w:r>
          </w:p>
        </w:tc>
        <w:tc>
          <w:tcPr>
            <w:tcW w:w="1060" w:type="dxa"/>
            <w:gridSpan w:val="3"/>
            <w:tcBorders>
              <w:top w:val="nil"/>
              <w:left w:val="nil"/>
              <w:bottom w:val="single" w:sz="4" w:space="0" w:color="auto"/>
              <w:right w:val="nil"/>
            </w:tcBorders>
            <w:shd w:val="clear" w:color="auto" w:fill="auto"/>
            <w:hideMark/>
          </w:tcPr>
          <w:p w:rsidR="00182AAD" w:rsidRDefault="00032942" w:rsidP="00182AAD">
            <w:pPr>
              <w:tabs>
                <w:tab w:val="center" w:pos="657"/>
              </w:tabs>
              <w:jc w:val="cente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Services</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8433E3" w:rsidP="00032942">
            <w:pPr>
              <w:rPr>
                <w:rFonts w:ascii="Times New Roman" w:hAnsi="Times New Roman"/>
                <w:b/>
                <w:bCs/>
                <w:color w:val="000000"/>
                <w:sz w:val="16"/>
                <w:szCs w:val="16"/>
                <w:lang w:eastAsia="fr-FR"/>
              </w:rPr>
            </w:pPr>
            <w:r>
              <w:rPr>
                <w:rFonts w:ascii="Times New Roman" w:hAnsi="Times New Roman"/>
                <w:b/>
                <w:bCs/>
                <w:color w:val="000000"/>
                <w:sz w:val="16"/>
                <w:szCs w:val="16"/>
                <w:lang w:eastAsia="fr-FR"/>
              </w:rPr>
              <w:t>Onshore n</w:t>
            </w:r>
            <w:r w:rsidR="00032942" w:rsidRPr="00D849EE">
              <w:rPr>
                <w:rFonts w:ascii="Times New Roman" w:hAnsi="Times New Roman"/>
                <w:b/>
                <w:bCs/>
                <w:color w:val="000000"/>
                <w:sz w:val="16"/>
                <w:szCs w:val="16"/>
                <w:lang w:eastAsia="fr-FR"/>
              </w:rPr>
              <w:t>on exporting and importing firms</w:t>
            </w:r>
          </w:p>
        </w:tc>
        <w:tc>
          <w:tcPr>
            <w:tcW w:w="992" w:type="dxa"/>
            <w:gridSpan w:val="2"/>
            <w:tcBorders>
              <w:top w:val="nil"/>
              <w:left w:val="nil"/>
              <w:bottom w:val="nil"/>
              <w:right w:val="nil"/>
            </w:tcBorders>
            <w:vAlign w:val="bottom"/>
          </w:tcPr>
          <w:p w:rsidR="00032942" w:rsidRPr="00D849EE" w:rsidRDefault="00032942" w:rsidP="00C97764">
            <w:pPr>
              <w:jc w:val="center"/>
              <w:rPr>
                <w:rFonts w:ascii="Times New Roman" w:hAnsi="Times New Roman"/>
                <w:color w:val="000000"/>
                <w:sz w:val="16"/>
                <w:szCs w:val="16"/>
              </w:rPr>
            </w:pPr>
            <w:r w:rsidRPr="00D849EE">
              <w:rPr>
                <w:rFonts w:ascii="Times New Roman" w:hAnsi="Times New Roman"/>
                <w:color w:val="000000"/>
                <w:sz w:val="16"/>
                <w:szCs w:val="16"/>
              </w:rPr>
              <w:t>0.776***</w:t>
            </w:r>
          </w:p>
        </w:tc>
        <w:tc>
          <w:tcPr>
            <w:tcW w:w="1060"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0.779***</w:t>
            </w:r>
          </w:p>
        </w:tc>
        <w:tc>
          <w:tcPr>
            <w:tcW w:w="1292"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0.7546</w:t>
            </w:r>
          </w:p>
        </w:tc>
        <w:tc>
          <w:tcPr>
            <w:tcW w:w="1276" w:type="dxa"/>
            <w:gridSpan w:val="2"/>
            <w:tcBorders>
              <w:top w:val="nil"/>
              <w:left w:val="nil"/>
              <w:bottom w:val="nil"/>
              <w:right w:val="nil"/>
            </w:tcBorders>
            <w:vAlign w:val="bottom"/>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0.6545</w:t>
            </w:r>
          </w:p>
        </w:tc>
        <w:tc>
          <w:tcPr>
            <w:tcW w:w="1060" w:type="dxa"/>
            <w:gridSpan w:val="3"/>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0.7986</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eastAsia="fr-FR"/>
              </w:rPr>
            </w:pPr>
            <w:r w:rsidRPr="00D849EE">
              <w:rPr>
                <w:rFonts w:ascii="Times New Roman" w:hAnsi="Times New Roman"/>
                <w:b/>
                <w:bCs/>
                <w:color w:val="000000"/>
                <w:sz w:val="16"/>
                <w:szCs w:val="16"/>
                <w:lang w:eastAsia="fr-FR"/>
              </w:rPr>
              <w:t>Onshore firms exporting and non importing</w:t>
            </w:r>
          </w:p>
        </w:tc>
        <w:tc>
          <w:tcPr>
            <w:tcW w:w="992" w:type="dxa"/>
            <w:gridSpan w:val="2"/>
            <w:tcBorders>
              <w:top w:val="nil"/>
              <w:left w:val="nil"/>
              <w:bottom w:val="nil"/>
              <w:right w:val="nil"/>
            </w:tcBorders>
            <w:vAlign w:val="bottom"/>
          </w:tcPr>
          <w:p w:rsidR="00032942" w:rsidRPr="00D849EE" w:rsidRDefault="00032942" w:rsidP="00C97764">
            <w:pPr>
              <w:jc w:val="center"/>
              <w:rPr>
                <w:rFonts w:ascii="Times New Roman" w:hAnsi="Times New Roman"/>
                <w:color w:val="000000"/>
                <w:sz w:val="16"/>
                <w:szCs w:val="16"/>
              </w:rPr>
            </w:pPr>
            <w:r w:rsidRPr="00D849EE">
              <w:rPr>
                <w:rFonts w:ascii="Times New Roman" w:hAnsi="Times New Roman"/>
                <w:color w:val="000000"/>
                <w:sz w:val="16"/>
                <w:szCs w:val="16"/>
              </w:rPr>
              <w:t>0.388***</w:t>
            </w:r>
          </w:p>
        </w:tc>
        <w:tc>
          <w:tcPr>
            <w:tcW w:w="1060"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0.378***</w:t>
            </w:r>
          </w:p>
        </w:tc>
        <w:tc>
          <w:tcPr>
            <w:tcW w:w="1292"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0.352***</w:t>
            </w:r>
          </w:p>
        </w:tc>
        <w:tc>
          <w:tcPr>
            <w:tcW w:w="1276" w:type="dxa"/>
            <w:gridSpan w:val="2"/>
            <w:tcBorders>
              <w:top w:val="nil"/>
              <w:left w:val="nil"/>
              <w:bottom w:val="nil"/>
              <w:right w:val="nil"/>
            </w:tcBorders>
            <w:vAlign w:val="bottom"/>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1.053***</w:t>
            </w:r>
          </w:p>
        </w:tc>
        <w:tc>
          <w:tcPr>
            <w:tcW w:w="1060" w:type="dxa"/>
            <w:gridSpan w:val="3"/>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0.304***</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eastAsia="fr-FR"/>
              </w:rPr>
            </w:pPr>
            <w:r w:rsidRPr="00D849EE">
              <w:rPr>
                <w:rFonts w:ascii="Times New Roman" w:hAnsi="Times New Roman"/>
                <w:b/>
                <w:bCs/>
                <w:color w:val="000000"/>
                <w:sz w:val="16"/>
                <w:szCs w:val="16"/>
                <w:lang w:eastAsia="fr-FR"/>
              </w:rPr>
              <w:t>Onshore firms exporting and importing</w:t>
            </w:r>
          </w:p>
        </w:tc>
        <w:tc>
          <w:tcPr>
            <w:tcW w:w="992" w:type="dxa"/>
            <w:gridSpan w:val="2"/>
            <w:tcBorders>
              <w:top w:val="nil"/>
              <w:left w:val="nil"/>
              <w:bottom w:val="nil"/>
              <w:right w:val="nil"/>
            </w:tcBorders>
            <w:vAlign w:val="bottom"/>
          </w:tcPr>
          <w:p w:rsidR="00032942" w:rsidRPr="00D849EE" w:rsidRDefault="00032942" w:rsidP="00C97764">
            <w:pPr>
              <w:jc w:val="center"/>
              <w:rPr>
                <w:rFonts w:ascii="Times New Roman" w:hAnsi="Times New Roman"/>
                <w:color w:val="000000"/>
                <w:sz w:val="16"/>
                <w:szCs w:val="16"/>
              </w:rPr>
            </w:pPr>
            <w:r w:rsidRPr="00D849EE">
              <w:rPr>
                <w:rFonts w:ascii="Times New Roman" w:hAnsi="Times New Roman"/>
                <w:color w:val="000000"/>
                <w:sz w:val="16"/>
                <w:szCs w:val="16"/>
              </w:rPr>
              <w:t>1.241***</w:t>
            </w:r>
          </w:p>
        </w:tc>
        <w:tc>
          <w:tcPr>
            <w:tcW w:w="1060"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1.231***</w:t>
            </w:r>
          </w:p>
        </w:tc>
        <w:tc>
          <w:tcPr>
            <w:tcW w:w="1292"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1.121***</w:t>
            </w:r>
          </w:p>
        </w:tc>
        <w:tc>
          <w:tcPr>
            <w:tcW w:w="1276" w:type="dxa"/>
            <w:gridSpan w:val="2"/>
            <w:tcBorders>
              <w:top w:val="nil"/>
              <w:left w:val="nil"/>
              <w:bottom w:val="nil"/>
              <w:right w:val="nil"/>
            </w:tcBorders>
            <w:vAlign w:val="bottom"/>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1.134***</w:t>
            </w:r>
          </w:p>
        </w:tc>
        <w:tc>
          <w:tcPr>
            <w:tcW w:w="1060" w:type="dxa"/>
            <w:gridSpan w:val="3"/>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1.281***</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eastAsia="fr-FR"/>
              </w:rPr>
            </w:pPr>
            <w:r w:rsidRPr="00D849EE">
              <w:rPr>
                <w:rFonts w:ascii="Times New Roman" w:hAnsi="Times New Roman"/>
                <w:b/>
                <w:bCs/>
                <w:color w:val="000000"/>
                <w:sz w:val="16"/>
                <w:szCs w:val="16"/>
                <w:lang w:eastAsia="fr-FR"/>
              </w:rPr>
              <w:t xml:space="preserve">Offshore firms  </w:t>
            </w:r>
            <w:r w:rsidR="00CB3116">
              <w:rPr>
                <w:rFonts w:ascii="Times New Roman" w:hAnsi="Times New Roman"/>
                <w:b/>
                <w:bCs/>
                <w:color w:val="000000"/>
                <w:sz w:val="16"/>
                <w:szCs w:val="16"/>
                <w:lang w:eastAsia="fr-FR"/>
              </w:rPr>
              <w:t xml:space="preserve">exporting </w:t>
            </w:r>
            <w:r w:rsidRPr="00D849EE">
              <w:rPr>
                <w:rFonts w:ascii="Times New Roman" w:hAnsi="Times New Roman"/>
                <w:b/>
                <w:bCs/>
                <w:color w:val="000000"/>
                <w:sz w:val="16"/>
                <w:szCs w:val="16"/>
                <w:lang w:eastAsia="fr-FR"/>
              </w:rPr>
              <w:t>and non importing</w:t>
            </w:r>
          </w:p>
        </w:tc>
        <w:tc>
          <w:tcPr>
            <w:tcW w:w="992" w:type="dxa"/>
            <w:gridSpan w:val="2"/>
            <w:tcBorders>
              <w:top w:val="nil"/>
              <w:left w:val="nil"/>
              <w:bottom w:val="nil"/>
              <w:right w:val="nil"/>
            </w:tcBorders>
            <w:vAlign w:val="bottom"/>
          </w:tcPr>
          <w:p w:rsidR="00032942" w:rsidRPr="00D849EE" w:rsidRDefault="00032942" w:rsidP="00C97764">
            <w:pPr>
              <w:jc w:val="center"/>
              <w:rPr>
                <w:rFonts w:ascii="Times New Roman" w:hAnsi="Times New Roman"/>
                <w:color w:val="000000"/>
                <w:sz w:val="16"/>
                <w:szCs w:val="16"/>
              </w:rPr>
            </w:pPr>
            <w:r w:rsidRPr="00D849EE">
              <w:rPr>
                <w:rFonts w:ascii="Times New Roman" w:hAnsi="Times New Roman"/>
                <w:color w:val="000000"/>
                <w:sz w:val="16"/>
                <w:szCs w:val="16"/>
              </w:rPr>
              <w:t>1.653***</w:t>
            </w:r>
          </w:p>
        </w:tc>
        <w:tc>
          <w:tcPr>
            <w:tcW w:w="1060"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1.577***</w:t>
            </w:r>
          </w:p>
        </w:tc>
        <w:tc>
          <w:tcPr>
            <w:tcW w:w="1292"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1.239***</w:t>
            </w:r>
          </w:p>
        </w:tc>
        <w:tc>
          <w:tcPr>
            <w:tcW w:w="1276" w:type="dxa"/>
            <w:gridSpan w:val="2"/>
            <w:tcBorders>
              <w:top w:val="nil"/>
              <w:left w:val="nil"/>
              <w:bottom w:val="nil"/>
              <w:right w:val="nil"/>
            </w:tcBorders>
            <w:vAlign w:val="bottom"/>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4.251***</w:t>
            </w:r>
          </w:p>
        </w:tc>
        <w:tc>
          <w:tcPr>
            <w:tcW w:w="1060" w:type="dxa"/>
            <w:gridSpan w:val="3"/>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1.766***</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2700F9" w:rsidRDefault="00032942" w:rsidP="00032942">
            <w:pPr>
              <w:rPr>
                <w:rFonts w:ascii="Times New Roman" w:hAnsi="Times New Roman"/>
                <w:b/>
                <w:bCs/>
                <w:color w:val="000000"/>
                <w:sz w:val="16"/>
                <w:szCs w:val="16"/>
                <w:lang w:eastAsia="fr-FR"/>
              </w:rPr>
            </w:pPr>
            <w:r w:rsidRPr="002700F9">
              <w:rPr>
                <w:rFonts w:ascii="Times New Roman" w:hAnsi="Times New Roman"/>
                <w:b/>
                <w:bCs/>
                <w:color w:val="000000"/>
                <w:sz w:val="16"/>
                <w:szCs w:val="16"/>
                <w:lang w:eastAsia="fr-FR"/>
              </w:rPr>
              <w:t xml:space="preserve">Offshore firms </w:t>
            </w:r>
            <w:r w:rsidR="00CB3116" w:rsidRPr="002700F9">
              <w:rPr>
                <w:rFonts w:ascii="Times New Roman" w:hAnsi="Times New Roman"/>
                <w:b/>
                <w:bCs/>
                <w:color w:val="000000"/>
                <w:sz w:val="16"/>
                <w:szCs w:val="16"/>
                <w:lang w:eastAsia="fr-FR"/>
              </w:rPr>
              <w:t xml:space="preserve">exporting </w:t>
            </w:r>
            <w:r w:rsidRPr="002700F9">
              <w:rPr>
                <w:rFonts w:ascii="Times New Roman" w:hAnsi="Times New Roman"/>
                <w:b/>
                <w:bCs/>
                <w:color w:val="000000"/>
                <w:sz w:val="16"/>
                <w:szCs w:val="16"/>
                <w:lang w:eastAsia="fr-FR"/>
              </w:rPr>
              <w:t>and importing</w:t>
            </w:r>
          </w:p>
        </w:tc>
        <w:tc>
          <w:tcPr>
            <w:tcW w:w="992" w:type="dxa"/>
            <w:gridSpan w:val="2"/>
            <w:tcBorders>
              <w:top w:val="nil"/>
              <w:left w:val="nil"/>
              <w:bottom w:val="nil"/>
              <w:right w:val="nil"/>
            </w:tcBorders>
            <w:vAlign w:val="bottom"/>
          </w:tcPr>
          <w:p w:rsidR="00032942" w:rsidRPr="00D849EE" w:rsidRDefault="00032942" w:rsidP="00C97764">
            <w:pPr>
              <w:jc w:val="center"/>
              <w:rPr>
                <w:rFonts w:ascii="Times New Roman" w:hAnsi="Times New Roman"/>
                <w:color w:val="000000"/>
                <w:sz w:val="16"/>
                <w:szCs w:val="16"/>
              </w:rPr>
            </w:pPr>
            <w:r w:rsidRPr="00D849EE">
              <w:rPr>
                <w:rFonts w:ascii="Times New Roman" w:hAnsi="Times New Roman"/>
                <w:color w:val="000000"/>
                <w:sz w:val="16"/>
                <w:szCs w:val="16"/>
              </w:rPr>
              <w:t>1.375***</w:t>
            </w:r>
          </w:p>
        </w:tc>
        <w:tc>
          <w:tcPr>
            <w:tcW w:w="1060"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1.364***</w:t>
            </w:r>
          </w:p>
        </w:tc>
        <w:tc>
          <w:tcPr>
            <w:tcW w:w="1292" w:type="dxa"/>
            <w:gridSpan w:val="2"/>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1.133***</w:t>
            </w:r>
          </w:p>
        </w:tc>
        <w:tc>
          <w:tcPr>
            <w:tcW w:w="1276" w:type="dxa"/>
            <w:gridSpan w:val="2"/>
            <w:tcBorders>
              <w:top w:val="nil"/>
              <w:left w:val="nil"/>
              <w:bottom w:val="nil"/>
              <w:right w:val="nil"/>
            </w:tcBorders>
            <w:vAlign w:val="bottom"/>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2.381***</w:t>
            </w:r>
          </w:p>
        </w:tc>
        <w:tc>
          <w:tcPr>
            <w:tcW w:w="1060" w:type="dxa"/>
            <w:gridSpan w:val="3"/>
            <w:tcBorders>
              <w:top w:val="nil"/>
              <w:left w:val="nil"/>
              <w:bottom w:val="nil"/>
              <w:right w:val="nil"/>
            </w:tcBorders>
            <w:shd w:val="clear" w:color="auto" w:fill="auto"/>
            <w:vAlign w:val="bottom"/>
            <w:hideMark/>
          </w:tcPr>
          <w:p w:rsidR="00032942" w:rsidRPr="00D849EE" w:rsidRDefault="00032942">
            <w:pPr>
              <w:jc w:val="center"/>
              <w:rPr>
                <w:rFonts w:ascii="Times New Roman" w:hAnsi="Times New Roman"/>
                <w:color w:val="000000"/>
                <w:sz w:val="16"/>
                <w:szCs w:val="16"/>
              </w:rPr>
            </w:pPr>
            <w:r w:rsidRPr="00D849EE">
              <w:rPr>
                <w:rFonts w:ascii="Times New Roman" w:hAnsi="Times New Roman"/>
                <w:color w:val="000000"/>
                <w:sz w:val="16"/>
                <w:szCs w:val="16"/>
              </w:rPr>
              <w:t>1.788***</w:t>
            </w:r>
          </w:p>
        </w:tc>
      </w:tr>
      <w:tr w:rsidR="00032942" w:rsidRPr="0014224A" w:rsidTr="00D83BF7">
        <w:trPr>
          <w:trHeight w:val="310"/>
        </w:trPr>
        <w:tc>
          <w:tcPr>
            <w:tcW w:w="4253" w:type="dxa"/>
            <w:tcBorders>
              <w:top w:val="nil"/>
              <w:left w:val="nil"/>
              <w:bottom w:val="nil"/>
              <w:right w:val="nil"/>
            </w:tcBorders>
            <w:shd w:val="clear" w:color="auto" w:fill="auto"/>
            <w:vAlign w:val="center"/>
            <w:hideMark/>
          </w:tcPr>
          <w:p w:rsidR="00032942" w:rsidRPr="0014224A" w:rsidRDefault="00032942" w:rsidP="00032942">
            <w:pPr>
              <w:rPr>
                <w:rFonts w:ascii="Times New Roman" w:hAnsi="Times New Roman"/>
                <w:b/>
                <w:bCs/>
                <w:color w:val="000000"/>
                <w:sz w:val="16"/>
                <w:szCs w:val="16"/>
                <w:lang w:val="fr-FR" w:eastAsia="fr-FR"/>
              </w:rPr>
            </w:pPr>
            <w:r w:rsidRPr="0014224A">
              <w:rPr>
                <w:rFonts w:ascii="Times New Roman" w:hAnsi="Times New Roman"/>
                <w:b/>
                <w:bCs/>
                <w:color w:val="000000"/>
                <w:sz w:val="16"/>
                <w:szCs w:val="16"/>
                <w:lang w:val="fr-FR" w:eastAsia="fr-FR"/>
              </w:rPr>
              <w:t>Firm's</w:t>
            </w:r>
            <w:r w:rsidR="008F4885">
              <w:rPr>
                <w:rFonts w:ascii="Times New Roman" w:hAnsi="Times New Roman"/>
                <w:b/>
                <w:bCs/>
                <w:color w:val="000000"/>
                <w:sz w:val="16"/>
                <w:szCs w:val="16"/>
                <w:lang w:val="fr-FR" w:eastAsia="fr-FR"/>
              </w:rPr>
              <w:t>s</w:t>
            </w:r>
            <w:r w:rsidRPr="0014224A">
              <w:rPr>
                <w:rFonts w:ascii="Times New Roman" w:hAnsi="Times New Roman"/>
                <w:b/>
                <w:bCs/>
                <w:color w:val="000000"/>
                <w:sz w:val="16"/>
                <w:szCs w:val="16"/>
                <w:lang w:val="fr-FR" w:eastAsia="fr-FR"/>
              </w:rPr>
              <w:t>ize Effects</w:t>
            </w:r>
          </w:p>
        </w:tc>
        <w:tc>
          <w:tcPr>
            <w:tcW w:w="992"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14224A">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Firm’s</w:t>
            </w:r>
            <w:r w:rsidR="008F4885">
              <w:rPr>
                <w:rFonts w:ascii="Times New Roman" w:hAnsi="Times New Roman"/>
                <w:b/>
                <w:bCs/>
                <w:color w:val="000000"/>
                <w:sz w:val="16"/>
                <w:szCs w:val="16"/>
                <w:lang w:val="fr-FR" w:eastAsia="fr-FR"/>
              </w:rPr>
              <w:t>a</w:t>
            </w:r>
            <w:r w:rsidRPr="0014224A">
              <w:rPr>
                <w:rFonts w:ascii="Times New Roman" w:hAnsi="Times New Roman"/>
                <w:b/>
                <w:bCs/>
                <w:color w:val="000000"/>
                <w:sz w:val="16"/>
                <w:szCs w:val="16"/>
                <w:lang w:val="fr-FR" w:eastAsia="fr-FR"/>
              </w:rPr>
              <w:t>geEffects</w:t>
            </w:r>
          </w:p>
        </w:tc>
        <w:tc>
          <w:tcPr>
            <w:tcW w:w="992"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2700F9" w:rsidRDefault="00032942" w:rsidP="00032942">
            <w:pPr>
              <w:rPr>
                <w:rFonts w:ascii="Times New Roman" w:hAnsi="Times New Roman"/>
                <w:b/>
                <w:bCs/>
                <w:color w:val="000000"/>
                <w:sz w:val="16"/>
                <w:szCs w:val="16"/>
                <w:lang w:eastAsia="fr-FR"/>
              </w:rPr>
            </w:pPr>
            <w:r>
              <w:rPr>
                <w:rFonts w:ascii="Times New Roman" w:hAnsi="Times New Roman"/>
                <w:b/>
                <w:bCs/>
                <w:color w:val="000000"/>
                <w:sz w:val="16"/>
                <w:szCs w:val="16"/>
                <w:lang w:val="en-US" w:eastAsia="fr-FR"/>
              </w:rPr>
              <w:t>Firm’s dynamic</w:t>
            </w:r>
            <w:r w:rsidRPr="0014224A">
              <w:rPr>
                <w:rFonts w:ascii="Times New Roman" w:hAnsi="Times New Roman"/>
                <w:b/>
                <w:bCs/>
                <w:color w:val="000000"/>
                <w:sz w:val="16"/>
                <w:szCs w:val="16"/>
                <w:lang w:val="en-US" w:eastAsia="fr-FR"/>
              </w:rPr>
              <w:t xml:space="preserve"> (active. entry. exit) Effects</w:t>
            </w:r>
          </w:p>
        </w:tc>
        <w:tc>
          <w:tcPr>
            <w:tcW w:w="992"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Firm’s</w:t>
            </w:r>
            <w:r w:rsidR="008F4885">
              <w:rPr>
                <w:rFonts w:ascii="Times New Roman" w:hAnsi="Times New Roman"/>
                <w:b/>
                <w:bCs/>
                <w:color w:val="000000"/>
                <w:sz w:val="16"/>
                <w:szCs w:val="16"/>
                <w:lang w:val="fr-FR" w:eastAsia="fr-FR"/>
              </w:rPr>
              <w:t>l</w:t>
            </w:r>
            <w:r>
              <w:rPr>
                <w:rFonts w:ascii="Times New Roman" w:hAnsi="Times New Roman"/>
                <w:b/>
                <w:bCs/>
                <w:color w:val="000000"/>
                <w:sz w:val="16"/>
                <w:szCs w:val="16"/>
                <w:lang w:val="fr-FR" w:eastAsia="fr-FR"/>
              </w:rPr>
              <w:t>egalStatus</w:t>
            </w:r>
            <w:r w:rsidRPr="0014224A">
              <w:rPr>
                <w:rFonts w:ascii="Times New Roman" w:hAnsi="Times New Roman"/>
                <w:b/>
                <w:bCs/>
                <w:color w:val="000000"/>
                <w:sz w:val="16"/>
                <w:szCs w:val="16"/>
                <w:lang w:val="fr-FR" w:eastAsia="fr-FR"/>
              </w:rPr>
              <w:t>Effects</w:t>
            </w:r>
          </w:p>
        </w:tc>
        <w:tc>
          <w:tcPr>
            <w:tcW w:w="992"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nil"/>
              <w:left w:val="nil"/>
              <w:bottom w:val="nil"/>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fr-FR" w:eastAsia="fr-FR"/>
              </w:rPr>
            </w:pPr>
            <w:r>
              <w:rPr>
                <w:rFonts w:ascii="Times New Roman" w:hAnsi="Times New Roman"/>
                <w:b/>
                <w:bCs/>
                <w:color w:val="000000"/>
                <w:sz w:val="16"/>
                <w:szCs w:val="16"/>
                <w:lang w:val="fr-FR" w:eastAsia="fr-FR"/>
              </w:rPr>
              <w:t>Sector</w:t>
            </w:r>
            <w:r w:rsidR="008F4885">
              <w:rPr>
                <w:rFonts w:ascii="Times New Roman" w:hAnsi="Times New Roman"/>
                <w:b/>
                <w:bCs/>
                <w:color w:val="000000"/>
                <w:sz w:val="16"/>
                <w:szCs w:val="16"/>
                <w:lang w:val="fr-FR" w:eastAsia="fr-FR"/>
              </w:rPr>
              <w:t>f</w:t>
            </w:r>
            <w:r>
              <w:rPr>
                <w:rFonts w:ascii="Times New Roman" w:hAnsi="Times New Roman"/>
                <w:b/>
                <w:bCs/>
                <w:color w:val="000000"/>
                <w:sz w:val="16"/>
                <w:szCs w:val="16"/>
                <w:lang w:val="fr-FR" w:eastAsia="fr-FR"/>
              </w:rPr>
              <w:t>ixed</w:t>
            </w:r>
            <w:r w:rsidRPr="0014224A">
              <w:rPr>
                <w:rFonts w:ascii="Times New Roman" w:hAnsi="Times New Roman"/>
                <w:b/>
                <w:bCs/>
                <w:color w:val="000000"/>
                <w:sz w:val="16"/>
                <w:szCs w:val="16"/>
                <w:lang w:val="fr-FR" w:eastAsia="fr-FR"/>
              </w:rPr>
              <w:t>Effects</w:t>
            </w:r>
          </w:p>
        </w:tc>
        <w:tc>
          <w:tcPr>
            <w:tcW w:w="992"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92" w:type="dxa"/>
            <w:gridSpan w:val="2"/>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76" w:type="dxa"/>
            <w:gridSpan w:val="2"/>
            <w:tcBorders>
              <w:top w:val="nil"/>
              <w:left w:val="nil"/>
              <w:bottom w:val="nil"/>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3"/>
            <w:tcBorders>
              <w:top w:val="nil"/>
              <w:left w:val="nil"/>
              <w:bottom w:val="nil"/>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nil"/>
              <w:left w:val="nil"/>
              <w:bottom w:val="single" w:sz="4" w:space="0" w:color="auto"/>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en-US" w:eastAsia="fr-FR"/>
              </w:rPr>
            </w:pPr>
            <w:r w:rsidRPr="0014224A">
              <w:rPr>
                <w:rFonts w:ascii="Times New Roman" w:hAnsi="Times New Roman"/>
                <w:b/>
                <w:bCs/>
                <w:color w:val="000000"/>
                <w:sz w:val="16"/>
                <w:szCs w:val="16"/>
                <w:lang w:val="fr-FR" w:eastAsia="fr-FR"/>
              </w:rPr>
              <w:t xml:space="preserve">Time </w:t>
            </w:r>
            <w:r w:rsidR="008F4885">
              <w:rPr>
                <w:rFonts w:ascii="Times New Roman" w:hAnsi="Times New Roman"/>
                <w:b/>
                <w:bCs/>
                <w:color w:val="000000"/>
                <w:sz w:val="16"/>
                <w:szCs w:val="16"/>
                <w:lang w:val="fr-FR" w:eastAsia="fr-FR"/>
              </w:rPr>
              <w:t>f</w:t>
            </w:r>
            <w:r>
              <w:rPr>
                <w:rFonts w:ascii="Times New Roman" w:hAnsi="Times New Roman"/>
                <w:b/>
                <w:bCs/>
                <w:color w:val="000000"/>
                <w:sz w:val="16"/>
                <w:szCs w:val="16"/>
                <w:lang w:val="fr-FR" w:eastAsia="fr-FR"/>
              </w:rPr>
              <w:t>ixed</w:t>
            </w:r>
            <w:r w:rsidRPr="0014224A">
              <w:rPr>
                <w:rFonts w:ascii="Times New Roman" w:hAnsi="Times New Roman"/>
                <w:b/>
                <w:bCs/>
                <w:color w:val="000000"/>
                <w:sz w:val="16"/>
                <w:szCs w:val="16"/>
                <w:lang w:val="fr-FR" w:eastAsia="fr-FR"/>
              </w:rPr>
              <w:t>Effects</w:t>
            </w:r>
          </w:p>
        </w:tc>
        <w:tc>
          <w:tcPr>
            <w:tcW w:w="992" w:type="dxa"/>
            <w:gridSpan w:val="2"/>
            <w:tcBorders>
              <w:top w:val="nil"/>
              <w:left w:val="nil"/>
              <w:bottom w:val="single" w:sz="4" w:space="0" w:color="auto"/>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2"/>
            <w:tcBorders>
              <w:top w:val="nil"/>
              <w:left w:val="nil"/>
              <w:bottom w:val="single" w:sz="4" w:space="0" w:color="auto"/>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92" w:type="dxa"/>
            <w:gridSpan w:val="2"/>
            <w:tcBorders>
              <w:top w:val="nil"/>
              <w:left w:val="nil"/>
              <w:bottom w:val="single" w:sz="4" w:space="0" w:color="auto"/>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276" w:type="dxa"/>
            <w:gridSpan w:val="2"/>
            <w:tcBorders>
              <w:top w:val="nil"/>
              <w:left w:val="nil"/>
              <w:bottom w:val="single" w:sz="4" w:space="0" w:color="auto"/>
              <w:right w:val="nil"/>
            </w:tcBorders>
            <w:shd w:val="clear" w:color="auto" w:fill="auto"/>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c>
          <w:tcPr>
            <w:tcW w:w="1060" w:type="dxa"/>
            <w:gridSpan w:val="3"/>
            <w:tcBorders>
              <w:top w:val="nil"/>
              <w:left w:val="nil"/>
              <w:bottom w:val="single" w:sz="4" w:space="0" w:color="auto"/>
              <w:right w:val="nil"/>
            </w:tcBorders>
            <w:shd w:val="clear" w:color="auto" w:fill="auto"/>
            <w:hideMark/>
          </w:tcPr>
          <w:p w:rsidR="00182AAD" w:rsidRDefault="00032942" w:rsidP="00182AAD">
            <w:pPr>
              <w:jc w:val="center"/>
              <w:rPr>
                <w:rFonts w:ascii="Times New Roman" w:hAnsi="Times New Roman"/>
                <w:color w:val="000000"/>
                <w:sz w:val="16"/>
                <w:szCs w:val="16"/>
                <w:lang w:val="fr-FR" w:eastAsia="fr-FR"/>
              </w:rPr>
            </w:pPr>
            <w:r w:rsidRPr="00D849EE">
              <w:rPr>
                <w:rFonts w:ascii="Times New Roman" w:hAnsi="Times New Roman"/>
                <w:color w:val="000000"/>
                <w:sz w:val="16"/>
                <w:szCs w:val="16"/>
                <w:lang w:val="fr-FR" w:eastAsia="fr-FR"/>
              </w:rPr>
              <w:t>Yes</w:t>
            </w:r>
          </w:p>
        </w:tc>
      </w:tr>
      <w:tr w:rsidR="00032942" w:rsidRPr="00D849EE" w:rsidTr="00D83BF7">
        <w:trPr>
          <w:trHeight w:val="310"/>
        </w:trPr>
        <w:tc>
          <w:tcPr>
            <w:tcW w:w="4253" w:type="dxa"/>
            <w:tcBorders>
              <w:top w:val="single" w:sz="4" w:space="0" w:color="auto"/>
              <w:left w:val="nil"/>
              <w:bottom w:val="single" w:sz="4" w:space="0" w:color="auto"/>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N</w:t>
            </w:r>
          </w:p>
        </w:tc>
        <w:tc>
          <w:tcPr>
            <w:tcW w:w="992" w:type="dxa"/>
            <w:gridSpan w:val="2"/>
            <w:tcBorders>
              <w:top w:val="single" w:sz="4" w:space="0" w:color="auto"/>
              <w:left w:val="nil"/>
              <w:bottom w:val="single" w:sz="4" w:space="0" w:color="auto"/>
              <w:right w:val="nil"/>
            </w:tcBorders>
            <w:shd w:val="clear" w:color="auto" w:fill="auto"/>
            <w:vAlign w:val="bottom"/>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1634974</w:t>
            </w:r>
          </w:p>
        </w:tc>
        <w:tc>
          <w:tcPr>
            <w:tcW w:w="1060" w:type="dxa"/>
            <w:gridSpan w:val="2"/>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458473</w:t>
            </w:r>
          </w:p>
        </w:tc>
        <w:tc>
          <w:tcPr>
            <w:tcW w:w="1292" w:type="dxa"/>
            <w:gridSpan w:val="2"/>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111023</w:t>
            </w:r>
          </w:p>
        </w:tc>
        <w:tc>
          <w:tcPr>
            <w:tcW w:w="1276" w:type="dxa"/>
            <w:gridSpan w:val="2"/>
            <w:tcBorders>
              <w:top w:val="single" w:sz="4" w:space="0" w:color="auto"/>
              <w:left w:val="nil"/>
              <w:bottom w:val="single" w:sz="4" w:space="0" w:color="auto"/>
              <w:right w:val="nil"/>
            </w:tcBorders>
            <w:shd w:val="clear" w:color="auto" w:fill="auto"/>
            <w:vAlign w:val="bottom"/>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35296</w:t>
            </w:r>
          </w:p>
        </w:tc>
        <w:tc>
          <w:tcPr>
            <w:tcW w:w="1060" w:type="dxa"/>
            <w:gridSpan w:val="3"/>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304047</w:t>
            </w:r>
          </w:p>
        </w:tc>
      </w:tr>
      <w:tr w:rsidR="00032942" w:rsidRPr="00D849EE" w:rsidTr="00D83BF7">
        <w:trPr>
          <w:trHeight w:val="310"/>
        </w:trPr>
        <w:tc>
          <w:tcPr>
            <w:tcW w:w="4253" w:type="dxa"/>
            <w:tcBorders>
              <w:top w:val="single" w:sz="4" w:space="0" w:color="auto"/>
              <w:left w:val="nil"/>
              <w:bottom w:val="single" w:sz="4" w:space="0" w:color="auto"/>
              <w:right w:val="nil"/>
            </w:tcBorders>
            <w:shd w:val="clear" w:color="auto" w:fill="auto"/>
            <w:vAlign w:val="center"/>
            <w:hideMark/>
          </w:tcPr>
          <w:p w:rsidR="00032942" w:rsidRPr="00D849EE" w:rsidRDefault="00032942" w:rsidP="00032942">
            <w:pPr>
              <w:rPr>
                <w:rFonts w:ascii="Times New Roman" w:hAnsi="Times New Roman"/>
                <w:b/>
                <w:bCs/>
                <w:color w:val="000000"/>
                <w:sz w:val="16"/>
                <w:szCs w:val="16"/>
                <w:lang w:val="fr-FR" w:eastAsia="fr-FR"/>
              </w:rPr>
            </w:pPr>
            <w:r w:rsidRPr="00D849EE">
              <w:rPr>
                <w:rFonts w:ascii="Times New Roman" w:hAnsi="Times New Roman"/>
                <w:b/>
                <w:bCs/>
                <w:color w:val="000000"/>
                <w:sz w:val="16"/>
                <w:szCs w:val="16"/>
                <w:lang w:val="fr-FR" w:eastAsia="fr-FR"/>
              </w:rPr>
              <w:t>R2</w:t>
            </w:r>
          </w:p>
        </w:tc>
        <w:tc>
          <w:tcPr>
            <w:tcW w:w="992" w:type="dxa"/>
            <w:gridSpan w:val="2"/>
            <w:tcBorders>
              <w:top w:val="single" w:sz="4" w:space="0" w:color="auto"/>
              <w:left w:val="nil"/>
              <w:bottom w:val="single" w:sz="4" w:space="0" w:color="auto"/>
              <w:right w:val="nil"/>
            </w:tcBorders>
            <w:shd w:val="clear" w:color="auto" w:fill="auto"/>
            <w:vAlign w:val="bottom"/>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0.3279</w:t>
            </w:r>
          </w:p>
        </w:tc>
        <w:tc>
          <w:tcPr>
            <w:tcW w:w="1060" w:type="dxa"/>
            <w:gridSpan w:val="2"/>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0.3476</w:t>
            </w:r>
          </w:p>
        </w:tc>
        <w:tc>
          <w:tcPr>
            <w:tcW w:w="1292" w:type="dxa"/>
            <w:gridSpan w:val="2"/>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0.2606</w:t>
            </w:r>
          </w:p>
        </w:tc>
        <w:tc>
          <w:tcPr>
            <w:tcW w:w="1276" w:type="dxa"/>
            <w:gridSpan w:val="2"/>
            <w:tcBorders>
              <w:top w:val="single" w:sz="4" w:space="0" w:color="auto"/>
              <w:left w:val="nil"/>
              <w:bottom w:val="single" w:sz="4" w:space="0" w:color="auto"/>
              <w:right w:val="nil"/>
            </w:tcBorders>
            <w:shd w:val="clear" w:color="auto" w:fill="auto"/>
            <w:vAlign w:val="bottom"/>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0.1502</w:t>
            </w:r>
          </w:p>
        </w:tc>
        <w:tc>
          <w:tcPr>
            <w:tcW w:w="1060" w:type="dxa"/>
            <w:gridSpan w:val="3"/>
            <w:tcBorders>
              <w:top w:val="single" w:sz="4" w:space="0" w:color="auto"/>
              <w:left w:val="nil"/>
              <w:bottom w:val="single" w:sz="4" w:space="0" w:color="auto"/>
              <w:right w:val="nil"/>
            </w:tcBorders>
            <w:shd w:val="clear" w:color="auto" w:fill="auto"/>
            <w:vAlign w:val="bottom"/>
            <w:hideMark/>
          </w:tcPr>
          <w:p w:rsidR="00182AAD" w:rsidRDefault="00032942" w:rsidP="00182AAD">
            <w:pPr>
              <w:jc w:val="center"/>
              <w:rPr>
                <w:rFonts w:ascii="Calibri" w:hAnsi="Calibri" w:cs="Calibri"/>
                <w:color w:val="000000"/>
                <w:sz w:val="16"/>
                <w:szCs w:val="16"/>
              </w:rPr>
            </w:pPr>
            <w:r w:rsidRPr="00D849EE">
              <w:rPr>
                <w:rFonts w:ascii="Calibri" w:hAnsi="Calibri" w:cs="Calibri"/>
                <w:color w:val="000000"/>
                <w:sz w:val="16"/>
                <w:szCs w:val="16"/>
              </w:rPr>
              <w:t>0.3640</w:t>
            </w:r>
          </w:p>
        </w:tc>
      </w:tr>
    </w:tbl>
    <w:p w:rsidR="008A17A7" w:rsidRDefault="008A17A7" w:rsidP="008A17A7">
      <w:pPr>
        <w:pStyle w:val="Source"/>
      </w:pPr>
      <w:r w:rsidRPr="00656119">
        <w:rPr>
          <w:b/>
        </w:rPr>
        <w:t>Source:</w:t>
      </w:r>
      <w:r w:rsidRPr="00273064">
        <w:rPr>
          <w:bCs/>
        </w:rPr>
        <w:t>Tunisian Registry of firms;</w:t>
      </w:r>
      <w:r w:rsidRPr="008E682A">
        <w:t>author’s calculation</w:t>
      </w:r>
    </w:p>
    <w:p w:rsidR="00E62CF8" w:rsidRDefault="00E62CF8" w:rsidP="009E11B7">
      <w:pPr>
        <w:pStyle w:val="BodyText10"/>
        <w:ind w:left="-90"/>
      </w:pPr>
    </w:p>
    <w:p w:rsidR="003275C3" w:rsidRDefault="003275C3" w:rsidP="009E11B7">
      <w:pPr>
        <w:pStyle w:val="BodyText10"/>
        <w:ind w:left="-90"/>
        <w:rPr>
          <w:lang w:val="en-US"/>
        </w:rPr>
      </w:pPr>
      <w:r>
        <w:t xml:space="preserve">Surprisingly, </w:t>
      </w:r>
      <w:r w:rsidR="007F0FC2">
        <w:t xml:space="preserve">the difference bwteen non traders and </w:t>
      </w:r>
      <w:r>
        <w:t xml:space="preserve">offshore firms exporting only </w:t>
      </w:r>
      <w:r w:rsidR="007F0FC2">
        <w:t>is higher than the difference with</w:t>
      </w:r>
      <w:r>
        <w:t xml:space="preserve"> two way </w:t>
      </w:r>
      <w:r w:rsidR="009E11B7">
        <w:t xml:space="preserve">offshore </w:t>
      </w:r>
      <w:r>
        <w:t>traders even if the latter are more productive</w:t>
      </w:r>
      <w:r w:rsidR="007F0FC2">
        <w:t xml:space="preserve"> than non traders</w:t>
      </w:r>
      <w:r>
        <w:t xml:space="preserve"> (see Table 2). However, this result confirms the findings of </w:t>
      </w:r>
      <w:r>
        <w:rPr>
          <w:lang w:val="en-US"/>
        </w:rPr>
        <w:t xml:space="preserve">Wagner (2011b). One explanation proposed by this author is that productivity advantages of two </w:t>
      </w:r>
      <w:r w:rsidRPr="00460B27">
        <w:rPr>
          <w:lang w:val="en-US"/>
        </w:rPr>
        <w:t xml:space="preserve">trading </w:t>
      </w:r>
      <w:r>
        <w:rPr>
          <w:lang w:val="en-US"/>
        </w:rPr>
        <w:t xml:space="preserve">offshore </w:t>
      </w:r>
      <w:r w:rsidRPr="00460B27">
        <w:rPr>
          <w:lang w:val="en-US"/>
        </w:rPr>
        <w:t>firms</w:t>
      </w:r>
      <w:r>
        <w:rPr>
          <w:lang w:val="en-US"/>
        </w:rPr>
        <w:t xml:space="preserve"> in Tunisia</w:t>
      </w:r>
      <w:r w:rsidRPr="00460B27">
        <w:rPr>
          <w:lang w:val="en-US"/>
        </w:rPr>
        <w:t xml:space="preserve"> are </w:t>
      </w:r>
      <w:r>
        <w:rPr>
          <w:lang w:val="en-US"/>
        </w:rPr>
        <w:t>counterbalanced</w:t>
      </w:r>
      <w:r w:rsidRPr="00460B27">
        <w:rPr>
          <w:lang w:val="en-US"/>
        </w:rPr>
        <w:t xml:space="preserve"> by extra costs related to buying on foreign markets. </w:t>
      </w:r>
      <w:r>
        <w:rPr>
          <w:lang w:val="en-US"/>
        </w:rPr>
        <w:t xml:space="preserve">Nonetheless, this hypothesis needs to be better explored for the case of offshoring firms in Tunisia as they are supposed to have stronger linkages in foreign markets compared to onshore firms. </w:t>
      </w:r>
    </w:p>
    <w:p w:rsidR="003275C3" w:rsidRDefault="003275C3" w:rsidP="00D83BF7">
      <w:pPr>
        <w:pStyle w:val="BodyText10"/>
        <w:ind w:left="-90"/>
        <w:rPr>
          <w:lang w:val="en-US"/>
        </w:rPr>
      </w:pPr>
      <w:r>
        <w:rPr>
          <w:lang w:val="en-US"/>
        </w:rPr>
        <w:t>Finally, offshore firms are doing much better</w:t>
      </w:r>
      <w:r w:rsidR="007F0FC2">
        <w:rPr>
          <w:lang w:val="en-US"/>
        </w:rPr>
        <w:t xml:space="preserve"> than non traders</w:t>
      </w:r>
      <w:r>
        <w:rPr>
          <w:lang w:val="en-US"/>
        </w:rPr>
        <w:t xml:space="preserve"> in terms of profitability in the services sector and non manufacturing sector</w:t>
      </w:r>
      <w:r w:rsidR="005D1711">
        <w:rPr>
          <w:lang w:val="en-US"/>
        </w:rPr>
        <w:t>,</w:t>
      </w:r>
      <w:r>
        <w:rPr>
          <w:lang w:val="en-US"/>
        </w:rPr>
        <w:t xml:space="preserve"> which is not surprising. </w:t>
      </w:r>
      <w:r w:rsidR="005D1711">
        <w:rPr>
          <w:lang w:val="en-US"/>
        </w:rPr>
        <w:t xml:space="preserve">The profitability gap between non traders and offshore </w:t>
      </w:r>
      <w:r>
        <w:rPr>
          <w:lang w:val="en-US"/>
        </w:rPr>
        <w:t xml:space="preserve">firms in the services sector </w:t>
      </w:r>
      <w:r w:rsidR="005D1711">
        <w:rPr>
          <w:lang w:val="en-US"/>
        </w:rPr>
        <w:t xml:space="preserve">is </w:t>
      </w:r>
      <w:r>
        <w:rPr>
          <w:lang w:val="en-US"/>
        </w:rPr>
        <w:t xml:space="preserve">also </w:t>
      </w:r>
      <w:r w:rsidR="005D1711">
        <w:rPr>
          <w:lang w:val="en-US"/>
        </w:rPr>
        <w:t xml:space="preserve">higher than the gap </w:t>
      </w:r>
      <w:r>
        <w:rPr>
          <w:lang w:val="en-US"/>
        </w:rPr>
        <w:t xml:space="preserve">in the manufacturing sector. However, it seems that the profitability gap between non manufacturing offshore and manufacturing offshore is important compared to the productivity gap.  </w:t>
      </w:r>
    </w:p>
    <w:p w:rsidR="004E2750" w:rsidRPr="004E2750" w:rsidRDefault="004E2750" w:rsidP="00D83BF7">
      <w:pPr>
        <w:pStyle w:val="BodyText1"/>
        <w:rPr>
          <w:lang w:val="en-US"/>
        </w:rPr>
      </w:pPr>
    </w:p>
    <w:p w:rsidR="00D83BF7" w:rsidRDefault="00D83BF7" w:rsidP="00D83BF7">
      <w:pPr>
        <w:pStyle w:val="BodyText10"/>
        <w:ind w:left="-90"/>
      </w:pPr>
      <w:bookmarkStart w:id="4" w:name="_Toc285627193"/>
    </w:p>
    <w:p w:rsidR="005F6CB7" w:rsidRDefault="005F6CB7" w:rsidP="005F6CB7">
      <w:pPr>
        <w:pStyle w:val="ChapterNoandTitle"/>
      </w:pPr>
      <w:r>
        <w:t>Conclusions</w:t>
      </w:r>
    </w:p>
    <w:p w:rsidR="00334394" w:rsidRDefault="00334394" w:rsidP="00940EAB">
      <w:pPr>
        <w:pStyle w:val="BodyText1"/>
      </w:pPr>
      <w:r w:rsidRPr="00334394">
        <w:t xml:space="preserve">This </w:t>
      </w:r>
      <w:r w:rsidR="000B5B5E">
        <w:t>analysis</w:t>
      </w:r>
      <w:r w:rsidRPr="00334394">
        <w:t xml:space="preserve">aims to explore the effects of firm’s foreign exposure on </w:t>
      </w:r>
      <w:r w:rsidR="000B5B5E">
        <w:t>job</w:t>
      </w:r>
      <w:r w:rsidR="00E62CF8">
        <w:t xml:space="preserve"> </w:t>
      </w:r>
      <w:r w:rsidRPr="00334394">
        <w:t>creation, productivity and profitability. We use Tunisian firm</w:t>
      </w:r>
      <w:r w:rsidR="000B5B5E">
        <w:t>-</w:t>
      </w:r>
      <w:r w:rsidRPr="00334394">
        <w:t>level data for the period 2000-20</w:t>
      </w:r>
      <w:r w:rsidR="006E588B">
        <w:t>10. We define six statuses: non-</w:t>
      </w:r>
      <w:r w:rsidR="007538B1">
        <w:t>traders, onshore exporters</w:t>
      </w:r>
      <w:r w:rsidRPr="00334394">
        <w:t xml:space="preserve"> and non</w:t>
      </w:r>
      <w:r w:rsidR="002D6A55">
        <w:t>-</w:t>
      </w:r>
      <w:r w:rsidR="007538B1">
        <w:t>importers</w:t>
      </w:r>
      <w:r w:rsidRPr="00334394">
        <w:t>, onshore non</w:t>
      </w:r>
      <w:r w:rsidR="002D6A55">
        <w:t>-</w:t>
      </w:r>
      <w:r w:rsidR="007538B1">
        <w:t>exporters</w:t>
      </w:r>
      <w:r w:rsidRPr="00334394">
        <w:t xml:space="preserve"> and non</w:t>
      </w:r>
      <w:r w:rsidR="002D6A55">
        <w:t>-</w:t>
      </w:r>
      <w:r w:rsidR="007538B1">
        <w:t>importers, onshore importers</w:t>
      </w:r>
      <w:r w:rsidRPr="00334394">
        <w:t xml:space="preserve"> and non</w:t>
      </w:r>
      <w:r w:rsidR="002D6A55">
        <w:t>-</w:t>
      </w:r>
      <w:r w:rsidR="007538B1">
        <w:t>exporters, offshore exporters and importers</w:t>
      </w:r>
      <w:r w:rsidRPr="00334394">
        <w:t>, offshore non</w:t>
      </w:r>
      <w:r w:rsidR="002D6A55">
        <w:t>-</w:t>
      </w:r>
      <w:r w:rsidR="007538B1">
        <w:t>exporters</w:t>
      </w:r>
      <w:r w:rsidRPr="00334394">
        <w:t xml:space="preserve"> and non</w:t>
      </w:r>
      <w:r w:rsidR="002D6A55">
        <w:t>-</w:t>
      </w:r>
      <w:r w:rsidR="007538B1">
        <w:t>importers</w:t>
      </w:r>
      <w:r w:rsidRPr="00334394">
        <w:t xml:space="preserve">. </w:t>
      </w:r>
    </w:p>
    <w:p w:rsidR="008E795B" w:rsidRDefault="008B4687" w:rsidP="008B4687">
      <w:pPr>
        <w:pStyle w:val="BodyText1"/>
      </w:pPr>
      <w:r>
        <w:lastRenderedPageBreak/>
        <w:t>Three important conclusions can be drawn from this study</w:t>
      </w:r>
      <w:r w:rsidR="008E795B">
        <w:t xml:space="preserve">. </w:t>
      </w:r>
      <w:r w:rsidR="003C55DF">
        <w:t>First, firms engaged in international trade create overall more jobs</w:t>
      </w:r>
      <w:r w:rsidR="001C4476">
        <w:t xml:space="preserve"> than non traders</w:t>
      </w:r>
      <w:r w:rsidR="003C55DF">
        <w:t>. As Jaud and Freund (2015) and Rijkers et al (2015) underlined in their respective publications, small firms in Tunisia are not the one creating more jobs.</w:t>
      </w:r>
      <w:r w:rsidR="00004411">
        <w:t xml:space="preserve"> Firm level evidence suggests that young age rather than smallness imply job creation. A critical size is also needed to access to bigger markets and</w:t>
      </w:r>
      <w:r w:rsidR="003C55DF">
        <w:t xml:space="preserve"> add jobs </w:t>
      </w:r>
      <w:r w:rsidR="00004411">
        <w:t xml:space="preserve">subsequently </w:t>
      </w:r>
      <w:r w:rsidR="003C55DF">
        <w:t xml:space="preserve">to the economy. Thus, </w:t>
      </w:r>
      <w:r w:rsidR="00004411">
        <w:t xml:space="preserve">targeting assistance to help bigger firms reach foreign markets can address partially the problem of unemployment. </w:t>
      </w:r>
    </w:p>
    <w:p w:rsidR="00196ED1" w:rsidRDefault="00004411" w:rsidP="00196ED1">
      <w:pPr>
        <w:pStyle w:val="BodyText10"/>
      </w:pPr>
      <w:r>
        <w:t>Second, import appears to have larger impact on trade creation, productivity and profitability than exports. Indeed</w:t>
      </w:r>
      <w:r w:rsidR="00196ED1">
        <w:t>,</w:t>
      </w:r>
      <w:r w:rsidR="00E62CF8">
        <w:t xml:space="preserve"> </w:t>
      </w:r>
      <w:r w:rsidR="00196ED1">
        <w:t>importers have access to better inputs. Quality intermediates help importers to upgrade their products. In additions, the choice of importing allows firms to focus on their strengths and thus to improve their productivity. Importers and two ways traders are better integrated in international markets. That also might explain their outperformance.</w:t>
      </w:r>
      <w:r w:rsidR="00223F2E">
        <w:t xml:space="preserve"> Therefore, policies should not only target exporters but also importers.</w:t>
      </w:r>
    </w:p>
    <w:p w:rsidR="00223F2E" w:rsidRDefault="00223F2E" w:rsidP="00940EAB">
      <w:pPr>
        <w:pStyle w:val="BodyText10"/>
      </w:pPr>
      <w:r>
        <w:t xml:space="preserve">Finally, </w:t>
      </w:r>
      <w:r w:rsidR="00D52825">
        <w:t xml:space="preserve">the tax regime created by Tunisia in the 70s has created a visible gap between offshore and onshore traders. Offshore firms appear to create more jobs, to be more productive and more profitable in particular in the services sector. </w:t>
      </w:r>
      <w:r w:rsidR="00724593">
        <w:t xml:space="preserve">This dichotomy can have negative spillovers as the offshore firms are relying less and less on the domestic production since they are importing their inputs from outside the country and selling the total of their production to </w:t>
      </w:r>
      <w:r w:rsidR="0087176D">
        <w:t>foreign</w:t>
      </w:r>
      <w:r w:rsidR="00724593">
        <w:t xml:space="preserve"> markets. </w:t>
      </w:r>
      <w:r w:rsidR="008B4687">
        <w:t xml:space="preserve">Furthermore, there is little knowledge transfer as the offshore and offshore sectors are not interacting. </w:t>
      </w:r>
      <w:r w:rsidR="00724593">
        <w:t xml:space="preserve">Consequently, Tunisia is not </w:t>
      </w:r>
      <w:r w:rsidR="00940EAB">
        <w:t>benefiting</w:t>
      </w:r>
      <w:r w:rsidR="00724593">
        <w:t xml:space="preserve"> from the</w:t>
      </w:r>
      <w:r w:rsidR="008B4687">
        <w:t xml:space="preserve"> performance of </w:t>
      </w:r>
      <w:r w:rsidR="00724593">
        <w:t>the offshore sector</w:t>
      </w:r>
      <w:r w:rsidR="00940EAB">
        <w:t xml:space="preserve"> to which the Government gave a large array of incentives and advantages</w:t>
      </w:r>
      <w:r w:rsidR="00724593">
        <w:t xml:space="preserve">. </w:t>
      </w:r>
    </w:p>
    <w:p w:rsidR="00223F2E" w:rsidRDefault="00223F2E" w:rsidP="00196ED1">
      <w:pPr>
        <w:pStyle w:val="BodyText10"/>
      </w:pPr>
    </w:p>
    <w:p w:rsidR="00004411" w:rsidRPr="00334394" w:rsidRDefault="00004411" w:rsidP="00004411">
      <w:pPr>
        <w:pStyle w:val="BodyText1"/>
      </w:pPr>
    </w:p>
    <w:p w:rsidR="005F6CB7" w:rsidRDefault="005F6CB7" w:rsidP="005F6CB7">
      <w:pPr>
        <w:pStyle w:val="Annex-AppendixNo"/>
      </w:pPr>
      <w:bookmarkStart w:id="5" w:name="_Toc285627198"/>
      <w:r>
        <w:lastRenderedPageBreak/>
        <w:t>References</w:t>
      </w:r>
      <w:bookmarkEnd w:id="5"/>
    </w:p>
    <w:p w:rsidR="00AB2508" w:rsidRPr="002700F9" w:rsidRDefault="00AB2508" w:rsidP="00E4593A">
      <w:pPr>
        <w:pStyle w:val="BodyText1"/>
      </w:pPr>
      <w:r w:rsidRPr="002700F9">
        <w:t xml:space="preserve">Andersson, M., Hans L. and Johansson S. </w:t>
      </w:r>
      <w:r w:rsidR="00E4593A" w:rsidRPr="002700F9">
        <w:t>(2008).</w:t>
      </w:r>
      <w:r w:rsidR="005D1759">
        <w:t>“</w:t>
      </w:r>
      <w:r w:rsidRPr="002700F9">
        <w:t>Productivity and international trade: Firm level evidence from a small open economy</w:t>
      </w:r>
      <w:r w:rsidR="005D1759">
        <w:t>”</w:t>
      </w:r>
      <w:r w:rsidRPr="002700F9">
        <w:t>. Review of World Economics 144 (4), 774-801.</w:t>
      </w:r>
    </w:p>
    <w:p w:rsidR="00AB2508" w:rsidRDefault="00AB2508" w:rsidP="00AB2508">
      <w:pPr>
        <w:pStyle w:val="BodyText1"/>
      </w:pPr>
      <w:r>
        <w:t>Ayadi, M. and</w:t>
      </w:r>
      <w:r w:rsidR="00DA058F">
        <w:t>Matoussi, W.</w:t>
      </w:r>
      <w:r>
        <w:t xml:space="preserve"> (2014).“From productivity to exporting or vice versa ?Evidence from Tunisian manufacturing sector”, African Development Bank Group Working Paper 214.</w:t>
      </w:r>
    </w:p>
    <w:p w:rsidR="00AB2508" w:rsidRDefault="00AB2508" w:rsidP="00AB2508">
      <w:pPr>
        <w:pStyle w:val="BodyText1"/>
      </w:pPr>
      <w:r>
        <w:t>Bernard, A., and Jensen, J. (1999). “Exceptional exporter performance: Cause, effect, or both?</w:t>
      </w:r>
      <w:r w:rsidR="009D2B2C">
        <w:t>”.</w:t>
      </w:r>
      <w:r>
        <w:t xml:space="preserve">Journal of International Economics, 47, 1–25. </w:t>
      </w:r>
    </w:p>
    <w:p w:rsidR="009D2B2C" w:rsidRPr="002700F9" w:rsidRDefault="00DA058F" w:rsidP="00E4593A">
      <w:pPr>
        <w:pStyle w:val="BodyText1"/>
      </w:pPr>
      <w:r w:rsidRPr="002700F9">
        <w:t xml:space="preserve">Bernard, A. B. and </w:t>
      </w:r>
      <w:r w:rsidR="009D2B2C" w:rsidRPr="002700F9">
        <w:t>Wagner</w:t>
      </w:r>
      <w:r w:rsidRPr="002700F9">
        <w:t xml:space="preserve"> J.</w:t>
      </w:r>
      <w:r w:rsidR="00E4593A" w:rsidRPr="002700F9">
        <w:t xml:space="preserve"> (1997).</w:t>
      </w:r>
      <w:r w:rsidR="009D2B2C">
        <w:t>“</w:t>
      </w:r>
      <w:r w:rsidR="009D2B2C" w:rsidRPr="002700F9">
        <w:t>Exports and success in German manufacturing</w:t>
      </w:r>
      <w:r w:rsidR="009D2B2C">
        <w:t>”</w:t>
      </w:r>
      <w:r w:rsidR="009D2B2C" w:rsidRPr="002700F9">
        <w:t>.WeltwirtschaftlichesArchiv 133 (1), 134-157.</w:t>
      </w:r>
    </w:p>
    <w:p w:rsidR="00AB2508" w:rsidRDefault="00AB2508" w:rsidP="00AB2508">
      <w:pPr>
        <w:pStyle w:val="BodyText1"/>
      </w:pPr>
      <w:r>
        <w:t>Castellani, D., Serti, F., and Tomasi, C. (2010).</w:t>
      </w:r>
      <w:r w:rsidR="00E4593A">
        <w:t>“</w:t>
      </w:r>
      <w:r>
        <w:t>Firms in international trade: Importers’ and exporters’ heterogeneity in Italian manufacturing indu</w:t>
      </w:r>
      <w:r w:rsidR="007852AD">
        <w:t>stry</w:t>
      </w:r>
      <w:r w:rsidR="00E4593A">
        <w:t>”</w:t>
      </w:r>
      <w:r w:rsidR="007852AD">
        <w:t>. World Economy, 33(3), 424-</w:t>
      </w:r>
      <w:r>
        <w:t xml:space="preserve">457. </w:t>
      </w:r>
    </w:p>
    <w:p w:rsidR="007852AD" w:rsidRDefault="007852AD" w:rsidP="007852AD">
      <w:pPr>
        <w:pStyle w:val="BodyText1"/>
      </w:pPr>
      <w:r>
        <w:t xml:space="preserve">Davis, S. J., </w:t>
      </w:r>
      <w:r w:rsidRPr="007852AD">
        <w:t>Haltiwanger</w:t>
      </w:r>
      <w:r>
        <w:t xml:space="preserve"> J. C., and </w:t>
      </w:r>
      <w:r w:rsidRPr="007852AD">
        <w:t>Schuh</w:t>
      </w:r>
      <w:r>
        <w:t xml:space="preserve"> S. (1996).</w:t>
      </w:r>
      <w:r w:rsidR="00E4593A">
        <w:t>“</w:t>
      </w:r>
      <w:r w:rsidRPr="007852AD">
        <w:t>Job Creation and Destructio</w:t>
      </w:r>
      <w:r>
        <w:t>n</w:t>
      </w:r>
      <w:r w:rsidR="00E4593A">
        <w:t>”</w:t>
      </w:r>
      <w:r>
        <w:t>.The MIT Press, Cambridge, MA.</w:t>
      </w:r>
    </w:p>
    <w:p w:rsidR="007915BA" w:rsidRPr="002700F9" w:rsidRDefault="007915BA" w:rsidP="007915BA">
      <w:pPr>
        <w:pStyle w:val="BodyText1"/>
      </w:pPr>
      <w:r w:rsidRPr="002700F9">
        <w:t xml:space="preserve">Greenaway, David and Richard Kneller (2007), </w:t>
      </w:r>
      <w:r w:rsidR="00E4593A">
        <w:t>“</w:t>
      </w:r>
      <w:r w:rsidRPr="002700F9">
        <w:t>Firm Heterogeneity, Exporting and Foreign Direct Investment</w:t>
      </w:r>
      <w:r w:rsidR="00E4593A">
        <w:t>”</w:t>
      </w:r>
      <w:r w:rsidRPr="002700F9">
        <w:t>. Economic Journal,117, 134-161.</w:t>
      </w:r>
    </w:p>
    <w:p w:rsidR="00455F77" w:rsidRDefault="003A79F1" w:rsidP="00455F77">
      <w:pPr>
        <w:pStyle w:val="BodyText1"/>
      </w:pPr>
      <w:r>
        <w:t>Iacovone, L. andJavorcik, B.</w:t>
      </w:r>
      <w:r w:rsidR="00D74548">
        <w:t>(</w:t>
      </w:r>
      <w:r w:rsidR="003B16BD">
        <w:t>2012</w:t>
      </w:r>
      <w:r w:rsidR="00D74548">
        <w:t>)</w:t>
      </w:r>
      <w:r w:rsidR="00E4593A">
        <w:t>.“</w:t>
      </w:r>
      <w:r w:rsidR="003B16BD">
        <w:t>Getting ready: p</w:t>
      </w:r>
      <w:r w:rsidR="00395D54" w:rsidRPr="00395D54">
        <w:t xml:space="preserve">reparation for </w:t>
      </w:r>
      <w:r w:rsidR="003B16BD">
        <w:t>e</w:t>
      </w:r>
      <w:r w:rsidR="00E4593A">
        <w:t>xporting”.</w:t>
      </w:r>
      <w:r w:rsidR="00455F77">
        <w:t>Centre for Economic Policy Research Discussion Papers 8926.</w:t>
      </w:r>
    </w:p>
    <w:p w:rsidR="005D1759" w:rsidRDefault="005D1759" w:rsidP="00455F77">
      <w:pPr>
        <w:pStyle w:val="BodyText1"/>
      </w:pPr>
      <w:r>
        <w:t xml:space="preserve">Jaud M. </w:t>
      </w:r>
      <w:r w:rsidR="00315DF3">
        <w:t>a</w:t>
      </w:r>
      <w:r>
        <w:t>nd Freund L., (2015)</w:t>
      </w:r>
      <w:r w:rsidR="00E4593A">
        <w:t>. “Champions wanted: Promoting exports in the Middle East and North Africa”. World Bank Group.</w:t>
      </w:r>
    </w:p>
    <w:p w:rsidR="003A79F1" w:rsidRDefault="00315DF3" w:rsidP="003A79F1">
      <w:pPr>
        <w:pStyle w:val="BodyText1"/>
      </w:pPr>
      <w:r>
        <w:t xml:space="preserve">Kasahara, H., and </w:t>
      </w:r>
      <w:r w:rsidR="003A79F1">
        <w:t>Lapham, B. (</w:t>
      </w:r>
      <w:r w:rsidR="003B16BD">
        <w:t>2013).</w:t>
      </w:r>
      <w:r w:rsidR="006E0ACD">
        <w:t>“</w:t>
      </w:r>
      <w:r w:rsidR="003B16BD">
        <w:t xml:space="preserve">Productivity and the </w:t>
      </w:r>
      <w:r w:rsidR="00F95434">
        <w:t>d</w:t>
      </w:r>
      <w:r w:rsidR="003A79F1">
        <w:t>ecision to import and export: Theory and evidence</w:t>
      </w:r>
      <w:r w:rsidR="006E0ACD">
        <w:t>”</w:t>
      </w:r>
      <w:r w:rsidR="003A79F1">
        <w:t xml:space="preserve">. Journal of International Economics, 89(2), 297–316. </w:t>
      </w:r>
    </w:p>
    <w:p w:rsidR="003A79F1" w:rsidRDefault="00182AAD" w:rsidP="003A79F1">
      <w:pPr>
        <w:pStyle w:val="BodyText1"/>
      </w:pPr>
      <w:r w:rsidRPr="00182AAD">
        <w:rPr>
          <w:lang w:val="es-ES_tradnl"/>
        </w:rPr>
        <w:t xml:space="preserve">Kasahara, H., and Rodrigue, J. (2008). </w:t>
      </w:r>
      <w:r w:rsidR="006E0ACD">
        <w:t>“</w:t>
      </w:r>
      <w:r w:rsidR="003A79F1">
        <w:t>Does the use of imported intermediates increase productivity? Plant-level evidence</w:t>
      </w:r>
      <w:r w:rsidR="006E0ACD">
        <w:t>”</w:t>
      </w:r>
      <w:r w:rsidR="003A79F1">
        <w:t xml:space="preserve">. Journal of Development Economics, 87(1), 106–118. </w:t>
      </w:r>
    </w:p>
    <w:p w:rsidR="007915BA" w:rsidRDefault="007915BA" w:rsidP="003A79F1">
      <w:pPr>
        <w:pStyle w:val="BodyText1"/>
      </w:pPr>
      <w:r>
        <w:t xml:space="preserve">Levinsohn, J. (1999). “Employment Responses to International Liberalization in Chile”. Journal of International Economics, 47(2), 321–344. </w:t>
      </w:r>
    </w:p>
    <w:p w:rsidR="00E265E0" w:rsidRDefault="00743C60" w:rsidP="003A79F1">
      <w:pPr>
        <w:pStyle w:val="BodyText1"/>
      </w:pPr>
      <w:r>
        <w:t>Marouani, M., and</w:t>
      </w:r>
      <w:r w:rsidR="00F95434">
        <w:t>Mouelhi, R. (2014).</w:t>
      </w:r>
      <w:r w:rsidR="006E0ACD">
        <w:t>“</w:t>
      </w:r>
      <w:r w:rsidR="00F95434">
        <w:t>Employment growth, productivity and j</w:t>
      </w:r>
      <w:r w:rsidR="003A79F1">
        <w:t>obs reallocations in Tunisia: A Microdata Analysis</w:t>
      </w:r>
      <w:r w:rsidR="006E0ACD">
        <w:t>”</w:t>
      </w:r>
      <w:r w:rsidR="003A79F1">
        <w:t xml:space="preserve">, </w:t>
      </w:r>
      <w:r w:rsidR="00AF3324">
        <w:t>DIAL Working Paper</w:t>
      </w:r>
      <w:r w:rsidR="006E0ACD">
        <w:t xml:space="preserve"> DT 2014/13</w:t>
      </w:r>
      <w:r w:rsidR="003A79F1">
        <w:t>.</w:t>
      </w:r>
    </w:p>
    <w:p w:rsidR="003A79F1" w:rsidRDefault="00E265E0" w:rsidP="00E265E0">
      <w:pPr>
        <w:pStyle w:val="BodyText1"/>
      </w:pPr>
      <w:r>
        <w:t xml:space="preserve">Marouani, M., and </w:t>
      </w:r>
      <w:r w:rsidR="00093CD7">
        <w:t>Mouelhi, R. (201</w:t>
      </w:r>
      <w:r w:rsidR="004D0746">
        <w:t>5</w:t>
      </w:r>
      <w:r>
        <w:t>).“</w:t>
      </w:r>
      <w:r w:rsidRPr="002700F9">
        <w:t xml:space="preserve">Contribution of structural change to productivity growth: </w:t>
      </w:r>
      <w:r w:rsidR="0056587B" w:rsidRPr="002700F9">
        <w:t>E</w:t>
      </w:r>
      <w:r w:rsidRPr="002700F9">
        <w:t>vidence from Tunisia</w:t>
      </w:r>
      <w:r>
        <w:t xml:space="preserve">”, DIAL Working Paper </w:t>
      </w:r>
      <w:r w:rsidR="006D31E0">
        <w:t>DT</w:t>
      </w:r>
      <w:r w:rsidR="00093CD7">
        <w:t>2015/06</w:t>
      </w:r>
      <w:r>
        <w:t>.</w:t>
      </w:r>
    </w:p>
    <w:p w:rsidR="007915BA" w:rsidRPr="007915BA" w:rsidRDefault="007915BA" w:rsidP="007915BA">
      <w:pPr>
        <w:pStyle w:val="BodyText1"/>
      </w:pPr>
      <w:r>
        <w:t xml:space="preserve">Melitz, M. J. (2003). </w:t>
      </w:r>
      <w:r w:rsidR="00E4593A">
        <w:t>“The Impact of trade on intra-Industry r</w:t>
      </w:r>
      <w:r w:rsidRPr="007915BA">
        <w:t xml:space="preserve">eallocations and </w:t>
      </w:r>
      <w:r w:rsidR="00E4593A">
        <w:t>aggregate industry p</w:t>
      </w:r>
      <w:r>
        <w:t>roductivity</w:t>
      </w:r>
      <w:r w:rsidRPr="007915BA">
        <w:t>”</w:t>
      </w:r>
      <w:r>
        <w:t>.</w:t>
      </w:r>
      <w:r w:rsidRPr="007915BA">
        <w:t>Econometrica, 71(6), 1695–1725</w:t>
      </w:r>
      <w:r>
        <w:t>.</w:t>
      </w:r>
    </w:p>
    <w:p w:rsidR="003A79F1" w:rsidRDefault="00743C60" w:rsidP="003A79F1">
      <w:pPr>
        <w:pStyle w:val="BodyText1"/>
      </w:pPr>
      <w:r>
        <w:t>Moser, C., Urban, D., and</w:t>
      </w:r>
      <w:r w:rsidR="003A79F1">
        <w:t xml:space="preserve"> Di Mauro, B. W. (2010).</w:t>
      </w:r>
      <w:r w:rsidR="004D0746">
        <w:t>“</w:t>
      </w:r>
      <w:r w:rsidR="003A79F1">
        <w:t>International competitiveness, j</w:t>
      </w:r>
      <w:r>
        <w:t xml:space="preserve">ob creation and job destruction: </w:t>
      </w:r>
      <w:r w:rsidR="003A79F1">
        <w:t>An establishment-level study of German job flows</w:t>
      </w:r>
      <w:r w:rsidR="004D0746">
        <w:t>”</w:t>
      </w:r>
      <w:r w:rsidR="003A79F1">
        <w:t xml:space="preserve">. Journal of International Economics, 80(2), 302–317. </w:t>
      </w:r>
    </w:p>
    <w:p w:rsidR="00D74548" w:rsidRDefault="00743C60" w:rsidP="00D74548">
      <w:pPr>
        <w:pStyle w:val="BodyText1"/>
      </w:pPr>
      <w:r>
        <w:t>Muûls, M., and</w:t>
      </w:r>
      <w:r w:rsidR="003A79F1">
        <w:t>Pisu, M. (2009).</w:t>
      </w:r>
      <w:r w:rsidR="004D0746">
        <w:t>“</w:t>
      </w:r>
      <w:r w:rsidR="003A79F1">
        <w:t>Imports and Exports at the Level of the Firm: Evidence from Belgium</w:t>
      </w:r>
      <w:r w:rsidR="004D0746">
        <w:t>”</w:t>
      </w:r>
      <w:r w:rsidR="003A79F1">
        <w:t>. World Economy</w:t>
      </w:r>
      <w:r w:rsidR="008E06F5">
        <w:t>, 32(5), 692-734</w:t>
      </w:r>
      <w:r w:rsidR="003A79F1">
        <w:t xml:space="preserve">. </w:t>
      </w:r>
    </w:p>
    <w:p w:rsidR="003A79F1" w:rsidRPr="00D74548" w:rsidRDefault="003A79F1" w:rsidP="00D74548">
      <w:pPr>
        <w:pStyle w:val="BodyText1"/>
      </w:pPr>
      <w:r w:rsidRPr="00D74548">
        <w:t>Pisu, M. (2008).</w:t>
      </w:r>
      <w:r w:rsidR="004D0746">
        <w:t>“</w:t>
      </w:r>
      <w:r w:rsidR="006D31E0" w:rsidRPr="00D74548">
        <w:t>Job Creation, Job Destruction and Firms’ International Trade Involvement</w:t>
      </w:r>
      <w:r w:rsidR="004D0746">
        <w:t>”.</w:t>
      </w:r>
      <w:r w:rsidR="006D31E0" w:rsidRPr="00D74548">
        <w:t xml:space="preserve"> Working Paper Research,130</w:t>
      </w:r>
      <w:r w:rsidRPr="00D74548">
        <w:t>.</w:t>
      </w:r>
    </w:p>
    <w:p w:rsidR="003A79F1" w:rsidRDefault="003A79F1" w:rsidP="003A79F1">
      <w:pPr>
        <w:pStyle w:val="BodyText1"/>
      </w:pPr>
      <w:r>
        <w:t>Rijker</w:t>
      </w:r>
      <w:r w:rsidR="00743C60">
        <w:t>s, B., Arouri, H., Freund, C., and</w:t>
      </w:r>
      <w:r>
        <w:t>Nucifora, A. (2014).</w:t>
      </w:r>
      <w:r w:rsidR="004D0746">
        <w:t>“</w:t>
      </w:r>
      <w:r>
        <w:t>Which firms create the most jobs in developing countries? Evidence from Tu</w:t>
      </w:r>
      <w:r w:rsidR="006D31E0">
        <w:t>nisia</w:t>
      </w:r>
      <w:r w:rsidR="004D0746">
        <w:t>”</w:t>
      </w:r>
      <w:r w:rsidR="006D31E0">
        <w:t>. Labour Economics, 31, 84-</w:t>
      </w:r>
      <w:r>
        <w:t xml:space="preserve">102. </w:t>
      </w:r>
    </w:p>
    <w:p w:rsidR="006D31E0" w:rsidRDefault="00743C60" w:rsidP="006D31E0">
      <w:pPr>
        <w:pStyle w:val="BodyText1"/>
      </w:pPr>
      <w:r>
        <w:lastRenderedPageBreak/>
        <w:t>Vogel, A., and</w:t>
      </w:r>
      <w:r w:rsidR="003A79F1">
        <w:t xml:space="preserve"> Wagner, J. (2009).</w:t>
      </w:r>
      <w:r w:rsidR="00C37E58">
        <w:t>“</w:t>
      </w:r>
      <w:r w:rsidR="003A79F1">
        <w:t>Higher productivity in importing German manufacturing firms: self-selection, learning from importing, or both?</w:t>
      </w:r>
      <w:r w:rsidR="00C37E58">
        <w:t>”.</w:t>
      </w:r>
      <w:r w:rsidR="003A79F1">
        <w:t xml:space="preserve"> Review of World Economics, 145(4), 641–665. </w:t>
      </w:r>
    </w:p>
    <w:p w:rsidR="003A79F1" w:rsidRPr="006D31E0" w:rsidRDefault="00E05D28" w:rsidP="006D31E0">
      <w:pPr>
        <w:pStyle w:val="BodyText1"/>
      </w:pPr>
      <w:r>
        <w:t>Wagner, J. (2012</w:t>
      </w:r>
      <w:r w:rsidR="006D31E0" w:rsidRPr="006D31E0">
        <w:t>). “International trade and firm performance: a survey of empirical studies since 2006”</w:t>
      </w:r>
      <w:r w:rsidR="006D31E0">
        <w:t>. Review of World Economics, 148(2): 235-267.</w:t>
      </w:r>
    </w:p>
    <w:p w:rsidR="003A79F1" w:rsidRDefault="003A79F1" w:rsidP="00743C60">
      <w:pPr>
        <w:pStyle w:val="BodyText1"/>
      </w:pPr>
      <w:r>
        <w:t xml:space="preserve">Wagner, J. (2011). </w:t>
      </w:r>
      <w:r w:rsidR="00C37E58">
        <w:t>“</w:t>
      </w:r>
      <w:r w:rsidR="00F95434">
        <w:t>Exports, imports and profitability: First evidence for manufacturing e</w:t>
      </w:r>
      <w:r>
        <w:t>nterprises</w:t>
      </w:r>
      <w:r w:rsidR="00C37E58">
        <w:t>”</w:t>
      </w:r>
      <w:r>
        <w:t xml:space="preserve">. Open Economies Review, 23(5), 747–765. </w:t>
      </w:r>
    </w:p>
    <w:p w:rsidR="00C37E58" w:rsidRDefault="00512D91" w:rsidP="00C37E58">
      <w:pPr>
        <w:pStyle w:val="BodyText1"/>
      </w:pPr>
      <w:r>
        <w:t>World Bank (2014).</w:t>
      </w:r>
      <w:r w:rsidR="00C37E58">
        <w:t>“</w:t>
      </w:r>
      <w:r w:rsidR="00F95434">
        <w:t xml:space="preserve">The unfinished revolution: bringing opportunity, good jobs and greater </w:t>
      </w:r>
      <w:r w:rsidR="00A44606">
        <w:t>wealth t</w:t>
      </w:r>
      <w:r w:rsidR="00F95434">
        <w:t>o a</w:t>
      </w:r>
      <w:r w:rsidR="00C37E58" w:rsidRPr="00C37E58">
        <w:t>ll Tunisians</w:t>
      </w:r>
      <w:r w:rsidR="00C37E58">
        <w:t>”.</w:t>
      </w:r>
    </w:p>
    <w:p w:rsidR="006871FB" w:rsidRDefault="006871FB" w:rsidP="00347177">
      <w:pPr>
        <w:pStyle w:val="Annex-AppendixNo"/>
        <w:sectPr w:rsidR="006871FB" w:rsidSect="004E2750">
          <w:headerReference w:type="even" r:id="rId20"/>
          <w:footerReference w:type="even" r:id="rId21"/>
          <w:headerReference w:type="first" r:id="rId22"/>
          <w:footerReference w:type="first" r:id="rId23"/>
          <w:pgSz w:w="11906" w:h="16838" w:code="9"/>
          <w:pgMar w:top="1701" w:right="1134" w:bottom="1701" w:left="1168" w:header="709" w:footer="709" w:gutter="0"/>
          <w:cols w:space="708"/>
          <w:titlePg/>
          <w:docGrid w:linePitch="360"/>
        </w:sectPr>
      </w:pPr>
      <w:bookmarkStart w:id="6" w:name="_Toc285627197"/>
      <w:bookmarkEnd w:id="4"/>
    </w:p>
    <w:p w:rsidR="00B32F39" w:rsidRDefault="00F8721C" w:rsidP="00347177">
      <w:pPr>
        <w:pStyle w:val="Annex-AppendixNo"/>
      </w:pPr>
      <w:r>
        <w:lastRenderedPageBreak/>
        <w:t>Appendix I</w:t>
      </w:r>
      <w:r w:rsidR="00A85C1D">
        <w:tab/>
      </w:r>
      <w:bookmarkEnd w:id="6"/>
    </w:p>
    <w:p w:rsidR="00D94CAC" w:rsidRDefault="00D94CAC" w:rsidP="00D94CAC">
      <w:pPr>
        <w:pStyle w:val="TableNoandTitle"/>
      </w:pPr>
      <w:r>
        <w:t>Table A1.</w:t>
      </w:r>
      <w:r>
        <w:tab/>
        <w:t>Short run</w:t>
      </w:r>
      <w:r w:rsidR="00233799" w:rsidRPr="00233799">
        <w:t>employment transitions</w:t>
      </w:r>
      <w:r w:rsidRPr="00D94CAC">
        <w:t>: annual transitions (2000-2010)</w:t>
      </w:r>
    </w:p>
    <w:tbl>
      <w:tblPr>
        <w:tblStyle w:val="TableGrid"/>
        <w:tblW w:w="5015" w:type="pct"/>
        <w:tblLook w:val="04A0" w:firstRow="1" w:lastRow="0" w:firstColumn="1" w:lastColumn="0" w:noHBand="0" w:noVBand="1"/>
      </w:tblPr>
      <w:tblGrid>
        <w:gridCol w:w="924"/>
        <w:gridCol w:w="1068"/>
        <w:gridCol w:w="1068"/>
        <w:gridCol w:w="2470"/>
        <w:gridCol w:w="2322"/>
        <w:gridCol w:w="2210"/>
        <w:gridCol w:w="2563"/>
        <w:gridCol w:w="1068"/>
      </w:tblGrid>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all</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in year t+1</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807" w:type="pct"/>
            <w:shd w:val="clear" w:color="auto" w:fill="BFBFBF" w:themeFill="background2" w:themeFillShade="BF"/>
          </w:tcPr>
          <w:p w:rsidR="00D94CAC" w:rsidRDefault="00D94CAC" w:rsidP="00DA7305">
            <w:pPr>
              <w:pStyle w:val="Tabletexttitle"/>
            </w:pPr>
          </w:p>
        </w:tc>
        <w:tc>
          <w:tcPr>
            <w:tcW w:w="936" w:type="pct"/>
            <w:shd w:val="clear" w:color="auto" w:fill="BFBFBF" w:themeFill="background2" w:themeFillShade="BF"/>
          </w:tcPr>
          <w:p w:rsidR="00D94CAC" w:rsidRDefault="00D94CAC" w:rsidP="00DA7305">
            <w:pPr>
              <w:pStyle w:val="Tabletexttitle"/>
            </w:pPr>
          </w:p>
        </w:tc>
        <w:tc>
          <w:tcPr>
            <w:tcW w:w="390" w:type="pct"/>
            <w:shd w:val="clear" w:color="auto" w:fill="BFBFBF" w:themeFill="background2" w:themeFillShade="BF"/>
          </w:tcPr>
          <w:p w:rsidR="00D94CAC" w:rsidRDefault="00D94CAC" w:rsidP="00DA7305">
            <w:pPr>
              <w:pStyle w:val="Tabletexttitle"/>
            </w:pPr>
          </w:p>
        </w:tc>
      </w:tr>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year t</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Exit</w:t>
            </w: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Micro</w:t>
            </w:r>
            <w:r w:rsidR="0087176D" w:rsidRPr="00D05BEF">
              <w:rPr>
                <w:lang w:val="en-US" w:eastAsia="fr-FR"/>
              </w:rPr>
              <w:t>E</w:t>
            </w:r>
            <w:r w:rsidR="0087176D">
              <w:rPr>
                <w:lang w:val="en-US" w:eastAsia="fr-FR"/>
              </w:rPr>
              <w:t>nterprises</w:t>
            </w:r>
            <w:r w:rsidR="00285CA8">
              <w:rPr>
                <w:lang w:val="en-US" w:eastAsia="fr-FR"/>
              </w:rPr>
              <w:t>(MicroE)</w:t>
            </w:r>
            <w:r w:rsidRPr="00D05BEF">
              <w:rPr>
                <w:lang w:val="en-US" w:eastAsia="fr-FR"/>
              </w:rPr>
              <w:t xml:space="preserve">: &lt;6 </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Small</w:t>
            </w:r>
            <w:r w:rsidR="0087176D" w:rsidRPr="00D05BEF">
              <w:rPr>
                <w:lang w:val="en-US" w:eastAsia="fr-FR"/>
              </w:rPr>
              <w:t>E</w:t>
            </w:r>
            <w:r w:rsidR="0087176D">
              <w:rPr>
                <w:lang w:val="en-US" w:eastAsia="fr-FR"/>
              </w:rPr>
              <w:t>nterprises</w:t>
            </w:r>
            <w:r w:rsidR="00285CA8">
              <w:rPr>
                <w:lang w:val="en-US" w:eastAsia="fr-FR"/>
              </w:rPr>
              <w:t xml:space="preserve"> (SE)</w:t>
            </w:r>
            <w:r w:rsidRPr="00D05BEF">
              <w:rPr>
                <w:lang w:val="en-US" w:eastAsia="fr-FR"/>
              </w:rPr>
              <w:t xml:space="preserve"> : 6-49 </w:t>
            </w:r>
          </w:p>
        </w:tc>
        <w:tc>
          <w:tcPr>
            <w:tcW w:w="80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Medium</w:t>
            </w:r>
            <w:r w:rsidR="0087176D" w:rsidRPr="00D05BEF">
              <w:rPr>
                <w:lang w:val="en-US" w:eastAsia="fr-FR"/>
              </w:rPr>
              <w:t>E</w:t>
            </w:r>
            <w:r w:rsidR="0087176D">
              <w:rPr>
                <w:lang w:val="en-US" w:eastAsia="fr-FR"/>
              </w:rPr>
              <w:t>nterprises</w:t>
            </w:r>
            <w:r w:rsidR="00285CA8">
              <w:rPr>
                <w:lang w:val="en-US" w:eastAsia="fr-FR"/>
              </w:rPr>
              <w:t xml:space="preserve"> (ME)</w:t>
            </w:r>
            <w:r w:rsidRPr="00D05BEF">
              <w:rPr>
                <w:lang w:val="en-US" w:eastAsia="fr-FR"/>
              </w:rPr>
              <w:t xml:space="preserve"> :50-199 </w:t>
            </w:r>
          </w:p>
        </w:tc>
        <w:tc>
          <w:tcPr>
            <w:tcW w:w="936"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Big</w:t>
            </w:r>
            <w:r w:rsidR="0087176D" w:rsidRPr="00D05BEF">
              <w:rPr>
                <w:lang w:val="en-US" w:eastAsia="fr-FR"/>
              </w:rPr>
              <w:t>E</w:t>
            </w:r>
            <w:r w:rsidR="0087176D">
              <w:rPr>
                <w:lang w:val="en-US" w:eastAsia="fr-FR"/>
              </w:rPr>
              <w:t>nterprises</w:t>
            </w:r>
            <w:r w:rsidRPr="00D05BEF">
              <w:rPr>
                <w:lang w:val="en-US" w:eastAsia="fr-FR"/>
              </w:rPr>
              <w:t xml:space="preserve">&gt;199 </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N</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Entry</w:t>
            </w:r>
          </w:p>
        </w:tc>
        <w:tc>
          <w:tcPr>
            <w:tcW w:w="390" w:type="pct"/>
            <w:vAlign w:val="bottom"/>
          </w:tcPr>
          <w:p w:rsidR="00D94CAC" w:rsidRPr="00D05BEF" w:rsidRDefault="00D94CAC" w:rsidP="00D94CAC">
            <w:pPr>
              <w:pStyle w:val="Tabletext"/>
              <w:rPr>
                <w:lang w:val="en-US" w:eastAsia="fr-FR"/>
              </w:rPr>
            </w:pPr>
          </w:p>
        </w:tc>
        <w:tc>
          <w:tcPr>
            <w:tcW w:w="902" w:type="pct"/>
            <w:vAlign w:val="bottom"/>
          </w:tcPr>
          <w:p w:rsidR="00D94CAC" w:rsidRPr="00D05BEF" w:rsidRDefault="00D94CAC" w:rsidP="00D94CAC">
            <w:pPr>
              <w:pStyle w:val="Tabletext"/>
              <w:rPr>
                <w:lang w:val="en-US" w:eastAsia="fr-FR"/>
              </w:rPr>
            </w:pPr>
            <w:r w:rsidRPr="00D05BEF">
              <w:rPr>
                <w:lang w:val="en-US" w:eastAsia="fr-FR"/>
              </w:rPr>
              <w:t>99,26</w:t>
            </w:r>
          </w:p>
        </w:tc>
        <w:tc>
          <w:tcPr>
            <w:tcW w:w="848" w:type="pct"/>
            <w:vAlign w:val="bottom"/>
          </w:tcPr>
          <w:p w:rsidR="00D94CAC" w:rsidRPr="00D05BEF" w:rsidRDefault="00D94CAC" w:rsidP="00D94CAC">
            <w:pPr>
              <w:pStyle w:val="Tabletext"/>
              <w:rPr>
                <w:lang w:val="en-US" w:eastAsia="fr-FR"/>
              </w:rPr>
            </w:pPr>
            <w:r w:rsidRPr="00D05BEF">
              <w:rPr>
                <w:lang w:val="en-US" w:eastAsia="fr-FR"/>
              </w:rPr>
              <w:t>0,64</w:t>
            </w:r>
          </w:p>
        </w:tc>
        <w:tc>
          <w:tcPr>
            <w:tcW w:w="807" w:type="pct"/>
            <w:vAlign w:val="bottom"/>
          </w:tcPr>
          <w:p w:rsidR="00D94CAC" w:rsidRPr="00D05BEF" w:rsidRDefault="00D94CAC" w:rsidP="00D94CAC">
            <w:pPr>
              <w:pStyle w:val="Tabletext"/>
              <w:rPr>
                <w:lang w:val="en-US" w:eastAsia="fr-FR"/>
              </w:rPr>
            </w:pPr>
            <w:r w:rsidRPr="00D05BEF">
              <w:rPr>
                <w:lang w:val="en-US" w:eastAsia="fr-FR"/>
              </w:rPr>
              <w:t>0,08</w:t>
            </w:r>
          </w:p>
        </w:tc>
        <w:tc>
          <w:tcPr>
            <w:tcW w:w="936" w:type="pct"/>
            <w:vAlign w:val="bottom"/>
          </w:tcPr>
          <w:p w:rsidR="00D94CAC" w:rsidRPr="00D05BEF" w:rsidRDefault="00D94CAC" w:rsidP="00D94CAC">
            <w:pPr>
              <w:pStyle w:val="Tabletext"/>
              <w:rPr>
                <w:lang w:val="en-US" w:eastAsia="fr-FR"/>
              </w:rPr>
            </w:pPr>
            <w:r w:rsidRPr="00D05BEF">
              <w:rPr>
                <w:lang w:val="en-US" w:eastAsia="fr-FR"/>
              </w:rPr>
              <w:t>0,02</w:t>
            </w:r>
          </w:p>
        </w:tc>
        <w:tc>
          <w:tcPr>
            <w:tcW w:w="390" w:type="pct"/>
            <w:vAlign w:val="bottom"/>
          </w:tcPr>
          <w:p w:rsidR="00D94CAC" w:rsidRPr="00D05BEF" w:rsidRDefault="00D94CAC" w:rsidP="00D94CAC">
            <w:pPr>
              <w:pStyle w:val="Tabletext"/>
              <w:rPr>
                <w:lang w:val="en-US" w:eastAsia="fr-FR"/>
              </w:rPr>
            </w:pPr>
            <w:r w:rsidRPr="00D05BEF">
              <w:rPr>
                <w:lang w:val="en-US" w:eastAsia="fr-FR"/>
              </w:rPr>
              <w:t>48844</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MicroE : &lt;6 </w:t>
            </w:r>
          </w:p>
        </w:tc>
        <w:tc>
          <w:tcPr>
            <w:tcW w:w="390"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6,28</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93,25</w:t>
            </w:r>
          </w:p>
        </w:tc>
        <w:tc>
          <w:tcPr>
            <w:tcW w:w="848"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0,46</w:t>
            </w:r>
          </w:p>
        </w:tc>
        <w:tc>
          <w:tcPr>
            <w:tcW w:w="807" w:type="pct"/>
            <w:vAlign w:val="bottom"/>
          </w:tcPr>
          <w:p w:rsidR="00D94CAC" w:rsidRPr="00D05BEF" w:rsidRDefault="00D94CAC" w:rsidP="00D94CAC">
            <w:pPr>
              <w:pStyle w:val="Tabletext"/>
              <w:rPr>
                <w:lang w:val="en-US" w:eastAsia="fr-FR"/>
              </w:rPr>
            </w:pPr>
            <w:r w:rsidRPr="00D05BEF">
              <w:rPr>
                <w:lang w:val="en-US" w:eastAsia="fr-FR"/>
              </w:rPr>
              <w:t>0,01</w:t>
            </w:r>
          </w:p>
        </w:tc>
        <w:tc>
          <w:tcPr>
            <w:tcW w:w="936" w:type="pct"/>
            <w:vAlign w:val="bottom"/>
          </w:tcPr>
          <w:p w:rsidR="00D94CAC" w:rsidRPr="00D05BEF" w:rsidRDefault="00D94CAC" w:rsidP="00D94CAC">
            <w:pPr>
              <w:pStyle w:val="Tabletext"/>
              <w:rPr>
                <w:lang w:val="en-US" w:eastAsia="fr-FR"/>
              </w:rPr>
            </w:pPr>
            <w:r w:rsidRPr="00D05BEF">
              <w:rPr>
                <w:lang w:val="en-US" w:eastAsia="fr-FR"/>
              </w:rPr>
              <w:t>0,00</w:t>
            </w:r>
          </w:p>
        </w:tc>
        <w:tc>
          <w:tcPr>
            <w:tcW w:w="390" w:type="pct"/>
            <w:vAlign w:val="bottom"/>
          </w:tcPr>
          <w:p w:rsidR="00D94CAC" w:rsidRPr="00D05BEF" w:rsidRDefault="00D94CAC" w:rsidP="00D94CAC">
            <w:pPr>
              <w:pStyle w:val="Tabletext"/>
              <w:rPr>
                <w:lang w:val="en-US" w:eastAsia="fr-FR"/>
              </w:rPr>
            </w:pPr>
            <w:r w:rsidRPr="00D05BEF">
              <w:rPr>
                <w:lang w:val="en-US" w:eastAsia="fr-FR"/>
              </w:rPr>
              <w:t>444900</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PE : 6-49 </w:t>
            </w:r>
          </w:p>
        </w:tc>
        <w:tc>
          <w:tcPr>
            <w:tcW w:w="390" w:type="pct"/>
            <w:vAlign w:val="bottom"/>
          </w:tcPr>
          <w:p w:rsidR="00D94CAC" w:rsidRPr="00D05BEF" w:rsidRDefault="00D94CAC" w:rsidP="00D94CAC">
            <w:pPr>
              <w:pStyle w:val="Tabletext"/>
              <w:rPr>
                <w:lang w:val="en-US" w:eastAsia="fr-FR"/>
              </w:rPr>
            </w:pPr>
            <w:r w:rsidRPr="00D05BEF">
              <w:rPr>
                <w:lang w:val="en-US" w:eastAsia="fr-FR"/>
              </w:rPr>
              <w:t>1,54</w:t>
            </w:r>
          </w:p>
        </w:tc>
        <w:tc>
          <w:tcPr>
            <w:tcW w:w="902"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13,57</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82,27</w:t>
            </w:r>
          </w:p>
        </w:tc>
        <w:tc>
          <w:tcPr>
            <w:tcW w:w="807"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2,55</w:t>
            </w:r>
          </w:p>
        </w:tc>
        <w:tc>
          <w:tcPr>
            <w:tcW w:w="936" w:type="pct"/>
            <w:vAlign w:val="bottom"/>
          </w:tcPr>
          <w:p w:rsidR="00D94CAC" w:rsidRPr="00D05BEF" w:rsidRDefault="00D94CAC" w:rsidP="00D94CAC">
            <w:pPr>
              <w:pStyle w:val="Tabletext"/>
              <w:rPr>
                <w:lang w:val="en-US" w:eastAsia="fr-FR"/>
              </w:rPr>
            </w:pPr>
            <w:r w:rsidRPr="00D05BEF">
              <w:rPr>
                <w:lang w:val="en-US" w:eastAsia="fr-FR"/>
              </w:rPr>
              <w:t>0,07</w:t>
            </w:r>
          </w:p>
        </w:tc>
        <w:tc>
          <w:tcPr>
            <w:tcW w:w="390" w:type="pct"/>
            <w:vAlign w:val="bottom"/>
          </w:tcPr>
          <w:p w:rsidR="00D94CAC" w:rsidRPr="00D05BEF" w:rsidRDefault="00D94CAC" w:rsidP="00D94CAC">
            <w:pPr>
              <w:pStyle w:val="Tabletext"/>
              <w:rPr>
                <w:lang w:val="en-US" w:eastAsia="fr-FR"/>
              </w:rPr>
            </w:pPr>
            <w:r w:rsidRPr="00D05BEF">
              <w:rPr>
                <w:lang w:val="en-US" w:eastAsia="fr-FR"/>
              </w:rPr>
              <w:t>12793</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ME :50-199 </w:t>
            </w:r>
          </w:p>
        </w:tc>
        <w:tc>
          <w:tcPr>
            <w:tcW w:w="390" w:type="pct"/>
            <w:vAlign w:val="bottom"/>
          </w:tcPr>
          <w:p w:rsidR="00D94CAC" w:rsidRPr="00D05BEF" w:rsidRDefault="00D94CAC" w:rsidP="00D94CAC">
            <w:pPr>
              <w:pStyle w:val="Tabletext"/>
              <w:rPr>
                <w:lang w:val="en-US" w:eastAsia="fr-FR"/>
              </w:rPr>
            </w:pPr>
            <w:r w:rsidRPr="00D05BEF">
              <w:rPr>
                <w:lang w:val="en-US" w:eastAsia="fr-FR"/>
              </w:rPr>
              <w:t>1,23</w:t>
            </w:r>
          </w:p>
        </w:tc>
        <w:tc>
          <w:tcPr>
            <w:tcW w:w="902" w:type="pct"/>
            <w:vAlign w:val="bottom"/>
          </w:tcPr>
          <w:p w:rsidR="00D94CAC" w:rsidRPr="00D05BEF" w:rsidRDefault="00D94CAC" w:rsidP="00D94CAC">
            <w:pPr>
              <w:pStyle w:val="Tabletext"/>
              <w:rPr>
                <w:lang w:val="en-US" w:eastAsia="fr-FR"/>
              </w:rPr>
            </w:pPr>
            <w:r w:rsidRPr="00D05BEF">
              <w:rPr>
                <w:lang w:val="en-US" w:eastAsia="fr-FR"/>
              </w:rPr>
              <w:t>2,56</w:t>
            </w:r>
          </w:p>
        </w:tc>
        <w:tc>
          <w:tcPr>
            <w:tcW w:w="848"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11,38</w:t>
            </w:r>
          </w:p>
        </w:tc>
        <w:tc>
          <w:tcPr>
            <w:tcW w:w="807" w:type="pct"/>
            <w:vAlign w:val="bottom"/>
          </w:tcPr>
          <w:p w:rsidR="00D94CAC" w:rsidRPr="00D05BEF" w:rsidRDefault="00D94CAC" w:rsidP="00D94CAC">
            <w:pPr>
              <w:pStyle w:val="Tabletext"/>
              <w:rPr>
                <w:b/>
                <w:bCs/>
                <w:lang w:val="en-US" w:eastAsia="fr-FR"/>
              </w:rPr>
            </w:pPr>
            <w:r w:rsidRPr="00D05BEF">
              <w:rPr>
                <w:b/>
                <w:bCs/>
                <w:lang w:val="en-US" w:eastAsia="fr-FR"/>
              </w:rPr>
              <w:t>80,47</w:t>
            </w:r>
          </w:p>
        </w:tc>
        <w:tc>
          <w:tcPr>
            <w:tcW w:w="936"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4,35</w:t>
            </w:r>
          </w:p>
        </w:tc>
        <w:tc>
          <w:tcPr>
            <w:tcW w:w="390" w:type="pct"/>
            <w:vAlign w:val="bottom"/>
          </w:tcPr>
          <w:p w:rsidR="00D94CAC" w:rsidRPr="00D05BEF" w:rsidRDefault="00D94CAC" w:rsidP="00D94CAC">
            <w:pPr>
              <w:pStyle w:val="Tabletext"/>
              <w:rPr>
                <w:lang w:val="en-US" w:eastAsia="fr-FR"/>
              </w:rPr>
            </w:pPr>
            <w:r w:rsidRPr="00D05BEF">
              <w:rPr>
                <w:lang w:val="en-US" w:eastAsia="fr-FR"/>
              </w:rPr>
              <w:t>2318</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GE &gt;199 </w:t>
            </w:r>
          </w:p>
        </w:tc>
        <w:tc>
          <w:tcPr>
            <w:tcW w:w="390" w:type="pct"/>
            <w:vAlign w:val="bottom"/>
          </w:tcPr>
          <w:p w:rsidR="00D94CAC" w:rsidRPr="00D05BEF" w:rsidRDefault="00D94CAC" w:rsidP="00D94CAC">
            <w:pPr>
              <w:pStyle w:val="Tabletext"/>
              <w:rPr>
                <w:lang w:val="en-US" w:eastAsia="fr-FR"/>
              </w:rPr>
            </w:pPr>
            <w:r w:rsidRPr="00D05BEF">
              <w:rPr>
                <w:lang w:val="en-US" w:eastAsia="fr-FR"/>
              </w:rPr>
              <w:t>1,35</w:t>
            </w:r>
          </w:p>
        </w:tc>
        <w:tc>
          <w:tcPr>
            <w:tcW w:w="902" w:type="pct"/>
            <w:vAlign w:val="bottom"/>
          </w:tcPr>
          <w:p w:rsidR="00D94CAC" w:rsidRPr="00D05BEF" w:rsidRDefault="00D94CAC" w:rsidP="00D94CAC">
            <w:pPr>
              <w:pStyle w:val="Tabletext"/>
              <w:rPr>
                <w:lang w:val="en-US" w:eastAsia="fr-FR"/>
              </w:rPr>
            </w:pPr>
            <w:r w:rsidRPr="00D05BEF">
              <w:rPr>
                <w:lang w:val="en-US" w:eastAsia="fr-FR"/>
              </w:rPr>
              <w:t>1,12</w:t>
            </w:r>
          </w:p>
        </w:tc>
        <w:tc>
          <w:tcPr>
            <w:tcW w:w="848" w:type="pct"/>
            <w:vAlign w:val="bottom"/>
          </w:tcPr>
          <w:p w:rsidR="00D94CAC" w:rsidRPr="00D05BEF" w:rsidRDefault="00D94CAC" w:rsidP="00D94CAC">
            <w:pPr>
              <w:pStyle w:val="Tabletext"/>
              <w:rPr>
                <w:lang w:val="en-US" w:eastAsia="fr-FR"/>
              </w:rPr>
            </w:pPr>
            <w:r w:rsidRPr="00D05BEF">
              <w:rPr>
                <w:lang w:val="en-US" w:eastAsia="fr-FR"/>
              </w:rPr>
              <w:t>0,67</w:t>
            </w:r>
          </w:p>
        </w:tc>
        <w:tc>
          <w:tcPr>
            <w:tcW w:w="807"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11,86</w:t>
            </w:r>
          </w:p>
        </w:tc>
        <w:tc>
          <w:tcPr>
            <w:tcW w:w="936" w:type="pct"/>
            <w:vAlign w:val="bottom"/>
          </w:tcPr>
          <w:p w:rsidR="00D94CAC" w:rsidRPr="00D05BEF" w:rsidRDefault="00D94CAC" w:rsidP="00D94CAC">
            <w:pPr>
              <w:pStyle w:val="Tabletext"/>
              <w:rPr>
                <w:b/>
                <w:bCs/>
                <w:lang w:val="en-US" w:eastAsia="fr-FR"/>
              </w:rPr>
            </w:pPr>
            <w:r w:rsidRPr="00D05BEF">
              <w:rPr>
                <w:b/>
                <w:bCs/>
                <w:lang w:val="en-US" w:eastAsia="fr-FR"/>
              </w:rPr>
              <w:t>84,99</w:t>
            </w:r>
          </w:p>
        </w:tc>
        <w:tc>
          <w:tcPr>
            <w:tcW w:w="390" w:type="pct"/>
            <w:vAlign w:val="bottom"/>
          </w:tcPr>
          <w:p w:rsidR="00D94CAC" w:rsidRPr="00D05BEF" w:rsidRDefault="00D94CAC" w:rsidP="00D94CAC">
            <w:pPr>
              <w:pStyle w:val="Tabletext"/>
              <w:rPr>
                <w:lang w:val="en-US" w:eastAsia="fr-FR"/>
              </w:rPr>
            </w:pPr>
            <w:r w:rsidRPr="00D05BEF">
              <w:rPr>
                <w:lang w:val="en-US" w:eastAsia="fr-FR"/>
              </w:rPr>
              <w:t>720</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N</w:t>
            </w:r>
          </w:p>
        </w:tc>
        <w:tc>
          <w:tcPr>
            <w:tcW w:w="390" w:type="pct"/>
            <w:vAlign w:val="bottom"/>
          </w:tcPr>
          <w:p w:rsidR="00D94CAC" w:rsidRPr="00D05BEF" w:rsidRDefault="00D94CAC" w:rsidP="00D94CAC">
            <w:pPr>
              <w:pStyle w:val="Tabletext"/>
              <w:rPr>
                <w:lang w:val="en-US" w:eastAsia="fr-FR"/>
              </w:rPr>
            </w:pPr>
            <w:r w:rsidRPr="00D05BEF">
              <w:rPr>
                <w:lang w:val="en-US" w:eastAsia="fr-FR"/>
              </w:rPr>
              <w:t>28166</w:t>
            </w:r>
          </w:p>
        </w:tc>
        <w:tc>
          <w:tcPr>
            <w:tcW w:w="902" w:type="pct"/>
            <w:vAlign w:val="bottom"/>
          </w:tcPr>
          <w:p w:rsidR="00D94CAC" w:rsidRPr="00D05BEF" w:rsidRDefault="00D94CAC" w:rsidP="00D94CAC">
            <w:pPr>
              <w:pStyle w:val="Tabletext"/>
              <w:rPr>
                <w:lang w:val="en-US" w:eastAsia="fr-FR"/>
              </w:rPr>
            </w:pPr>
            <w:r w:rsidRPr="00D05BEF">
              <w:rPr>
                <w:lang w:val="en-US" w:eastAsia="fr-FR"/>
              </w:rPr>
              <w:t>465152</w:t>
            </w:r>
          </w:p>
        </w:tc>
        <w:tc>
          <w:tcPr>
            <w:tcW w:w="848" w:type="pct"/>
            <w:vAlign w:val="bottom"/>
          </w:tcPr>
          <w:p w:rsidR="00D94CAC" w:rsidRPr="00D05BEF" w:rsidRDefault="00D94CAC" w:rsidP="00D94CAC">
            <w:pPr>
              <w:pStyle w:val="Tabletext"/>
              <w:rPr>
                <w:lang w:val="en-US" w:eastAsia="fr-FR"/>
              </w:rPr>
            </w:pPr>
            <w:r w:rsidRPr="00D05BEF">
              <w:rPr>
                <w:lang w:val="en-US" w:eastAsia="fr-FR"/>
              </w:rPr>
              <w:t>13146</w:t>
            </w:r>
          </w:p>
        </w:tc>
        <w:tc>
          <w:tcPr>
            <w:tcW w:w="807" w:type="pct"/>
            <w:vAlign w:val="bottom"/>
          </w:tcPr>
          <w:p w:rsidR="00D94CAC" w:rsidRPr="00D05BEF" w:rsidRDefault="00D94CAC" w:rsidP="00D94CAC">
            <w:pPr>
              <w:pStyle w:val="Tabletext"/>
              <w:rPr>
                <w:lang w:val="en-US" w:eastAsia="fr-FR"/>
              </w:rPr>
            </w:pPr>
            <w:r w:rsidRPr="00D05BEF">
              <w:rPr>
                <w:lang w:val="en-US" w:eastAsia="fr-FR"/>
              </w:rPr>
              <w:t>2370</w:t>
            </w:r>
          </w:p>
        </w:tc>
        <w:tc>
          <w:tcPr>
            <w:tcW w:w="936" w:type="pct"/>
            <w:vAlign w:val="bottom"/>
          </w:tcPr>
          <w:p w:rsidR="00D94CAC" w:rsidRPr="00D05BEF" w:rsidRDefault="00D94CAC" w:rsidP="00D94CAC">
            <w:pPr>
              <w:pStyle w:val="Tabletext"/>
              <w:rPr>
                <w:lang w:val="en-US" w:eastAsia="fr-FR"/>
              </w:rPr>
            </w:pPr>
            <w:r w:rsidRPr="00D05BEF">
              <w:rPr>
                <w:lang w:val="en-US" w:eastAsia="fr-FR"/>
              </w:rPr>
              <w:t>741</w:t>
            </w:r>
          </w:p>
        </w:tc>
        <w:tc>
          <w:tcPr>
            <w:tcW w:w="390" w:type="pct"/>
            <w:vAlign w:val="bottom"/>
          </w:tcPr>
          <w:p w:rsidR="00D94CAC" w:rsidRPr="00D05BEF" w:rsidRDefault="00D94CAC" w:rsidP="00D94CAC">
            <w:pPr>
              <w:pStyle w:val="Tabletext"/>
              <w:rPr>
                <w:lang w:val="en-US" w:eastAsia="fr-FR"/>
              </w:rPr>
            </w:pPr>
            <w:r w:rsidRPr="00D05BEF">
              <w:rPr>
                <w:lang w:val="en-US" w:eastAsia="fr-FR"/>
              </w:rPr>
              <w:t>509575</w:t>
            </w:r>
          </w:p>
        </w:tc>
      </w:tr>
      <w:tr w:rsidR="00D94CAC" w:rsidTr="00E62CF8">
        <w:trPr>
          <w:trHeight w:val="142"/>
        </w:trPr>
        <w:tc>
          <w:tcPr>
            <w:tcW w:w="337" w:type="pct"/>
            <w:tcBorders>
              <w:bottom w:val="single" w:sz="4" w:space="0" w:color="808080" w:themeColor="text1"/>
            </w:tcBorders>
            <w:vAlign w:val="bottom"/>
          </w:tcPr>
          <w:p w:rsidR="00D94CAC" w:rsidRPr="00D05BEF" w:rsidRDefault="00D94CAC" w:rsidP="00D94CAC">
            <w:pPr>
              <w:pStyle w:val="Tabletext"/>
              <w:rPr>
                <w:lang w:val="en-US" w:eastAsia="fr-FR"/>
              </w:rPr>
            </w:pP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w:t>
            </w:r>
          </w:p>
        </w:tc>
        <w:tc>
          <w:tcPr>
            <w:tcW w:w="390" w:type="pct"/>
            <w:tcBorders>
              <w:bottom w:val="single" w:sz="4" w:space="0" w:color="808080" w:themeColor="text1"/>
            </w:tcBorders>
            <w:vAlign w:val="bottom"/>
          </w:tcPr>
          <w:p w:rsidR="00D94CAC" w:rsidRPr="00D05BEF" w:rsidRDefault="00D94CAC" w:rsidP="00D94CAC">
            <w:pPr>
              <w:pStyle w:val="Tabletext"/>
              <w:rPr>
                <w:b/>
                <w:bCs/>
                <w:lang w:val="en-US" w:eastAsia="fr-FR"/>
              </w:rPr>
            </w:pPr>
            <w:r w:rsidRPr="00D05BEF">
              <w:rPr>
                <w:b/>
                <w:bCs/>
                <w:lang w:val="en-US" w:eastAsia="fr-FR"/>
              </w:rPr>
              <w:t>5,53</w:t>
            </w:r>
          </w:p>
        </w:tc>
        <w:tc>
          <w:tcPr>
            <w:tcW w:w="902"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91,28</w:t>
            </w:r>
          </w:p>
        </w:tc>
        <w:tc>
          <w:tcPr>
            <w:tcW w:w="848"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2,58</w:t>
            </w:r>
          </w:p>
        </w:tc>
        <w:tc>
          <w:tcPr>
            <w:tcW w:w="807"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0,47</w:t>
            </w:r>
          </w:p>
        </w:tc>
        <w:tc>
          <w:tcPr>
            <w:tcW w:w="936"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0,15</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p>
        </w:tc>
      </w:tr>
      <w:tr w:rsidR="006871FB" w:rsidTr="00E62CF8">
        <w:trPr>
          <w:trHeight w:val="142"/>
        </w:trPr>
        <w:tc>
          <w:tcPr>
            <w:tcW w:w="5000" w:type="pct"/>
            <w:gridSpan w:val="8"/>
            <w:shd w:val="clear" w:color="auto" w:fill="BFBFBF" w:themeFill="background2" w:themeFillShade="BF"/>
            <w:vAlign w:val="bottom"/>
          </w:tcPr>
          <w:p w:rsidR="00182AAD" w:rsidRDefault="006871FB" w:rsidP="00182AAD">
            <w:pPr>
              <w:pStyle w:val="Tabletexttitle"/>
              <w:jc w:val="left"/>
              <w:rPr>
                <w:lang w:val="en-US" w:eastAsia="fr-FR"/>
              </w:rPr>
            </w:pPr>
            <w:r w:rsidRPr="00D05BEF">
              <w:rPr>
                <w:lang w:val="en-US" w:eastAsia="fr-FR"/>
              </w:rPr>
              <w:t>Onshore</w:t>
            </w:r>
          </w:p>
        </w:tc>
      </w:tr>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in year t+1</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807" w:type="pct"/>
            <w:shd w:val="clear" w:color="auto" w:fill="BFBFBF" w:themeFill="background2" w:themeFillShade="BF"/>
          </w:tcPr>
          <w:p w:rsidR="00D94CAC" w:rsidRDefault="00D94CAC" w:rsidP="00DA7305">
            <w:pPr>
              <w:pStyle w:val="Tabletexttitle"/>
            </w:pPr>
          </w:p>
        </w:tc>
        <w:tc>
          <w:tcPr>
            <w:tcW w:w="936" w:type="pct"/>
            <w:shd w:val="clear" w:color="auto" w:fill="BFBFBF" w:themeFill="background2" w:themeFillShade="BF"/>
          </w:tcPr>
          <w:p w:rsidR="00D94CAC" w:rsidRDefault="00D94CAC" w:rsidP="00DA7305">
            <w:pPr>
              <w:pStyle w:val="Tabletexttitle"/>
            </w:pPr>
          </w:p>
        </w:tc>
        <w:tc>
          <w:tcPr>
            <w:tcW w:w="390" w:type="pct"/>
            <w:shd w:val="clear" w:color="auto" w:fill="BFBFBF" w:themeFill="background2" w:themeFillShade="BF"/>
          </w:tcPr>
          <w:p w:rsidR="00D94CAC" w:rsidRDefault="00D94CAC" w:rsidP="00DA7305">
            <w:pPr>
              <w:pStyle w:val="Tabletexttitle"/>
            </w:pPr>
          </w:p>
        </w:tc>
      </w:tr>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year t</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Exit</w:t>
            </w: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Micro</w:t>
            </w:r>
            <w:r w:rsidR="0087176D" w:rsidRPr="00D05BEF">
              <w:rPr>
                <w:lang w:val="en-US" w:eastAsia="fr-FR"/>
              </w:rPr>
              <w:t>E</w:t>
            </w:r>
            <w:r w:rsidR="0087176D">
              <w:rPr>
                <w:lang w:val="en-US" w:eastAsia="fr-FR"/>
              </w:rPr>
              <w:t>nterprises</w:t>
            </w:r>
            <w:r w:rsidRPr="00D05BEF">
              <w:rPr>
                <w:lang w:val="en-US" w:eastAsia="fr-FR"/>
              </w:rPr>
              <w:t xml:space="preserve"> : &lt;6 </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Small</w:t>
            </w:r>
            <w:r w:rsidR="0087176D" w:rsidRPr="00D05BEF">
              <w:rPr>
                <w:lang w:val="en-US" w:eastAsia="fr-FR"/>
              </w:rPr>
              <w:t>E</w:t>
            </w:r>
            <w:r w:rsidR="0087176D">
              <w:rPr>
                <w:lang w:val="en-US" w:eastAsia="fr-FR"/>
              </w:rPr>
              <w:t>nterprises</w:t>
            </w:r>
            <w:r w:rsidRPr="00D05BEF">
              <w:rPr>
                <w:lang w:val="en-US" w:eastAsia="fr-FR"/>
              </w:rPr>
              <w:t xml:space="preserve"> : 6-49 </w:t>
            </w:r>
          </w:p>
        </w:tc>
        <w:tc>
          <w:tcPr>
            <w:tcW w:w="80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Medium</w:t>
            </w:r>
            <w:r w:rsidR="0087176D" w:rsidRPr="00D05BEF">
              <w:rPr>
                <w:lang w:val="en-US" w:eastAsia="fr-FR"/>
              </w:rPr>
              <w:t>E</w:t>
            </w:r>
            <w:r w:rsidR="0087176D">
              <w:rPr>
                <w:lang w:val="en-US" w:eastAsia="fr-FR"/>
              </w:rPr>
              <w:t>nterprises</w:t>
            </w:r>
            <w:r w:rsidRPr="00D05BEF">
              <w:rPr>
                <w:lang w:val="en-US" w:eastAsia="fr-FR"/>
              </w:rPr>
              <w:t xml:space="preserve"> :50-199 </w:t>
            </w:r>
          </w:p>
        </w:tc>
        <w:tc>
          <w:tcPr>
            <w:tcW w:w="936"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Big</w:t>
            </w:r>
            <w:r w:rsidR="0087176D" w:rsidRPr="00D05BEF">
              <w:rPr>
                <w:lang w:val="en-US" w:eastAsia="fr-FR"/>
              </w:rPr>
              <w:t>E</w:t>
            </w:r>
            <w:r w:rsidR="0087176D">
              <w:rPr>
                <w:lang w:val="en-US" w:eastAsia="fr-FR"/>
              </w:rPr>
              <w:t>nterprises</w:t>
            </w:r>
            <w:r w:rsidRPr="00D05BEF">
              <w:rPr>
                <w:lang w:val="en-US" w:eastAsia="fr-FR"/>
              </w:rPr>
              <w:t xml:space="preserve">&gt;199 </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N</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Entry</w:t>
            </w:r>
          </w:p>
        </w:tc>
        <w:tc>
          <w:tcPr>
            <w:tcW w:w="390" w:type="pct"/>
            <w:vAlign w:val="bottom"/>
          </w:tcPr>
          <w:p w:rsidR="00D94CAC" w:rsidRPr="00D05BEF" w:rsidRDefault="00D94CAC" w:rsidP="00D94CAC">
            <w:pPr>
              <w:pStyle w:val="Tabletext"/>
              <w:rPr>
                <w:lang w:val="en-US" w:eastAsia="fr-FR"/>
              </w:rPr>
            </w:pPr>
          </w:p>
        </w:tc>
        <w:tc>
          <w:tcPr>
            <w:tcW w:w="902" w:type="pct"/>
            <w:vAlign w:val="bottom"/>
          </w:tcPr>
          <w:p w:rsidR="00D94CAC" w:rsidRPr="00D05BEF" w:rsidRDefault="00D94CAC" w:rsidP="00D94CAC">
            <w:pPr>
              <w:pStyle w:val="Tabletext"/>
              <w:rPr>
                <w:lang w:val="en-US" w:eastAsia="fr-FR"/>
              </w:rPr>
            </w:pPr>
            <w:r w:rsidRPr="00D05BEF">
              <w:rPr>
                <w:lang w:val="en-US" w:eastAsia="fr-FR"/>
              </w:rPr>
              <w:t>99,48</w:t>
            </w:r>
          </w:p>
        </w:tc>
        <w:tc>
          <w:tcPr>
            <w:tcW w:w="848" w:type="pct"/>
            <w:vAlign w:val="bottom"/>
          </w:tcPr>
          <w:p w:rsidR="00D94CAC" w:rsidRPr="00D05BEF" w:rsidRDefault="00D94CAC" w:rsidP="00D94CAC">
            <w:pPr>
              <w:pStyle w:val="Tabletext"/>
              <w:rPr>
                <w:lang w:val="en-US" w:eastAsia="fr-FR"/>
              </w:rPr>
            </w:pPr>
            <w:r w:rsidRPr="00D05BEF">
              <w:rPr>
                <w:lang w:val="en-US" w:eastAsia="fr-FR"/>
              </w:rPr>
              <w:t>0,46</w:t>
            </w:r>
          </w:p>
        </w:tc>
        <w:tc>
          <w:tcPr>
            <w:tcW w:w="807" w:type="pct"/>
            <w:vAlign w:val="bottom"/>
          </w:tcPr>
          <w:p w:rsidR="00D94CAC" w:rsidRPr="00D05BEF" w:rsidRDefault="00D94CAC" w:rsidP="00D94CAC">
            <w:pPr>
              <w:pStyle w:val="Tabletext"/>
              <w:rPr>
                <w:lang w:val="en-US" w:eastAsia="fr-FR"/>
              </w:rPr>
            </w:pPr>
            <w:r w:rsidRPr="00D05BEF">
              <w:rPr>
                <w:lang w:val="en-US" w:eastAsia="fr-FR"/>
              </w:rPr>
              <w:t>0,05</w:t>
            </w:r>
          </w:p>
        </w:tc>
        <w:tc>
          <w:tcPr>
            <w:tcW w:w="936" w:type="pct"/>
            <w:vAlign w:val="bottom"/>
          </w:tcPr>
          <w:p w:rsidR="00D94CAC" w:rsidRPr="00D05BEF" w:rsidRDefault="00D94CAC" w:rsidP="00D94CAC">
            <w:pPr>
              <w:pStyle w:val="Tabletext"/>
              <w:rPr>
                <w:lang w:val="en-US" w:eastAsia="fr-FR"/>
              </w:rPr>
            </w:pPr>
            <w:r w:rsidRPr="00D05BEF">
              <w:rPr>
                <w:lang w:val="en-US" w:eastAsia="fr-FR"/>
              </w:rPr>
              <w:t>0,02</w:t>
            </w:r>
          </w:p>
        </w:tc>
        <w:tc>
          <w:tcPr>
            <w:tcW w:w="390" w:type="pct"/>
            <w:vAlign w:val="bottom"/>
          </w:tcPr>
          <w:p w:rsidR="00D94CAC" w:rsidRPr="00D05BEF" w:rsidRDefault="00D94CAC" w:rsidP="00D94CAC">
            <w:pPr>
              <w:pStyle w:val="Tabletext"/>
              <w:rPr>
                <w:lang w:val="en-US" w:eastAsia="fr-FR"/>
              </w:rPr>
            </w:pPr>
            <w:r w:rsidRPr="00D05BEF">
              <w:rPr>
                <w:lang w:val="en-US" w:eastAsia="fr-FR"/>
              </w:rPr>
              <w:t>47 141</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MicroE : &lt;6 </w:t>
            </w:r>
          </w:p>
        </w:tc>
        <w:tc>
          <w:tcPr>
            <w:tcW w:w="390"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6,31</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93,28</w:t>
            </w:r>
          </w:p>
        </w:tc>
        <w:tc>
          <w:tcPr>
            <w:tcW w:w="848"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0,40</w:t>
            </w:r>
          </w:p>
        </w:tc>
        <w:tc>
          <w:tcPr>
            <w:tcW w:w="807" w:type="pct"/>
            <w:vAlign w:val="bottom"/>
          </w:tcPr>
          <w:p w:rsidR="00D94CAC" w:rsidRPr="00D05BEF" w:rsidRDefault="00D94CAC" w:rsidP="00D94CAC">
            <w:pPr>
              <w:pStyle w:val="Tabletext"/>
              <w:rPr>
                <w:lang w:val="en-US" w:eastAsia="fr-FR"/>
              </w:rPr>
            </w:pPr>
            <w:r w:rsidRPr="00D05BEF">
              <w:rPr>
                <w:lang w:val="en-US" w:eastAsia="fr-FR"/>
              </w:rPr>
              <w:t>0,01</w:t>
            </w:r>
          </w:p>
        </w:tc>
        <w:tc>
          <w:tcPr>
            <w:tcW w:w="936" w:type="pct"/>
            <w:vAlign w:val="bottom"/>
          </w:tcPr>
          <w:p w:rsidR="00D94CAC" w:rsidRPr="00D05BEF" w:rsidRDefault="00D94CAC" w:rsidP="00D94CAC">
            <w:pPr>
              <w:pStyle w:val="Tabletext"/>
              <w:rPr>
                <w:lang w:val="en-US" w:eastAsia="fr-FR"/>
              </w:rPr>
            </w:pPr>
            <w:r w:rsidRPr="00D05BEF">
              <w:rPr>
                <w:lang w:val="en-US" w:eastAsia="fr-FR"/>
              </w:rPr>
              <w:t>0,00</w:t>
            </w:r>
          </w:p>
        </w:tc>
        <w:tc>
          <w:tcPr>
            <w:tcW w:w="390" w:type="pct"/>
            <w:vAlign w:val="bottom"/>
          </w:tcPr>
          <w:p w:rsidR="00D94CAC" w:rsidRPr="00D05BEF" w:rsidRDefault="00D94CAC" w:rsidP="00D94CAC">
            <w:pPr>
              <w:pStyle w:val="Tabletext"/>
              <w:rPr>
                <w:lang w:val="en-US" w:eastAsia="fr-FR"/>
              </w:rPr>
            </w:pPr>
            <w:r w:rsidRPr="00D05BEF">
              <w:rPr>
                <w:lang w:val="en-US" w:eastAsia="fr-FR"/>
              </w:rPr>
              <w:t>438 568</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PE : 6-49 </w:t>
            </w:r>
          </w:p>
        </w:tc>
        <w:tc>
          <w:tcPr>
            <w:tcW w:w="390" w:type="pct"/>
            <w:vAlign w:val="bottom"/>
          </w:tcPr>
          <w:p w:rsidR="00D94CAC" w:rsidRPr="00D05BEF" w:rsidRDefault="00D94CAC" w:rsidP="00D94CAC">
            <w:pPr>
              <w:pStyle w:val="Tabletext"/>
              <w:rPr>
                <w:lang w:val="en-US" w:eastAsia="fr-FR"/>
              </w:rPr>
            </w:pPr>
            <w:r w:rsidRPr="00D05BEF">
              <w:rPr>
                <w:lang w:val="en-US" w:eastAsia="fr-FR"/>
              </w:rPr>
              <w:t>1,48</w:t>
            </w:r>
          </w:p>
        </w:tc>
        <w:tc>
          <w:tcPr>
            <w:tcW w:w="902"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13,48</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83,23</w:t>
            </w:r>
          </w:p>
        </w:tc>
        <w:tc>
          <w:tcPr>
            <w:tcW w:w="807"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1,75</w:t>
            </w:r>
          </w:p>
        </w:tc>
        <w:tc>
          <w:tcPr>
            <w:tcW w:w="936" w:type="pct"/>
            <w:vAlign w:val="bottom"/>
          </w:tcPr>
          <w:p w:rsidR="00D94CAC" w:rsidRPr="00D05BEF" w:rsidRDefault="00D94CAC" w:rsidP="00D94CAC">
            <w:pPr>
              <w:pStyle w:val="Tabletext"/>
              <w:rPr>
                <w:lang w:val="en-US" w:eastAsia="fr-FR"/>
              </w:rPr>
            </w:pPr>
            <w:r w:rsidRPr="00D05BEF">
              <w:rPr>
                <w:lang w:val="en-US" w:eastAsia="fr-FR"/>
              </w:rPr>
              <w:t>0,05</w:t>
            </w:r>
          </w:p>
        </w:tc>
        <w:tc>
          <w:tcPr>
            <w:tcW w:w="390" w:type="pct"/>
            <w:vAlign w:val="bottom"/>
          </w:tcPr>
          <w:p w:rsidR="00D94CAC" w:rsidRPr="00D05BEF" w:rsidRDefault="00D94CAC" w:rsidP="00D94CAC">
            <w:pPr>
              <w:pStyle w:val="Tabletext"/>
              <w:rPr>
                <w:lang w:val="en-US" w:eastAsia="fr-FR"/>
              </w:rPr>
            </w:pPr>
            <w:r w:rsidRPr="00D05BEF">
              <w:rPr>
                <w:lang w:val="en-US" w:eastAsia="fr-FR"/>
              </w:rPr>
              <w:t>11 413</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ME :50-199 </w:t>
            </w:r>
          </w:p>
        </w:tc>
        <w:tc>
          <w:tcPr>
            <w:tcW w:w="390" w:type="pct"/>
            <w:vAlign w:val="bottom"/>
          </w:tcPr>
          <w:p w:rsidR="00D94CAC" w:rsidRPr="00D05BEF" w:rsidRDefault="00D94CAC" w:rsidP="00D94CAC">
            <w:pPr>
              <w:pStyle w:val="Tabletext"/>
              <w:rPr>
                <w:lang w:val="en-US" w:eastAsia="fr-FR"/>
              </w:rPr>
            </w:pPr>
            <w:r w:rsidRPr="00D05BEF">
              <w:rPr>
                <w:lang w:val="en-US" w:eastAsia="fr-FR"/>
              </w:rPr>
              <w:t>1,17</w:t>
            </w:r>
          </w:p>
        </w:tc>
        <w:tc>
          <w:tcPr>
            <w:tcW w:w="902" w:type="pct"/>
            <w:vAlign w:val="bottom"/>
          </w:tcPr>
          <w:p w:rsidR="00D94CAC" w:rsidRPr="00D05BEF" w:rsidRDefault="00D94CAC" w:rsidP="00D94CAC">
            <w:pPr>
              <w:pStyle w:val="Tabletext"/>
              <w:rPr>
                <w:lang w:val="en-US" w:eastAsia="fr-FR"/>
              </w:rPr>
            </w:pPr>
            <w:r w:rsidRPr="00D05BEF">
              <w:rPr>
                <w:lang w:val="en-US" w:eastAsia="fr-FR"/>
              </w:rPr>
              <w:t>2,07</w:t>
            </w:r>
          </w:p>
        </w:tc>
        <w:tc>
          <w:tcPr>
            <w:tcW w:w="848"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12,33</w:t>
            </w:r>
          </w:p>
        </w:tc>
        <w:tc>
          <w:tcPr>
            <w:tcW w:w="807" w:type="pct"/>
            <w:vAlign w:val="bottom"/>
          </w:tcPr>
          <w:p w:rsidR="00D94CAC" w:rsidRPr="00D05BEF" w:rsidRDefault="00D94CAC" w:rsidP="00D94CAC">
            <w:pPr>
              <w:pStyle w:val="Tabletext"/>
              <w:rPr>
                <w:b/>
                <w:bCs/>
                <w:lang w:val="en-US" w:eastAsia="fr-FR"/>
              </w:rPr>
            </w:pPr>
            <w:r w:rsidRPr="00D05BEF">
              <w:rPr>
                <w:b/>
                <w:bCs/>
                <w:lang w:val="en-US" w:eastAsia="fr-FR"/>
              </w:rPr>
              <w:t>80,41</w:t>
            </w:r>
          </w:p>
        </w:tc>
        <w:tc>
          <w:tcPr>
            <w:tcW w:w="936"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4,02</w:t>
            </w:r>
          </w:p>
        </w:tc>
        <w:tc>
          <w:tcPr>
            <w:tcW w:w="390" w:type="pct"/>
            <w:vAlign w:val="bottom"/>
          </w:tcPr>
          <w:p w:rsidR="00D94CAC" w:rsidRPr="00D05BEF" w:rsidRDefault="00D94CAC" w:rsidP="00D94CAC">
            <w:pPr>
              <w:pStyle w:val="Tabletext"/>
              <w:rPr>
                <w:lang w:val="en-US" w:eastAsia="fr-FR"/>
              </w:rPr>
            </w:pPr>
            <w:r w:rsidRPr="00D05BEF">
              <w:rPr>
                <w:lang w:val="en-US" w:eastAsia="fr-FR"/>
              </w:rPr>
              <w:t>1 461</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GE &gt;199 </w:t>
            </w:r>
          </w:p>
        </w:tc>
        <w:tc>
          <w:tcPr>
            <w:tcW w:w="390" w:type="pct"/>
            <w:vAlign w:val="bottom"/>
          </w:tcPr>
          <w:p w:rsidR="00D94CAC" w:rsidRPr="00D05BEF" w:rsidRDefault="00D94CAC" w:rsidP="00D94CAC">
            <w:pPr>
              <w:pStyle w:val="Tabletext"/>
              <w:rPr>
                <w:b/>
                <w:bCs/>
                <w:lang w:val="en-US" w:eastAsia="fr-FR"/>
              </w:rPr>
            </w:pPr>
            <w:r w:rsidRPr="00D05BEF">
              <w:rPr>
                <w:b/>
                <w:bCs/>
                <w:lang w:val="en-US" w:eastAsia="fr-FR"/>
              </w:rPr>
              <w:t>1,63</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0,93</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0,68</w:t>
            </w:r>
          </w:p>
        </w:tc>
        <w:tc>
          <w:tcPr>
            <w:tcW w:w="807"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11,81</w:t>
            </w:r>
          </w:p>
        </w:tc>
        <w:tc>
          <w:tcPr>
            <w:tcW w:w="936" w:type="pct"/>
            <w:vAlign w:val="bottom"/>
          </w:tcPr>
          <w:p w:rsidR="00D94CAC" w:rsidRPr="00D05BEF" w:rsidRDefault="00D94CAC" w:rsidP="00D94CAC">
            <w:pPr>
              <w:pStyle w:val="Tabletext"/>
              <w:rPr>
                <w:b/>
                <w:bCs/>
                <w:lang w:val="en-US" w:eastAsia="fr-FR"/>
              </w:rPr>
            </w:pPr>
            <w:r w:rsidRPr="00D05BEF">
              <w:rPr>
                <w:b/>
                <w:bCs/>
                <w:lang w:val="en-US" w:eastAsia="fr-FR"/>
              </w:rPr>
              <w:t>84,95</w:t>
            </w:r>
          </w:p>
        </w:tc>
        <w:tc>
          <w:tcPr>
            <w:tcW w:w="390" w:type="pct"/>
            <w:vAlign w:val="bottom"/>
          </w:tcPr>
          <w:p w:rsidR="00D94CAC" w:rsidRPr="00D05BEF" w:rsidRDefault="00D94CAC" w:rsidP="00D94CAC">
            <w:pPr>
              <w:pStyle w:val="Tabletext"/>
              <w:rPr>
                <w:lang w:val="en-US" w:eastAsia="fr-FR"/>
              </w:rPr>
            </w:pPr>
            <w:r w:rsidRPr="00D05BEF">
              <w:rPr>
                <w:lang w:val="en-US" w:eastAsia="fr-FR"/>
              </w:rPr>
              <w:t>452</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N</w:t>
            </w:r>
          </w:p>
        </w:tc>
        <w:tc>
          <w:tcPr>
            <w:tcW w:w="390" w:type="pct"/>
            <w:vAlign w:val="bottom"/>
          </w:tcPr>
          <w:p w:rsidR="00D94CAC" w:rsidRPr="00D05BEF" w:rsidRDefault="00D94CAC" w:rsidP="00D94CAC">
            <w:pPr>
              <w:pStyle w:val="Tabletext"/>
              <w:rPr>
                <w:lang w:val="en-US" w:eastAsia="fr-FR"/>
              </w:rPr>
            </w:pPr>
            <w:r w:rsidRPr="00D05BEF">
              <w:rPr>
                <w:lang w:val="en-US" w:eastAsia="fr-FR"/>
              </w:rPr>
              <w:t>27 863</w:t>
            </w:r>
          </w:p>
        </w:tc>
        <w:tc>
          <w:tcPr>
            <w:tcW w:w="902" w:type="pct"/>
            <w:vAlign w:val="bottom"/>
          </w:tcPr>
          <w:p w:rsidR="00D94CAC" w:rsidRPr="00D05BEF" w:rsidRDefault="00D94CAC" w:rsidP="00D94CAC">
            <w:pPr>
              <w:pStyle w:val="Tabletext"/>
              <w:rPr>
                <w:lang w:val="en-US" w:eastAsia="fr-FR"/>
              </w:rPr>
            </w:pPr>
            <w:r w:rsidRPr="00D05BEF">
              <w:rPr>
                <w:lang w:val="en-US" w:eastAsia="fr-FR"/>
              </w:rPr>
              <w:t>457 579</w:t>
            </w:r>
          </w:p>
        </w:tc>
        <w:tc>
          <w:tcPr>
            <w:tcW w:w="848" w:type="pct"/>
            <w:vAlign w:val="bottom"/>
          </w:tcPr>
          <w:p w:rsidR="00D94CAC" w:rsidRPr="00D05BEF" w:rsidRDefault="00D94CAC" w:rsidP="00D94CAC">
            <w:pPr>
              <w:pStyle w:val="Tabletext"/>
              <w:rPr>
                <w:lang w:val="en-US" w:eastAsia="fr-FR"/>
              </w:rPr>
            </w:pPr>
            <w:r w:rsidRPr="00D05BEF">
              <w:rPr>
                <w:lang w:val="en-US" w:eastAsia="fr-FR"/>
              </w:rPr>
              <w:t>11 652</w:t>
            </w:r>
          </w:p>
        </w:tc>
        <w:tc>
          <w:tcPr>
            <w:tcW w:w="807" w:type="pct"/>
            <w:vAlign w:val="bottom"/>
          </w:tcPr>
          <w:p w:rsidR="00D94CAC" w:rsidRPr="00D05BEF" w:rsidRDefault="00D94CAC" w:rsidP="00D94CAC">
            <w:pPr>
              <w:pStyle w:val="Tabletext"/>
              <w:rPr>
                <w:lang w:val="en-US" w:eastAsia="fr-FR"/>
              </w:rPr>
            </w:pPr>
            <w:r w:rsidRPr="00D05BEF">
              <w:rPr>
                <w:lang w:val="en-US" w:eastAsia="fr-FR"/>
              </w:rPr>
              <w:t>1 479</w:t>
            </w:r>
          </w:p>
        </w:tc>
        <w:tc>
          <w:tcPr>
            <w:tcW w:w="936" w:type="pct"/>
            <w:vAlign w:val="bottom"/>
          </w:tcPr>
          <w:p w:rsidR="00D94CAC" w:rsidRPr="00D05BEF" w:rsidRDefault="00D94CAC" w:rsidP="00D94CAC">
            <w:pPr>
              <w:pStyle w:val="Tabletext"/>
              <w:rPr>
                <w:lang w:val="en-US" w:eastAsia="fr-FR"/>
              </w:rPr>
            </w:pPr>
            <w:r w:rsidRPr="00D05BEF">
              <w:rPr>
                <w:lang w:val="en-US" w:eastAsia="fr-FR"/>
              </w:rPr>
              <w:t>461</w:t>
            </w:r>
          </w:p>
        </w:tc>
        <w:tc>
          <w:tcPr>
            <w:tcW w:w="390" w:type="pct"/>
            <w:vAlign w:val="bottom"/>
          </w:tcPr>
          <w:p w:rsidR="00D94CAC" w:rsidRPr="00D05BEF" w:rsidRDefault="00D94CAC" w:rsidP="00D94CAC">
            <w:pPr>
              <w:pStyle w:val="Tabletext"/>
              <w:rPr>
                <w:lang w:val="en-US" w:eastAsia="fr-FR"/>
              </w:rPr>
            </w:pPr>
            <w:r w:rsidRPr="00D05BEF">
              <w:rPr>
                <w:lang w:val="en-US" w:eastAsia="fr-FR"/>
              </w:rPr>
              <w:t>499 035</w:t>
            </w:r>
          </w:p>
        </w:tc>
      </w:tr>
      <w:tr w:rsidR="00D94CAC" w:rsidTr="00E62CF8">
        <w:trPr>
          <w:trHeight w:val="142"/>
        </w:trPr>
        <w:tc>
          <w:tcPr>
            <w:tcW w:w="337" w:type="pct"/>
            <w:tcBorders>
              <w:bottom w:val="single" w:sz="4" w:space="0" w:color="808080" w:themeColor="text1"/>
            </w:tcBorders>
            <w:vAlign w:val="bottom"/>
          </w:tcPr>
          <w:p w:rsidR="00D94CAC" w:rsidRPr="00D05BEF" w:rsidRDefault="00D94CAC" w:rsidP="00D94CAC">
            <w:pPr>
              <w:pStyle w:val="Tabletext"/>
              <w:rPr>
                <w:lang w:val="en-US" w:eastAsia="fr-FR"/>
              </w:rPr>
            </w:pP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5,58</w:t>
            </w:r>
          </w:p>
        </w:tc>
        <w:tc>
          <w:tcPr>
            <w:tcW w:w="902"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91,69</w:t>
            </w:r>
          </w:p>
        </w:tc>
        <w:tc>
          <w:tcPr>
            <w:tcW w:w="848"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2,33</w:t>
            </w:r>
          </w:p>
        </w:tc>
        <w:tc>
          <w:tcPr>
            <w:tcW w:w="807"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0,30</w:t>
            </w:r>
          </w:p>
        </w:tc>
        <w:tc>
          <w:tcPr>
            <w:tcW w:w="936"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0,09</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p>
        </w:tc>
      </w:tr>
      <w:tr w:rsidR="006871FB" w:rsidTr="00E62CF8">
        <w:trPr>
          <w:trHeight w:val="142"/>
        </w:trPr>
        <w:tc>
          <w:tcPr>
            <w:tcW w:w="5000" w:type="pct"/>
            <w:gridSpan w:val="8"/>
            <w:shd w:val="clear" w:color="auto" w:fill="BFBFBF" w:themeFill="background2" w:themeFillShade="BF"/>
            <w:vAlign w:val="bottom"/>
          </w:tcPr>
          <w:p w:rsidR="00182AAD" w:rsidRDefault="006871FB" w:rsidP="00182AAD">
            <w:pPr>
              <w:pStyle w:val="Tabletexttitle"/>
              <w:jc w:val="left"/>
              <w:rPr>
                <w:lang w:val="en-US" w:eastAsia="fr-FR"/>
              </w:rPr>
            </w:pPr>
            <w:r w:rsidRPr="00D05BEF">
              <w:rPr>
                <w:lang w:val="en-US" w:eastAsia="fr-FR"/>
              </w:rPr>
              <w:t>Offshore</w:t>
            </w:r>
          </w:p>
        </w:tc>
      </w:tr>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in year t+1</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807" w:type="pct"/>
            <w:shd w:val="clear" w:color="auto" w:fill="BFBFBF" w:themeFill="background2" w:themeFillShade="BF"/>
          </w:tcPr>
          <w:p w:rsidR="00D94CAC" w:rsidRDefault="00D94CAC" w:rsidP="00DA7305">
            <w:pPr>
              <w:pStyle w:val="Tabletexttitle"/>
            </w:pPr>
          </w:p>
        </w:tc>
        <w:tc>
          <w:tcPr>
            <w:tcW w:w="936" w:type="pct"/>
            <w:shd w:val="clear" w:color="auto" w:fill="BFBFBF" w:themeFill="background2" w:themeFillShade="BF"/>
          </w:tcPr>
          <w:p w:rsidR="00D94CAC" w:rsidRDefault="00D94CAC" w:rsidP="00DA7305">
            <w:pPr>
              <w:pStyle w:val="Tabletexttitle"/>
            </w:pPr>
          </w:p>
        </w:tc>
        <w:tc>
          <w:tcPr>
            <w:tcW w:w="390" w:type="pct"/>
            <w:shd w:val="clear" w:color="auto" w:fill="BFBFBF" w:themeFill="background2" w:themeFillShade="BF"/>
          </w:tcPr>
          <w:p w:rsidR="00D94CAC" w:rsidRDefault="00D94CAC" w:rsidP="00DA7305">
            <w:pPr>
              <w:pStyle w:val="Tabletexttitle"/>
            </w:pPr>
          </w:p>
        </w:tc>
      </w:tr>
      <w:tr w:rsidR="00E62CF8" w:rsidTr="00E62CF8">
        <w:trPr>
          <w:trHeight w:val="142"/>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year t</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Exit</w:t>
            </w: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Micro</w:t>
            </w:r>
            <w:r w:rsidR="0087176D" w:rsidRPr="00D05BEF">
              <w:rPr>
                <w:lang w:val="en-US" w:eastAsia="fr-FR"/>
              </w:rPr>
              <w:t>E</w:t>
            </w:r>
            <w:r w:rsidR="0087176D">
              <w:rPr>
                <w:lang w:val="en-US" w:eastAsia="fr-FR"/>
              </w:rPr>
              <w:t>nterprises</w:t>
            </w:r>
            <w:r w:rsidRPr="00D05BEF">
              <w:rPr>
                <w:lang w:val="en-US" w:eastAsia="fr-FR"/>
              </w:rPr>
              <w:t xml:space="preserve">: &lt;6 </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Small</w:t>
            </w:r>
            <w:r w:rsidR="0087176D" w:rsidRPr="00D05BEF">
              <w:rPr>
                <w:lang w:val="en-US" w:eastAsia="fr-FR"/>
              </w:rPr>
              <w:t>E</w:t>
            </w:r>
            <w:r w:rsidR="0087176D">
              <w:rPr>
                <w:lang w:val="en-US" w:eastAsia="fr-FR"/>
              </w:rPr>
              <w:t>nterprises</w:t>
            </w:r>
            <w:r w:rsidRPr="00D05BEF">
              <w:rPr>
                <w:lang w:val="en-US" w:eastAsia="fr-FR"/>
              </w:rPr>
              <w:t xml:space="preserve"> : 6-49 </w:t>
            </w:r>
          </w:p>
        </w:tc>
        <w:tc>
          <w:tcPr>
            <w:tcW w:w="80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Medium</w:t>
            </w:r>
            <w:r w:rsidR="0087176D" w:rsidRPr="00D05BEF">
              <w:rPr>
                <w:lang w:val="en-US" w:eastAsia="fr-FR"/>
              </w:rPr>
              <w:t>E</w:t>
            </w:r>
            <w:r w:rsidR="0087176D">
              <w:rPr>
                <w:lang w:val="en-US" w:eastAsia="fr-FR"/>
              </w:rPr>
              <w:t>nterprises</w:t>
            </w:r>
            <w:r w:rsidRPr="00D05BEF">
              <w:rPr>
                <w:lang w:val="en-US" w:eastAsia="fr-FR"/>
              </w:rPr>
              <w:t xml:space="preserve">:50-199 </w:t>
            </w:r>
          </w:p>
        </w:tc>
        <w:tc>
          <w:tcPr>
            <w:tcW w:w="936"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Big</w:t>
            </w:r>
            <w:r w:rsidR="0087176D" w:rsidRPr="00D05BEF">
              <w:rPr>
                <w:lang w:val="en-US" w:eastAsia="fr-FR"/>
              </w:rPr>
              <w:t>E</w:t>
            </w:r>
            <w:r w:rsidR="0087176D">
              <w:rPr>
                <w:lang w:val="en-US" w:eastAsia="fr-FR"/>
              </w:rPr>
              <w:t>nterprises</w:t>
            </w:r>
            <w:r w:rsidRPr="00D05BEF">
              <w:rPr>
                <w:lang w:val="en-US" w:eastAsia="fr-FR"/>
              </w:rPr>
              <w:t xml:space="preserve">&gt;199 </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N</w:t>
            </w:r>
          </w:p>
        </w:tc>
      </w:tr>
      <w:tr w:rsidR="00D94CAC" w:rsidTr="00E62CF8">
        <w:trPr>
          <w:trHeight w:val="142"/>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Entry</w:t>
            </w:r>
          </w:p>
        </w:tc>
        <w:tc>
          <w:tcPr>
            <w:tcW w:w="390" w:type="pct"/>
            <w:vAlign w:val="bottom"/>
          </w:tcPr>
          <w:p w:rsidR="00D94CAC" w:rsidRPr="00D05BEF" w:rsidRDefault="00D94CAC" w:rsidP="00D94CAC">
            <w:pPr>
              <w:pStyle w:val="Tabletext"/>
              <w:rPr>
                <w:lang w:val="en-US" w:eastAsia="fr-FR"/>
              </w:rPr>
            </w:pPr>
          </w:p>
        </w:tc>
        <w:tc>
          <w:tcPr>
            <w:tcW w:w="902" w:type="pct"/>
            <w:vAlign w:val="bottom"/>
          </w:tcPr>
          <w:p w:rsidR="00D94CAC" w:rsidRPr="00D05BEF" w:rsidRDefault="00D94CAC" w:rsidP="00D94CAC">
            <w:pPr>
              <w:pStyle w:val="Tabletext"/>
              <w:rPr>
                <w:lang w:val="en-US" w:eastAsia="fr-FR"/>
              </w:rPr>
            </w:pPr>
            <w:r w:rsidRPr="00D05BEF">
              <w:rPr>
                <w:lang w:val="en-US" w:eastAsia="fr-FR"/>
              </w:rPr>
              <w:t>93,18</w:t>
            </w:r>
          </w:p>
        </w:tc>
        <w:tc>
          <w:tcPr>
            <w:tcW w:w="848" w:type="pct"/>
            <w:vAlign w:val="bottom"/>
          </w:tcPr>
          <w:p w:rsidR="00D94CAC" w:rsidRPr="00D05BEF" w:rsidRDefault="00D94CAC" w:rsidP="00D94CAC">
            <w:pPr>
              <w:pStyle w:val="Tabletext"/>
              <w:rPr>
                <w:lang w:val="en-US" w:eastAsia="fr-FR"/>
              </w:rPr>
            </w:pPr>
            <w:r w:rsidRPr="00D05BEF">
              <w:rPr>
                <w:lang w:val="en-US" w:eastAsia="fr-FR"/>
              </w:rPr>
              <w:t>5,86</w:t>
            </w:r>
          </w:p>
        </w:tc>
        <w:tc>
          <w:tcPr>
            <w:tcW w:w="807" w:type="pct"/>
            <w:vAlign w:val="bottom"/>
          </w:tcPr>
          <w:p w:rsidR="00D94CAC" w:rsidRPr="00D05BEF" w:rsidRDefault="00D94CAC" w:rsidP="00D94CAC">
            <w:pPr>
              <w:pStyle w:val="Tabletext"/>
              <w:rPr>
                <w:lang w:val="en-US" w:eastAsia="fr-FR"/>
              </w:rPr>
            </w:pPr>
            <w:r w:rsidRPr="00D05BEF">
              <w:rPr>
                <w:lang w:val="en-US" w:eastAsia="fr-FR"/>
              </w:rPr>
              <w:t>0,84</w:t>
            </w:r>
          </w:p>
        </w:tc>
        <w:tc>
          <w:tcPr>
            <w:tcW w:w="936" w:type="pct"/>
            <w:vAlign w:val="bottom"/>
          </w:tcPr>
          <w:p w:rsidR="00D94CAC" w:rsidRPr="00D05BEF" w:rsidRDefault="00D94CAC" w:rsidP="00D94CAC">
            <w:pPr>
              <w:pStyle w:val="Tabletext"/>
              <w:rPr>
                <w:lang w:val="en-US" w:eastAsia="fr-FR"/>
              </w:rPr>
            </w:pPr>
            <w:r w:rsidRPr="00D05BEF">
              <w:rPr>
                <w:lang w:val="en-US" w:eastAsia="fr-FR"/>
              </w:rPr>
              <w:t>0,12</w:t>
            </w:r>
          </w:p>
        </w:tc>
        <w:tc>
          <w:tcPr>
            <w:tcW w:w="390" w:type="pct"/>
            <w:vAlign w:val="bottom"/>
          </w:tcPr>
          <w:p w:rsidR="00D94CAC" w:rsidRPr="00D05BEF" w:rsidRDefault="00D94CAC" w:rsidP="00D94CAC">
            <w:pPr>
              <w:pStyle w:val="Tabletext"/>
              <w:rPr>
                <w:lang w:val="en-US" w:eastAsia="fr-FR"/>
              </w:rPr>
            </w:pPr>
            <w:r w:rsidRPr="00D05BEF">
              <w:rPr>
                <w:lang w:val="en-US" w:eastAsia="fr-FR"/>
              </w:rPr>
              <w:t>1 703</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MicroE : &lt;6 </w:t>
            </w:r>
          </w:p>
        </w:tc>
        <w:tc>
          <w:tcPr>
            <w:tcW w:w="390"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4,11</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90,90</w:t>
            </w:r>
          </w:p>
        </w:tc>
        <w:tc>
          <w:tcPr>
            <w:tcW w:w="848"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4,48</w:t>
            </w:r>
          </w:p>
        </w:tc>
        <w:tc>
          <w:tcPr>
            <w:tcW w:w="807" w:type="pct"/>
            <w:vAlign w:val="bottom"/>
          </w:tcPr>
          <w:p w:rsidR="00D94CAC" w:rsidRPr="00D05BEF" w:rsidRDefault="00D94CAC" w:rsidP="00D94CAC">
            <w:pPr>
              <w:pStyle w:val="Tabletext"/>
              <w:rPr>
                <w:lang w:val="en-US" w:eastAsia="fr-FR"/>
              </w:rPr>
            </w:pPr>
            <w:r w:rsidRPr="00D05BEF">
              <w:rPr>
                <w:lang w:val="en-US" w:eastAsia="fr-FR"/>
              </w:rPr>
              <w:t>0,44</w:t>
            </w:r>
          </w:p>
        </w:tc>
        <w:tc>
          <w:tcPr>
            <w:tcW w:w="936" w:type="pct"/>
            <w:vAlign w:val="bottom"/>
          </w:tcPr>
          <w:p w:rsidR="00D94CAC" w:rsidRPr="00D05BEF" w:rsidRDefault="00D94CAC" w:rsidP="00D94CAC">
            <w:pPr>
              <w:pStyle w:val="Tabletext"/>
              <w:rPr>
                <w:lang w:val="en-US" w:eastAsia="fr-FR"/>
              </w:rPr>
            </w:pPr>
            <w:r w:rsidRPr="00D05BEF">
              <w:rPr>
                <w:lang w:val="en-US" w:eastAsia="fr-FR"/>
              </w:rPr>
              <w:t>0,07</w:t>
            </w:r>
          </w:p>
        </w:tc>
        <w:tc>
          <w:tcPr>
            <w:tcW w:w="390" w:type="pct"/>
            <w:vAlign w:val="bottom"/>
          </w:tcPr>
          <w:p w:rsidR="00D94CAC" w:rsidRPr="00D05BEF" w:rsidRDefault="00D94CAC" w:rsidP="00D94CAC">
            <w:pPr>
              <w:pStyle w:val="Tabletext"/>
              <w:rPr>
                <w:lang w:val="en-US" w:eastAsia="fr-FR"/>
              </w:rPr>
            </w:pPr>
            <w:r w:rsidRPr="00D05BEF">
              <w:rPr>
                <w:lang w:val="en-US" w:eastAsia="fr-FR"/>
              </w:rPr>
              <w:t>6 333</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PE : 6-49 </w:t>
            </w:r>
          </w:p>
        </w:tc>
        <w:tc>
          <w:tcPr>
            <w:tcW w:w="390" w:type="pct"/>
            <w:vAlign w:val="bottom"/>
          </w:tcPr>
          <w:p w:rsidR="00D94CAC" w:rsidRPr="00D05BEF" w:rsidRDefault="00D94CAC" w:rsidP="00D94CAC">
            <w:pPr>
              <w:pStyle w:val="Tabletext"/>
              <w:rPr>
                <w:lang w:val="en-US" w:eastAsia="fr-FR"/>
              </w:rPr>
            </w:pPr>
            <w:r w:rsidRPr="00D05BEF">
              <w:rPr>
                <w:lang w:val="en-US" w:eastAsia="fr-FR"/>
              </w:rPr>
              <w:t>2,06</w:t>
            </w:r>
          </w:p>
        </w:tc>
        <w:tc>
          <w:tcPr>
            <w:tcW w:w="902"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14,28</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74,27</w:t>
            </w:r>
          </w:p>
        </w:tc>
        <w:tc>
          <w:tcPr>
            <w:tcW w:w="807"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9,14</w:t>
            </w:r>
          </w:p>
        </w:tc>
        <w:tc>
          <w:tcPr>
            <w:tcW w:w="936" w:type="pct"/>
            <w:vAlign w:val="bottom"/>
          </w:tcPr>
          <w:p w:rsidR="00D94CAC" w:rsidRPr="00D05BEF" w:rsidRDefault="00D94CAC" w:rsidP="00D94CAC">
            <w:pPr>
              <w:pStyle w:val="Tabletext"/>
              <w:rPr>
                <w:lang w:val="en-US" w:eastAsia="fr-FR"/>
              </w:rPr>
            </w:pPr>
            <w:r w:rsidRPr="00D05BEF">
              <w:rPr>
                <w:lang w:val="en-US" w:eastAsia="fr-FR"/>
              </w:rPr>
              <w:t>0,26</w:t>
            </w:r>
          </w:p>
        </w:tc>
        <w:tc>
          <w:tcPr>
            <w:tcW w:w="390" w:type="pct"/>
            <w:vAlign w:val="bottom"/>
          </w:tcPr>
          <w:p w:rsidR="00D94CAC" w:rsidRPr="00D05BEF" w:rsidRDefault="00D94CAC" w:rsidP="00D94CAC">
            <w:pPr>
              <w:pStyle w:val="Tabletext"/>
              <w:rPr>
                <w:lang w:val="en-US" w:eastAsia="fr-FR"/>
              </w:rPr>
            </w:pPr>
            <w:r w:rsidRPr="00D05BEF">
              <w:rPr>
                <w:lang w:val="en-US" w:eastAsia="fr-FR"/>
              </w:rPr>
              <w:t>1 380</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ME :50-199 </w:t>
            </w:r>
          </w:p>
        </w:tc>
        <w:tc>
          <w:tcPr>
            <w:tcW w:w="390" w:type="pct"/>
            <w:vAlign w:val="bottom"/>
          </w:tcPr>
          <w:p w:rsidR="00D94CAC" w:rsidRPr="00D05BEF" w:rsidRDefault="00D94CAC" w:rsidP="00D94CAC">
            <w:pPr>
              <w:pStyle w:val="Tabletext"/>
              <w:rPr>
                <w:lang w:val="en-US" w:eastAsia="fr-FR"/>
              </w:rPr>
            </w:pPr>
            <w:r w:rsidRPr="00D05BEF">
              <w:rPr>
                <w:lang w:val="en-US" w:eastAsia="fr-FR"/>
              </w:rPr>
              <w:t>1,34</w:t>
            </w:r>
          </w:p>
        </w:tc>
        <w:tc>
          <w:tcPr>
            <w:tcW w:w="902" w:type="pct"/>
            <w:vAlign w:val="bottom"/>
          </w:tcPr>
          <w:p w:rsidR="00D94CAC" w:rsidRPr="00D05BEF" w:rsidRDefault="00D94CAC" w:rsidP="00D94CAC">
            <w:pPr>
              <w:pStyle w:val="Tabletext"/>
              <w:rPr>
                <w:lang w:val="en-US" w:eastAsia="fr-FR"/>
              </w:rPr>
            </w:pPr>
            <w:r w:rsidRPr="00D05BEF">
              <w:rPr>
                <w:lang w:val="en-US" w:eastAsia="fr-FR"/>
              </w:rPr>
              <w:t>3,38</w:t>
            </w:r>
          </w:p>
        </w:tc>
        <w:tc>
          <w:tcPr>
            <w:tcW w:w="848"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9,78</w:t>
            </w:r>
          </w:p>
        </w:tc>
        <w:tc>
          <w:tcPr>
            <w:tcW w:w="807" w:type="pct"/>
            <w:vAlign w:val="bottom"/>
          </w:tcPr>
          <w:p w:rsidR="00D94CAC" w:rsidRPr="00D05BEF" w:rsidRDefault="00D94CAC" w:rsidP="00D94CAC">
            <w:pPr>
              <w:pStyle w:val="Tabletext"/>
              <w:rPr>
                <w:b/>
                <w:bCs/>
                <w:lang w:val="en-US" w:eastAsia="fr-FR"/>
              </w:rPr>
            </w:pPr>
            <w:r w:rsidRPr="00D05BEF">
              <w:rPr>
                <w:b/>
                <w:bCs/>
                <w:lang w:val="en-US" w:eastAsia="fr-FR"/>
              </w:rPr>
              <w:t>80,58</w:t>
            </w:r>
          </w:p>
        </w:tc>
        <w:tc>
          <w:tcPr>
            <w:tcW w:w="936"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4,92</w:t>
            </w:r>
          </w:p>
        </w:tc>
        <w:tc>
          <w:tcPr>
            <w:tcW w:w="390" w:type="pct"/>
            <w:vAlign w:val="bottom"/>
          </w:tcPr>
          <w:p w:rsidR="00D94CAC" w:rsidRPr="00D05BEF" w:rsidRDefault="00D94CAC" w:rsidP="00D94CAC">
            <w:pPr>
              <w:pStyle w:val="Tabletext"/>
              <w:rPr>
                <w:lang w:val="en-US" w:eastAsia="fr-FR"/>
              </w:rPr>
            </w:pPr>
            <w:r w:rsidRPr="00D05BEF">
              <w:rPr>
                <w:lang w:val="en-US" w:eastAsia="fr-FR"/>
              </w:rPr>
              <w:t>857</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GE &gt;199 </w:t>
            </w:r>
          </w:p>
        </w:tc>
        <w:tc>
          <w:tcPr>
            <w:tcW w:w="390" w:type="pct"/>
            <w:vAlign w:val="bottom"/>
          </w:tcPr>
          <w:p w:rsidR="00D94CAC" w:rsidRPr="00D05BEF" w:rsidRDefault="00D94CAC" w:rsidP="00D94CAC">
            <w:pPr>
              <w:pStyle w:val="Tabletext"/>
              <w:rPr>
                <w:b/>
                <w:bCs/>
                <w:lang w:val="en-US" w:eastAsia="fr-FR"/>
              </w:rPr>
            </w:pPr>
            <w:r w:rsidRPr="00D05BEF">
              <w:rPr>
                <w:b/>
                <w:bCs/>
                <w:lang w:val="en-US" w:eastAsia="fr-FR"/>
              </w:rPr>
              <w:t>0,88</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1,46</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0,64</w:t>
            </w:r>
          </w:p>
        </w:tc>
        <w:tc>
          <w:tcPr>
            <w:tcW w:w="807"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11,94</w:t>
            </w:r>
          </w:p>
        </w:tc>
        <w:tc>
          <w:tcPr>
            <w:tcW w:w="936" w:type="pct"/>
            <w:vAlign w:val="bottom"/>
          </w:tcPr>
          <w:p w:rsidR="00D94CAC" w:rsidRPr="00D05BEF" w:rsidRDefault="00D94CAC" w:rsidP="00D94CAC">
            <w:pPr>
              <w:pStyle w:val="Tabletext"/>
              <w:rPr>
                <w:b/>
                <w:bCs/>
                <w:lang w:val="en-US" w:eastAsia="fr-FR"/>
              </w:rPr>
            </w:pPr>
            <w:r w:rsidRPr="00D05BEF">
              <w:rPr>
                <w:b/>
                <w:bCs/>
                <w:lang w:val="en-US" w:eastAsia="fr-FR"/>
              </w:rPr>
              <w:t>85,07</w:t>
            </w:r>
          </w:p>
        </w:tc>
        <w:tc>
          <w:tcPr>
            <w:tcW w:w="390" w:type="pct"/>
            <w:vAlign w:val="bottom"/>
          </w:tcPr>
          <w:p w:rsidR="00D94CAC" w:rsidRPr="00D05BEF" w:rsidRDefault="00D94CAC" w:rsidP="00D94CAC">
            <w:pPr>
              <w:pStyle w:val="Tabletext"/>
              <w:rPr>
                <w:lang w:val="en-US" w:eastAsia="fr-FR"/>
              </w:rPr>
            </w:pPr>
            <w:r w:rsidRPr="00D05BEF">
              <w:rPr>
                <w:lang w:val="en-US" w:eastAsia="fr-FR"/>
              </w:rPr>
              <w:t>268</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N</w:t>
            </w:r>
          </w:p>
        </w:tc>
        <w:tc>
          <w:tcPr>
            <w:tcW w:w="390" w:type="pct"/>
            <w:vAlign w:val="bottom"/>
          </w:tcPr>
          <w:p w:rsidR="00D94CAC" w:rsidRPr="00D05BEF" w:rsidRDefault="00D94CAC" w:rsidP="00D94CAC">
            <w:pPr>
              <w:pStyle w:val="Tabletext"/>
              <w:rPr>
                <w:lang w:val="en-US" w:eastAsia="fr-FR"/>
              </w:rPr>
            </w:pPr>
            <w:r w:rsidRPr="00D05BEF">
              <w:rPr>
                <w:lang w:val="en-US" w:eastAsia="fr-FR"/>
              </w:rPr>
              <w:t>302</w:t>
            </w:r>
          </w:p>
        </w:tc>
        <w:tc>
          <w:tcPr>
            <w:tcW w:w="902" w:type="pct"/>
            <w:vAlign w:val="bottom"/>
          </w:tcPr>
          <w:p w:rsidR="00D94CAC" w:rsidRPr="00D05BEF" w:rsidRDefault="00D94CAC" w:rsidP="00D94CAC">
            <w:pPr>
              <w:pStyle w:val="Tabletext"/>
              <w:rPr>
                <w:lang w:val="en-US" w:eastAsia="fr-FR"/>
              </w:rPr>
            </w:pPr>
            <w:r w:rsidRPr="00D05BEF">
              <w:rPr>
                <w:lang w:val="en-US" w:eastAsia="fr-FR"/>
              </w:rPr>
              <w:t>7 573</w:t>
            </w:r>
          </w:p>
        </w:tc>
        <w:tc>
          <w:tcPr>
            <w:tcW w:w="848" w:type="pct"/>
            <w:vAlign w:val="bottom"/>
          </w:tcPr>
          <w:p w:rsidR="00D94CAC" w:rsidRPr="00D05BEF" w:rsidRDefault="00D94CAC" w:rsidP="00D94CAC">
            <w:pPr>
              <w:pStyle w:val="Tabletext"/>
              <w:rPr>
                <w:lang w:val="en-US" w:eastAsia="fr-FR"/>
              </w:rPr>
            </w:pPr>
            <w:r w:rsidRPr="00D05BEF">
              <w:rPr>
                <w:lang w:val="en-US" w:eastAsia="fr-FR"/>
              </w:rPr>
              <w:t>1 494</w:t>
            </w:r>
          </w:p>
        </w:tc>
        <w:tc>
          <w:tcPr>
            <w:tcW w:w="807" w:type="pct"/>
            <w:vAlign w:val="bottom"/>
          </w:tcPr>
          <w:p w:rsidR="00D94CAC" w:rsidRPr="00D05BEF" w:rsidRDefault="00D94CAC" w:rsidP="00D94CAC">
            <w:pPr>
              <w:pStyle w:val="Tabletext"/>
              <w:rPr>
                <w:lang w:val="en-US" w:eastAsia="fr-FR"/>
              </w:rPr>
            </w:pPr>
            <w:r w:rsidRPr="00D05BEF">
              <w:rPr>
                <w:lang w:val="en-US" w:eastAsia="fr-FR"/>
              </w:rPr>
              <w:t>891</w:t>
            </w:r>
          </w:p>
        </w:tc>
        <w:tc>
          <w:tcPr>
            <w:tcW w:w="936" w:type="pct"/>
            <w:vAlign w:val="bottom"/>
          </w:tcPr>
          <w:p w:rsidR="00D94CAC" w:rsidRPr="00D05BEF" w:rsidRDefault="00D94CAC" w:rsidP="00D94CAC">
            <w:pPr>
              <w:pStyle w:val="Tabletext"/>
              <w:rPr>
                <w:lang w:val="en-US" w:eastAsia="fr-FR"/>
              </w:rPr>
            </w:pPr>
            <w:r w:rsidRPr="00D05BEF">
              <w:rPr>
                <w:lang w:val="en-US" w:eastAsia="fr-FR"/>
              </w:rPr>
              <w:t>280</w:t>
            </w:r>
          </w:p>
        </w:tc>
        <w:tc>
          <w:tcPr>
            <w:tcW w:w="390" w:type="pct"/>
            <w:vAlign w:val="bottom"/>
          </w:tcPr>
          <w:p w:rsidR="00D94CAC" w:rsidRPr="00D05BEF" w:rsidRDefault="00D94CAC" w:rsidP="00D94CAC">
            <w:pPr>
              <w:pStyle w:val="Tabletext"/>
              <w:rPr>
                <w:lang w:val="en-US" w:eastAsia="fr-FR"/>
              </w:rPr>
            </w:pPr>
            <w:r w:rsidRPr="00D05BEF">
              <w:rPr>
                <w:lang w:val="en-US" w:eastAsia="fr-FR"/>
              </w:rPr>
              <w:t>10 541</w:t>
            </w:r>
          </w:p>
        </w:tc>
      </w:tr>
      <w:tr w:rsidR="00D94CAC" w:rsidTr="00E62CF8">
        <w:trPr>
          <w:trHeight w:val="288"/>
        </w:trPr>
        <w:tc>
          <w:tcPr>
            <w:tcW w:w="337" w:type="pct"/>
            <w:tcBorders>
              <w:bottom w:val="single" w:sz="4" w:space="0" w:color="808080" w:themeColor="text1"/>
            </w:tcBorders>
            <w:vAlign w:val="bottom"/>
          </w:tcPr>
          <w:p w:rsidR="00D94CAC" w:rsidRPr="00D05BEF" w:rsidRDefault="00D94CAC" w:rsidP="00D94CAC">
            <w:pPr>
              <w:pStyle w:val="Tabletext"/>
              <w:rPr>
                <w:lang w:val="en-US" w:eastAsia="fr-FR"/>
              </w:rPr>
            </w:pP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2,87</w:t>
            </w:r>
          </w:p>
        </w:tc>
        <w:tc>
          <w:tcPr>
            <w:tcW w:w="902"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71,85</w:t>
            </w:r>
          </w:p>
        </w:tc>
        <w:tc>
          <w:tcPr>
            <w:tcW w:w="848"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14,17</w:t>
            </w:r>
          </w:p>
        </w:tc>
        <w:tc>
          <w:tcPr>
            <w:tcW w:w="807"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8,45</w:t>
            </w:r>
          </w:p>
        </w:tc>
        <w:tc>
          <w:tcPr>
            <w:tcW w:w="936"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2,66</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p>
        </w:tc>
      </w:tr>
      <w:tr w:rsidR="006871FB" w:rsidTr="00E62CF8">
        <w:trPr>
          <w:trHeight w:val="269"/>
        </w:trPr>
        <w:tc>
          <w:tcPr>
            <w:tcW w:w="5000" w:type="pct"/>
            <w:gridSpan w:val="8"/>
            <w:shd w:val="clear" w:color="auto" w:fill="BFBFBF" w:themeFill="background2" w:themeFillShade="BF"/>
            <w:vAlign w:val="bottom"/>
          </w:tcPr>
          <w:p w:rsidR="00182AAD" w:rsidRDefault="006871FB" w:rsidP="00182AAD">
            <w:pPr>
              <w:pStyle w:val="Tabletexttitle"/>
              <w:jc w:val="left"/>
              <w:rPr>
                <w:lang w:val="en-US" w:eastAsia="fr-FR"/>
              </w:rPr>
            </w:pPr>
            <w:r w:rsidRPr="00D05BEF">
              <w:rPr>
                <w:lang w:val="en-US" w:eastAsia="fr-FR"/>
              </w:rPr>
              <w:t>Exporter</w:t>
            </w:r>
          </w:p>
        </w:tc>
      </w:tr>
      <w:tr w:rsidR="00E62CF8" w:rsidTr="00E62CF8">
        <w:trPr>
          <w:trHeight w:val="269"/>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in year t+1</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807" w:type="pct"/>
            <w:shd w:val="clear" w:color="auto" w:fill="BFBFBF" w:themeFill="background2" w:themeFillShade="BF"/>
          </w:tcPr>
          <w:p w:rsidR="00D94CAC" w:rsidRDefault="00D94CAC" w:rsidP="00DA7305">
            <w:pPr>
              <w:pStyle w:val="Tabletexttitle"/>
            </w:pPr>
          </w:p>
        </w:tc>
        <w:tc>
          <w:tcPr>
            <w:tcW w:w="936" w:type="pct"/>
            <w:shd w:val="clear" w:color="auto" w:fill="BFBFBF" w:themeFill="background2" w:themeFillShade="BF"/>
          </w:tcPr>
          <w:p w:rsidR="00D94CAC" w:rsidRDefault="00D94CAC" w:rsidP="00DA7305">
            <w:pPr>
              <w:pStyle w:val="Tabletexttitle"/>
            </w:pPr>
          </w:p>
        </w:tc>
        <w:tc>
          <w:tcPr>
            <w:tcW w:w="390" w:type="pct"/>
            <w:shd w:val="clear" w:color="auto" w:fill="BFBFBF" w:themeFill="background2" w:themeFillShade="BF"/>
          </w:tcPr>
          <w:p w:rsidR="00D94CAC" w:rsidRDefault="00D94CAC" w:rsidP="00DA7305">
            <w:pPr>
              <w:pStyle w:val="Tabletexttitle"/>
            </w:pPr>
          </w:p>
        </w:tc>
      </w:tr>
      <w:tr w:rsidR="00E62CF8" w:rsidTr="00E62CF8">
        <w:trPr>
          <w:trHeight w:val="485"/>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year t</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Exit</w:t>
            </w: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Micro</w:t>
            </w:r>
            <w:r w:rsidR="0087176D" w:rsidRPr="00D05BEF">
              <w:rPr>
                <w:lang w:val="en-US" w:eastAsia="fr-FR"/>
              </w:rPr>
              <w:t>E</w:t>
            </w:r>
            <w:r w:rsidR="0087176D">
              <w:rPr>
                <w:lang w:val="en-US" w:eastAsia="fr-FR"/>
              </w:rPr>
              <w:t>nterprises</w:t>
            </w:r>
            <w:r w:rsidRPr="00D05BEF">
              <w:rPr>
                <w:lang w:val="en-US" w:eastAsia="fr-FR"/>
              </w:rPr>
              <w:t xml:space="preserve"> : &lt;6 </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Small</w:t>
            </w:r>
            <w:r w:rsidR="0087176D" w:rsidRPr="00D05BEF">
              <w:rPr>
                <w:lang w:val="en-US" w:eastAsia="fr-FR"/>
              </w:rPr>
              <w:t>E</w:t>
            </w:r>
            <w:r w:rsidR="0087176D">
              <w:rPr>
                <w:lang w:val="en-US" w:eastAsia="fr-FR"/>
              </w:rPr>
              <w:t>nterprises</w:t>
            </w:r>
            <w:r w:rsidRPr="00D05BEF">
              <w:rPr>
                <w:lang w:val="en-US" w:eastAsia="fr-FR"/>
              </w:rPr>
              <w:t xml:space="preserve"> : 6-49 </w:t>
            </w:r>
          </w:p>
        </w:tc>
        <w:tc>
          <w:tcPr>
            <w:tcW w:w="80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Medium</w:t>
            </w:r>
            <w:r w:rsidR="0087176D" w:rsidRPr="00D05BEF">
              <w:rPr>
                <w:lang w:val="en-US" w:eastAsia="fr-FR"/>
              </w:rPr>
              <w:t>E</w:t>
            </w:r>
            <w:r w:rsidR="0087176D">
              <w:rPr>
                <w:lang w:val="en-US" w:eastAsia="fr-FR"/>
              </w:rPr>
              <w:t>nterprises</w:t>
            </w:r>
            <w:r w:rsidRPr="00D05BEF">
              <w:rPr>
                <w:lang w:val="en-US" w:eastAsia="fr-FR"/>
              </w:rPr>
              <w:t xml:space="preserve"> :50-199 </w:t>
            </w:r>
          </w:p>
        </w:tc>
        <w:tc>
          <w:tcPr>
            <w:tcW w:w="936"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Big</w:t>
            </w:r>
            <w:r w:rsidR="0087176D" w:rsidRPr="00D05BEF">
              <w:rPr>
                <w:lang w:val="en-US" w:eastAsia="fr-FR"/>
              </w:rPr>
              <w:t>E</w:t>
            </w:r>
            <w:r w:rsidR="0087176D">
              <w:rPr>
                <w:lang w:val="en-US" w:eastAsia="fr-FR"/>
              </w:rPr>
              <w:t>nterprises</w:t>
            </w:r>
            <w:r w:rsidRPr="00D05BEF">
              <w:rPr>
                <w:lang w:val="en-US" w:eastAsia="fr-FR"/>
              </w:rPr>
              <w:t xml:space="preserve">&gt;199 </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N</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Entry</w:t>
            </w:r>
          </w:p>
        </w:tc>
        <w:tc>
          <w:tcPr>
            <w:tcW w:w="390" w:type="pct"/>
            <w:vAlign w:val="bottom"/>
          </w:tcPr>
          <w:p w:rsidR="00D94CAC" w:rsidRPr="00D05BEF" w:rsidRDefault="00D94CAC" w:rsidP="00D94CAC">
            <w:pPr>
              <w:pStyle w:val="Tabletext"/>
              <w:rPr>
                <w:lang w:val="en-US" w:eastAsia="fr-FR"/>
              </w:rPr>
            </w:pPr>
          </w:p>
        </w:tc>
        <w:tc>
          <w:tcPr>
            <w:tcW w:w="902" w:type="pct"/>
            <w:vAlign w:val="bottom"/>
          </w:tcPr>
          <w:p w:rsidR="00D94CAC" w:rsidRPr="00D05BEF" w:rsidRDefault="00D94CAC" w:rsidP="00D94CAC">
            <w:pPr>
              <w:pStyle w:val="Tabletext"/>
              <w:rPr>
                <w:lang w:val="en-US" w:eastAsia="fr-FR"/>
              </w:rPr>
            </w:pPr>
            <w:r w:rsidRPr="00D05BEF">
              <w:rPr>
                <w:lang w:val="en-US" w:eastAsia="fr-FR"/>
              </w:rPr>
              <w:t>92,97</w:t>
            </w:r>
          </w:p>
        </w:tc>
        <w:tc>
          <w:tcPr>
            <w:tcW w:w="848" w:type="pct"/>
            <w:vAlign w:val="bottom"/>
          </w:tcPr>
          <w:p w:rsidR="00D94CAC" w:rsidRPr="00D05BEF" w:rsidRDefault="00D94CAC" w:rsidP="00D94CAC">
            <w:pPr>
              <w:pStyle w:val="Tabletext"/>
              <w:rPr>
                <w:lang w:val="en-US" w:eastAsia="fr-FR"/>
              </w:rPr>
            </w:pPr>
            <w:r w:rsidRPr="00D05BEF">
              <w:rPr>
                <w:lang w:val="en-US" w:eastAsia="fr-FR"/>
              </w:rPr>
              <w:t>6,02</w:t>
            </w:r>
          </w:p>
        </w:tc>
        <w:tc>
          <w:tcPr>
            <w:tcW w:w="807" w:type="pct"/>
            <w:vAlign w:val="bottom"/>
          </w:tcPr>
          <w:p w:rsidR="00D94CAC" w:rsidRPr="00D05BEF" w:rsidRDefault="00D94CAC" w:rsidP="00D94CAC">
            <w:pPr>
              <w:pStyle w:val="Tabletext"/>
              <w:rPr>
                <w:lang w:val="en-US" w:eastAsia="fr-FR"/>
              </w:rPr>
            </w:pPr>
            <w:r w:rsidRPr="00D05BEF">
              <w:rPr>
                <w:lang w:val="en-US" w:eastAsia="fr-FR"/>
              </w:rPr>
              <w:t>0,89</w:t>
            </w:r>
          </w:p>
        </w:tc>
        <w:tc>
          <w:tcPr>
            <w:tcW w:w="936" w:type="pct"/>
            <w:vAlign w:val="bottom"/>
          </w:tcPr>
          <w:p w:rsidR="00D94CAC" w:rsidRPr="00D05BEF" w:rsidRDefault="00D94CAC" w:rsidP="00D94CAC">
            <w:pPr>
              <w:pStyle w:val="Tabletext"/>
              <w:rPr>
                <w:lang w:val="en-US" w:eastAsia="fr-FR"/>
              </w:rPr>
            </w:pPr>
            <w:r w:rsidRPr="00D05BEF">
              <w:rPr>
                <w:lang w:val="en-US" w:eastAsia="fr-FR"/>
              </w:rPr>
              <w:t>0,12</w:t>
            </w:r>
          </w:p>
        </w:tc>
        <w:tc>
          <w:tcPr>
            <w:tcW w:w="390" w:type="pct"/>
            <w:vAlign w:val="bottom"/>
          </w:tcPr>
          <w:p w:rsidR="00D94CAC" w:rsidRPr="00D05BEF" w:rsidRDefault="00D94CAC" w:rsidP="00D94CAC">
            <w:pPr>
              <w:pStyle w:val="Tabletext"/>
              <w:rPr>
                <w:lang w:val="en-US" w:eastAsia="fr-FR"/>
              </w:rPr>
            </w:pPr>
            <w:r w:rsidRPr="00D05BEF">
              <w:rPr>
                <w:lang w:val="en-US" w:eastAsia="fr-FR"/>
              </w:rPr>
              <w:t>1 796</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MicroE : &lt;6 </w:t>
            </w:r>
          </w:p>
        </w:tc>
        <w:tc>
          <w:tcPr>
            <w:tcW w:w="390"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3,82</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90,64</w:t>
            </w:r>
          </w:p>
        </w:tc>
        <w:tc>
          <w:tcPr>
            <w:tcW w:w="848"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5,05</w:t>
            </w:r>
          </w:p>
        </w:tc>
        <w:tc>
          <w:tcPr>
            <w:tcW w:w="807" w:type="pct"/>
            <w:vAlign w:val="bottom"/>
          </w:tcPr>
          <w:p w:rsidR="00D94CAC" w:rsidRPr="00D05BEF" w:rsidRDefault="00D94CAC" w:rsidP="00D94CAC">
            <w:pPr>
              <w:pStyle w:val="Tabletext"/>
              <w:rPr>
                <w:lang w:val="en-US" w:eastAsia="fr-FR"/>
              </w:rPr>
            </w:pPr>
            <w:r w:rsidRPr="00D05BEF">
              <w:rPr>
                <w:lang w:val="en-US" w:eastAsia="fr-FR"/>
              </w:rPr>
              <w:t>0,43</w:t>
            </w:r>
          </w:p>
        </w:tc>
        <w:tc>
          <w:tcPr>
            <w:tcW w:w="936" w:type="pct"/>
            <w:vAlign w:val="bottom"/>
          </w:tcPr>
          <w:p w:rsidR="00D94CAC" w:rsidRPr="00D05BEF" w:rsidRDefault="00D94CAC" w:rsidP="00D94CAC">
            <w:pPr>
              <w:pStyle w:val="Tabletext"/>
              <w:rPr>
                <w:lang w:val="en-US" w:eastAsia="fr-FR"/>
              </w:rPr>
            </w:pPr>
            <w:r w:rsidRPr="00D05BEF">
              <w:rPr>
                <w:lang w:val="en-US" w:eastAsia="fr-FR"/>
              </w:rPr>
              <w:t>0,06</w:t>
            </w:r>
          </w:p>
        </w:tc>
        <w:tc>
          <w:tcPr>
            <w:tcW w:w="390" w:type="pct"/>
            <w:vAlign w:val="bottom"/>
          </w:tcPr>
          <w:p w:rsidR="00D94CAC" w:rsidRPr="00D05BEF" w:rsidRDefault="00D94CAC" w:rsidP="00D94CAC">
            <w:pPr>
              <w:pStyle w:val="Tabletext"/>
              <w:rPr>
                <w:lang w:val="en-US" w:eastAsia="fr-FR"/>
              </w:rPr>
            </w:pPr>
            <w:r w:rsidRPr="00D05BEF">
              <w:rPr>
                <w:lang w:val="en-US" w:eastAsia="fr-FR"/>
              </w:rPr>
              <w:t>7 426</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PE : 6-49 </w:t>
            </w:r>
          </w:p>
        </w:tc>
        <w:tc>
          <w:tcPr>
            <w:tcW w:w="390" w:type="pct"/>
            <w:vAlign w:val="bottom"/>
          </w:tcPr>
          <w:p w:rsidR="00D94CAC" w:rsidRPr="00D05BEF" w:rsidRDefault="00D94CAC" w:rsidP="00D94CAC">
            <w:pPr>
              <w:pStyle w:val="Tabletext"/>
              <w:rPr>
                <w:lang w:val="en-US" w:eastAsia="fr-FR"/>
              </w:rPr>
            </w:pPr>
            <w:r w:rsidRPr="00D05BEF">
              <w:rPr>
                <w:lang w:val="en-US" w:eastAsia="fr-FR"/>
              </w:rPr>
              <w:t>1,50</w:t>
            </w:r>
          </w:p>
        </w:tc>
        <w:tc>
          <w:tcPr>
            <w:tcW w:w="902"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10,34</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80,98</w:t>
            </w:r>
          </w:p>
        </w:tc>
        <w:tc>
          <w:tcPr>
            <w:tcW w:w="807"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7,02</w:t>
            </w:r>
          </w:p>
        </w:tc>
        <w:tc>
          <w:tcPr>
            <w:tcW w:w="936" w:type="pct"/>
            <w:vAlign w:val="bottom"/>
          </w:tcPr>
          <w:p w:rsidR="00D94CAC" w:rsidRPr="00D05BEF" w:rsidRDefault="00D94CAC" w:rsidP="00D94CAC">
            <w:pPr>
              <w:pStyle w:val="Tabletext"/>
              <w:rPr>
                <w:lang w:val="en-US" w:eastAsia="fr-FR"/>
              </w:rPr>
            </w:pPr>
            <w:r w:rsidRPr="00D05BEF">
              <w:rPr>
                <w:lang w:val="en-US" w:eastAsia="fr-FR"/>
              </w:rPr>
              <w:t>0,17</w:t>
            </w:r>
          </w:p>
        </w:tc>
        <w:tc>
          <w:tcPr>
            <w:tcW w:w="390" w:type="pct"/>
            <w:vAlign w:val="bottom"/>
          </w:tcPr>
          <w:p w:rsidR="00D94CAC" w:rsidRPr="00D05BEF" w:rsidRDefault="00D94CAC" w:rsidP="00D94CAC">
            <w:pPr>
              <w:pStyle w:val="Tabletext"/>
              <w:rPr>
                <w:lang w:val="en-US" w:eastAsia="fr-FR"/>
              </w:rPr>
            </w:pPr>
            <w:r w:rsidRPr="00D05BEF">
              <w:rPr>
                <w:lang w:val="en-US" w:eastAsia="fr-FR"/>
              </w:rPr>
              <w:t>2 447</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ME :50-199 </w:t>
            </w:r>
          </w:p>
        </w:tc>
        <w:tc>
          <w:tcPr>
            <w:tcW w:w="390" w:type="pct"/>
            <w:vAlign w:val="bottom"/>
          </w:tcPr>
          <w:p w:rsidR="00D94CAC" w:rsidRPr="00D05BEF" w:rsidRDefault="00D94CAC" w:rsidP="00D94CAC">
            <w:pPr>
              <w:pStyle w:val="Tabletext"/>
              <w:rPr>
                <w:lang w:val="en-US" w:eastAsia="fr-FR"/>
              </w:rPr>
            </w:pPr>
            <w:r w:rsidRPr="00D05BEF">
              <w:rPr>
                <w:lang w:val="en-US" w:eastAsia="fr-FR"/>
              </w:rPr>
              <w:t>1,01</w:t>
            </w:r>
          </w:p>
        </w:tc>
        <w:tc>
          <w:tcPr>
            <w:tcW w:w="902" w:type="pct"/>
            <w:vAlign w:val="bottom"/>
          </w:tcPr>
          <w:p w:rsidR="00D94CAC" w:rsidRPr="00D05BEF" w:rsidRDefault="00D94CAC" w:rsidP="00D94CAC">
            <w:pPr>
              <w:pStyle w:val="Tabletext"/>
              <w:rPr>
                <w:lang w:val="en-US" w:eastAsia="fr-FR"/>
              </w:rPr>
            </w:pPr>
            <w:r w:rsidRPr="00D05BEF">
              <w:rPr>
                <w:lang w:val="en-US" w:eastAsia="fr-FR"/>
              </w:rPr>
              <w:t>2,47</w:t>
            </w:r>
          </w:p>
        </w:tc>
        <w:tc>
          <w:tcPr>
            <w:tcW w:w="848"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9,20</w:t>
            </w:r>
          </w:p>
        </w:tc>
        <w:tc>
          <w:tcPr>
            <w:tcW w:w="807" w:type="pct"/>
            <w:vAlign w:val="bottom"/>
          </w:tcPr>
          <w:p w:rsidR="00D94CAC" w:rsidRPr="00D05BEF" w:rsidRDefault="00D94CAC" w:rsidP="00D94CAC">
            <w:pPr>
              <w:pStyle w:val="Tabletext"/>
              <w:rPr>
                <w:b/>
                <w:bCs/>
                <w:lang w:val="en-US" w:eastAsia="fr-FR"/>
              </w:rPr>
            </w:pPr>
            <w:r w:rsidRPr="00D05BEF">
              <w:rPr>
                <w:b/>
                <w:bCs/>
                <w:lang w:val="en-US" w:eastAsia="fr-FR"/>
              </w:rPr>
              <w:t>83,03</w:t>
            </w:r>
          </w:p>
        </w:tc>
        <w:tc>
          <w:tcPr>
            <w:tcW w:w="936"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4,28</w:t>
            </w:r>
          </w:p>
        </w:tc>
        <w:tc>
          <w:tcPr>
            <w:tcW w:w="390" w:type="pct"/>
            <w:vAlign w:val="bottom"/>
          </w:tcPr>
          <w:p w:rsidR="00D94CAC" w:rsidRPr="00D05BEF" w:rsidRDefault="00D94CAC" w:rsidP="00D94CAC">
            <w:pPr>
              <w:pStyle w:val="Tabletext"/>
              <w:rPr>
                <w:lang w:val="en-US" w:eastAsia="fr-FR"/>
              </w:rPr>
            </w:pPr>
            <w:r w:rsidRPr="00D05BEF">
              <w:rPr>
                <w:lang w:val="en-US" w:eastAsia="fr-FR"/>
              </w:rPr>
              <w:t>1 308</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GE &gt;199 </w:t>
            </w:r>
          </w:p>
        </w:tc>
        <w:tc>
          <w:tcPr>
            <w:tcW w:w="390" w:type="pct"/>
            <w:vAlign w:val="bottom"/>
          </w:tcPr>
          <w:p w:rsidR="00D94CAC" w:rsidRPr="00D05BEF" w:rsidRDefault="00D94CAC" w:rsidP="00D94CAC">
            <w:pPr>
              <w:pStyle w:val="Tabletext"/>
              <w:rPr>
                <w:b/>
                <w:bCs/>
                <w:lang w:val="en-US" w:eastAsia="fr-FR"/>
              </w:rPr>
            </w:pPr>
            <w:r w:rsidRPr="00D05BEF">
              <w:rPr>
                <w:b/>
                <w:bCs/>
                <w:lang w:val="en-US" w:eastAsia="fr-FR"/>
              </w:rPr>
              <w:t>0,70</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1,02</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0,50</w:t>
            </w:r>
          </w:p>
        </w:tc>
        <w:tc>
          <w:tcPr>
            <w:tcW w:w="807"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10,87</w:t>
            </w:r>
          </w:p>
        </w:tc>
        <w:tc>
          <w:tcPr>
            <w:tcW w:w="936" w:type="pct"/>
            <w:vAlign w:val="bottom"/>
          </w:tcPr>
          <w:p w:rsidR="00D94CAC" w:rsidRPr="00D05BEF" w:rsidRDefault="00D94CAC" w:rsidP="00D94CAC">
            <w:pPr>
              <w:pStyle w:val="Tabletext"/>
              <w:rPr>
                <w:b/>
                <w:bCs/>
                <w:lang w:val="en-US" w:eastAsia="fr-FR"/>
              </w:rPr>
            </w:pPr>
            <w:r w:rsidRPr="00D05BEF">
              <w:rPr>
                <w:b/>
                <w:bCs/>
                <w:lang w:val="en-US" w:eastAsia="fr-FR"/>
              </w:rPr>
              <w:t>86,92</w:t>
            </w:r>
          </w:p>
        </w:tc>
        <w:tc>
          <w:tcPr>
            <w:tcW w:w="390" w:type="pct"/>
            <w:vAlign w:val="bottom"/>
          </w:tcPr>
          <w:p w:rsidR="00D94CAC" w:rsidRPr="00D05BEF" w:rsidRDefault="00D94CAC" w:rsidP="00D94CAC">
            <w:pPr>
              <w:pStyle w:val="Tabletext"/>
              <w:rPr>
                <w:lang w:val="en-US" w:eastAsia="fr-FR"/>
              </w:rPr>
            </w:pPr>
            <w:r w:rsidRPr="00D05BEF">
              <w:rPr>
                <w:lang w:val="en-US" w:eastAsia="fr-FR"/>
              </w:rPr>
              <w:t>402</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N</w:t>
            </w:r>
          </w:p>
        </w:tc>
        <w:tc>
          <w:tcPr>
            <w:tcW w:w="390" w:type="pct"/>
            <w:vAlign w:val="bottom"/>
          </w:tcPr>
          <w:p w:rsidR="00D94CAC" w:rsidRPr="00D05BEF" w:rsidRDefault="00D94CAC" w:rsidP="00D94CAC">
            <w:pPr>
              <w:pStyle w:val="Tabletext"/>
              <w:rPr>
                <w:lang w:val="en-US" w:eastAsia="fr-FR"/>
              </w:rPr>
            </w:pPr>
            <w:r w:rsidRPr="00D05BEF">
              <w:rPr>
                <w:lang w:val="en-US" w:eastAsia="fr-FR"/>
              </w:rPr>
              <w:t>336</w:t>
            </w:r>
          </w:p>
        </w:tc>
        <w:tc>
          <w:tcPr>
            <w:tcW w:w="902" w:type="pct"/>
            <w:vAlign w:val="bottom"/>
          </w:tcPr>
          <w:p w:rsidR="00D94CAC" w:rsidRPr="00D05BEF" w:rsidRDefault="00D94CAC" w:rsidP="00D94CAC">
            <w:pPr>
              <w:pStyle w:val="Tabletext"/>
              <w:rPr>
                <w:lang w:val="en-US" w:eastAsia="fr-FR"/>
              </w:rPr>
            </w:pPr>
            <w:r w:rsidRPr="00D05BEF">
              <w:rPr>
                <w:lang w:val="en-US" w:eastAsia="fr-FR"/>
              </w:rPr>
              <w:t>8 690</w:t>
            </w:r>
          </w:p>
        </w:tc>
        <w:tc>
          <w:tcPr>
            <w:tcW w:w="848" w:type="pct"/>
            <w:vAlign w:val="bottom"/>
          </w:tcPr>
          <w:p w:rsidR="00D94CAC" w:rsidRPr="00D05BEF" w:rsidRDefault="00D94CAC" w:rsidP="00D94CAC">
            <w:pPr>
              <w:pStyle w:val="Tabletext"/>
              <w:rPr>
                <w:lang w:val="en-US" w:eastAsia="fr-FR"/>
              </w:rPr>
            </w:pPr>
            <w:r w:rsidRPr="00D05BEF">
              <w:rPr>
                <w:lang w:val="en-US" w:eastAsia="fr-FR"/>
              </w:rPr>
              <w:t>2 587</w:t>
            </w:r>
          </w:p>
        </w:tc>
        <w:tc>
          <w:tcPr>
            <w:tcW w:w="807" w:type="pct"/>
            <w:vAlign w:val="bottom"/>
          </w:tcPr>
          <w:p w:rsidR="00D94CAC" w:rsidRPr="00D05BEF" w:rsidRDefault="00D94CAC" w:rsidP="00D94CAC">
            <w:pPr>
              <w:pStyle w:val="Tabletext"/>
              <w:rPr>
                <w:lang w:val="en-US" w:eastAsia="fr-FR"/>
              </w:rPr>
            </w:pPr>
            <w:r w:rsidRPr="00D05BEF">
              <w:rPr>
                <w:lang w:val="en-US" w:eastAsia="fr-FR"/>
              </w:rPr>
              <w:t>1 349</w:t>
            </w:r>
          </w:p>
        </w:tc>
        <w:tc>
          <w:tcPr>
            <w:tcW w:w="936" w:type="pct"/>
            <w:vAlign w:val="bottom"/>
          </w:tcPr>
          <w:p w:rsidR="00D94CAC" w:rsidRPr="00D05BEF" w:rsidRDefault="00D94CAC" w:rsidP="00D94CAC">
            <w:pPr>
              <w:pStyle w:val="Tabletext"/>
              <w:rPr>
                <w:lang w:val="en-US" w:eastAsia="fr-FR"/>
              </w:rPr>
            </w:pPr>
            <w:r w:rsidRPr="00D05BEF">
              <w:rPr>
                <w:lang w:val="en-US" w:eastAsia="fr-FR"/>
              </w:rPr>
              <w:t>417</w:t>
            </w:r>
          </w:p>
        </w:tc>
        <w:tc>
          <w:tcPr>
            <w:tcW w:w="390" w:type="pct"/>
            <w:vAlign w:val="bottom"/>
          </w:tcPr>
          <w:p w:rsidR="00D94CAC" w:rsidRPr="00D05BEF" w:rsidRDefault="00D94CAC" w:rsidP="00D94CAC">
            <w:pPr>
              <w:pStyle w:val="Tabletext"/>
              <w:rPr>
                <w:lang w:val="en-US" w:eastAsia="fr-FR"/>
              </w:rPr>
            </w:pPr>
            <w:r w:rsidRPr="00D05BEF">
              <w:rPr>
                <w:lang w:val="en-US" w:eastAsia="fr-FR"/>
              </w:rPr>
              <w:t>13 378</w:t>
            </w:r>
          </w:p>
        </w:tc>
      </w:tr>
      <w:tr w:rsidR="00D94CAC" w:rsidTr="00E62CF8">
        <w:trPr>
          <w:trHeight w:val="288"/>
        </w:trPr>
        <w:tc>
          <w:tcPr>
            <w:tcW w:w="337" w:type="pct"/>
            <w:tcBorders>
              <w:bottom w:val="single" w:sz="4" w:space="0" w:color="808080" w:themeColor="text1"/>
            </w:tcBorders>
            <w:vAlign w:val="bottom"/>
          </w:tcPr>
          <w:p w:rsidR="00D94CAC" w:rsidRPr="00D05BEF" w:rsidRDefault="00D94CAC" w:rsidP="00D94CAC">
            <w:pPr>
              <w:pStyle w:val="Tabletext"/>
              <w:rPr>
                <w:lang w:val="en-US" w:eastAsia="fr-FR"/>
              </w:rPr>
            </w:pP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2,51</w:t>
            </w:r>
          </w:p>
        </w:tc>
        <w:tc>
          <w:tcPr>
            <w:tcW w:w="902"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64,95</w:t>
            </w:r>
          </w:p>
        </w:tc>
        <w:tc>
          <w:tcPr>
            <w:tcW w:w="848"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19,33</w:t>
            </w:r>
          </w:p>
        </w:tc>
        <w:tc>
          <w:tcPr>
            <w:tcW w:w="807"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10,08</w:t>
            </w:r>
          </w:p>
        </w:tc>
        <w:tc>
          <w:tcPr>
            <w:tcW w:w="936" w:type="pct"/>
            <w:tcBorders>
              <w:bottom w:val="single" w:sz="4" w:space="0" w:color="808080" w:themeColor="text1"/>
            </w:tcBorders>
            <w:vAlign w:val="bottom"/>
          </w:tcPr>
          <w:p w:rsidR="00D94CAC" w:rsidRPr="00D05BEF" w:rsidRDefault="00D94CAC" w:rsidP="00D94CAC">
            <w:pPr>
              <w:pStyle w:val="Tabletext"/>
              <w:rPr>
                <w:lang w:val="en-US" w:eastAsia="fr-FR"/>
              </w:rPr>
            </w:pPr>
            <w:r w:rsidRPr="00D05BEF">
              <w:rPr>
                <w:lang w:val="en-US" w:eastAsia="fr-FR"/>
              </w:rPr>
              <w:t>3,11</w:t>
            </w:r>
          </w:p>
        </w:tc>
        <w:tc>
          <w:tcPr>
            <w:tcW w:w="390" w:type="pct"/>
            <w:tcBorders>
              <w:bottom w:val="single" w:sz="4" w:space="0" w:color="808080" w:themeColor="text1"/>
            </w:tcBorders>
            <w:vAlign w:val="bottom"/>
          </w:tcPr>
          <w:p w:rsidR="00D94CAC" w:rsidRPr="00D05BEF" w:rsidRDefault="00D94CAC" w:rsidP="00D94CAC">
            <w:pPr>
              <w:pStyle w:val="Tabletext"/>
              <w:rPr>
                <w:lang w:val="en-US" w:eastAsia="fr-FR"/>
              </w:rPr>
            </w:pPr>
          </w:p>
        </w:tc>
      </w:tr>
      <w:tr w:rsidR="006871FB" w:rsidTr="00E62CF8">
        <w:trPr>
          <w:trHeight w:val="269"/>
        </w:trPr>
        <w:tc>
          <w:tcPr>
            <w:tcW w:w="5000" w:type="pct"/>
            <w:gridSpan w:val="8"/>
            <w:shd w:val="clear" w:color="auto" w:fill="BFBFBF" w:themeFill="background2" w:themeFillShade="BF"/>
            <w:vAlign w:val="bottom"/>
          </w:tcPr>
          <w:p w:rsidR="00182AAD" w:rsidRDefault="006871FB" w:rsidP="00182AAD">
            <w:pPr>
              <w:pStyle w:val="Tabletexttitle"/>
              <w:jc w:val="left"/>
            </w:pPr>
            <w:r w:rsidRPr="00D05BEF">
              <w:rPr>
                <w:lang w:val="en-US" w:eastAsia="fr-FR"/>
              </w:rPr>
              <w:t>Exporter or Importer</w:t>
            </w:r>
          </w:p>
        </w:tc>
      </w:tr>
      <w:tr w:rsidR="00E62CF8" w:rsidTr="00E62CF8">
        <w:trPr>
          <w:trHeight w:val="269"/>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in year t+1</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807" w:type="pct"/>
            <w:shd w:val="clear" w:color="auto" w:fill="BFBFBF" w:themeFill="background2" w:themeFillShade="BF"/>
          </w:tcPr>
          <w:p w:rsidR="00D94CAC" w:rsidRDefault="00D94CAC" w:rsidP="00DA7305">
            <w:pPr>
              <w:pStyle w:val="Tabletexttitle"/>
            </w:pPr>
          </w:p>
        </w:tc>
        <w:tc>
          <w:tcPr>
            <w:tcW w:w="936" w:type="pct"/>
            <w:shd w:val="clear" w:color="auto" w:fill="BFBFBF" w:themeFill="background2" w:themeFillShade="BF"/>
          </w:tcPr>
          <w:p w:rsidR="00D94CAC" w:rsidRDefault="00D94CAC" w:rsidP="00DA7305">
            <w:pPr>
              <w:pStyle w:val="Tabletexttitle"/>
            </w:pPr>
          </w:p>
        </w:tc>
        <w:tc>
          <w:tcPr>
            <w:tcW w:w="390" w:type="pct"/>
            <w:shd w:val="clear" w:color="auto" w:fill="BFBFBF" w:themeFill="background2" w:themeFillShade="BF"/>
          </w:tcPr>
          <w:p w:rsidR="00D94CAC" w:rsidRDefault="00D94CAC" w:rsidP="00DA7305">
            <w:pPr>
              <w:pStyle w:val="Tabletexttitle"/>
            </w:pPr>
          </w:p>
        </w:tc>
      </w:tr>
      <w:tr w:rsidR="00E62CF8" w:rsidTr="00E62CF8">
        <w:trPr>
          <w:trHeight w:val="485"/>
        </w:trPr>
        <w:tc>
          <w:tcPr>
            <w:tcW w:w="337" w:type="pct"/>
            <w:shd w:val="clear" w:color="auto" w:fill="BFBFBF" w:themeFill="background2" w:themeFillShade="BF"/>
            <w:vAlign w:val="bottom"/>
          </w:tcPr>
          <w:p w:rsidR="00D94CAC" w:rsidRPr="00D05BEF" w:rsidRDefault="00D94CAC" w:rsidP="00DA7305">
            <w:pPr>
              <w:pStyle w:val="Tabletexttitle"/>
              <w:rPr>
                <w:lang w:val="en-US" w:eastAsia="fr-FR"/>
              </w:rPr>
            </w:pP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size year t</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Exit</w:t>
            </w:r>
          </w:p>
        </w:tc>
        <w:tc>
          <w:tcPr>
            <w:tcW w:w="902"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Micro</w:t>
            </w:r>
            <w:r w:rsidR="0087176D" w:rsidRPr="00D05BEF">
              <w:rPr>
                <w:lang w:val="en-US" w:eastAsia="fr-FR"/>
              </w:rPr>
              <w:t>E</w:t>
            </w:r>
            <w:r w:rsidR="0087176D">
              <w:rPr>
                <w:lang w:val="en-US" w:eastAsia="fr-FR"/>
              </w:rPr>
              <w:t>nterprises</w:t>
            </w:r>
            <w:r w:rsidRPr="00D05BEF">
              <w:rPr>
                <w:lang w:val="en-US" w:eastAsia="fr-FR"/>
              </w:rPr>
              <w:t xml:space="preserve"> : &lt;6 </w:t>
            </w:r>
          </w:p>
        </w:tc>
        <w:tc>
          <w:tcPr>
            <w:tcW w:w="848"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Small</w:t>
            </w:r>
            <w:r w:rsidR="0087176D" w:rsidRPr="00D05BEF">
              <w:rPr>
                <w:lang w:val="en-US" w:eastAsia="fr-FR"/>
              </w:rPr>
              <w:t>E</w:t>
            </w:r>
            <w:r w:rsidR="0087176D">
              <w:rPr>
                <w:lang w:val="en-US" w:eastAsia="fr-FR"/>
              </w:rPr>
              <w:t>nterprises</w:t>
            </w:r>
            <w:r w:rsidRPr="00D05BEF">
              <w:rPr>
                <w:lang w:val="en-US" w:eastAsia="fr-FR"/>
              </w:rPr>
              <w:t xml:space="preserve"> : 6-49 </w:t>
            </w:r>
          </w:p>
        </w:tc>
        <w:tc>
          <w:tcPr>
            <w:tcW w:w="807"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Medium</w:t>
            </w:r>
            <w:r w:rsidR="0087176D" w:rsidRPr="00D05BEF">
              <w:rPr>
                <w:lang w:val="en-US" w:eastAsia="fr-FR"/>
              </w:rPr>
              <w:t>E</w:t>
            </w:r>
            <w:r w:rsidR="0087176D">
              <w:rPr>
                <w:lang w:val="en-US" w:eastAsia="fr-FR"/>
              </w:rPr>
              <w:t>nterprises</w:t>
            </w:r>
            <w:r w:rsidRPr="00D05BEF">
              <w:rPr>
                <w:lang w:val="en-US" w:eastAsia="fr-FR"/>
              </w:rPr>
              <w:t xml:space="preserve"> :50-199 </w:t>
            </w:r>
          </w:p>
        </w:tc>
        <w:tc>
          <w:tcPr>
            <w:tcW w:w="936"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Big</w:t>
            </w:r>
            <w:r w:rsidR="0087176D" w:rsidRPr="00D05BEF">
              <w:rPr>
                <w:lang w:val="en-US" w:eastAsia="fr-FR"/>
              </w:rPr>
              <w:t>E</w:t>
            </w:r>
            <w:r w:rsidR="0087176D">
              <w:rPr>
                <w:lang w:val="en-US" w:eastAsia="fr-FR"/>
              </w:rPr>
              <w:t>nterprises</w:t>
            </w:r>
            <w:r w:rsidRPr="00D05BEF">
              <w:rPr>
                <w:lang w:val="en-US" w:eastAsia="fr-FR"/>
              </w:rPr>
              <w:t xml:space="preserve">&gt;199 </w:t>
            </w:r>
          </w:p>
        </w:tc>
        <w:tc>
          <w:tcPr>
            <w:tcW w:w="390" w:type="pct"/>
            <w:shd w:val="clear" w:color="auto" w:fill="BFBFBF" w:themeFill="background2" w:themeFillShade="BF"/>
            <w:vAlign w:val="bottom"/>
          </w:tcPr>
          <w:p w:rsidR="00D94CAC" w:rsidRPr="00D05BEF" w:rsidRDefault="00D94CAC" w:rsidP="00DA7305">
            <w:pPr>
              <w:pStyle w:val="Tabletexttitle"/>
              <w:rPr>
                <w:lang w:val="en-US" w:eastAsia="fr-FR"/>
              </w:rPr>
            </w:pPr>
            <w:r w:rsidRPr="00D05BEF">
              <w:rPr>
                <w:lang w:val="en-US" w:eastAsia="fr-FR"/>
              </w:rPr>
              <w:t>N</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Entry</w:t>
            </w:r>
          </w:p>
        </w:tc>
        <w:tc>
          <w:tcPr>
            <w:tcW w:w="390" w:type="pct"/>
            <w:vAlign w:val="bottom"/>
          </w:tcPr>
          <w:p w:rsidR="00D94CAC" w:rsidRPr="00D05BEF" w:rsidRDefault="00D94CAC" w:rsidP="00D94CAC">
            <w:pPr>
              <w:pStyle w:val="Tabletext"/>
              <w:rPr>
                <w:lang w:val="en-US" w:eastAsia="fr-FR"/>
              </w:rPr>
            </w:pPr>
          </w:p>
        </w:tc>
        <w:tc>
          <w:tcPr>
            <w:tcW w:w="902" w:type="pct"/>
            <w:vAlign w:val="bottom"/>
          </w:tcPr>
          <w:p w:rsidR="00D94CAC" w:rsidRPr="00D05BEF" w:rsidRDefault="00D94CAC" w:rsidP="00D94CAC">
            <w:pPr>
              <w:pStyle w:val="Tabletext"/>
              <w:rPr>
                <w:lang w:val="en-US" w:eastAsia="fr-FR"/>
              </w:rPr>
            </w:pPr>
            <w:r w:rsidRPr="00D05BEF">
              <w:rPr>
                <w:lang w:val="en-US" w:eastAsia="fr-FR"/>
              </w:rPr>
              <w:t>92,67</w:t>
            </w:r>
          </w:p>
        </w:tc>
        <w:tc>
          <w:tcPr>
            <w:tcW w:w="848" w:type="pct"/>
            <w:vAlign w:val="bottom"/>
          </w:tcPr>
          <w:p w:rsidR="00D94CAC" w:rsidRPr="00D05BEF" w:rsidRDefault="00D94CAC" w:rsidP="00D94CAC">
            <w:pPr>
              <w:pStyle w:val="Tabletext"/>
              <w:rPr>
                <w:lang w:val="en-US" w:eastAsia="fr-FR"/>
              </w:rPr>
            </w:pPr>
            <w:r w:rsidRPr="00D05BEF">
              <w:rPr>
                <w:lang w:val="en-US" w:eastAsia="fr-FR"/>
              </w:rPr>
              <w:t>6,29</w:t>
            </w:r>
          </w:p>
        </w:tc>
        <w:tc>
          <w:tcPr>
            <w:tcW w:w="807" w:type="pct"/>
            <w:vAlign w:val="bottom"/>
          </w:tcPr>
          <w:p w:rsidR="00D94CAC" w:rsidRPr="00D05BEF" w:rsidRDefault="00D94CAC" w:rsidP="00D94CAC">
            <w:pPr>
              <w:pStyle w:val="Tabletext"/>
              <w:rPr>
                <w:lang w:val="en-US" w:eastAsia="fr-FR"/>
              </w:rPr>
            </w:pPr>
            <w:r w:rsidRPr="00D05BEF">
              <w:rPr>
                <w:lang w:val="en-US" w:eastAsia="fr-FR"/>
              </w:rPr>
              <w:t>0,91</w:t>
            </w:r>
          </w:p>
        </w:tc>
        <w:tc>
          <w:tcPr>
            <w:tcW w:w="936" w:type="pct"/>
            <w:vAlign w:val="bottom"/>
          </w:tcPr>
          <w:p w:rsidR="00D94CAC" w:rsidRPr="00D05BEF" w:rsidRDefault="00D94CAC" w:rsidP="00D94CAC">
            <w:pPr>
              <w:pStyle w:val="Tabletext"/>
              <w:rPr>
                <w:lang w:val="en-US" w:eastAsia="fr-FR"/>
              </w:rPr>
            </w:pPr>
            <w:r w:rsidRPr="00D05BEF">
              <w:rPr>
                <w:lang w:val="en-US" w:eastAsia="fr-FR"/>
              </w:rPr>
              <w:t>0,13</w:t>
            </w:r>
          </w:p>
        </w:tc>
        <w:tc>
          <w:tcPr>
            <w:tcW w:w="390" w:type="pct"/>
            <w:vAlign w:val="bottom"/>
          </w:tcPr>
          <w:p w:rsidR="00D94CAC" w:rsidRPr="00D05BEF" w:rsidRDefault="00D94CAC" w:rsidP="00D94CAC">
            <w:pPr>
              <w:pStyle w:val="Tabletext"/>
              <w:rPr>
                <w:lang w:val="en-US" w:eastAsia="fr-FR"/>
              </w:rPr>
            </w:pPr>
            <w:r w:rsidRPr="00D05BEF">
              <w:rPr>
                <w:lang w:val="en-US" w:eastAsia="fr-FR"/>
              </w:rPr>
              <w:t>1 835</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MicroE : &lt;6 </w:t>
            </w:r>
          </w:p>
        </w:tc>
        <w:tc>
          <w:tcPr>
            <w:tcW w:w="390"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3,22</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90,61</w:t>
            </w:r>
          </w:p>
        </w:tc>
        <w:tc>
          <w:tcPr>
            <w:tcW w:w="848"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5,77</w:t>
            </w:r>
          </w:p>
        </w:tc>
        <w:tc>
          <w:tcPr>
            <w:tcW w:w="807" w:type="pct"/>
            <w:vAlign w:val="bottom"/>
          </w:tcPr>
          <w:p w:rsidR="00D94CAC" w:rsidRPr="00D05BEF" w:rsidRDefault="00D94CAC" w:rsidP="00D94CAC">
            <w:pPr>
              <w:pStyle w:val="Tabletext"/>
              <w:rPr>
                <w:lang w:val="en-US" w:eastAsia="fr-FR"/>
              </w:rPr>
            </w:pPr>
            <w:r w:rsidRPr="00D05BEF">
              <w:rPr>
                <w:lang w:val="en-US" w:eastAsia="fr-FR"/>
              </w:rPr>
              <w:t>0,35</w:t>
            </w:r>
          </w:p>
        </w:tc>
        <w:tc>
          <w:tcPr>
            <w:tcW w:w="936" w:type="pct"/>
            <w:vAlign w:val="bottom"/>
          </w:tcPr>
          <w:p w:rsidR="00D94CAC" w:rsidRPr="00D05BEF" w:rsidRDefault="00D94CAC" w:rsidP="00D94CAC">
            <w:pPr>
              <w:pStyle w:val="Tabletext"/>
              <w:rPr>
                <w:lang w:val="en-US" w:eastAsia="fr-FR"/>
              </w:rPr>
            </w:pPr>
            <w:r w:rsidRPr="00D05BEF">
              <w:rPr>
                <w:lang w:val="en-US" w:eastAsia="fr-FR"/>
              </w:rPr>
              <w:t>0,06</w:t>
            </w:r>
          </w:p>
        </w:tc>
        <w:tc>
          <w:tcPr>
            <w:tcW w:w="390" w:type="pct"/>
            <w:vAlign w:val="bottom"/>
          </w:tcPr>
          <w:p w:rsidR="00D94CAC" w:rsidRPr="00D05BEF" w:rsidRDefault="00D94CAC" w:rsidP="00D94CAC">
            <w:pPr>
              <w:pStyle w:val="Tabletext"/>
              <w:rPr>
                <w:lang w:val="en-US" w:eastAsia="fr-FR"/>
              </w:rPr>
            </w:pPr>
            <w:r w:rsidRPr="00D05BEF">
              <w:rPr>
                <w:lang w:val="en-US" w:eastAsia="fr-FR"/>
              </w:rPr>
              <w:t>9 379</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PE : 6-49 </w:t>
            </w:r>
          </w:p>
        </w:tc>
        <w:tc>
          <w:tcPr>
            <w:tcW w:w="390" w:type="pct"/>
            <w:vAlign w:val="bottom"/>
          </w:tcPr>
          <w:p w:rsidR="00D94CAC" w:rsidRPr="00D05BEF" w:rsidRDefault="00D94CAC" w:rsidP="00D94CAC">
            <w:pPr>
              <w:pStyle w:val="Tabletext"/>
              <w:rPr>
                <w:lang w:val="en-US" w:eastAsia="fr-FR"/>
              </w:rPr>
            </w:pPr>
            <w:r w:rsidRPr="00D05BEF">
              <w:rPr>
                <w:lang w:val="en-US" w:eastAsia="fr-FR"/>
              </w:rPr>
              <w:t>1,13</w:t>
            </w:r>
          </w:p>
        </w:tc>
        <w:tc>
          <w:tcPr>
            <w:tcW w:w="902"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8,59</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85,12</w:t>
            </w:r>
          </w:p>
        </w:tc>
        <w:tc>
          <w:tcPr>
            <w:tcW w:w="807"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5,01</w:t>
            </w:r>
          </w:p>
        </w:tc>
        <w:tc>
          <w:tcPr>
            <w:tcW w:w="936" w:type="pct"/>
            <w:vAlign w:val="bottom"/>
          </w:tcPr>
          <w:p w:rsidR="00D94CAC" w:rsidRPr="00D05BEF" w:rsidRDefault="00D94CAC" w:rsidP="00D94CAC">
            <w:pPr>
              <w:pStyle w:val="Tabletext"/>
              <w:rPr>
                <w:lang w:val="en-US" w:eastAsia="fr-FR"/>
              </w:rPr>
            </w:pPr>
            <w:r w:rsidRPr="00D05BEF">
              <w:rPr>
                <w:lang w:val="en-US" w:eastAsia="fr-FR"/>
              </w:rPr>
              <w:t>0,15</w:t>
            </w:r>
          </w:p>
        </w:tc>
        <w:tc>
          <w:tcPr>
            <w:tcW w:w="390" w:type="pct"/>
            <w:vAlign w:val="bottom"/>
          </w:tcPr>
          <w:p w:rsidR="00D94CAC" w:rsidRPr="00D05BEF" w:rsidRDefault="00D94CAC" w:rsidP="00D94CAC">
            <w:pPr>
              <w:pStyle w:val="Tabletext"/>
              <w:rPr>
                <w:lang w:val="en-US" w:eastAsia="fr-FR"/>
              </w:rPr>
            </w:pPr>
            <w:r w:rsidRPr="00D05BEF">
              <w:rPr>
                <w:lang w:val="en-US" w:eastAsia="fr-FR"/>
              </w:rPr>
              <w:t>3 865</w:t>
            </w:r>
          </w:p>
        </w:tc>
      </w:tr>
      <w:tr w:rsidR="00D94CAC" w:rsidTr="00E62CF8">
        <w:trPr>
          <w:trHeight w:val="485"/>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ME :50-199 </w:t>
            </w:r>
          </w:p>
        </w:tc>
        <w:tc>
          <w:tcPr>
            <w:tcW w:w="390" w:type="pct"/>
            <w:vAlign w:val="bottom"/>
          </w:tcPr>
          <w:p w:rsidR="00D94CAC" w:rsidRPr="00D05BEF" w:rsidRDefault="00D94CAC" w:rsidP="00D94CAC">
            <w:pPr>
              <w:pStyle w:val="Tabletext"/>
              <w:rPr>
                <w:lang w:val="en-US" w:eastAsia="fr-FR"/>
              </w:rPr>
            </w:pPr>
            <w:r w:rsidRPr="00D05BEF">
              <w:rPr>
                <w:lang w:val="en-US" w:eastAsia="fr-FR"/>
              </w:rPr>
              <w:t>0,91</w:t>
            </w:r>
          </w:p>
        </w:tc>
        <w:tc>
          <w:tcPr>
            <w:tcW w:w="902" w:type="pct"/>
            <w:vAlign w:val="bottom"/>
          </w:tcPr>
          <w:p w:rsidR="00D94CAC" w:rsidRPr="00D05BEF" w:rsidRDefault="00D94CAC" w:rsidP="00D94CAC">
            <w:pPr>
              <w:pStyle w:val="Tabletext"/>
              <w:rPr>
                <w:lang w:val="en-US" w:eastAsia="fr-FR"/>
              </w:rPr>
            </w:pPr>
            <w:r w:rsidRPr="00D05BEF">
              <w:rPr>
                <w:lang w:val="en-US" w:eastAsia="fr-FR"/>
              </w:rPr>
              <w:t>2,09</w:t>
            </w:r>
          </w:p>
        </w:tc>
        <w:tc>
          <w:tcPr>
            <w:tcW w:w="848"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9,24</w:t>
            </w:r>
          </w:p>
        </w:tc>
        <w:tc>
          <w:tcPr>
            <w:tcW w:w="807" w:type="pct"/>
            <w:vAlign w:val="bottom"/>
          </w:tcPr>
          <w:p w:rsidR="00D94CAC" w:rsidRPr="00D05BEF" w:rsidRDefault="00D94CAC" w:rsidP="00D94CAC">
            <w:pPr>
              <w:pStyle w:val="Tabletext"/>
              <w:rPr>
                <w:b/>
                <w:bCs/>
                <w:lang w:val="en-US" w:eastAsia="fr-FR"/>
              </w:rPr>
            </w:pPr>
            <w:r w:rsidRPr="00D05BEF">
              <w:rPr>
                <w:b/>
                <w:bCs/>
                <w:lang w:val="en-US" w:eastAsia="fr-FR"/>
              </w:rPr>
              <w:t>83,48</w:t>
            </w:r>
          </w:p>
        </w:tc>
        <w:tc>
          <w:tcPr>
            <w:tcW w:w="936" w:type="pct"/>
            <w:vAlign w:val="bottom"/>
          </w:tcPr>
          <w:p w:rsidR="00D94CAC" w:rsidRPr="00D05BEF" w:rsidRDefault="00D94CAC" w:rsidP="00D94CAC">
            <w:pPr>
              <w:pStyle w:val="Tabletext"/>
              <w:rPr>
                <w:b/>
                <w:bCs/>
                <w:color w:val="00B050"/>
                <w:lang w:val="en-US" w:eastAsia="fr-FR"/>
              </w:rPr>
            </w:pPr>
            <w:r w:rsidRPr="00D05BEF">
              <w:rPr>
                <w:b/>
                <w:bCs/>
                <w:color w:val="00B050"/>
                <w:lang w:val="en-US" w:eastAsia="fr-FR"/>
              </w:rPr>
              <w:t>4,28</w:t>
            </w:r>
          </w:p>
        </w:tc>
        <w:tc>
          <w:tcPr>
            <w:tcW w:w="390" w:type="pct"/>
            <w:vAlign w:val="bottom"/>
          </w:tcPr>
          <w:p w:rsidR="00D94CAC" w:rsidRPr="00D05BEF" w:rsidRDefault="00D94CAC" w:rsidP="00D94CAC">
            <w:pPr>
              <w:pStyle w:val="Tabletext"/>
              <w:rPr>
                <w:lang w:val="en-US" w:eastAsia="fr-FR"/>
              </w:rPr>
            </w:pPr>
            <w:r w:rsidRPr="00D05BEF">
              <w:rPr>
                <w:lang w:val="en-US" w:eastAsia="fr-FR"/>
              </w:rPr>
              <w:t>1 505</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 xml:space="preserve">GE &gt;199 </w:t>
            </w:r>
          </w:p>
        </w:tc>
        <w:tc>
          <w:tcPr>
            <w:tcW w:w="390" w:type="pct"/>
            <w:vAlign w:val="bottom"/>
          </w:tcPr>
          <w:p w:rsidR="00D94CAC" w:rsidRPr="00D05BEF" w:rsidRDefault="00D94CAC" w:rsidP="00D94CAC">
            <w:pPr>
              <w:pStyle w:val="Tabletext"/>
              <w:rPr>
                <w:b/>
                <w:bCs/>
                <w:lang w:val="en-US" w:eastAsia="fr-FR"/>
              </w:rPr>
            </w:pPr>
            <w:r w:rsidRPr="00D05BEF">
              <w:rPr>
                <w:b/>
                <w:bCs/>
                <w:lang w:val="en-US" w:eastAsia="fr-FR"/>
              </w:rPr>
              <w:t>0,65</w:t>
            </w:r>
          </w:p>
        </w:tc>
        <w:tc>
          <w:tcPr>
            <w:tcW w:w="902" w:type="pct"/>
            <w:vAlign w:val="bottom"/>
          </w:tcPr>
          <w:p w:rsidR="00D94CAC" w:rsidRPr="00D05BEF" w:rsidRDefault="00D94CAC" w:rsidP="00D94CAC">
            <w:pPr>
              <w:pStyle w:val="Tabletext"/>
              <w:rPr>
                <w:b/>
                <w:bCs/>
                <w:lang w:val="en-US" w:eastAsia="fr-FR"/>
              </w:rPr>
            </w:pPr>
            <w:r w:rsidRPr="00D05BEF">
              <w:rPr>
                <w:b/>
                <w:bCs/>
                <w:lang w:val="en-US" w:eastAsia="fr-FR"/>
              </w:rPr>
              <w:t>0,83</w:t>
            </w:r>
          </w:p>
        </w:tc>
        <w:tc>
          <w:tcPr>
            <w:tcW w:w="848" w:type="pct"/>
            <w:vAlign w:val="bottom"/>
          </w:tcPr>
          <w:p w:rsidR="00D94CAC" w:rsidRPr="00D05BEF" w:rsidRDefault="00D94CAC" w:rsidP="00D94CAC">
            <w:pPr>
              <w:pStyle w:val="Tabletext"/>
              <w:rPr>
                <w:b/>
                <w:bCs/>
                <w:lang w:val="en-US" w:eastAsia="fr-FR"/>
              </w:rPr>
            </w:pPr>
            <w:r w:rsidRPr="00D05BEF">
              <w:rPr>
                <w:b/>
                <w:bCs/>
                <w:lang w:val="en-US" w:eastAsia="fr-FR"/>
              </w:rPr>
              <w:t>0,39</w:t>
            </w:r>
          </w:p>
        </w:tc>
        <w:tc>
          <w:tcPr>
            <w:tcW w:w="807" w:type="pct"/>
            <w:vAlign w:val="bottom"/>
          </w:tcPr>
          <w:p w:rsidR="00D94CAC" w:rsidRPr="00D05BEF" w:rsidRDefault="00D94CAC" w:rsidP="00D94CAC">
            <w:pPr>
              <w:pStyle w:val="Tabletext"/>
              <w:rPr>
                <w:b/>
                <w:bCs/>
                <w:color w:val="C00000"/>
                <w:lang w:val="en-US" w:eastAsia="fr-FR"/>
              </w:rPr>
            </w:pPr>
            <w:r w:rsidRPr="00D05BEF">
              <w:rPr>
                <w:b/>
                <w:bCs/>
                <w:color w:val="C00000"/>
                <w:lang w:val="en-US" w:eastAsia="fr-FR"/>
              </w:rPr>
              <w:t>10,22</w:t>
            </w:r>
          </w:p>
        </w:tc>
        <w:tc>
          <w:tcPr>
            <w:tcW w:w="936" w:type="pct"/>
            <w:vAlign w:val="bottom"/>
          </w:tcPr>
          <w:p w:rsidR="00D94CAC" w:rsidRPr="00D05BEF" w:rsidRDefault="00D94CAC" w:rsidP="00D94CAC">
            <w:pPr>
              <w:pStyle w:val="Tabletext"/>
              <w:rPr>
                <w:b/>
                <w:bCs/>
                <w:lang w:val="en-US" w:eastAsia="fr-FR"/>
              </w:rPr>
            </w:pPr>
            <w:r w:rsidRPr="00D05BEF">
              <w:rPr>
                <w:b/>
                <w:bCs/>
                <w:lang w:val="en-US" w:eastAsia="fr-FR"/>
              </w:rPr>
              <w:t>87,92</w:t>
            </w:r>
          </w:p>
        </w:tc>
        <w:tc>
          <w:tcPr>
            <w:tcW w:w="390" w:type="pct"/>
            <w:vAlign w:val="bottom"/>
          </w:tcPr>
          <w:p w:rsidR="00D94CAC" w:rsidRPr="00D05BEF" w:rsidRDefault="00D94CAC" w:rsidP="00D94CAC">
            <w:pPr>
              <w:pStyle w:val="Tabletext"/>
              <w:rPr>
                <w:lang w:val="en-US" w:eastAsia="fr-FR"/>
              </w:rPr>
            </w:pPr>
            <w:r w:rsidRPr="00D05BEF">
              <w:rPr>
                <w:lang w:val="en-US" w:eastAsia="fr-FR"/>
              </w:rPr>
              <w:t>492</w:t>
            </w:r>
          </w:p>
        </w:tc>
      </w:tr>
      <w:tr w:rsidR="00D94CAC" w:rsidTr="00E62CF8">
        <w:trPr>
          <w:trHeight w:val="269"/>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N</w:t>
            </w:r>
          </w:p>
        </w:tc>
        <w:tc>
          <w:tcPr>
            <w:tcW w:w="390" w:type="pct"/>
            <w:vAlign w:val="bottom"/>
          </w:tcPr>
          <w:p w:rsidR="00D94CAC" w:rsidRPr="00D05BEF" w:rsidRDefault="00D94CAC" w:rsidP="00D94CAC">
            <w:pPr>
              <w:pStyle w:val="Tabletext"/>
              <w:rPr>
                <w:lang w:val="en-US" w:eastAsia="fr-FR"/>
              </w:rPr>
            </w:pPr>
            <w:r w:rsidRPr="00D05BEF">
              <w:rPr>
                <w:lang w:val="en-US" w:eastAsia="fr-FR"/>
              </w:rPr>
              <w:t>362</w:t>
            </w:r>
          </w:p>
        </w:tc>
        <w:tc>
          <w:tcPr>
            <w:tcW w:w="902" w:type="pct"/>
            <w:vAlign w:val="bottom"/>
          </w:tcPr>
          <w:p w:rsidR="00D94CAC" w:rsidRPr="00D05BEF" w:rsidRDefault="00D94CAC" w:rsidP="00D94CAC">
            <w:pPr>
              <w:pStyle w:val="Tabletext"/>
              <w:rPr>
                <w:lang w:val="en-US" w:eastAsia="fr-FR"/>
              </w:rPr>
            </w:pPr>
            <w:r w:rsidRPr="00D05BEF">
              <w:rPr>
                <w:lang w:val="en-US" w:eastAsia="fr-FR"/>
              </w:rPr>
              <w:t>10 566</w:t>
            </w:r>
          </w:p>
        </w:tc>
        <w:tc>
          <w:tcPr>
            <w:tcW w:w="848" w:type="pct"/>
            <w:vAlign w:val="bottom"/>
          </w:tcPr>
          <w:p w:rsidR="00D94CAC" w:rsidRPr="00D05BEF" w:rsidRDefault="00D94CAC" w:rsidP="00D94CAC">
            <w:pPr>
              <w:pStyle w:val="Tabletext"/>
              <w:rPr>
                <w:lang w:val="en-US" w:eastAsia="fr-FR"/>
              </w:rPr>
            </w:pPr>
            <w:r w:rsidRPr="00D05BEF">
              <w:rPr>
                <w:lang w:val="en-US" w:eastAsia="fr-FR"/>
              </w:rPr>
              <w:t>4 087</w:t>
            </w:r>
          </w:p>
        </w:tc>
        <w:tc>
          <w:tcPr>
            <w:tcW w:w="807" w:type="pct"/>
            <w:vAlign w:val="bottom"/>
          </w:tcPr>
          <w:p w:rsidR="00D94CAC" w:rsidRPr="00D05BEF" w:rsidRDefault="00D94CAC" w:rsidP="00D94CAC">
            <w:pPr>
              <w:pStyle w:val="Tabletext"/>
              <w:rPr>
                <w:lang w:val="en-US" w:eastAsia="fr-FR"/>
              </w:rPr>
            </w:pPr>
            <w:r w:rsidRPr="00D05BEF">
              <w:rPr>
                <w:lang w:val="en-US" w:eastAsia="fr-FR"/>
              </w:rPr>
              <w:t>1 550</w:t>
            </w:r>
          </w:p>
        </w:tc>
        <w:tc>
          <w:tcPr>
            <w:tcW w:w="936" w:type="pct"/>
            <w:vAlign w:val="bottom"/>
          </w:tcPr>
          <w:p w:rsidR="00D94CAC" w:rsidRPr="00D05BEF" w:rsidRDefault="00D94CAC" w:rsidP="00D94CAC">
            <w:pPr>
              <w:pStyle w:val="Tabletext"/>
              <w:rPr>
                <w:lang w:val="en-US" w:eastAsia="fr-FR"/>
              </w:rPr>
            </w:pPr>
            <w:r w:rsidRPr="00D05BEF">
              <w:rPr>
                <w:lang w:val="en-US" w:eastAsia="fr-FR"/>
              </w:rPr>
              <w:t>511</w:t>
            </w:r>
          </w:p>
        </w:tc>
        <w:tc>
          <w:tcPr>
            <w:tcW w:w="390" w:type="pct"/>
            <w:vAlign w:val="bottom"/>
          </w:tcPr>
          <w:p w:rsidR="00D94CAC" w:rsidRPr="00D05BEF" w:rsidRDefault="00D94CAC" w:rsidP="00D94CAC">
            <w:pPr>
              <w:pStyle w:val="Tabletext"/>
              <w:rPr>
                <w:lang w:val="en-US" w:eastAsia="fr-FR"/>
              </w:rPr>
            </w:pPr>
            <w:r w:rsidRPr="00D05BEF">
              <w:rPr>
                <w:lang w:val="en-US" w:eastAsia="fr-FR"/>
              </w:rPr>
              <w:t>17 075</w:t>
            </w:r>
          </w:p>
        </w:tc>
      </w:tr>
      <w:tr w:rsidR="00D94CAC" w:rsidTr="00E62CF8">
        <w:trPr>
          <w:trHeight w:val="288"/>
        </w:trPr>
        <w:tc>
          <w:tcPr>
            <w:tcW w:w="337" w:type="pct"/>
            <w:vAlign w:val="bottom"/>
          </w:tcPr>
          <w:p w:rsidR="00D94CAC" w:rsidRPr="00D05BEF" w:rsidRDefault="00D94CAC" w:rsidP="00D94CAC">
            <w:pPr>
              <w:pStyle w:val="Tabletext"/>
              <w:rPr>
                <w:lang w:val="en-US" w:eastAsia="fr-FR"/>
              </w:rPr>
            </w:pPr>
          </w:p>
        </w:tc>
        <w:tc>
          <w:tcPr>
            <w:tcW w:w="390" w:type="pct"/>
            <w:vAlign w:val="bottom"/>
          </w:tcPr>
          <w:p w:rsidR="00D94CAC" w:rsidRPr="00D05BEF" w:rsidRDefault="00D94CAC" w:rsidP="00D94CAC">
            <w:pPr>
              <w:pStyle w:val="Tabletext"/>
              <w:rPr>
                <w:lang w:val="en-US" w:eastAsia="fr-FR"/>
              </w:rPr>
            </w:pPr>
            <w:r w:rsidRPr="00D05BEF">
              <w:rPr>
                <w:lang w:val="en-US" w:eastAsia="fr-FR"/>
              </w:rPr>
              <w:t>%</w:t>
            </w:r>
          </w:p>
        </w:tc>
        <w:tc>
          <w:tcPr>
            <w:tcW w:w="390" w:type="pct"/>
            <w:vAlign w:val="bottom"/>
          </w:tcPr>
          <w:p w:rsidR="00D94CAC" w:rsidRPr="00D05BEF" w:rsidRDefault="00D94CAC" w:rsidP="00D94CAC">
            <w:pPr>
              <w:pStyle w:val="Tabletext"/>
              <w:rPr>
                <w:lang w:val="en-US" w:eastAsia="fr-FR"/>
              </w:rPr>
            </w:pPr>
            <w:r w:rsidRPr="00D05BEF">
              <w:rPr>
                <w:lang w:val="en-US" w:eastAsia="fr-FR"/>
              </w:rPr>
              <w:t>2,12</w:t>
            </w:r>
          </w:p>
        </w:tc>
        <w:tc>
          <w:tcPr>
            <w:tcW w:w="902" w:type="pct"/>
            <w:vAlign w:val="bottom"/>
          </w:tcPr>
          <w:p w:rsidR="00D94CAC" w:rsidRPr="00D05BEF" w:rsidRDefault="00D94CAC" w:rsidP="00D94CAC">
            <w:pPr>
              <w:pStyle w:val="Tabletext"/>
              <w:rPr>
                <w:lang w:val="en-US" w:eastAsia="fr-FR"/>
              </w:rPr>
            </w:pPr>
            <w:r w:rsidRPr="00D05BEF">
              <w:rPr>
                <w:lang w:val="en-US" w:eastAsia="fr-FR"/>
              </w:rPr>
              <w:t>61,88</w:t>
            </w:r>
          </w:p>
        </w:tc>
        <w:tc>
          <w:tcPr>
            <w:tcW w:w="848" w:type="pct"/>
            <w:vAlign w:val="bottom"/>
          </w:tcPr>
          <w:p w:rsidR="00D94CAC" w:rsidRPr="00D05BEF" w:rsidRDefault="00D94CAC" w:rsidP="00D94CAC">
            <w:pPr>
              <w:pStyle w:val="Tabletext"/>
              <w:rPr>
                <w:lang w:val="en-US" w:eastAsia="fr-FR"/>
              </w:rPr>
            </w:pPr>
            <w:r w:rsidRPr="00D05BEF">
              <w:rPr>
                <w:lang w:val="en-US" w:eastAsia="fr-FR"/>
              </w:rPr>
              <w:t>23,93</w:t>
            </w:r>
          </w:p>
        </w:tc>
        <w:tc>
          <w:tcPr>
            <w:tcW w:w="807" w:type="pct"/>
            <w:vAlign w:val="bottom"/>
          </w:tcPr>
          <w:p w:rsidR="00D94CAC" w:rsidRPr="00D05BEF" w:rsidRDefault="00D94CAC" w:rsidP="00D94CAC">
            <w:pPr>
              <w:pStyle w:val="Tabletext"/>
              <w:rPr>
                <w:lang w:val="en-US" w:eastAsia="fr-FR"/>
              </w:rPr>
            </w:pPr>
            <w:r w:rsidRPr="00D05BEF">
              <w:rPr>
                <w:lang w:val="en-US" w:eastAsia="fr-FR"/>
              </w:rPr>
              <w:t>9,08</w:t>
            </w:r>
          </w:p>
        </w:tc>
        <w:tc>
          <w:tcPr>
            <w:tcW w:w="936" w:type="pct"/>
            <w:vAlign w:val="bottom"/>
          </w:tcPr>
          <w:p w:rsidR="00D94CAC" w:rsidRPr="00D05BEF" w:rsidRDefault="00D94CAC" w:rsidP="00D94CAC">
            <w:pPr>
              <w:pStyle w:val="Tabletext"/>
              <w:rPr>
                <w:lang w:val="en-US" w:eastAsia="fr-FR"/>
              </w:rPr>
            </w:pPr>
            <w:r w:rsidRPr="00D05BEF">
              <w:rPr>
                <w:lang w:val="en-US" w:eastAsia="fr-FR"/>
              </w:rPr>
              <w:t>2,99</w:t>
            </w:r>
          </w:p>
        </w:tc>
        <w:tc>
          <w:tcPr>
            <w:tcW w:w="390" w:type="pct"/>
            <w:vAlign w:val="bottom"/>
          </w:tcPr>
          <w:p w:rsidR="00D94CAC" w:rsidRPr="00D05BEF" w:rsidRDefault="00D94CAC" w:rsidP="00D94CAC">
            <w:pPr>
              <w:pStyle w:val="Tabletext"/>
              <w:rPr>
                <w:lang w:val="en-US" w:eastAsia="fr-FR"/>
              </w:rPr>
            </w:pPr>
          </w:p>
        </w:tc>
      </w:tr>
    </w:tbl>
    <w:p w:rsidR="00B259E5" w:rsidRDefault="00B259E5" w:rsidP="00E62CF8">
      <w:pPr>
        <w:pStyle w:val="BodyText1"/>
      </w:pPr>
    </w:p>
    <w:sectPr w:rsidR="00B259E5" w:rsidSect="006871FB">
      <w:pgSz w:w="16838" w:h="11906" w:orient="landscape" w:code="9"/>
      <w:pgMar w:top="1168" w:right="170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A74" w:rsidRDefault="007C0A74">
      <w:r>
        <w:separator/>
      </w:r>
    </w:p>
  </w:endnote>
  <w:endnote w:type="continuationSeparator" w:id="0">
    <w:p w:rsidR="007C0A74" w:rsidRDefault="007C0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7B4DFC" w:rsidRDefault="004E685C" w:rsidP="002F0377">
    <w:pPr>
      <w:pStyle w:val="Footer"/>
      <w:tabs>
        <w:tab w:val="right" w:pos="9497"/>
      </w:tabs>
      <w:jc w:val="left"/>
      <w:rPr>
        <w:sz w:val="18"/>
        <w:szCs w:val="18"/>
      </w:rPr>
    </w:pPr>
    <w:r w:rsidRPr="007B4DFC">
      <w:rPr>
        <w:sz w:val="18"/>
        <w:szCs w:val="18"/>
      </w:rPr>
      <w:fldChar w:fldCharType="begin"/>
    </w:r>
    <w:r w:rsidR="00C838C4" w:rsidRPr="007B4DFC">
      <w:rPr>
        <w:sz w:val="18"/>
        <w:szCs w:val="18"/>
      </w:rPr>
      <w:instrText xml:space="preserve"> PAGE   \* MERGEFORMAT </w:instrText>
    </w:r>
    <w:r w:rsidRPr="007B4DFC">
      <w:rPr>
        <w:sz w:val="18"/>
        <w:szCs w:val="18"/>
      </w:rPr>
      <w:fldChar w:fldCharType="separate"/>
    </w:r>
    <w:r w:rsidR="00FF383B">
      <w:rPr>
        <w:noProof/>
        <w:sz w:val="18"/>
        <w:szCs w:val="18"/>
      </w:rPr>
      <w:t>ii</w:t>
    </w:r>
    <w:r w:rsidRPr="007B4DFC">
      <w:rPr>
        <w:sz w:val="18"/>
        <w:szCs w:val="18"/>
      </w:rPr>
      <w:fldChar w:fldCharType="end"/>
    </w:r>
    <w:r w:rsidR="00C838C4" w:rsidRPr="007B4DFC">
      <w:rPr>
        <w:sz w:val="18"/>
        <w:szCs w:val="18"/>
      </w:rPr>
      <w:tab/>
    </w:r>
    <w:r w:rsidR="00C838C4">
      <w:t>WP-07-2015</w:t>
    </w:r>
    <w:r w:rsidR="00C838C4" w:rsidRPr="003E347F">
      <w:t>.E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3E347F" w:rsidRDefault="00C838C4" w:rsidP="008E78FF">
    <w:pPr>
      <w:pStyle w:val="Header"/>
      <w:tabs>
        <w:tab w:val="clear" w:pos="9639"/>
        <w:tab w:val="right" w:pos="949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8E78FF" w:rsidRDefault="004E685C" w:rsidP="00FF383B">
    <w:pPr>
      <w:pStyle w:val="Footer"/>
      <w:tabs>
        <w:tab w:val="right" w:pos="9497"/>
      </w:tabs>
      <w:jc w:val="left"/>
      <w:rPr>
        <w:sz w:val="18"/>
        <w:szCs w:val="18"/>
      </w:rPr>
    </w:pPr>
    <w:r w:rsidRPr="008E78FF">
      <w:rPr>
        <w:sz w:val="18"/>
        <w:szCs w:val="18"/>
      </w:rPr>
      <w:fldChar w:fldCharType="begin"/>
    </w:r>
    <w:r w:rsidR="00C838C4" w:rsidRPr="008E78FF">
      <w:rPr>
        <w:sz w:val="18"/>
        <w:szCs w:val="18"/>
      </w:rPr>
      <w:instrText xml:space="preserve"> PAGE   \* MERGEFORMAT </w:instrText>
    </w:r>
    <w:r w:rsidRPr="008E78FF">
      <w:rPr>
        <w:sz w:val="18"/>
        <w:szCs w:val="18"/>
      </w:rPr>
      <w:fldChar w:fldCharType="separate"/>
    </w:r>
    <w:r w:rsidR="00243BD5">
      <w:rPr>
        <w:noProof/>
        <w:sz w:val="18"/>
        <w:szCs w:val="18"/>
      </w:rPr>
      <w:t>20</w:t>
    </w:r>
    <w:r w:rsidRPr="008E78FF">
      <w:rPr>
        <w:sz w:val="18"/>
        <w:szCs w:val="18"/>
      </w:rPr>
      <w:fldChar w:fldCharType="end"/>
    </w:r>
    <w:r w:rsidR="00C838C4" w:rsidRPr="008E78FF">
      <w:rPr>
        <w:sz w:val="18"/>
        <w:szCs w:val="18"/>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83B" w:rsidRDefault="00FF383B" w:rsidP="001B7B97">
    <w:pPr>
      <w:pStyle w:val="Footer"/>
    </w:pPr>
  </w:p>
  <w:p w:rsidR="00C838C4" w:rsidRPr="003E347F" w:rsidRDefault="00C838C4" w:rsidP="008E78FF">
    <w:pPr>
      <w:pStyle w:val="Footer"/>
      <w:tabs>
        <w:tab w:val="right" w:pos="9498"/>
      </w:tabs>
      <w:jc w:val="left"/>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A74" w:rsidRDefault="007C0A74">
      <w:r>
        <w:separator/>
      </w:r>
    </w:p>
  </w:footnote>
  <w:footnote w:type="continuationSeparator" w:id="0">
    <w:p w:rsidR="007C0A74" w:rsidRDefault="007C0A74">
      <w:r>
        <w:continuationSeparator/>
      </w:r>
    </w:p>
  </w:footnote>
  <w:footnote w:id="1">
    <w:p w:rsidR="00FF383B" w:rsidRDefault="00C838C4" w:rsidP="00FF383B">
      <w:pPr>
        <w:pStyle w:val="FootnoteText"/>
      </w:pPr>
      <w:r w:rsidRPr="009C23BB">
        <w:rPr>
          <w:rStyle w:val="FootnoteReference"/>
        </w:rPr>
        <w:sym w:font="Symbol" w:char="F02A"/>
      </w:r>
      <w:r w:rsidRPr="008B29B6">
        <w:rPr>
          <w:lang w:val="en-US"/>
        </w:rPr>
        <w:t xml:space="preserve">Leila Baghdadi is an Associate Professor at the Tunis Business School, University of Tunis, Tunisia, where she holds a WTO chair. She can be contacted at </w:t>
      </w:r>
      <w:hyperlink r:id="rId1" w:history="1">
        <w:r w:rsidRPr="008B29B6">
          <w:rPr>
            <w:rStyle w:val="Hyperlink"/>
            <w:lang w:val="en-US"/>
          </w:rPr>
          <w:t>leila.baghdadi@tbs.rnu.tn</w:t>
        </w:r>
      </w:hyperlink>
    </w:p>
    <w:p w:rsidR="00FF383B" w:rsidRDefault="00FF383B" w:rsidP="00FF383B">
      <w:pPr>
        <w:pStyle w:val="FootnoteText"/>
      </w:pPr>
      <w:r>
        <w:t>**Hassen Arouri is Deputy Chief Director at the National Institute of Statistics</w:t>
      </w:r>
    </w:p>
    <w:p w:rsidR="00C838C4" w:rsidRPr="00887957" w:rsidRDefault="00831790" w:rsidP="00887957">
      <w:pPr>
        <w:pStyle w:val="FootnoteText"/>
        <w:rPr>
          <w:rFonts w:cs="Arial"/>
          <w:szCs w:val="16"/>
        </w:rPr>
      </w:pPr>
      <w:r w:rsidRPr="00831790">
        <w:rPr>
          <w:rFonts w:cs="Arial"/>
          <w:szCs w:val="16"/>
          <w:lang w:val="fr-FR"/>
        </w:rPr>
        <w:t xml:space="preserve">Acknowledgements: </w:t>
      </w:r>
      <w:r w:rsidRPr="00831790">
        <w:rPr>
          <w:rFonts w:cs="Arial"/>
          <w:szCs w:val="16"/>
          <w:lang w:val="en-US"/>
        </w:rPr>
        <w:t xml:space="preserve">The author is very grateful to the Tunisian Institut National de la Statistique for hosting her for several months. </w:t>
      </w:r>
      <w:r w:rsidR="00887957">
        <w:rPr>
          <w:rFonts w:cs="Arial"/>
          <w:szCs w:val="16"/>
          <w:lang w:val="en-US"/>
        </w:rPr>
        <w:t>She also would like to thank Jannet Ganouati and Mehdi Ben Slimane for exceptional research assistance.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2F0377" w:rsidRDefault="00C838C4" w:rsidP="008E78FF">
    <w:pPr>
      <w:pStyle w:val="Header"/>
      <w:pBdr>
        <w:bottom w:val="single" w:sz="4" w:space="1" w:color="auto"/>
      </w:pBdr>
      <w:tabs>
        <w:tab w:val="clear" w:pos="9639"/>
        <w:tab w:val="right" w:pos="9498"/>
      </w:tabs>
      <w:rPr>
        <w:szCs w:val="18"/>
        <w:lang w:val="es-ES_tradnl"/>
      </w:rPr>
    </w:pPr>
    <w:r>
      <w:rPr>
        <w:rStyle w:val="BooktitleChar"/>
        <w:sz w:val="18"/>
        <w:szCs w:val="18"/>
      </w:rPr>
      <w:t>ITC Working paper series</w:t>
    </w:r>
    <w:r>
      <w:rPr>
        <w:rStyle w:val="BooktitleChar"/>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3E347F" w:rsidRDefault="00C838C4" w:rsidP="00CF64DC">
    <w:pPr>
      <w:pStyle w:val="Header"/>
      <w:pBdr>
        <w:bottom w:val="single" w:sz="4" w:space="1" w:color="auto"/>
      </w:pBdr>
      <w:tabs>
        <w:tab w:val="clear" w:pos="9639"/>
        <w:tab w:val="right" w:pos="9498"/>
      </w:tabs>
      <w:rPr>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Pr="002700F9" w:rsidRDefault="00C838C4" w:rsidP="008E78FF">
    <w:pPr>
      <w:pStyle w:val="Header"/>
      <w:pBdr>
        <w:bottom w:val="single" w:sz="4" w:space="1" w:color="auto"/>
      </w:pBdr>
      <w:tabs>
        <w:tab w:val="clear" w:pos="9639"/>
        <w:tab w:val="right" w:pos="9498"/>
      </w:tabs>
      <w:rPr>
        <w:szCs w:val="18"/>
      </w:rPr>
    </w:pPr>
    <w:r w:rsidRPr="00337401">
      <w:rPr>
        <w:rStyle w:val="BooktitleChar"/>
        <w:sz w:val="18"/>
        <w:szCs w:val="18"/>
      </w:rPr>
      <w:t>FIRMS, TRADE AND EMPLOYMENT IN TUNISIA</w:t>
    </w:r>
    <w:r>
      <w:rPr>
        <w:rStyle w:val="BooktitleChar"/>
        <w:sz w:val="18"/>
        <w:szCs w:val="18"/>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8C4" w:rsidRDefault="00C838C4" w:rsidP="00FF383B">
    <w:pPr>
      <w:pStyle w:val="Header"/>
      <w:pBdr>
        <w:bottom w:val="single" w:sz="4" w:space="1" w:color="auto"/>
      </w:pBdr>
      <w:tabs>
        <w:tab w:val="clear" w:pos="9639"/>
        <w:tab w:val="right" w:pos="9498"/>
      </w:tabs>
    </w:pPr>
    <w:r w:rsidRPr="002F0377">
      <w:rPr>
        <w:szCs w:val="18"/>
        <w:lang w:val="es-ES_tradn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B7D08"/>
    <w:multiLevelType w:val="hybridMultilevel"/>
    <w:tmpl w:val="F396587C"/>
    <w:lvl w:ilvl="0" w:tplc="AC024F92">
      <w:start w:val="1"/>
      <w:numFmt w:val="bullet"/>
      <w:lvlText w:val=""/>
      <w:lvlJc w:val="left"/>
      <w:pPr>
        <w:tabs>
          <w:tab w:val="num" w:pos="360"/>
        </w:tabs>
        <w:ind w:left="284"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3160EE"/>
    <w:multiLevelType w:val="multilevel"/>
    <w:tmpl w:val="D49048DA"/>
    <w:lvl w:ilvl="0">
      <w:start w:val="1"/>
      <w:numFmt w:val="decimal"/>
      <w:lvlText w:val="1.1.1.%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1924273C"/>
    <w:multiLevelType w:val="multilevel"/>
    <w:tmpl w:val="AB44EF04"/>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 w15:restartNumberingAfterBreak="0">
    <w:nsid w:val="241A3112"/>
    <w:multiLevelType w:val="multilevel"/>
    <w:tmpl w:val="446AEF5C"/>
    <w:lvl w:ilvl="0">
      <w:start w:val="1"/>
      <w:numFmt w:val="bullet"/>
      <w:lvlText w:val=""/>
      <w:lvlJc w:val="left"/>
      <w:pPr>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261355"/>
    <w:multiLevelType w:val="multilevel"/>
    <w:tmpl w:val="BC56B3F0"/>
    <w:lvl w:ilvl="0">
      <w:start w:val="1"/>
      <w:numFmt w:val="bullet"/>
      <w:pStyle w:val="Bullet1"/>
      <w:lvlText w:val=""/>
      <w:lvlJc w:val="left"/>
      <w:pPr>
        <w:ind w:left="567" w:hanging="567"/>
      </w:pPr>
      <w:rPr>
        <w:rFonts w:ascii="Symbol" w:hAnsi="Symbol" w:cs="Times New Roman" w:hint="default"/>
      </w:rPr>
    </w:lvl>
    <w:lvl w:ilvl="1">
      <w:start w:val="1"/>
      <w:numFmt w:val="bullet"/>
      <w:pStyle w:val="Bullet2"/>
      <w:lvlText w:val="−"/>
      <w:lvlJc w:val="left"/>
      <w:pPr>
        <w:tabs>
          <w:tab w:val="num" w:pos="11907"/>
        </w:tabs>
        <w:ind w:left="1134" w:hanging="567"/>
      </w:pPr>
      <w:rPr>
        <w:rFonts w:ascii="Cambria" w:hAnsi="Cambria" w:cs="Courier New" w:hint="default"/>
      </w:rPr>
    </w:lvl>
    <w:lvl w:ilvl="2">
      <w:start w:val="1"/>
      <w:numFmt w:val="bullet"/>
      <w:pStyle w:val="Bullet3"/>
      <w:lvlText w:val="o"/>
      <w:lvlJc w:val="left"/>
      <w:pPr>
        <w:ind w:left="1701" w:hanging="567"/>
      </w:pPr>
      <w:rPr>
        <w:rFonts w:ascii="Courier New" w:hAnsi="Courier New"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0DD3E80"/>
    <w:multiLevelType w:val="multilevel"/>
    <w:tmpl w:val="65F046E0"/>
    <w:lvl w:ilvl="0">
      <w:start w:val="1"/>
      <w:numFmt w:val="decimal"/>
      <w:lvlText w:val="Figure %1."/>
      <w:lvlJc w:val="left"/>
      <w:pPr>
        <w:tabs>
          <w:tab w:val="num" w:pos="1080"/>
        </w:tabs>
        <w:ind w:left="360" w:hanging="360"/>
      </w:pPr>
      <w:rPr>
        <w:rFonts w:ascii="Arial Narrow" w:hAnsi="Arial Narrow" w:hint="default"/>
        <w:b/>
        <w:i w:val="0"/>
        <w:sz w:val="26"/>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3C7A46BF"/>
    <w:multiLevelType w:val="hybridMultilevel"/>
    <w:tmpl w:val="55B0CB18"/>
    <w:lvl w:ilvl="0" w:tplc="4574C5DE">
      <w:start w:val="1"/>
      <w:numFmt w:val="lowerRoman"/>
      <w:lvlText w:val="%1."/>
      <w:lvlJc w:val="left"/>
      <w:pPr>
        <w:ind w:left="923" w:hanging="360"/>
      </w:pPr>
      <w:rPr>
        <w:rFonts w:hint="default"/>
      </w:rPr>
    </w:lvl>
    <w:lvl w:ilvl="1" w:tplc="08090019" w:tentative="1">
      <w:start w:val="1"/>
      <w:numFmt w:val="lowerLetter"/>
      <w:lvlText w:val="%2."/>
      <w:lvlJc w:val="left"/>
      <w:pPr>
        <w:ind w:left="1643" w:hanging="360"/>
      </w:pPr>
    </w:lvl>
    <w:lvl w:ilvl="2" w:tplc="0809001B" w:tentative="1">
      <w:start w:val="1"/>
      <w:numFmt w:val="lowerRoman"/>
      <w:lvlText w:val="%3."/>
      <w:lvlJc w:val="right"/>
      <w:pPr>
        <w:ind w:left="2363" w:hanging="180"/>
      </w:pPr>
    </w:lvl>
    <w:lvl w:ilvl="3" w:tplc="0809000F" w:tentative="1">
      <w:start w:val="1"/>
      <w:numFmt w:val="decimal"/>
      <w:lvlText w:val="%4."/>
      <w:lvlJc w:val="left"/>
      <w:pPr>
        <w:ind w:left="3083" w:hanging="360"/>
      </w:pPr>
    </w:lvl>
    <w:lvl w:ilvl="4" w:tplc="08090019" w:tentative="1">
      <w:start w:val="1"/>
      <w:numFmt w:val="lowerLetter"/>
      <w:lvlText w:val="%5."/>
      <w:lvlJc w:val="left"/>
      <w:pPr>
        <w:ind w:left="3803" w:hanging="360"/>
      </w:pPr>
    </w:lvl>
    <w:lvl w:ilvl="5" w:tplc="0809001B" w:tentative="1">
      <w:start w:val="1"/>
      <w:numFmt w:val="lowerRoman"/>
      <w:lvlText w:val="%6."/>
      <w:lvlJc w:val="right"/>
      <w:pPr>
        <w:ind w:left="4523" w:hanging="180"/>
      </w:pPr>
    </w:lvl>
    <w:lvl w:ilvl="6" w:tplc="0809000F" w:tentative="1">
      <w:start w:val="1"/>
      <w:numFmt w:val="decimal"/>
      <w:lvlText w:val="%7."/>
      <w:lvlJc w:val="left"/>
      <w:pPr>
        <w:ind w:left="5243" w:hanging="360"/>
      </w:pPr>
    </w:lvl>
    <w:lvl w:ilvl="7" w:tplc="08090019" w:tentative="1">
      <w:start w:val="1"/>
      <w:numFmt w:val="lowerLetter"/>
      <w:lvlText w:val="%8."/>
      <w:lvlJc w:val="left"/>
      <w:pPr>
        <w:ind w:left="5963" w:hanging="360"/>
      </w:pPr>
    </w:lvl>
    <w:lvl w:ilvl="8" w:tplc="0809001B" w:tentative="1">
      <w:start w:val="1"/>
      <w:numFmt w:val="lowerRoman"/>
      <w:lvlText w:val="%9."/>
      <w:lvlJc w:val="right"/>
      <w:pPr>
        <w:ind w:left="6683" w:hanging="180"/>
      </w:pPr>
    </w:lvl>
  </w:abstractNum>
  <w:abstractNum w:abstractNumId="7" w15:restartNumberingAfterBreak="0">
    <w:nsid w:val="3D785656"/>
    <w:multiLevelType w:val="hybridMultilevel"/>
    <w:tmpl w:val="8572D10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A34D14"/>
    <w:multiLevelType w:val="multilevel"/>
    <w:tmpl w:val="8B6C4234"/>
    <w:lvl w:ilvl="0">
      <w:start w:val="1"/>
      <w:numFmt w:val="decimal"/>
      <w:lvlText w:val="%1."/>
      <w:lvlJc w:val="left"/>
      <w:pPr>
        <w:tabs>
          <w:tab w:val="num" w:pos="-1512"/>
        </w:tabs>
        <w:ind w:left="-1872" w:hanging="360"/>
      </w:pPr>
      <w:rPr>
        <w:rFonts w:hint="default"/>
      </w:rPr>
    </w:lvl>
    <w:lvl w:ilvl="1">
      <w:start w:val="1"/>
      <w:numFmt w:val="decimal"/>
      <w:lvlText w:val="%1.%2."/>
      <w:lvlJc w:val="left"/>
      <w:pPr>
        <w:tabs>
          <w:tab w:val="num" w:pos="-1440"/>
        </w:tabs>
        <w:ind w:left="-1440" w:hanging="432"/>
      </w:pPr>
      <w:rPr>
        <w:rFonts w:hint="default"/>
      </w:rPr>
    </w:lvl>
    <w:lvl w:ilvl="2">
      <w:start w:val="1"/>
      <w:numFmt w:val="decimal"/>
      <w:lvlText w:val="%1.%2.%3."/>
      <w:lvlJc w:val="left"/>
      <w:pPr>
        <w:tabs>
          <w:tab w:val="num" w:pos="-432"/>
        </w:tabs>
        <w:ind w:left="-1008" w:hanging="504"/>
      </w:pPr>
      <w:rPr>
        <w:rFonts w:hint="default"/>
      </w:rPr>
    </w:lvl>
    <w:lvl w:ilvl="3">
      <w:start w:val="1"/>
      <w:numFmt w:val="decimal"/>
      <w:lvlText w:val="%1.%2.%3.%4."/>
      <w:lvlJc w:val="left"/>
      <w:pPr>
        <w:tabs>
          <w:tab w:val="num" w:pos="-72"/>
        </w:tabs>
        <w:ind w:left="-504" w:hanging="648"/>
      </w:pPr>
      <w:rPr>
        <w:rFonts w:hint="default"/>
      </w:rPr>
    </w:lvl>
    <w:lvl w:ilvl="4">
      <w:start w:val="1"/>
      <w:numFmt w:val="decimal"/>
      <w:lvlText w:val="%1.%2.%3.%4.%5."/>
      <w:lvlJc w:val="left"/>
      <w:pPr>
        <w:tabs>
          <w:tab w:val="num" w:pos="288"/>
        </w:tabs>
        <w:ind w:left="0" w:hanging="792"/>
      </w:pPr>
      <w:rPr>
        <w:rFonts w:hint="default"/>
      </w:rPr>
    </w:lvl>
    <w:lvl w:ilvl="5">
      <w:start w:val="1"/>
      <w:numFmt w:val="decimal"/>
      <w:lvlText w:val="%1.%2.%3.%4.%5.%6."/>
      <w:lvlJc w:val="left"/>
      <w:pPr>
        <w:tabs>
          <w:tab w:val="num" w:pos="1008"/>
        </w:tabs>
        <w:ind w:left="504" w:hanging="936"/>
      </w:pPr>
      <w:rPr>
        <w:rFonts w:hint="default"/>
      </w:rPr>
    </w:lvl>
    <w:lvl w:ilvl="6">
      <w:start w:val="1"/>
      <w:numFmt w:val="decimal"/>
      <w:lvlText w:val="%1.%2.%3.%4.%5.%6.%7."/>
      <w:lvlJc w:val="left"/>
      <w:pPr>
        <w:tabs>
          <w:tab w:val="num" w:pos="3528"/>
        </w:tabs>
        <w:ind w:left="1008" w:hanging="1080"/>
      </w:pPr>
      <w:rPr>
        <w:rFonts w:hint="default"/>
      </w:rPr>
    </w:lvl>
    <w:lvl w:ilvl="7">
      <w:start w:val="1"/>
      <w:numFmt w:val="decimal"/>
      <w:lvlText w:val="%1.%2.%3.%4.%5.%6.%7.%8."/>
      <w:lvlJc w:val="left"/>
      <w:pPr>
        <w:tabs>
          <w:tab w:val="num" w:pos="4248"/>
        </w:tabs>
        <w:ind w:left="1512" w:hanging="1224"/>
      </w:pPr>
      <w:rPr>
        <w:rFonts w:hint="default"/>
      </w:rPr>
    </w:lvl>
    <w:lvl w:ilvl="8">
      <w:start w:val="1"/>
      <w:numFmt w:val="decimal"/>
      <w:lvlText w:val="%1.%2.%3.%4.%5.%6.%7.%8.%9."/>
      <w:lvlJc w:val="left"/>
      <w:pPr>
        <w:tabs>
          <w:tab w:val="num" w:pos="4968"/>
        </w:tabs>
        <w:ind w:left="2088" w:hanging="1440"/>
      </w:pPr>
      <w:rPr>
        <w:rFonts w:hint="default"/>
      </w:rPr>
    </w:lvl>
  </w:abstractNum>
  <w:abstractNum w:abstractNumId="9" w15:restartNumberingAfterBreak="0">
    <w:nsid w:val="44C87A41"/>
    <w:multiLevelType w:val="hybridMultilevel"/>
    <w:tmpl w:val="D14E4BD8"/>
    <w:lvl w:ilvl="0" w:tplc="ECE4B030">
      <w:start w:val="1"/>
      <w:numFmt w:val="bullet"/>
      <w:lvlText w:val="-"/>
      <w:lvlJc w:val="left"/>
      <w:pPr>
        <w:tabs>
          <w:tab w:val="num" w:pos="1494"/>
        </w:tabs>
        <w:ind w:left="1494" w:hanging="360"/>
      </w:pPr>
      <w:rPr>
        <w:rFonts w:ascii="Arial Narrow" w:hAnsi="Arial Narrow"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1B78D6"/>
    <w:multiLevelType w:val="multilevel"/>
    <w:tmpl w:val="56E6151E"/>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1" w15:restartNumberingAfterBreak="0">
    <w:nsid w:val="4CCB404A"/>
    <w:multiLevelType w:val="multilevel"/>
    <w:tmpl w:val="648A89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C77A05"/>
    <w:multiLevelType w:val="multilevel"/>
    <w:tmpl w:val="A66AE40E"/>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539F4267"/>
    <w:multiLevelType w:val="hybridMultilevel"/>
    <w:tmpl w:val="319EE70E"/>
    <w:lvl w:ilvl="0" w:tplc="11A68688">
      <w:start w:val="1"/>
      <w:numFmt w:val="decimal"/>
      <w:lvlText w:val="1.1.1.1.%1."/>
      <w:lvlJc w:val="left"/>
      <w:pPr>
        <w:ind w:left="923" w:hanging="360"/>
      </w:pPr>
      <w:rPr>
        <w:rFonts w:hint="default"/>
      </w:rPr>
    </w:lvl>
    <w:lvl w:ilvl="1" w:tplc="08090019" w:tentative="1">
      <w:start w:val="1"/>
      <w:numFmt w:val="lowerLetter"/>
      <w:lvlText w:val="%2."/>
      <w:lvlJc w:val="left"/>
      <w:pPr>
        <w:ind w:left="1643" w:hanging="360"/>
      </w:pPr>
    </w:lvl>
    <w:lvl w:ilvl="2" w:tplc="0809001B" w:tentative="1">
      <w:start w:val="1"/>
      <w:numFmt w:val="lowerRoman"/>
      <w:lvlText w:val="%3."/>
      <w:lvlJc w:val="right"/>
      <w:pPr>
        <w:ind w:left="2363" w:hanging="180"/>
      </w:pPr>
    </w:lvl>
    <w:lvl w:ilvl="3" w:tplc="0809000F" w:tentative="1">
      <w:start w:val="1"/>
      <w:numFmt w:val="decimal"/>
      <w:lvlText w:val="%4."/>
      <w:lvlJc w:val="left"/>
      <w:pPr>
        <w:ind w:left="3083" w:hanging="360"/>
      </w:pPr>
    </w:lvl>
    <w:lvl w:ilvl="4" w:tplc="08090019" w:tentative="1">
      <w:start w:val="1"/>
      <w:numFmt w:val="lowerLetter"/>
      <w:lvlText w:val="%5."/>
      <w:lvlJc w:val="left"/>
      <w:pPr>
        <w:ind w:left="3803" w:hanging="360"/>
      </w:pPr>
    </w:lvl>
    <w:lvl w:ilvl="5" w:tplc="0809001B">
      <w:start w:val="1"/>
      <w:numFmt w:val="lowerRoman"/>
      <w:lvlText w:val="%6."/>
      <w:lvlJc w:val="right"/>
      <w:pPr>
        <w:ind w:left="4523" w:hanging="180"/>
      </w:pPr>
    </w:lvl>
    <w:lvl w:ilvl="6" w:tplc="0809000F" w:tentative="1">
      <w:start w:val="1"/>
      <w:numFmt w:val="decimal"/>
      <w:lvlText w:val="%7."/>
      <w:lvlJc w:val="left"/>
      <w:pPr>
        <w:ind w:left="5243" w:hanging="360"/>
      </w:pPr>
    </w:lvl>
    <w:lvl w:ilvl="7" w:tplc="08090019" w:tentative="1">
      <w:start w:val="1"/>
      <w:numFmt w:val="lowerLetter"/>
      <w:lvlText w:val="%8."/>
      <w:lvlJc w:val="left"/>
      <w:pPr>
        <w:ind w:left="5963" w:hanging="360"/>
      </w:pPr>
    </w:lvl>
    <w:lvl w:ilvl="8" w:tplc="0809001B" w:tentative="1">
      <w:start w:val="1"/>
      <w:numFmt w:val="lowerRoman"/>
      <w:lvlText w:val="%9."/>
      <w:lvlJc w:val="right"/>
      <w:pPr>
        <w:ind w:left="6683" w:hanging="180"/>
      </w:pPr>
    </w:lvl>
  </w:abstractNum>
  <w:abstractNum w:abstractNumId="14" w15:restartNumberingAfterBreak="0">
    <w:nsid w:val="590132D7"/>
    <w:multiLevelType w:val="hybridMultilevel"/>
    <w:tmpl w:val="548A8FC2"/>
    <w:lvl w:ilvl="0" w:tplc="0FD0DB7E">
      <w:start w:val="1"/>
      <w:numFmt w:val="bullet"/>
      <w:lvlText w:val="-"/>
      <w:lvlJc w:val="left"/>
      <w:pPr>
        <w:tabs>
          <w:tab w:val="num" w:pos="2061"/>
        </w:tabs>
        <w:ind w:left="1985" w:hanging="284"/>
      </w:pPr>
      <w:rPr>
        <w:rFonts w:ascii="Arial Narrow" w:hAnsi="Arial Narrow"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5" w15:restartNumberingAfterBreak="0">
    <w:nsid w:val="656F0D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537A57"/>
    <w:multiLevelType w:val="hybridMultilevel"/>
    <w:tmpl w:val="7632F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A27A03"/>
    <w:multiLevelType w:val="multilevel"/>
    <w:tmpl w:val="C6DEC44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C2E0029"/>
    <w:multiLevelType w:val="hybridMultilevel"/>
    <w:tmpl w:val="F4FE546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4A0FEB"/>
    <w:multiLevelType w:val="hybridMultilevel"/>
    <w:tmpl w:val="2FF8B4C0"/>
    <w:lvl w:ilvl="0" w:tplc="D37CE9D4">
      <w:start w:val="1"/>
      <w:numFmt w:val="bullet"/>
      <w:pStyle w:val="Boxbullet"/>
      <w:lvlText w:val=""/>
      <w:lvlJc w:val="left"/>
      <w:pPr>
        <w:ind w:left="473" w:hanging="360"/>
      </w:pPr>
      <w:rPr>
        <w:rFonts w:ascii="Symbol" w:hAnsi="Symbol" w:cs="Symbol" w:hint="default"/>
        <w:b w:val="0"/>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021090"/>
    <w:multiLevelType w:val="hybridMultilevel"/>
    <w:tmpl w:val="989AC2BE"/>
    <w:lvl w:ilvl="0" w:tplc="34065402">
      <w:start w:val="1"/>
      <w:numFmt w:val="bullet"/>
      <w:lvlText w:val="-"/>
      <w:lvlJc w:val="left"/>
      <w:pPr>
        <w:ind w:left="873" w:hanging="360"/>
      </w:pPr>
      <w:rPr>
        <w:rFonts w:ascii="Courier New" w:hAnsi="Courier New" w:hint="default"/>
      </w:rPr>
    </w:lvl>
    <w:lvl w:ilvl="1" w:tplc="CEA4EF9A">
      <w:start w:val="1"/>
      <w:numFmt w:val="bullet"/>
      <w:lvlText w:val="-"/>
      <w:lvlJc w:val="left"/>
      <w:pPr>
        <w:ind w:left="1593" w:hanging="360"/>
      </w:pPr>
      <w:rPr>
        <w:rFonts w:ascii="Courier New" w:hAnsi="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1" w15:restartNumberingAfterBreak="0">
    <w:nsid w:val="7C617912"/>
    <w:multiLevelType w:val="multilevel"/>
    <w:tmpl w:val="3370A166"/>
    <w:lvl w:ilvl="0">
      <w:start w:val="1"/>
      <w:numFmt w:val="decimal"/>
      <w:pStyle w:val="Heading1"/>
      <w:lvlText w:val="%1."/>
      <w:lvlJc w:val="left"/>
      <w:pPr>
        <w:tabs>
          <w:tab w:val="num" w:pos="720"/>
        </w:tabs>
        <w:ind w:left="360" w:hanging="360"/>
      </w:pPr>
      <w:rPr>
        <w:rFonts w:hint="default"/>
      </w:rPr>
    </w:lvl>
    <w:lvl w:ilvl="1">
      <w:start w:val="1"/>
      <w:numFmt w:val="decimal"/>
      <w:pStyle w:val="Heading2"/>
      <w:lvlText w:val="%1.%2."/>
      <w:lvlJc w:val="left"/>
      <w:pPr>
        <w:tabs>
          <w:tab w:val="num" w:pos="792"/>
        </w:tabs>
        <w:ind w:left="792" w:hanging="432"/>
      </w:pPr>
      <w:rPr>
        <w:rFonts w:hint="default"/>
        <w:lang w:val="en-GB"/>
      </w:rPr>
    </w:lvl>
    <w:lvl w:ilvl="2">
      <w:start w:val="1"/>
      <w:numFmt w:val="decimal"/>
      <w:pStyle w:val="Heading3"/>
      <w:lvlText w:val="%1.%2.%3."/>
      <w:lvlJc w:val="left"/>
      <w:pPr>
        <w:tabs>
          <w:tab w:val="num" w:pos="180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pStyle w:val="Heading6"/>
      <w:lvlText w:val="%1.%2.%3.%4.%5.%6."/>
      <w:lvlJc w:val="left"/>
      <w:pPr>
        <w:tabs>
          <w:tab w:val="num" w:pos="32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2" w15:restartNumberingAfterBreak="0">
    <w:nsid w:val="7EFE2162"/>
    <w:multiLevelType w:val="hybridMultilevel"/>
    <w:tmpl w:val="760AC6C6"/>
    <w:lvl w:ilvl="0" w:tplc="B9D0F030">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4"/>
  </w:num>
  <w:num w:numId="4">
    <w:abstractNumId w:val="4"/>
  </w:num>
  <w:num w:numId="5">
    <w:abstractNumId w:val="9"/>
  </w:num>
  <w:num w:numId="6">
    <w:abstractNumId w:val="0"/>
  </w:num>
  <w:num w:numId="7">
    <w:abstractNumId w:val="2"/>
  </w:num>
  <w:num w:numId="8">
    <w:abstractNumId w:val="10"/>
  </w:num>
  <w:num w:numId="9">
    <w:abstractNumId w:val="12"/>
  </w:num>
  <w:num w:numId="10">
    <w:abstractNumId w:val="21"/>
  </w:num>
  <w:num w:numId="11">
    <w:abstractNumId w:val="20"/>
  </w:num>
  <w:num w:numId="12">
    <w:abstractNumId w:val="11"/>
  </w:num>
  <w:num w:numId="13">
    <w:abstractNumId w:val="22"/>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3"/>
  </w:num>
  <w:num w:numId="20">
    <w:abstractNumId w:val="6"/>
  </w:num>
  <w:num w:numId="21">
    <w:abstractNumId w:val="17"/>
  </w:num>
  <w:num w:numId="22">
    <w:abstractNumId w:val="3"/>
  </w:num>
  <w:num w:numId="23">
    <w:abstractNumId w:val="19"/>
  </w:num>
  <w:num w:numId="24">
    <w:abstractNumId w:val="16"/>
  </w:num>
  <w:num w:numId="25">
    <w:abstractNumId w:val="18"/>
  </w:num>
  <w:num w:numId="26">
    <w:abstractNumId w:val="7"/>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hideSpellingErrors/>
  <w:attachedTemplate r:id="rId1"/>
  <w:styleLockTheme/>
  <w:defaultTabStop w:val="720"/>
  <w:hyphenationZone w:val="425"/>
  <w:evenAndOddHeaders/>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C1A26"/>
    <w:rsid w:val="00000D50"/>
    <w:rsid w:val="00002939"/>
    <w:rsid w:val="00004411"/>
    <w:rsid w:val="00005CA3"/>
    <w:rsid w:val="0000642F"/>
    <w:rsid w:val="000107C9"/>
    <w:rsid w:val="00011D80"/>
    <w:rsid w:val="00011F68"/>
    <w:rsid w:val="000131C3"/>
    <w:rsid w:val="00017968"/>
    <w:rsid w:val="00020294"/>
    <w:rsid w:val="00021080"/>
    <w:rsid w:val="000215D3"/>
    <w:rsid w:val="00022D04"/>
    <w:rsid w:val="00023C9C"/>
    <w:rsid w:val="00030CB4"/>
    <w:rsid w:val="000310B0"/>
    <w:rsid w:val="00032942"/>
    <w:rsid w:val="00033F42"/>
    <w:rsid w:val="0003592B"/>
    <w:rsid w:val="0004051A"/>
    <w:rsid w:val="00043E4F"/>
    <w:rsid w:val="00044D4F"/>
    <w:rsid w:val="0005061C"/>
    <w:rsid w:val="00053573"/>
    <w:rsid w:val="00055E4A"/>
    <w:rsid w:val="000564B6"/>
    <w:rsid w:val="000609B1"/>
    <w:rsid w:val="00061E56"/>
    <w:rsid w:val="000750FC"/>
    <w:rsid w:val="00075292"/>
    <w:rsid w:val="00075862"/>
    <w:rsid w:val="00080D4C"/>
    <w:rsid w:val="00087BA8"/>
    <w:rsid w:val="00090AE5"/>
    <w:rsid w:val="000910B4"/>
    <w:rsid w:val="00093CD7"/>
    <w:rsid w:val="0009718C"/>
    <w:rsid w:val="000A072D"/>
    <w:rsid w:val="000A28B4"/>
    <w:rsid w:val="000A3449"/>
    <w:rsid w:val="000A4A87"/>
    <w:rsid w:val="000A69B2"/>
    <w:rsid w:val="000B5B5E"/>
    <w:rsid w:val="000B715E"/>
    <w:rsid w:val="000C28BC"/>
    <w:rsid w:val="000C3971"/>
    <w:rsid w:val="000C754A"/>
    <w:rsid w:val="000D123F"/>
    <w:rsid w:val="000D285C"/>
    <w:rsid w:val="000D2862"/>
    <w:rsid w:val="000D6AF9"/>
    <w:rsid w:val="000E2EE4"/>
    <w:rsid w:val="000F0BF1"/>
    <w:rsid w:val="000F61F8"/>
    <w:rsid w:val="0010047C"/>
    <w:rsid w:val="0010546B"/>
    <w:rsid w:val="0010790C"/>
    <w:rsid w:val="001140E2"/>
    <w:rsid w:val="00115143"/>
    <w:rsid w:val="00115943"/>
    <w:rsid w:val="00115D1D"/>
    <w:rsid w:val="0011779A"/>
    <w:rsid w:val="00124F87"/>
    <w:rsid w:val="001276C1"/>
    <w:rsid w:val="00130AE1"/>
    <w:rsid w:val="00132477"/>
    <w:rsid w:val="00134984"/>
    <w:rsid w:val="00135BDF"/>
    <w:rsid w:val="00137D0C"/>
    <w:rsid w:val="00140191"/>
    <w:rsid w:val="00141193"/>
    <w:rsid w:val="001411B0"/>
    <w:rsid w:val="00143414"/>
    <w:rsid w:val="00145929"/>
    <w:rsid w:val="00145CEB"/>
    <w:rsid w:val="0015308A"/>
    <w:rsid w:val="0015562C"/>
    <w:rsid w:val="00156715"/>
    <w:rsid w:val="00161BBE"/>
    <w:rsid w:val="00170E87"/>
    <w:rsid w:val="00174F7A"/>
    <w:rsid w:val="00175A8F"/>
    <w:rsid w:val="00177F81"/>
    <w:rsid w:val="00180C9B"/>
    <w:rsid w:val="00182505"/>
    <w:rsid w:val="00182AAD"/>
    <w:rsid w:val="00183DDF"/>
    <w:rsid w:val="001843D7"/>
    <w:rsid w:val="00184B2E"/>
    <w:rsid w:val="00190780"/>
    <w:rsid w:val="00192FA1"/>
    <w:rsid w:val="0019690E"/>
    <w:rsid w:val="00196ED1"/>
    <w:rsid w:val="001A7BBB"/>
    <w:rsid w:val="001B0E72"/>
    <w:rsid w:val="001B73C2"/>
    <w:rsid w:val="001B7731"/>
    <w:rsid w:val="001B7B97"/>
    <w:rsid w:val="001C009C"/>
    <w:rsid w:val="001C0740"/>
    <w:rsid w:val="001C1320"/>
    <w:rsid w:val="001C4476"/>
    <w:rsid w:val="001C5844"/>
    <w:rsid w:val="001D1693"/>
    <w:rsid w:val="001D2A53"/>
    <w:rsid w:val="001D5F92"/>
    <w:rsid w:val="001D6D38"/>
    <w:rsid w:val="001D7BFE"/>
    <w:rsid w:val="001D7CDB"/>
    <w:rsid w:val="001E00A7"/>
    <w:rsid w:val="001E0B72"/>
    <w:rsid w:val="001E0EE2"/>
    <w:rsid w:val="001F1AE4"/>
    <w:rsid w:val="001F55C3"/>
    <w:rsid w:val="00202DE6"/>
    <w:rsid w:val="0020410A"/>
    <w:rsid w:val="00212ED8"/>
    <w:rsid w:val="00214AA8"/>
    <w:rsid w:val="00216297"/>
    <w:rsid w:val="0021668E"/>
    <w:rsid w:val="00217A67"/>
    <w:rsid w:val="002210E0"/>
    <w:rsid w:val="0022165F"/>
    <w:rsid w:val="00223F2E"/>
    <w:rsid w:val="00224818"/>
    <w:rsid w:val="00230B8B"/>
    <w:rsid w:val="002327A7"/>
    <w:rsid w:val="00233799"/>
    <w:rsid w:val="00235318"/>
    <w:rsid w:val="00243BD5"/>
    <w:rsid w:val="00245A1E"/>
    <w:rsid w:val="00246009"/>
    <w:rsid w:val="002475A6"/>
    <w:rsid w:val="002479CD"/>
    <w:rsid w:val="00252625"/>
    <w:rsid w:val="00253522"/>
    <w:rsid w:val="002568ED"/>
    <w:rsid w:val="0026136F"/>
    <w:rsid w:val="00262C15"/>
    <w:rsid w:val="0026378D"/>
    <w:rsid w:val="00264A0F"/>
    <w:rsid w:val="00264BF7"/>
    <w:rsid w:val="002700F9"/>
    <w:rsid w:val="00273064"/>
    <w:rsid w:val="00273194"/>
    <w:rsid w:val="00273A84"/>
    <w:rsid w:val="002742CB"/>
    <w:rsid w:val="00275F84"/>
    <w:rsid w:val="00280557"/>
    <w:rsid w:val="0028090A"/>
    <w:rsid w:val="00281F5E"/>
    <w:rsid w:val="00283888"/>
    <w:rsid w:val="00285CA8"/>
    <w:rsid w:val="00292D91"/>
    <w:rsid w:val="002A0800"/>
    <w:rsid w:val="002A1F1F"/>
    <w:rsid w:val="002A75E4"/>
    <w:rsid w:val="002A7E4A"/>
    <w:rsid w:val="002B687F"/>
    <w:rsid w:val="002B6F11"/>
    <w:rsid w:val="002C1A26"/>
    <w:rsid w:val="002C6F3A"/>
    <w:rsid w:val="002C7E2E"/>
    <w:rsid w:val="002D0827"/>
    <w:rsid w:val="002D190E"/>
    <w:rsid w:val="002D2D46"/>
    <w:rsid w:val="002D49E7"/>
    <w:rsid w:val="002D6A55"/>
    <w:rsid w:val="002D728C"/>
    <w:rsid w:val="002E0BD7"/>
    <w:rsid w:val="002E1B51"/>
    <w:rsid w:val="002E36EB"/>
    <w:rsid w:val="002E5A4D"/>
    <w:rsid w:val="002E675D"/>
    <w:rsid w:val="002F0377"/>
    <w:rsid w:val="002F1881"/>
    <w:rsid w:val="002F3CE3"/>
    <w:rsid w:val="002F64EF"/>
    <w:rsid w:val="002F747F"/>
    <w:rsid w:val="00300860"/>
    <w:rsid w:val="003138FB"/>
    <w:rsid w:val="00315DF3"/>
    <w:rsid w:val="0031692E"/>
    <w:rsid w:val="003219A9"/>
    <w:rsid w:val="003275C3"/>
    <w:rsid w:val="00333CD4"/>
    <w:rsid w:val="003342A5"/>
    <w:rsid w:val="00334394"/>
    <w:rsid w:val="00334B68"/>
    <w:rsid w:val="00335C5E"/>
    <w:rsid w:val="00336192"/>
    <w:rsid w:val="00337401"/>
    <w:rsid w:val="00340CF8"/>
    <w:rsid w:val="003445D4"/>
    <w:rsid w:val="00347177"/>
    <w:rsid w:val="00347C65"/>
    <w:rsid w:val="00351706"/>
    <w:rsid w:val="00351979"/>
    <w:rsid w:val="003542EC"/>
    <w:rsid w:val="00354521"/>
    <w:rsid w:val="00364945"/>
    <w:rsid w:val="00365C1E"/>
    <w:rsid w:val="0036625E"/>
    <w:rsid w:val="00366A7D"/>
    <w:rsid w:val="00370FAC"/>
    <w:rsid w:val="00372A3B"/>
    <w:rsid w:val="00373EBF"/>
    <w:rsid w:val="003757C4"/>
    <w:rsid w:val="0037640D"/>
    <w:rsid w:val="003848B8"/>
    <w:rsid w:val="00385B12"/>
    <w:rsid w:val="00387C9A"/>
    <w:rsid w:val="00387FA6"/>
    <w:rsid w:val="003913B5"/>
    <w:rsid w:val="00391F59"/>
    <w:rsid w:val="00395D54"/>
    <w:rsid w:val="00396128"/>
    <w:rsid w:val="003975F9"/>
    <w:rsid w:val="003A412F"/>
    <w:rsid w:val="003A65A1"/>
    <w:rsid w:val="003A79F1"/>
    <w:rsid w:val="003B16BD"/>
    <w:rsid w:val="003B1782"/>
    <w:rsid w:val="003C43E9"/>
    <w:rsid w:val="003C4867"/>
    <w:rsid w:val="003C55DF"/>
    <w:rsid w:val="003C64AD"/>
    <w:rsid w:val="003D07E7"/>
    <w:rsid w:val="003D4891"/>
    <w:rsid w:val="003E2CF4"/>
    <w:rsid w:val="003E2E41"/>
    <w:rsid w:val="003E3244"/>
    <w:rsid w:val="003E347F"/>
    <w:rsid w:val="003E5156"/>
    <w:rsid w:val="003E7B19"/>
    <w:rsid w:val="003F4CA6"/>
    <w:rsid w:val="003F538D"/>
    <w:rsid w:val="00402306"/>
    <w:rsid w:val="004064B4"/>
    <w:rsid w:val="00410F1F"/>
    <w:rsid w:val="004167E7"/>
    <w:rsid w:val="00421334"/>
    <w:rsid w:val="00430356"/>
    <w:rsid w:val="00432C4D"/>
    <w:rsid w:val="00434FCF"/>
    <w:rsid w:val="00435E1F"/>
    <w:rsid w:val="004447E1"/>
    <w:rsid w:val="00445B26"/>
    <w:rsid w:val="004514F4"/>
    <w:rsid w:val="004559C8"/>
    <w:rsid w:val="00455F77"/>
    <w:rsid w:val="00460B27"/>
    <w:rsid w:val="00462A44"/>
    <w:rsid w:val="004650A3"/>
    <w:rsid w:val="004654E0"/>
    <w:rsid w:val="0047459D"/>
    <w:rsid w:val="00474883"/>
    <w:rsid w:val="00481CE4"/>
    <w:rsid w:val="00486736"/>
    <w:rsid w:val="00491C3A"/>
    <w:rsid w:val="004A404C"/>
    <w:rsid w:val="004A7E11"/>
    <w:rsid w:val="004B5B8D"/>
    <w:rsid w:val="004B68BE"/>
    <w:rsid w:val="004C1D5A"/>
    <w:rsid w:val="004C29C2"/>
    <w:rsid w:val="004C7CDA"/>
    <w:rsid w:val="004D0746"/>
    <w:rsid w:val="004D1864"/>
    <w:rsid w:val="004D3E23"/>
    <w:rsid w:val="004D4003"/>
    <w:rsid w:val="004D4753"/>
    <w:rsid w:val="004D4BB9"/>
    <w:rsid w:val="004E02D0"/>
    <w:rsid w:val="004E2750"/>
    <w:rsid w:val="004E2964"/>
    <w:rsid w:val="004E2FEC"/>
    <w:rsid w:val="004E46B8"/>
    <w:rsid w:val="004E588E"/>
    <w:rsid w:val="004E5C91"/>
    <w:rsid w:val="004E685C"/>
    <w:rsid w:val="004F00E1"/>
    <w:rsid w:val="004F1609"/>
    <w:rsid w:val="004F2CAE"/>
    <w:rsid w:val="004F62D4"/>
    <w:rsid w:val="00500CC0"/>
    <w:rsid w:val="00503498"/>
    <w:rsid w:val="00504A76"/>
    <w:rsid w:val="00512D91"/>
    <w:rsid w:val="00514E0C"/>
    <w:rsid w:val="005154D3"/>
    <w:rsid w:val="0052100A"/>
    <w:rsid w:val="005258D4"/>
    <w:rsid w:val="00526E35"/>
    <w:rsid w:val="005273AB"/>
    <w:rsid w:val="00530E11"/>
    <w:rsid w:val="0053237E"/>
    <w:rsid w:val="00540740"/>
    <w:rsid w:val="005419BC"/>
    <w:rsid w:val="00544CD8"/>
    <w:rsid w:val="00550C7E"/>
    <w:rsid w:val="0056587B"/>
    <w:rsid w:val="0056710B"/>
    <w:rsid w:val="00567223"/>
    <w:rsid w:val="00571633"/>
    <w:rsid w:val="0058010C"/>
    <w:rsid w:val="005820A9"/>
    <w:rsid w:val="00584614"/>
    <w:rsid w:val="0058522C"/>
    <w:rsid w:val="00587936"/>
    <w:rsid w:val="00597EB1"/>
    <w:rsid w:val="005A261D"/>
    <w:rsid w:val="005A4B17"/>
    <w:rsid w:val="005A6B13"/>
    <w:rsid w:val="005A6E9C"/>
    <w:rsid w:val="005A761F"/>
    <w:rsid w:val="005B14CA"/>
    <w:rsid w:val="005B4B58"/>
    <w:rsid w:val="005C37A2"/>
    <w:rsid w:val="005C37F7"/>
    <w:rsid w:val="005C4FCA"/>
    <w:rsid w:val="005C4FD4"/>
    <w:rsid w:val="005C6259"/>
    <w:rsid w:val="005D1711"/>
    <w:rsid w:val="005D1759"/>
    <w:rsid w:val="005D1ABF"/>
    <w:rsid w:val="005D301C"/>
    <w:rsid w:val="005D427A"/>
    <w:rsid w:val="005D4E5D"/>
    <w:rsid w:val="005D52E0"/>
    <w:rsid w:val="005D56F2"/>
    <w:rsid w:val="005E60B7"/>
    <w:rsid w:val="005F0BF4"/>
    <w:rsid w:val="005F2E39"/>
    <w:rsid w:val="005F3392"/>
    <w:rsid w:val="005F4B9C"/>
    <w:rsid w:val="005F6CB7"/>
    <w:rsid w:val="005F7075"/>
    <w:rsid w:val="00600021"/>
    <w:rsid w:val="00600ADA"/>
    <w:rsid w:val="00601E4A"/>
    <w:rsid w:val="006034DC"/>
    <w:rsid w:val="00607CD9"/>
    <w:rsid w:val="0061296A"/>
    <w:rsid w:val="006139D2"/>
    <w:rsid w:val="00614E50"/>
    <w:rsid w:val="00617D0B"/>
    <w:rsid w:val="00624C27"/>
    <w:rsid w:val="00634ADC"/>
    <w:rsid w:val="00635BC5"/>
    <w:rsid w:val="006413A2"/>
    <w:rsid w:val="00641FCF"/>
    <w:rsid w:val="00642CB3"/>
    <w:rsid w:val="006439E1"/>
    <w:rsid w:val="00647BB7"/>
    <w:rsid w:val="00651DFD"/>
    <w:rsid w:val="00653316"/>
    <w:rsid w:val="0065559C"/>
    <w:rsid w:val="00656119"/>
    <w:rsid w:val="0066133D"/>
    <w:rsid w:val="00680C8C"/>
    <w:rsid w:val="00684420"/>
    <w:rsid w:val="006871FB"/>
    <w:rsid w:val="00692404"/>
    <w:rsid w:val="00693CA0"/>
    <w:rsid w:val="006A4B65"/>
    <w:rsid w:val="006B3301"/>
    <w:rsid w:val="006B3DFB"/>
    <w:rsid w:val="006B691F"/>
    <w:rsid w:val="006C04BB"/>
    <w:rsid w:val="006D14A5"/>
    <w:rsid w:val="006D2CF3"/>
    <w:rsid w:val="006D31E0"/>
    <w:rsid w:val="006D6322"/>
    <w:rsid w:val="006E0ACD"/>
    <w:rsid w:val="006E0FD2"/>
    <w:rsid w:val="006E588B"/>
    <w:rsid w:val="006F0A27"/>
    <w:rsid w:val="006F1784"/>
    <w:rsid w:val="006F2DA5"/>
    <w:rsid w:val="006F3338"/>
    <w:rsid w:val="006F334E"/>
    <w:rsid w:val="006F6E78"/>
    <w:rsid w:val="00705172"/>
    <w:rsid w:val="00706155"/>
    <w:rsid w:val="00723F67"/>
    <w:rsid w:val="00724593"/>
    <w:rsid w:val="00726431"/>
    <w:rsid w:val="00727088"/>
    <w:rsid w:val="00732DA5"/>
    <w:rsid w:val="00734F4B"/>
    <w:rsid w:val="00737124"/>
    <w:rsid w:val="00737214"/>
    <w:rsid w:val="00740B35"/>
    <w:rsid w:val="00743C60"/>
    <w:rsid w:val="00744762"/>
    <w:rsid w:val="0074487E"/>
    <w:rsid w:val="007463CD"/>
    <w:rsid w:val="007505D4"/>
    <w:rsid w:val="0075180B"/>
    <w:rsid w:val="0075273F"/>
    <w:rsid w:val="007538B1"/>
    <w:rsid w:val="00753E2D"/>
    <w:rsid w:val="00757085"/>
    <w:rsid w:val="00760FEF"/>
    <w:rsid w:val="00762D83"/>
    <w:rsid w:val="00766B00"/>
    <w:rsid w:val="00766B1F"/>
    <w:rsid w:val="0077207F"/>
    <w:rsid w:val="00772CD8"/>
    <w:rsid w:val="0077473F"/>
    <w:rsid w:val="007760B9"/>
    <w:rsid w:val="007778C0"/>
    <w:rsid w:val="00777D74"/>
    <w:rsid w:val="00783D79"/>
    <w:rsid w:val="0078516C"/>
    <w:rsid w:val="007852AD"/>
    <w:rsid w:val="00785AB5"/>
    <w:rsid w:val="007910B7"/>
    <w:rsid w:val="007915BA"/>
    <w:rsid w:val="0079604C"/>
    <w:rsid w:val="007B17FB"/>
    <w:rsid w:val="007B2036"/>
    <w:rsid w:val="007B4DFC"/>
    <w:rsid w:val="007B5769"/>
    <w:rsid w:val="007C0A74"/>
    <w:rsid w:val="007C0CC1"/>
    <w:rsid w:val="007C34E7"/>
    <w:rsid w:val="007C49E0"/>
    <w:rsid w:val="007C4D03"/>
    <w:rsid w:val="007C4D54"/>
    <w:rsid w:val="007D20A0"/>
    <w:rsid w:val="007D440F"/>
    <w:rsid w:val="007D57CF"/>
    <w:rsid w:val="007E0F8F"/>
    <w:rsid w:val="007E248D"/>
    <w:rsid w:val="007E2537"/>
    <w:rsid w:val="007E49DC"/>
    <w:rsid w:val="007F041A"/>
    <w:rsid w:val="007F0FC2"/>
    <w:rsid w:val="007F1390"/>
    <w:rsid w:val="007F2669"/>
    <w:rsid w:val="007F2763"/>
    <w:rsid w:val="007F75F0"/>
    <w:rsid w:val="0080238C"/>
    <w:rsid w:val="00803ECA"/>
    <w:rsid w:val="00807C5F"/>
    <w:rsid w:val="00817768"/>
    <w:rsid w:val="00820AB1"/>
    <w:rsid w:val="008262B9"/>
    <w:rsid w:val="00831790"/>
    <w:rsid w:val="00831DAA"/>
    <w:rsid w:val="00832AD5"/>
    <w:rsid w:val="008404D7"/>
    <w:rsid w:val="00842B88"/>
    <w:rsid w:val="008433D6"/>
    <w:rsid w:val="008433E3"/>
    <w:rsid w:val="00843B90"/>
    <w:rsid w:val="0084495D"/>
    <w:rsid w:val="00844BE0"/>
    <w:rsid w:val="00844D57"/>
    <w:rsid w:val="00846C1C"/>
    <w:rsid w:val="00852224"/>
    <w:rsid w:val="00852BF3"/>
    <w:rsid w:val="00855BFE"/>
    <w:rsid w:val="008616FA"/>
    <w:rsid w:val="00863418"/>
    <w:rsid w:val="00864ACA"/>
    <w:rsid w:val="008658EE"/>
    <w:rsid w:val="0087176D"/>
    <w:rsid w:val="008725E4"/>
    <w:rsid w:val="00872671"/>
    <w:rsid w:val="0087622B"/>
    <w:rsid w:val="008763E6"/>
    <w:rsid w:val="00882207"/>
    <w:rsid w:val="0088450B"/>
    <w:rsid w:val="00887957"/>
    <w:rsid w:val="0089097C"/>
    <w:rsid w:val="00890AE7"/>
    <w:rsid w:val="0089189F"/>
    <w:rsid w:val="00897703"/>
    <w:rsid w:val="0089772F"/>
    <w:rsid w:val="008A17A7"/>
    <w:rsid w:val="008A1EFC"/>
    <w:rsid w:val="008A1F7E"/>
    <w:rsid w:val="008A3367"/>
    <w:rsid w:val="008A4683"/>
    <w:rsid w:val="008B27E2"/>
    <w:rsid w:val="008B29B6"/>
    <w:rsid w:val="008B4687"/>
    <w:rsid w:val="008B5098"/>
    <w:rsid w:val="008B509E"/>
    <w:rsid w:val="008B7E2A"/>
    <w:rsid w:val="008C2194"/>
    <w:rsid w:val="008C24EE"/>
    <w:rsid w:val="008C307C"/>
    <w:rsid w:val="008D0BC4"/>
    <w:rsid w:val="008D3AC3"/>
    <w:rsid w:val="008E06F5"/>
    <w:rsid w:val="008E0C24"/>
    <w:rsid w:val="008E682A"/>
    <w:rsid w:val="008E78FF"/>
    <w:rsid w:val="008E795B"/>
    <w:rsid w:val="008F3C43"/>
    <w:rsid w:val="008F4885"/>
    <w:rsid w:val="009019AD"/>
    <w:rsid w:val="00904F6B"/>
    <w:rsid w:val="009060F1"/>
    <w:rsid w:val="00906F3D"/>
    <w:rsid w:val="009103FD"/>
    <w:rsid w:val="00910536"/>
    <w:rsid w:val="0091277A"/>
    <w:rsid w:val="00912FA1"/>
    <w:rsid w:val="00912FBA"/>
    <w:rsid w:val="009134DA"/>
    <w:rsid w:val="00920729"/>
    <w:rsid w:val="0092180B"/>
    <w:rsid w:val="00922F87"/>
    <w:rsid w:val="00924D7D"/>
    <w:rsid w:val="009269D8"/>
    <w:rsid w:val="00927C15"/>
    <w:rsid w:val="00930B4A"/>
    <w:rsid w:val="00933D20"/>
    <w:rsid w:val="0093472B"/>
    <w:rsid w:val="00940EAB"/>
    <w:rsid w:val="00941ABD"/>
    <w:rsid w:val="00942B63"/>
    <w:rsid w:val="009444A2"/>
    <w:rsid w:val="00944D9A"/>
    <w:rsid w:val="0094759E"/>
    <w:rsid w:val="00950731"/>
    <w:rsid w:val="00950FC7"/>
    <w:rsid w:val="009519D2"/>
    <w:rsid w:val="00951C5D"/>
    <w:rsid w:val="00953758"/>
    <w:rsid w:val="009566C4"/>
    <w:rsid w:val="00956B21"/>
    <w:rsid w:val="00956E5F"/>
    <w:rsid w:val="00957CD9"/>
    <w:rsid w:val="00962D8F"/>
    <w:rsid w:val="0096611B"/>
    <w:rsid w:val="00970DB4"/>
    <w:rsid w:val="00973AB7"/>
    <w:rsid w:val="00976470"/>
    <w:rsid w:val="0097686A"/>
    <w:rsid w:val="00990DB9"/>
    <w:rsid w:val="00993156"/>
    <w:rsid w:val="00996E50"/>
    <w:rsid w:val="009A334E"/>
    <w:rsid w:val="009B0566"/>
    <w:rsid w:val="009B1C97"/>
    <w:rsid w:val="009B2DC7"/>
    <w:rsid w:val="009B523A"/>
    <w:rsid w:val="009B7A52"/>
    <w:rsid w:val="009C23BB"/>
    <w:rsid w:val="009C316C"/>
    <w:rsid w:val="009C45BF"/>
    <w:rsid w:val="009C6FCE"/>
    <w:rsid w:val="009C714A"/>
    <w:rsid w:val="009D24FF"/>
    <w:rsid w:val="009D2B2C"/>
    <w:rsid w:val="009D3444"/>
    <w:rsid w:val="009D4948"/>
    <w:rsid w:val="009D7FB0"/>
    <w:rsid w:val="009E1161"/>
    <w:rsid w:val="009E11B7"/>
    <w:rsid w:val="009E3C64"/>
    <w:rsid w:val="009E46C7"/>
    <w:rsid w:val="009E6C4A"/>
    <w:rsid w:val="009F2C8E"/>
    <w:rsid w:val="009F3445"/>
    <w:rsid w:val="009F6782"/>
    <w:rsid w:val="009F6944"/>
    <w:rsid w:val="009F6B66"/>
    <w:rsid w:val="00A01AEC"/>
    <w:rsid w:val="00A01D4C"/>
    <w:rsid w:val="00A0334C"/>
    <w:rsid w:val="00A05273"/>
    <w:rsid w:val="00A0675F"/>
    <w:rsid w:val="00A07B67"/>
    <w:rsid w:val="00A14B60"/>
    <w:rsid w:val="00A15155"/>
    <w:rsid w:val="00A16578"/>
    <w:rsid w:val="00A17C26"/>
    <w:rsid w:val="00A216D1"/>
    <w:rsid w:val="00A2191E"/>
    <w:rsid w:val="00A2228C"/>
    <w:rsid w:val="00A222D9"/>
    <w:rsid w:val="00A24242"/>
    <w:rsid w:val="00A342B1"/>
    <w:rsid w:val="00A346FE"/>
    <w:rsid w:val="00A40A9D"/>
    <w:rsid w:val="00A44606"/>
    <w:rsid w:val="00A5510A"/>
    <w:rsid w:val="00A55F35"/>
    <w:rsid w:val="00A561C6"/>
    <w:rsid w:val="00A57C50"/>
    <w:rsid w:val="00A62D87"/>
    <w:rsid w:val="00A7297E"/>
    <w:rsid w:val="00A74718"/>
    <w:rsid w:val="00A76231"/>
    <w:rsid w:val="00A7684E"/>
    <w:rsid w:val="00A7705D"/>
    <w:rsid w:val="00A810AB"/>
    <w:rsid w:val="00A85C1D"/>
    <w:rsid w:val="00A866AF"/>
    <w:rsid w:val="00A91481"/>
    <w:rsid w:val="00A929F3"/>
    <w:rsid w:val="00A934B1"/>
    <w:rsid w:val="00A93540"/>
    <w:rsid w:val="00A94E5D"/>
    <w:rsid w:val="00A97570"/>
    <w:rsid w:val="00A979A5"/>
    <w:rsid w:val="00AA7100"/>
    <w:rsid w:val="00AB2508"/>
    <w:rsid w:val="00AB4D6B"/>
    <w:rsid w:val="00AB5B7D"/>
    <w:rsid w:val="00AC24CC"/>
    <w:rsid w:val="00AC5357"/>
    <w:rsid w:val="00AC6FC2"/>
    <w:rsid w:val="00AE2B2F"/>
    <w:rsid w:val="00AE7CDC"/>
    <w:rsid w:val="00AF32D0"/>
    <w:rsid w:val="00AF3324"/>
    <w:rsid w:val="00B0056A"/>
    <w:rsid w:val="00B00C71"/>
    <w:rsid w:val="00B0110F"/>
    <w:rsid w:val="00B05627"/>
    <w:rsid w:val="00B060F0"/>
    <w:rsid w:val="00B072B9"/>
    <w:rsid w:val="00B112A8"/>
    <w:rsid w:val="00B11B81"/>
    <w:rsid w:val="00B157ED"/>
    <w:rsid w:val="00B163BC"/>
    <w:rsid w:val="00B20DE4"/>
    <w:rsid w:val="00B2126F"/>
    <w:rsid w:val="00B234D0"/>
    <w:rsid w:val="00B23875"/>
    <w:rsid w:val="00B24CDB"/>
    <w:rsid w:val="00B259E5"/>
    <w:rsid w:val="00B2786D"/>
    <w:rsid w:val="00B32F39"/>
    <w:rsid w:val="00B33E93"/>
    <w:rsid w:val="00B364FD"/>
    <w:rsid w:val="00B36A09"/>
    <w:rsid w:val="00B56F29"/>
    <w:rsid w:val="00B63E6E"/>
    <w:rsid w:val="00B71681"/>
    <w:rsid w:val="00B7223A"/>
    <w:rsid w:val="00B75E6A"/>
    <w:rsid w:val="00B760BA"/>
    <w:rsid w:val="00B8021D"/>
    <w:rsid w:val="00B81C26"/>
    <w:rsid w:val="00B83095"/>
    <w:rsid w:val="00B8377C"/>
    <w:rsid w:val="00B8541C"/>
    <w:rsid w:val="00B8723B"/>
    <w:rsid w:val="00BA2B64"/>
    <w:rsid w:val="00BB0A07"/>
    <w:rsid w:val="00BB1FD5"/>
    <w:rsid w:val="00BB4985"/>
    <w:rsid w:val="00BB4F04"/>
    <w:rsid w:val="00BB762B"/>
    <w:rsid w:val="00BC169E"/>
    <w:rsid w:val="00BC2A7D"/>
    <w:rsid w:val="00BC4105"/>
    <w:rsid w:val="00BC446B"/>
    <w:rsid w:val="00BC52D4"/>
    <w:rsid w:val="00BD1105"/>
    <w:rsid w:val="00BE181F"/>
    <w:rsid w:val="00BE1CF5"/>
    <w:rsid w:val="00BE399B"/>
    <w:rsid w:val="00BF11E3"/>
    <w:rsid w:val="00BF1FC3"/>
    <w:rsid w:val="00BF5E65"/>
    <w:rsid w:val="00C00C86"/>
    <w:rsid w:val="00C0261A"/>
    <w:rsid w:val="00C1088D"/>
    <w:rsid w:val="00C10C48"/>
    <w:rsid w:val="00C13931"/>
    <w:rsid w:val="00C14B20"/>
    <w:rsid w:val="00C15FEE"/>
    <w:rsid w:val="00C20CCE"/>
    <w:rsid w:val="00C2156A"/>
    <w:rsid w:val="00C22D6A"/>
    <w:rsid w:val="00C232BD"/>
    <w:rsid w:val="00C25FAF"/>
    <w:rsid w:val="00C2735B"/>
    <w:rsid w:val="00C275BC"/>
    <w:rsid w:val="00C27EFA"/>
    <w:rsid w:val="00C30F7B"/>
    <w:rsid w:val="00C31464"/>
    <w:rsid w:val="00C31647"/>
    <w:rsid w:val="00C32069"/>
    <w:rsid w:val="00C33206"/>
    <w:rsid w:val="00C33A34"/>
    <w:rsid w:val="00C361AE"/>
    <w:rsid w:val="00C37E58"/>
    <w:rsid w:val="00C50153"/>
    <w:rsid w:val="00C61C5B"/>
    <w:rsid w:val="00C6388D"/>
    <w:rsid w:val="00C63DB4"/>
    <w:rsid w:val="00C64A53"/>
    <w:rsid w:val="00C66D9B"/>
    <w:rsid w:val="00C66DE7"/>
    <w:rsid w:val="00C73FA8"/>
    <w:rsid w:val="00C76185"/>
    <w:rsid w:val="00C76405"/>
    <w:rsid w:val="00C807BD"/>
    <w:rsid w:val="00C838C4"/>
    <w:rsid w:val="00C84D00"/>
    <w:rsid w:val="00C94527"/>
    <w:rsid w:val="00C97764"/>
    <w:rsid w:val="00CA0A17"/>
    <w:rsid w:val="00CA77A5"/>
    <w:rsid w:val="00CB3116"/>
    <w:rsid w:val="00CB47D2"/>
    <w:rsid w:val="00CB4ACB"/>
    <w:rsid w:val="00CB5A11"/>
    <w:rsid w:val="00CB7F04"/>
    <w:rsid w:val="00CC146F"/>
    <w:rsid w:val="00CC796D"/>
    <w:rsid w:val="00CD0D47"/>
    <w:rsid w:val="00CD4C6B"/>
    <w:rsid w:val="00CD58CD"/>
    <w:rsid w:val="00CD5BFE"/>
    <w:rsid w:val="00CD7A2D"/>
    <w:rsid w:val="00CE1135"/>
    <w:rsid w:val="00CE2BE7"/>
    <w:rsid w:val="00CE67A6"/>
    <w:rsid w:val="00CE7393"/>
    <w:rsid w:val="00CF14FC"/>
    <w:rsid w:val="00CF38B5"/>
    <w:rsid w:val="00CF5207"/>
    <w:rsid w:val="00CF5C48"/>
    <w:rsid w:val="00CF64DC"/>
    <w:rsid w:val="00CF7D91"/>
    <w:rsid w:val="00D05626"/>
    <w:rsid w:val="00D0715C"/>
    <w:rsid w:val="00D07A3D"/>
    <w:rsid w:val="00D07D94"/>
    <w:rsid w:val="00D16673"/>
    <w:rsid w:val="00D175D6"/>
    <w:rsid w:val="00D17FA8"/>
    <w:rsid w:val="00D2084C"/>
    <w:rsid w:val="00D23D28"/>
    <w:rsid w:val="00D261E9"/>
    <w:rsid w:val="00D26287"/>
    <w:rsid w:val="00D30255"/>
    <w:rsid w:val="00D3105C"/>
    <w:rsid w:val="00D4102A"/>
    <w:rsid w:val="00D412C2"/>
    <w:rsid w:val="00D412DA"/>
    <w:rsid w:val="00D4206A"/>
    <w:rsid w:val="00D4759F"/>
    <w:rsid w:val="00D52825"/>
    <w:rsid w:val="00D52A1C"/>
    <w:rsid w:val="00D5404A"/>
    <w:rsid w:val="00D54117"/>
    <w:rsid w:val="00D6057C"/>
    <w:rsid w:val="00D6111B"/>
    <w:rsid w:val="00D73751"/>
    <w:rsid w:val="00D73970"/>
    <w:rsid w:val="00D74548"/>
    <w:rsid w:val="00D76464"/>
    <w:rsid w:val="00D820FE"/>
    <w:rsid w:val="00D83BF7"/>
    <w:rsid w:val="00D90981"/>
    <w:rsid w:val="00D9491B"/>
    <w:rsid w:val="00D94CAC"/>
    <w:rsid w:val="00D97052"/>
    <w:rsid w:val="00DA058F"/>
    <w:rsid w:val="00DA0C5E"/>
    <w:rsid w:val="00DA35A5"/>
    <w:rsid w:val="00DA65A7"/>
    <w:rsid w:val="00DA7305"/>
    <w:rsid w:val="00DB0C16"/>
    <w:rsid w:val="00DB0F67"/>
    <w:rsid w:val="00DB7BD8"/>
    <w:rsid w:val="00DC0118"/>
    <w:rsid w:val="00DC15FF"/>
    <w:rsid w:val="00DC35A8"/>
    <w:rsid w:val="00DC457B"/>
    <w:rsid w:val="00DD12E1"/>
    <w:rsid w:val="00DD25C1"/>
    <w:rsid w:val="00DD328D"/>
    <w:rsid w:val="00DD5460"/>
    <w:rsid w:val="00DD5FC8"/>
    <w:rsid w:val="00DD64B4"/>
    <w:rsid w:val="00DF0729"/>
    <w:rsid w:val="00DF1C2A"/>
    <w:rsid w:val="00DF20F1"/>
    <w:rsid w:val="00DF2C77"/>
    <w:rsid w:val="00DF57F4"/>
    <w:rsid w:val="00E00360"/>
    <w:rsid w:val="00E01F27"/>
    <w:rsid w:val="00E05D28"/>
    <w:rsid w:val="00E06BEC"/>
    <w:rsid w:val="00E0719E"/>
    <w:rsid w:val="00E12C3B"/>
    <w:rsid w:val="00E1456C"/>
    <w:rsid w:val="00E16185"/>
    <w:rsid w:val="00E265E0"/>
    <w:rsid w:val="00E33262"/>
    <w:rsid w:val="00E336A9"/>
    <w:rsid w:val="00E34B51"/>
    <w:rsid w:val="00E367D7"/>
    <w:rsid w:val="00E43E05"/>
    <w:rsid w:val="00E445B4"/>
    <w:rsid w:val="00E4593A"/>
    <w:rsid w:val="00E51D4E"/>
    <w:rsid w:val="00E55D84"/>
    <w:rsid w:val="00E56C2B"/>
    <w:rsid w:val="00E57104"/>
    <w:rsid w:val="00E62CF8"/>
    <w:rsid w:val="00E64882"/>
    <w:rsid w:val="00E66CBD"/>
    <w:rsid w:val="00E67E6F"/>
    <w:rsid w:val="00E723B0"/>
    <w:rsid w:val="00E769BA"/>
    <w:rsid w:val="00E76D61"/>
    <w:rsid w:val="00E76FF5"/>
    <w:rsid w:val="00E813D6"/>
    <w:rsid w:val="00E834B1"/>
    <w:rsid w:val="00E84B56"/>
    <w:rsid w:val="00E865FE"/>
    <w:rsid w:val="00E926D4"/>
    <w:rsid w:val="00E93E8C"/>
    <w:rsid w:val="00E9528E"/>
    <w:rsid w:val="00EA25B6"/>
    <w:rsid w:val="00EA74C1"/>
    <w:rsid w:val="00EB1ED4"/>
    <w:rsid w:val="00EB24F0"/>
    <w:rsid w:val="00EB582C"/>
    <w:rsid w:val="00EB62B2"/>
    <w:rsid w:val="00EC0CDD"/>
    <w:rsid w:val="00EC70E9"/>
    <w:rsid w:val="00ED1661"/>
    <w:rsid w:val="00ED239E"/>
    <w:rsid w:val="00ED312C"/>
    <w:rsid w:val="00ED358C"/>
    <w:rsid w:val="00ED58DB"/>
    <w:rsid w:val="00ED7438"/>
    <w:rsid w:val="00EE2102"/>
    <w:rsid w:val="00EE22BA"/>
    <w:rsid w:val="00EE250C"/>
    <w:rsid w:val="00EE39D9"/>
    <w:rsid w:val="00EE5EC9"/>
    <w:rsid w:val="00EF2ED3"/>
    <w:rsid w:val="00EF4BDA"/>
    <w:rsid w:val="00EF53DA"/>
    <w:rsid w:val="00EF5F25"/>
    <w:rsid w:val="00EF66BA"/>
    <w:rsid w:val="00EF6CD9"/>
    <w:rsid w:val="00F01C3B"/>
    <w:rsid w:val="00F14D37"/>
    <w:rsid w:val="00F21064"/>
    <w:rsid w:val="00F275E4"/>
    <w:rsid w:val="00F334B7"/>
    <w:rsid w:val="00F41CB3"/>
    <w:rsid w:val="00F42F5D"/>
    <w:rsid w:val="00F45161"/>
    <w:rsid w:val="00F4755B"/>
    <w:rsid w:val="00F477D7"/>
    <w:rsid w:val="00F47A1B"/>
    <w:rsid w:val="00F54E50"/>
    <w:rsid w:val="00F730F0"/>
    <w:rsid w:val="00F77F33"/>
    <w:rsid w:val="00F81749"/>
    <w:rsid w:val="00F81F23"/>
    <w:rsid w:val="00F838B3"/>
    <w:rsid w:val="00F845E2"/>
    <w:rsid w:val="00F8721C"/>
    <w:rsid w:val="00F90772"/>
    <w:rsid w:val="00F9182B"/>
    <w:rsid w:val="00F95434"/>
    <w:rsid w:val="00F95C61"/>
    <w:rsid w:val="00F96B07"/>
    <w:rsid w:val="00FA13E7"/>
    <w:rsid w:val="00FA5002"/>
    <w:rsid w:val="00FB06C5"/>
    <w:rsid w:val="00FB3822"/>
    <w:rsid w:val="00FC0817"/>
    <w:rsid w:val="00FC2047"/>
    <w:rsid w:val="00FD0071"/>
    <w:rsid w:val="00FD0D59"/>
    <w:rsid w:val="00FD557B"/>
    <w:rsid w:val="00FD560C"/>
    <w:rsid w:val="00FD5C5F"/>
    <w:rsid w:val="00FE3842"/>
    <w:rsid w:val="00FE3EB0"/>
    <w:rsid w:val="00FE79DE"/>
    <w:rsid w:val="00FF29C6"/>
    <w:rsid w:val="00FF383B"/>
    <w:rsid w:val="00FF5B57"/>
    <w:rsid w:val="00FF7F5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2479CD"/>
    <w:pPr>
      <w:spacing w:after="120"/>
      <w:jc w:val="both"/>
    </w:pPr>
    <w:rPr>
      <w:rFonts w:ascii="Arial" w:hAnsi="Arial"/>
      <w:szCs w:val="24"/>
      <w:lang w:val="en-GB" w:eastAsia="en-US"/>
    </w:rPr>
  </w:style>
  <w:style w:type="paragraph" w:styleId="Heading1">
    <w:name w:val="heading 1"/>
    <w:next w:val="BodyText1"/>
    <w:link w:val="Heading1Char"/>
    <w:qFormat/>
    <w:rsid w:val="00584614"/>
    <w:pPr>
      <w:keepNext/>
      <w:numPr>
        <w:numId w:val="10"/>
      </w:numPr>
      <w:tabs>
        <w:tab w:val="clear" w:pos="720"/>
      </w:tabs>
      <w:spacing w:before="360" w:after="160"/>
      <w:ind w:left="567" w:hanging="567"/>
      <w:outlineLvl w:val="0"/>
    </w:pPr>
    <w:rPr>
      <w:rFonts w:ascii="Arial" w:hAnsi="Arial" w:cs="Arial"/>
      <w:b/>
      <w:color w:val="464646"/>
      <w:kern w:val="30"/>
      <w:sz w:val="26"/>
      <w:szCs w:val="32"/>
      <w:lang w:val="en-GB" w:eastAsia="en-US"/>
    </w:rPr>
  </w:style>
  <w:style w:type="paragraph" w:styleId="Heading2">
    <w:name w:val="heading 2"/>
    <w:next w:val="BodyText1"/>
    <w:link w:val="Heading2Char"/>
    <w:qFormat/>
    <w:rsid w:val="00584614"/>
    <w:pPr>
      <w:keepNext/>
      <w:numPr>
        <w:ilvl w:val="1"/>
        <w:numId w:val="10"/>
      </w:numPr>
      <w:tabs>
        <w:tab w:val="clear" w:pos="792"/>
      </w:tabs>
      <w:spacing w:before="300" w:after="160"/>
      <w:ind w:left="680" w:hanging="680"/>
      <w:outlineLvl w:val="1"/>
    </w:pPr>
    <w:rPr>
      <w:rFonts w:ascii="Arial" w:hAnsi="Arial" w:cs="Arial"/>
      <w:b/>
      <w:bCs/>
      <w:iCs/>
      <w:kern w:val="28"/>
      <w:sz w:val="24"/>
      <w:szCs w:val="28"/>
      <w:lang w:val="en-GB" w:eastAsia="en-US"/>
    </w:rPr>
  </w:style>
  <w:style w:type="paragraph" w:styleId="Heading3">
    <w:name w:val="heading 3"/>
    <w:next w:val="BodyText1"/>
    <w:link w:val="Heading3Char"/>
    <w:qFormat/>
    <w:rsid w:val="00584614"/>
    <w:pPr>
      <w:keepNext/>
      <w:numPr>
        <w:ilvl w:val="2"/>
        <w:numId w:val="10"/>
      </w:numPr>
      <w:tabs>
        <w:tab w:val="clear" w:pos="1800"/>
      </w:tabs>
      <w:spacing w:before="240" w:after="160"/>
      <w:ind w:left="1418" w:hanging="851"/>
      <w:outlineLvl w:val="2"/>
    </w:pPr>
    <w:rPr>
      <w:rFonts w:ascii="Arial" w:hAnsi="Arial" w:cs="Arial"/>
      <w:b/>
      <w:iCs/>
      <w:color w:val="464646"/>
      <w:kern w:val="26"/>
      <w:sz w:val="22"/>
      <w:szCs w:val="26"/>
      <w:lang w:val="en-GB" w:eastAsia="en-US"/>
    </w:rPr>
  </w:style>
  <w:style w:type="paragraph" w:styleId="Heading4">
    <w:name w:val="heading 4"/>
    <w:next w:val="BodyText1"/>
    <w:qFormat/>
    <w:rsid w:val="00584614"/>
    <w:pPr>
      <w:keepNext/>
      <w:numPr>
        <w:ilvl w:val="3"/>
        <w:numId w:val="10"/>
      </w:numPr>
      <w:tabs>
        <w:tab w:val="left" w:pos="1985"/>
      </w:tabs>
      <w:spacing w:before="240" w:after="240"/>
      <w:ind w:left="1723" w:hanging="646"/>
      <w:outlineLvl w:val="3"/>
    </w:pPr>
    <w:rPr>
      <w:rFonts w:ascii="Arial" w:hAnsi="Arial" w:cs="Arial"/>
      <w:b/>
      <w:bCs/>
      <w:iCs/>
      <w:szCs w:val="28"/>
      <w:lang w:val="en-GB" w:eastAsia="en-US"/>
    </w:rPr>
  </w:style>
  <w:style w:type="paragraph" w:styleId="Heading5">
    <w:name w:val="heading 5"/>
    <w:next w:val="BodyText1"/>
    <w:qFormat/>
    <w:rsid w:val="00584614"/>
    <w:pPr>
      <w:keepNext/>
      <w:tabs>
        <w:tab w:val="left" w:pos="3402"/>
      </w:tabs>
      <w:spacing w:before="200" w:after="200"/>
      <w:outlineLvl w:val="4"/>
    </w:pPr>
    <w:rPr>
      <w:rFonts w:ascii="Arial" w:hAnsi="Arial" w:cs="Arial"/>
      <w:i/>
      <w:szCs w:val="26"/>
      <w:lang w:val="en-GB" w:eastAsia="en-US"/>
    </w:rPr>
  </w:style>
  <w:style w:type="paragraph" w:styleId="Heading6">
    <w:name w:val="heading 6"/>
    <w:next w:val="BodyText1"/>
    <w:semiHidden/>
    <w:qFormat/>
    <w:rsid w:val="009F3445"/>
    <w:pPr>
      <w:numPr>
        <w:ilvl w:val="5"/>
        <w:numId w:val="10"/>
      </w:numPr>
      <w:tabs>
        <w:tab w:val="left" w:pos="4536"/>
      </w:tabs>
      <w:spacing w:before="160" w:after="80"/>
      <w:outlineLvl w:val="5"/>
    </w:pPr>
    <w:rPr>
      <w:rFonts w:ascii="Arial" w:hAnsi="Arial" w:cs="Arial"/>
      <w:b/>
      <w:bCs/>
      <w:sz w:val="22"/>
      <w:szCs w:val="22"/>
      <w:lang w:val="en-GB" w:eastAsia="en-US"/>
    </w:rPr>
  </w:style>
  <w:style w:type="paragraph" w:styleId="Heading7">
    <w:name w:val="heading 7"/>
    <w:basedOn w:val="Heading6"/>
    <w:next w:val="Normal"/>
    <w:semiHidden/>
    <w:qFormat/>
    <w:rsid w:val="009F3445"/>
    <w:pPr>
      <w:numPr>
        <w:ilvl w:val="0"/>
        <w:numId w:val="0"/>
      </w:numPr>
      <w:tabs>
        <w:tab w:val="num" w:pos="5760"/>
      </w:tabs>
      <w:ind w:left="3240" w:hanging="1080"/>
      <w:outlineLvl w:val="6"/>
    </w:pPr>
  </w:style>
  <w:style w:type="paragraph" w:styleId="Heading8">
    <w:name w:val="heading 8"/>
    <w:basedOn w:val="Heading7"/>
    <w:next w:val="Normal"/>
    <w:semiHidden/>
    <w:qFormat/>
    <w:rsid w:val="00421334"/>
    <w:pPr>
      <w:numPr>
        <w:ilvl w:val="7"/>
      </w:numPr>
      <w:tabs>
        <w:tab w:val="num" w:pos="5760"/>
      </w:tabs>
      <w:ind w:left="3240" w:hanging="1080"/>
      <w:outlineLvl w:val="7"/>
    </w:pPr>
    <w:rPr>
      <w:b w:val="0"/>
      <w:iCs/>
    </w:rPr>
  </w:style>
  <w:style w:type="paragraph" w:styleId="Heading9">
    <w:name w:val="heading 9"/>
    <w:basedOn w:val="Normal"/>
    <w:next w:val="Normal"/>
    <w:semiHidden/>
    <w:qFormat/>
    <w:rsid w:val="0042133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Text1"/>
    <w:qFormat/>
    <w:rsid w:val="009F3445"/>
    <w:pPr>
      <w:widowControl w:val="0"/>
      <w:spacing w:before="3600" w:after="3600" w:line="360" w:lineRule="auto"/>
      <w:jc w:val="center"/>
    </w:pPr>
    <w:rPr>
      <w:rFonts w:ascii="Arial" w:hAnsi="Arial" w:cs="Arial"/>
      <w:b/>
      <w:bCs/>
      <w:kern w:val="36"/>
      <w:sz w:val="36"/>
      <w:szCs w:val="32"/>
      <w:lang w:val="en-GB" w:eastAsia="en-US"/>
    </w:rPr>
  </w:style>
  <w:style w:type="character" w:styleId="PageNumber">
    <w:name w:val="page number"/>
    <w:basedOn w:val="DefaultParagraphFont"/>
    <w:semiHidden/>
    <w:rsid w:val="00421334"/>
    <w:rPr>
      <w:rFonts w:ascii="Arial" w:hAnsi="Arial"/>
    </w:rPr>
  </w:style>
  <w:style w:type="paragraph" w:customStyle="1" w:styleId="Boxbodytext">
    <w:name w:val="Box body text"/>
    <w:link w:val="BoxbodytextChar"/>
    <w:qFormat/>
    <w:rsid w:val="00C66D9B"/>
    <w:pPr>
      <w:spacing w:after="200"/>
      <w:ind w:left="113" w:right="113"/>
      <w:jc w:val="both"/>
    </w:pPr>
    <w:rPr>
      <w:rFonts w:ascii="Arial" w:hAnsi="Arial"/>
      <w:sz w:val="18"/>
      <w:lang w:val="en-GB" w:eastAsia="en-US"/>
    </w:rPr>
  </w:style>
  <w:style w:type="character" w:styleId="FollowedHyperlink">
    <w:name w:val="FollowedHyperlink"/>
    <w:basedOn w:val="DefaultParagraphFont"/>
    <w:uiPriority w:val="99"/>
    <w:semiHidden/>
    <w:unhideWhenUsed/>
    <w:rsid w:val="00130AE1"/>
    <w:rPr>
      <w:color w:val="00AEEF" w:themeColor="followedHyperlink"/>
      <w:u w:val="single"/>
    </w:rPr>
  </w:style>
  <w:style w:type="paragraph" w:customStyle="1" w:styleId="Figure">
    <w:name w:val="Figure"/>
    <w:next w:val="BodyText1"/>
    <w:uiPriority w:val="1"/>
    <w:qFormat/>
    <w:rsid w:val="009F3445"/>
    <w:pPr>
      <w:tabs>
        <w:tab w:val="left" w:pos="1134"/>
      </w:tabs>
      <w:spacing w:before="240" w:after="120"/>
    </w:pPr>
    <w:rPr>
      <w:rFonts w:ascii="Arial" w:hAnsi="Arial" w:cs="Arial"/>
      <w:b/>
      <w:bCs/>
      <w:kern w:val="36"/>
      <w:sz w:val="26"/>
      <w:szCs w:val="32"/>
      <w:lang w:val="en-GB" w:eastAsia="en-US"/>
    </w:rPr>
  </w:style>
  <w:style w:type="paragraph" w:customStyle="1" w:styleId="TableNoandTitle">
    <w:name w:val="Table No. and Title"/>
    <w:next w:val="BodyText1"/>
    <w:link w:val="TableNoandTitleChar"/>
    <w:qFormat/>
    <w:rsid w:val="002A1F1F"/>
    <w:pPr>
      <w:keepNext/>
      <w:tabs>
        <w:tab w:val="left" w:pos="1134"/>
      </w:tabs>
      <w:spacing w:before="240" w:after="120"/>
      <w:ind w:left="1134" w:hanging="1134"/>
    </w:pPr>
    <w:rPr>
      <w:rFonts w:ascii="Arial" w:hAnsi="Arial" w:cs="Arial"/>
      <w:b/>
      <w:bCs/>
      <w:kern w:val="36"/>
      <w:sz w:val="22"/>
      <w:szCs w:val="32"/>
      <w:lang w:val="en-GB" w:eastAsia="en-US"/>
    </w:rPr>
  </w:style>
  <w:style w:type="paragraph" w:customStyle="1" w:styleId="Authors">
    <w:name w:val="Authors"/>
    <w:next w:val="BodyText1"/>
    <w:uiPriority w:val="1"/>
    <w:rsid w:val="0010546B"/>
    <w:pPr>
      <w:spacing w:before="240" w:after="240" w:line="360" w:lineRule="auto"/>
    </w:pPr>
    <w:rPr>
      <w:rFonts w:ascii="Arial" w:hAnsi="Arial" w:cs="Arial"/>
      <w:b/>
      <w:bCs/>
      <w:kern w:val="36"/>
      <w:sz w:val="30"/>
      <w:szCs w:val="32"/>
      <w:lang w:val="en-GB" w:eastAsia="en-US"/>
    </w:rPr>
  </w:style>
  <w:style w:type="paragraph" w:customStyle="1" w:styleId="Bullet1">
    <w:name w:val="Bullet 1"/>
    <w:next w:val="BodyText1"/>
    <w:qFormat/>
    <w:rsid w:val="003138FB"/>
    <w:pPr>
      <w:numPr>
        <w:numId w:val="4"/>
      </w:numPr>
      <w:spacing w:after="200"/>
      <w:jc w:val="both"/>
    </w:pPr>
    <w:rPr>
      <w:rFonts w:ascii="Arial" w:hAnsi="Arial"/>
      <w:szCs w:val="24"/>
      <w:lang w:val="en-GB" w:eastAsia="en-US"/>
    </w:rPr>
  </w:style>
  <w:style w:type="paragraph" w:styleId="TOC1">
    <w:name w:val="toc 1"/>
    <w:next w:val="BodyText1"/>
    <w:autoRedefine/>
    <w:uiPriority w:val="39"/>
    <w:rsid w:val="0080238C"/>
    <w:pPr>
      <w:tabs>
        <w:tab w:val="left" w:pos="1418"/>
        <w:tab w:val="right" w:pos="9497"/>
      </w:tabs>
      <w:spacing w:before="400" w:after="200"/>
      <w:ind w:left="1418" w:hanging="1418"/>
      <w:outlineLvl w:val="0"/>
    </w:pPr>
    <w:rPr>
      <w:rFonts w:ascii="Arial" w:hAnsi="Arial"/>
      <w:b/>
      <w:noProof/>
      <w:sz w:val="24"/>
      <w:szCs w:val="24"/>
      <w:lang w:val="en-GB" w:eastAsia="en-US"/>
    </w:rPr>
  </w:style>
  <w:style w:type="paragraph" w:styleId="TOC2">
    <w:name w:val="toc 2"/>
    <w:next w:val="BodyText1"/>
    <w:autoRedefine/>
    <w:uiPriority w:val="39"/>
    <w:rsid w:val="0080238C"/>
    <w:pPr>
      <w:tabs>
        <w:tab w:val="left" w:pos="567"/>
        <w:tab w:val="right" w:pos="9497"/>
      </w:tabs>
      <w:spacing w:after="100"/>
      <w:ind w:left="567" w:hanging="567"/>
      <w:outlineLvl w:val="1"/>
    </w:pPr>
    <w:rPr>
      <w:rFonts w:ascii="Arial" w:hAnsi="Arial"/>
      <w:noProof/>
      <w:sz w:val="22"/>
      <w:szCs w:val="24"/>
      <w:lang w:val="en-GB" w:eastAsia="en-US"/>
    </w:rPr>
  </w:style>
  <w:style w:type="paragraph" w:styleId="TOC3">
    <w:name w:val="toc 3"/>
    <w:next w:val="BodyText1"/>
    <w:autoRedefine/>
    <w:uiPriority w:val="39"/>
    <w:rsid w:val="0080238C"/>
    <w:pPr>
      <w:tabs>
        <w:tab w:val="left" w:pos="1134"/>
        <w:tab w:val="right" w:pos="9497"/>
      </w:tabs>
      <w:spacing w:after="100"/>
      <w:ind w:left="1134" w:hanging="567"/>
      <w:outlineLvl w:val="1"/>
    </w:pPr>
    <w:rPr>
      <w:rFonts w:ascii="Arial" w:hAnsi="Arial"/>
      <w:noProof/>
      <w:szCs w:val="24"/>
      <w:lang w:val="en-GB" w:eastAsia="en-US"/>
    </w:rPr>
  </w:style>
  <w:style w:type="paragraph" w:styleId="FootnoteText">
    <w:name w:val="footnote text"/>
    <w:basedOn w:val="Normal"/>
    <w:rsid w:val="00E813D6"/>
    <w:pPr>
      <w:spacing w:after="60"/>
    </w:pPr>
    <w:rPr>
      <w:sz w:val="16"/>
      <w:szCs w:val="20"/>
    </w:rPr>
  </w:style>
  <w:style w:type="paragraph" w:styleId="Footer">
    <w:name w:val="footer"/>
    <w:basedOn w:val="Normal"/>
    <w:link w:val="FooterChar"/>
    <w:uiPriority w:val="99"/>
    <w:rsid w:val="00421334"/>
    <w:pPr>
      <w:jc w:val="center"/>
    </w:pPr>
  </w:style>
  <w:style w:type="paragraph" w:styleId="Header">
    <w:name w:val="header"/>
    <w:aliases w:val="Header and footer"/>
    <w:basedOn w:val="Normal"/>
    <w:link w:val="HeaderChar"/>
    <w:rsid w:val="009F3445"/>
    <w:pPr>
      <w:tabs>
        <w:tab w:val="right" w:pos="9639"/>
      </w:tabs>
      <w:jc w:val="left"/>
    </w:pPr>
    <w:rPr>
      <w:sz w:val="18"/>
    </w:rPr>
  </w:style>
  <w:style w:type="paragraph" w:styleId="TOC4">
    <w:name w:val="toc 4"/>
    <w:next w:val="BodyText1"/>
    <w:autoRedefine/>
    <w:uiPriority w:val="39"/>
    <w:rsid w:val="0080238C"/>
    <w:pPr>
      <w:tabs>
        <w:tab w:val="left" w:pos="1871"/>
        <w:tab w:val="right" w:pos="9497"/>
      </w:tabs>
      <w:spacing w:after="120"/>
      <w:ind w:left="1871" w:hanging="737"/>
    </w:pPr>
    <w:rPr>
      <w:rFonts w:ascii="Arial" w:hAnsi="Arial"/>
      <w:noProof/>
      <w:szCs w:val="24"/>
      <w:lang w:val="en-GB" w:eastAsia="en-US"/>
    </w:rPr>
  </w:style>
  <w:style w:type="paragraph" w:styleId="TOC5">
    <w:name w:val="toc 5"/>
    <w:next w:val="Normal"/>
    <w:autoRedefine/>
    <w:uiPriority w:val="39"/>
    <w:rsid w:val="00292D91"/>
    <w:pPr>
      <w:tabs>
        <w:tab w:val="left" w:pos="1134"/>
        <w:tab w:val="right" w:pos="9497"/>
      </w:tabs>
      <w:spacing w:after="60"/>
      <w:ind w:left="1134" w:hanging="1134"/>
    </w:pPr>
    <w:rPr>
      <w:rFonts w:ascii="Arial" w:hAnsi="Arial"/>
      <w:noProof/>
      <w:szCs w:val="24"/>
      <w:lang w:eastAsia="en-US"/>
    </w:rPr>
  </w:style>
  <w:style w:type="paragraph" w:styleId="TOC6">
    <w:name w:val="toc 6"/>
    <w:basedOn w:val="Normal"/>
    <w:next w:val="Normal"/>
    <w:autoRedefine/>
    <w:uiPriority w:val="39"/>
    <w:rsid w:val="009F3445"/>
    <w:pPr>
      <w:ind w:left="1200"/>
    </w:pPr>
  </w:style>
  <w:style w:type="paragraph" w:styleId="TOC7">
    <w:name w:val="toc 7"/>
    <w:basedOn w:val="Normal"/>
    <w:next w:val="Normal"/>
    <w:autoRedefine/>
    <w:semiHidden/>
    <w:rsid w:val="00421334"/>
    <w:pPr>
      <w:ind w:left="1440"/>
    </w:pPr>
  </w:style>
  <w:style w:type="paragraph" w:styleId="TOC8">
    <w:name w:val="toc 8"/>
    <w:basedOn w:val="Normal"/>
    <w:next w:val="Normal"/>
    <w:autoRedefine/>
    <w:semiHidden/>
    <w:rsid w:val="00421334"/>
    <w:pPr>
      <w:ind w:left="1680"/>
    </w:pPr>
  </w:style>
  <w:style w:type="paragraph" w:styleId="TOC9">
    <w:name w:val="toc 9"/>
    <w:basedOn w:val="Normal"/>
    <w:next w:val="Normal"/>
    <w:autoRedefine/>
    <w:semiHidden/>
    <w:rsid w:val="00421334"/>
    <w:pPr>
      <w:ind w:left="1920"/>
    </w:pPr>
  </w:style>
  <w:style w:type="character" w:styleId="Hyperlink">
    <w:name w:val="Hyperlink"/>
    <w:basedOn w:val="DefaultParagraphFont"/>
    <w:uiPriority w:val="99"/>
    <w:rsid w:val="009F3445"/>
    <w:rPr>
      <w:rFonts w:ascii="Arial" w:hAnsi="Arial"/>
      <w:color w:val="0000FF"/>
      <w:u w:val="single"/>
      <w:lang w:val="en-GB"/>
    </w:rPr>
  </w:style>
  <w:style w:type="character" w:styleId="PlaceholderText">
    <w:name w:val="Placeholder Text"/>
    <w:basedOn w:val="DefaultParagraphFont"/>
    <w:uiPriority w:val="99"/>
    <w:semiHidden/>
    <w:rsid w:val="007505D4"/>
    <w:rPr>
      <w:color w:val="808080"/>
    </w:rPr>
  </w:style>
  <w:style w:type="paragraph" w:styleId="BalloonText">
    <w:name w:val="Balloon Text"/>
    <w:basedOn w:val="Normal"/>
    <w:link w:val="BalloonTextChar"/>
    <w:uiPriority w:val="99"/>
    <w:semiHidden/>
    <w:unhideWhenUsed/>
    <w:rsid w:val="007505D4"/>
    <w:rPr>
      <w:rFonts w:ascii="Tahoma" w:hAnsi="Tahoma" w:cs="Tahoma"/>
      <w:sz w:val="16"/>
      <w:szCs w:val="16"/>
    </w:rPr>
  </w:style>
  <w:style w:type="character" w:customStyle="1" w:styleId="BalloonTextChar">
    <w:name w:val="Balloon Text Char"/>
    <w:basedOn w:val="DefaultParagraphFont"/>
    <w:link w:val="BalloonText"/>
    <w:uiPriority w:val="99"/>
    <w:semiHidden/>
    <w:rsid w:val="007505D4"/>
    <w:rPr>
      <w:rFonts w:ascii="Tahoma" w:hAnsi="Tahoma" w:cs="Tahoma"/>
      <w:sz w:val="16"/>
      <w:szCs w:val="16"/>
      <w:lang w:val="en-GB" w:eastAsia="en-US"/>
    </w:rPr>
  </w:style>
  <w:style w:type="table" w:customStyle="1" w:styleId="TableITC">
    <w:name w:val="Table ITC"/>
    <w:basedOn w:val="TableNormal"/>
    <w:uiPriority w:val="99"/>
    <w:qFormat/>
    <w:rsid w:val="00156715"/>
    <w:rPr>
      <w:rFonts w:ascii="Arial" w:hAnsi="Arial"/>
    </w:rPr>
    <w:tblPr>
      <w:tblBorders>
        <w:insideH w:val="single" w:sz="4" w:space="0" w:color="auto"/>
        <w:insideV w:val="single" w:sz="4" w:space="0" w:color="auto"/>
      </w:tblBorders>
    </w:tblPr>
  </w:style>
  <w:style w:type="paragraph" w:styleId="Quote">
    <w:name w:val="Quote"/>
    <w:next w:val="BodyText1"/>
    <w:link w:val="QuoteChar"/>
    <w:uiPriority w:val="29"/>
    <w:rsid w:val="005D427A"/>
    <w:pPr>
      <w:pBdr>
        <w:top w:val="single" w:sz="36" w:space="6" w:color="00B0F0"/>
        <w:bottom w:val="single" w:sz="36" w:space="4" w:color="00B0F0"/>
      </w:pBdr>
      <w:spacing w:after="200"/>
      <w:jc w:val="both"/>
    </w:pPr>
    <w:rPr>
      <w:rFonts w:ascii="Arial" w:hAnsi="Arial"/>
      <w:sz w:val="18"/>
      <w:szCs w:val="18"/>
      <w:lang w:val="en-GB" w:eastAsia="en-US"/>
    </w:rPr>
  </w:style>
  <w:style w:type="character" w:customStyle="1" w:styleId="QuoteChar">
    <w:name w:val="Quote Char"/>
    <w:basedOn w:val="DefaultParagraphFont"/>
    <w:link w:val="Quote"/>
    <w:uiPriority w:val="29"/>
    <w:rsid w:val="005D427A"/>
    <w:rPr>
      <w:rFonts w:ascii="Arial" w:hAnsi="Arial"/>
      <w:sz w:val="18"/>
      <w:szCs w:val="18"/>
      <w:lang w:val="en-GB" w:eastAsia="en-US"/>
    </w:rPr>
  </w:style>
  <w:style w:type="table" w:styleId="TableGrid">
    <w:name w:val="Table Grid"/>
    <w:basedOn w:val="TableNormal"/>
    <w:uiPriority w:val="59"/>
    <w:rsid w:val="00491C3A"/>
    <w:rPr>
      <w:rFonts w:ascii="Arial" w:hAnsi="Arial"/>
    </w:rPr>
    <w:tblPr>
      <w:tblBorders>
        <w:top w:val="single" w:sz="4" w:space="0" w:color="808080" w:themeColor="text1"/>
        <w:left w:val="single" w:sz="4" w:space="0" w:color="808080" w:themeColor="text1"/>
        <w:bottom w:val="single" w:sz="4" w:space="0" w:color="808080" w:themeColor="text1"/>
        <w:right w:val="single" w:sz="4" w:space="0" w:color="808080" w:themeColor="text1"/>
        <w:insideH w:val="single" w:sz="4" w:space="0" w:color="808080" w:themeColor="text1"/>
        <w:insideV w:val="single" w:sz="4" w:space="0" w:color="808080" w:themeColor="text1"/>
      </w:tblBorders>
    </w:tblPr>
  </w:style>
  <w:style w:type="character" w:styleId="IntenseEmphasis">
    <w:name w:val="Intense Emphasis"/>
    <w:basedOn w:val="DefaultParagraphFont"/>
    <w:uiPriority w:val="21"/>
    <w:semiHidden/>
    <w:rsid w:val="009F3445"/>
    <w:rPr>
      <w:rFonts w:ascii="Arial" w:hAnsi="Arial"/>
      <w:b/>
      <w:bCs/>
      <w:i/>
      <w:iCs/>
      <w:color w:val="auto"/>
      <w:sz w:val="20"/>
      <w:lang w:val="en-GB"/>
    </w:rPr>
  </w:style>
  <w:style w:type="character" w:styleId="Strong">
    <w:name w:val="Strong"/>
    <w:basedOn w:val="DefaultParagraphFont"/>
    <w:uiPriority w:val="22"/>
    <w:semiHidden/>
    <w:rsid w:val="009F3445"/>
    <w:rPr>
      <w:rFonts w:ascii="Arial" w:hAnsi="Arial"/>
      <w:b/>
      <w:bCs/>
      <w:sz w:val="20"/>
      <w:lang w:val="en-GB"/>
    </w:rPr>
  </w:style>
  <w:style w:type="character" w:styleId="IntenseReference">
    <w:name w:val="Intense Reference"/>
    <w:basedOn w:val="DefaultParagraphFont"/>
    <w:uiPriority w:val="32"/>
    <w:semiHidden/>
    <w:rsid w:val="00587936"/>
    <w:rPr>
      <w:b/>
      <w:bCs/>
      <w:smallCaps/>
      <w:color w:val="808080" w:themeColor="accent2"/>
      <w:spacing w:val="5"/>
      <w:u w:val="single"/>
    </w:rPr>
  </w:style>
  <w:style w:type="paragraph" w:styleId="Subtitle">
    <w:name w:val="Subtitle"/>
    <w:basedOn w:val="Normal"/>
    <w:next w:val="Normal"/>
    <w:link w:val="SubtitleChar"/>
    <w:uiPriority w:val="11"/>
    <w:semiHidden/>
    <w:rsid w:val="00491C3A"/>
    <w:pPr>
      <w:numPr>
        <w:ilvl w:val="1"/>
      </w:numPr>
      <w:ind w:left="1134"/>
    </w:pPr>
    <w:rPr>
      <w:rFonts w:eastAsiaTheme="majorEastAsia" w:cstheme="majorBidi"/>
      <w:i/>
      <w:iCs/>
      <w:color w:val="00AEEF" w:themeColor="accent1"/>
      <w:spacing w:val="15"/>
    </w:rPr>
  </w:style>
  <w:style w:type="character" w:customStyle="1" w:styleId="SubtitleChar">
    <w:name w:val="Subtitle Char"/>
    <w:basedOn w:val="DefaultParagraphFont"/>
    <w:link w:val="Subtitle"/>
    <w:uiPriority w:val="11"/>
    <w:semiHidden/>
    <w:rsid w:val="00491C3A"/>
    <w:rPr>
      <w:rFonts w:ascii="Arial" w:eastAsiaTheme="majorEastAsia" w:hAnsi="Arial" w:cstheme="majorBidi"/>
      <w:i/>
      <w:iCs/>
      <w:color w:val="00AEEF" w:themeColor="accent1"/>
      <w:spacing w:val="15"/>
      <w:sz w:val="24"/>
      <w:szCs w:val="24"/>
      <w:lang w:val="en-GB" w:eastAsia="en-US"/>
    </w:rPr>
  </w:style>
  <w:style w:type="table" w:customStyle="1" w:styleId="LightShading1">
    <w:name w:val="Light Shading1"/>
    <w:basedOn w:val="TableNormal"/>
    <w:uiPriority w:val="60"/>
    <w:rsid w:val="00491C3A"/>
    <w:rPr>
      <w:rFonts w:ascii="Arial" w:hAnsi="Arial"/>
      <w:color w:val="5F5F5F" w:themeColor="text1" w:themeShade="BF"/>
    </w:rPr>
    <w:tblPr>
      <w:tblStyleRowBandSize w:val="1"/>
      <w:tblStyleColBandSize w:val="1"/>
      <w:tblBorders>
        <w:top w:val="single" w:sz="8" w:space="0" w:color="808080" w:themeColor="text1"/>
        <w:bottom w:val="single" w:sz="8" w:space="0" w:color="808080" w:themeColor="text1"/>
      </w:tblBorders>
    </w:tblPr>
    <w:tblStylePr w:type="firstRow">
      <w:pPr>
        <w:spacing w:before="0" w:after="0" w:line="240" w:lineRule="auto"/>
      </w:pPr>
      <w:rPr>
        <w:b/>
        <w:bCs/>
      </w:rPr>
      <w:tblPr/>
      <w:tcPr>
        <w:tcBorders>
          <w:top w:val="single" w:sz="8" w:space="0" w:color="808080" w:themeColor="text1"/>
          <w:left w:val="nil"/>
          <w:bottom w:val="single" w:sz="8" w:space="0" w:color="808080" w:themeColor="text1"/>
          <w:right w:val="nil"/>
          <w:insideH w:val="nil"/>
          <w:insideV w:val="nil"/>
        </w:tcBorders>
      </w:tcPr>
    </w:tblStylePr>
    <w:tblStylePr w:type="lastRow">
      <w:pPr>
        <w:spacing w:before="0" w:after="0" w:line="240" w:lineRule="auto"/>
      </w:pPr>
      <w:rPr>
        <w:b/>
        <w:bCs/>
      </w:rPr>
      <w:tblPr/>
      <w:tcPr>
        <w:tcBorders>
          <w:top w:val="single" w:sz="8" w:space="0" w:color="808080" w:themeColor="text1"/>
          <w:left w:val="nil"/>
          <w:bottom w:val="single" w:sz="8" w:space="0" w:color="808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paragraph" w:customStyle="1" w:styleId="Tabletext">
    <w:name w:val="Table text"/>
    <w:next w:val="BodyText1"/>
    <w:link w:val="TabletextChar"/>
    <w:qFormat/>
    <w:rsid w:val="009F3445"/>
    <w:pPr>
      <w:spacing w:before="40" w:after="40"/>
    </w:pPr>
    <w:rPr>
      <w:rFonts w:ascii="Arial" w:hAnsi="Arial"/>
      <w:sz w:val="18"/>
      <w:lang w:val="en-GB" w:eastAsia="en-US"/>
    </w:rPr>
  </w:style>
  <w:style w:type="paragraph" w:styleId="TOCHeading">
    <w:name w:val="TOC Heading"/>
    <w:basedOn w:val="Heading1"/>
    <w:next w:val="Normal"/>
    <w:uiPriority w:val="39"/>
    <w:semiHidden/>
    <w:unhideWhenUsed/>
    <w:qFormat/>
    <w:rsid w:val="00A7297E"/>
    <w:pPr>
      <w:keepLines/>
      <w:numPr>
        <w:numId w:val="0"/>
      </w:numPr>
      <w:spacing w:before="480" w:after="0" w:line="276" w:lineRule="auto"/>
      <w:outlineLvl w:val="9"/>
    </w:pPr>
    <w:rPr>
      <w:rFonts w:asciiTheme="majorHAnsi" w:eastAsiaTheme="majorEastAsia" w:hAnsiTheme="majorHAnsi" w:cstheme="majorBidi"/>
      <w:bCs/>
      <w:color w:val="0081B3" w:themeColor="accent1" w:themeShade="BF"/>
      <w:kern w:val="0"/>
      <w:sz w:val="28"/>
      <w:szCs w:val="28"/>
      <w:lang w:val="en-US"/>
    </w:rPr>
  </w:style>
  <w:style w:type="paragraph" w:styleId="ListParagraph">
    <w:name w:val="List Paragraph"/>
    <w:basedOn w:val="Normal"/>
    <w:link w:val="ListParagraphChar"/>
    <w:uiPriority w:val="34"/>
    <w:qFormat/>
    <w:rsid w:val="00EE39D9"/>
    <w:pPr>
      <w:ind w:left="720"/>
      <w:contextualSpacing/>
    </w:pPr>
  </w:style>
  <w:style w:type="character" w:customStyle="1" w:styleId="HeaderChar">
    <w:name w:val="Header Char"/>
    <w:aliases w:val="Header and footer Char"/>
    <w:basedOn w:val="DefaultParagraphFont"/>
    <w:link w:val="Header"/>
    <w:rsid w:val="002479CD"/>
    <w:rPr>
      <w:rFonts w:ascii="Arial" w:hAnsi="Arial"/>
      <w:sz w:val="18"/>
      <w:szCs w:val="24"/>
      <w:lang w:val="en-GB" w:eastAsia="en-US"/>
    </w:rPr>
  </w:style>
  <w:style w:type="paragraph" w:customStyle="1" w:styleId="BodyText1">
    <w:name w:val="Body Text1"/>
    <w:link w:val="BodytextChar"/>
    <w:qFormat/>
    <w:rsid w:val="006D14A5"/>
    <w:pPr>
      <w:spacing w:after="200"/>
      <w:jc w:val="both"/>
    </w:pPr>
    <w:rPr>
      <w:rFonts w:ascii="Arial" w:eastAsia="Arial" w:hAnsi="Arial" w:cs="Arial"/>
      <w:lang w:val="en-GB" w:eastAsia="en-US"/>
    </w:rPr>
  </w:style>
  <w:style w:type="paragraph" w:customStyle="1" w:styleId="Bullet2">
    <w:name w:val="Bullet 2"/>
    <w:next w:val="BodyText1"/>
    <w:link w:val="Bullet2Char"/>
    <w:qFormat/>
    <w:rsid w:val="00CD0D47"/>
    <w:pPr>
      <w:numPr>
        <w:ilvl w:val="1"/>
        <w:numId w:val="4"/>
      </w:numPr>
      <w:adjustRightInd w:val="0"/>
      <w:spacing w:after="200"/>
      <w:jc w:val="both"/>
    </w:pPr>
    <w:rPr>
      <w:rFonts w:ascii="Arial" w:hAnsi="Arial"/>
      <w:lang w:val="en-GB" w:eastAsia="en-US"/>
    </w:rPr>
  </w:style>
  <w:style w:type="character" w:customStyle="1" w:styleId="BodytextChar">
    <w:name w:val="Body text Char"/>
    <w:basedOn w:val="DefaultParagraphFont"/>
    <w:link w:val="BodyText1"/>
    <w:rsid w:val="006D14A5"/>
    <w:rPr>
      <w:rFonts w:ascii="Arial" w:eastAsia="Arial" w:hAnsi="Arial" w:cs="Arial"/>
      <w:lang w:val="en-GB" w:eastAsia="en-US"/>
    </w:rPr>
  </w:style>
  <w:style w:type="character" w:styleId="FootnoteReference">
    <w:name w:val="footnote reference"/>
    <w:basedOn w:val="DefaultParagraphFont"/>
    <w:uiPriority w:val="99"/>
    <w:semiHidden/>
    <w:unhideWhenUsed/>
    <w:rsid w:val="00927C15"/>
    <w:rPr>
      <w:vertAlign w:val="superscript"/>
    </w:rPr>
  </w:style>
  <w:style w:type="character" w:customStyle="1" w:styleId="ListParagraphChar">
    <w:name w:val="List Paragraph Char"/>
    <w:basedOn w:val="DefaultParagraphFont"/>
    <w:link w:val="ListParagraph"/>
    <w:uiPriority w:val="34"/>
    <w:semiHidden/>
    <w:rsid w:val="00734F4B"/>
    <w:rPr>
      <w:rFonts w:ascii="Arial" w:hAnsi="Arial"/>
      <w:szCs w:val="24"/>
      <w:lang w:val="en-GB" w:eastAsia="en-US"/>
    </w:rPr>
  </w:style>
  <w:style w:type="character" w:customStyle="1" w:styleId="Bullet2Char">
    <w:name w:val="Bullet 2 Char"/>
    <w:basedOn w:val="ListParagraphChar"/>
    <w:link w:val="Bullet2"/>
    <w:rsid w:val="00CD0D47"/>
    <w:rPr>
      <w:rFonts w:ascii="Arial" w:hAnsi="Arial"/>
      <w:szCs w:val="24"/>
      <w:lang w:val="en-GB" w:eastAsia="en-US"/>
    </w:rPr>
  </w:style>
  <w:style w:type="paragraph" w:customStyle="1" w:styleId="Tabletexttitle">
    <w:name w:val="Table text title"/>
    <w:next w:val="BodyText1"/>
    <w:link w:val="TabletexttitleChar"/>
    <w:qFormat/>
    <w:rsid w:val="009F3445"/>
    <w:pPr>
      <w:spacing w:before="40" w:after="40"/>
      <w:jc w:val="center"/>
    </w:pPr>
    <w:rPr>
      <w:rFonts w:ascii="Arial" w:hAnsi="Arial"/>
      <w:b/>
      <w:sz w:val="18"/>
      <w:lang w:val="en-GB" w:eastAsia="en-US"/>
    </w:rPr>
  </w:style>
  <w:style w:type="paragraph" w:customStyle="1" w:styleId="Annex-AppendixNo">
    <w:name w:val="Annex - Appendix No."/>
    <w:next w:val="BodyText1"/>
    <w:link w:val="Annex-AppendixNoChar"/>
    <w:qFormat/>
    <w:rsid w:val="00584614"/>
    <w:pPr>
      <w:keepNext/>
      <w:pageBreakBefore/>
      <w:tabs>
        <w:tab w:val="left" w:pos="1701"/>
      </w:tabs>
      <w:spacing w:after="400"/>
      <w:ind w:left="1701" w:hanging="1701"/>
    </w:pPr>
    <w:rPr>
      <w:rFonts w:ascii="Arial" w:hAnsi="Arial"/>
      <w:b/>
      <w:sz w:val="30"/>
      <w:szCs w:val="24"/>
      <w:lang w:val="en-GB" w:eastAsia="en-US"/>
    </w:rPr>
  </w:style>
  <w:style w:type="character" w:customStyle="1" w:styleId="TabletextChar">
    <w:name w:val="Table text Char"/>
    <w:basedOn w:val="DefaultParagraphFont"/>
    <w:link w:val="Tabletext"/>
    <w:rsid w:val="009F3445"/>
    <w:rPr>
      <w:rFonts w:ascii="Arial" w:hAnsi="Arial"/>
      <w:sz w:val="18"/>
      <w:lang w:val="en-GB" w:eastAsia="en-US"/>
    </w:rPr>
  </w:style>
  <w:style w:type="character" w:customStyle="1" w:styleId="TabletexttitleChar">
    <w:name w:val="Table text title Char"/>
    <w:basedOn w:val="TabletextChar"/>
    <w:link w:val="Tabletexttitle"/>
    <w:rsid w:val="009F3445"/>
    <w:rPr>
      <w:rFonts w:ascii="Arial" w:hAnsi="Arial"/>
      <w:b/>
      <w:sz w:val="18"/>
      <w:lang w:val="en-GB" w:eastAsia="en-US"/>
    </w:rPr>
  </w:style>
  <w:style w:type="paragraph" w:customStyle="1" w:styleId="FiguresandChartsbodytext">
    <w:name w:val="Figures and Charts body text"/>
    <w:next w:val="BodyText1"/>
    <w:link w:val="FiguresandChartsbodytextChar"/>
    <w:qFormat/>
    <w:rsid w:val="009F3445"/>
    <w:pPr>
      <w:spacing w:after="120"/>
      <w:jc w:val="both"/>
    </w:pPr>
    <w:rPr>
      <w:rFonts w:ascii="Arial" w:hAnsi="Arial"/>
      <w:sz w:val="18"/>
      <w:lang w:val="en-GB" w:eastAsia="en-US"/>
    </w:rPr>
  </w:style>
  <w:style w:type="character" w:customStyle="1" w:styleId="Annex-AppendixNoChar">
    <w:name w:val="Annex - Appendix No. Char"/>
    <w:basedOn w:val="BodytextChar"/>
    <w:link w:val="Annex-AppendixNo"/>
    <w:rsid w:val="00584614"/>
    <w:rPr>
      <w:rFonts w:ascii="Arial" w:eastAsia="Arial" w:hAnsi="Arial" w:cs="Arial"/>
      <w:b/>
      <w:sz w:val="30"/>
      <w:szCs w:val="24"/>
      <w:lang w:val="en-GB" w:eastAsia="en-US"/>
    </w:rPr>
  </w:style>
  <w:style w:type="character" w:customStyle="1" w:styleId="FiguresandChartsbodytextChar">
    <w:name w:val="Figures and Charts body text Char"/>
    <w:basedOn w:val="TabletextChar"/>
    <w:link w:val="FiguresandChartsbodytext"/>
    <w:rsid w:val="009F3445"/>
    <w:rPr>
      <w:rFonts w:ascii="Arial" w:hAnsi="Arial"/>
      <w:sz w:val="18"/>
      <w:lang w:val="en-GB" w:eastAsia="en-US"/>
    </w:rPr>
  </w:style>
  <w:style w:type="paragraph" w:customStyle="1" w:styleId="Source">
    <w:name w:val="Source"/>
    <w:next w:val="BodyText1"/>
    <w:link w:val="SourceChar"/>
    <w:qFormat/>
    <w:rsid w:val="00930B4A"/>
    <w:pPr>
      <w:spacing w:before="20" w:after="200"/>
    </w:pPr>
    <w:rPr>
      <w:rFonts w:ascii="Arial" w:hAnsi="Arial"/>
      <w:sz w:val="16"/>
      <w:lang w:val="en-US" w:eastAsia="en-US"/>
    </w:rPr>
  </w:style>
  <w:style w:type="character" w:customStyle="1" w:styleId="SourceChar">
    <w:name w:val="Source Char"/>
    <w:basedOn w:val="TabletextChar"/>
    <w:link w:val="Source"/>
    <w:rsid w:val="00930B4A"/>
    <w:rPr>
      <w:rFonts w:ascii="Arial" w:hAnsi="Arial"/>
      <w:sz w:val="16"/>
      <w:lang w:val="en-GB" w:eastAsia="en-US"/>
    </w:rPr>
  </w:style>
  <w:style w:type="paragraph" w:customStyle="1" w:styleId="BookTitle1">
    <w:name w:val="Book Title1"/>
    <w:next w:val="BodyText1"/>
    <w:link w:val="BooktitleChar"/>
    <w:qFormat/>
    <w:rsid w:val="004447E1"/>
    <w:pPr>
      <w:spacing w:before="1000" w:after="600"/>
      <w:ind w:left="567" w:right="2268"/>
      <w:contextualSpacing/>
    </w:pPr>
    <w:rPr>
      <w:rFonts w:ascii="Arial" w:hAnsi="Arial"/>
      <w:bCs/>
      <w:caps/>
      <w:sz w:val="48"/>
      <w:szCs w:val="48"/>
      <w:lang w:val="en-GB" w:eastAsia="en-US"/>
    </w:rPr>
  </w:style>
  <w:style w:type="paragraph" w:customStyle="1" w:styleId="Booksubtitle">
    <w:name w:val="Book subtitle"/>
    <w:next w:val="BodyText1"/>
    <w:link w:val="BooksubtitleChar"/>
    <w:qFormat/>
    <w:rsid w:val="004447E1"/>
    <w:pPr>
      <w:spacing w:after="720"/>
      <w:ind w:left="567" w:right="2268"/>
    </w:pPr>
    <w:rPr>
      <w:rFonts w:ascii="Arial" w:hAnsi="Arial"/>
      <w:bCs/>
      <w:caps/>
      <w:sz w:val="40"/>
      <w:szCs w:val="40"/>
      <w:lang w:val="en-GB" w:eastAsia="en-US"/>
    </w:rPr>
  </w:style>
  <w:style w:type="character" w:customStyle="1" w:styleId="BooktitleChar">
    <w:name w:val="Book title Char"/>
    <w:basedOn w:val="DefaultParagraphFont"/>
    <w:link w:val="BookTitle1"/>
    <w:rsid w:val="004447E1"/>
    <w:rPr>
      <w:rFonts w:ascii="Arial" w:hAnsi="Arial"/>
      <w:bCs/>
      <w:caps/>
      <w:sz w:val="48"/>
      <w:szCs w:val="48"/>
      <w:lang w:val="en-GB" w:eastAsia="en-US"/>
    </w:rPr>
  </w:style>
  <w:style w:type="character" w:customStyle="1" w:styleId="BooksubtitleChar">
    <w:name w:val="Book subtitle Char"/>
    <w:basedOn w:val="DefaultParagraphFont"/>
    <w:link w:val="Booksubtitle"/>
    <w:rsid w:val="004447E1"/>
    <w:rPr>
      <w:rFonts w:ascii="Arial" w:hAnsi="Arial"/>
      <w:bCs/>
      <w:caps/>
      <w:sz w:val="40"/>
      <w:szCs w:val="40"/>
      <w:lang w:val="en-GB" w:eastAsia="en-US"/>
    </w:rPr>
  </w:style>
  <w:style w:type="character" w:customStyle="1" w:styleId="Heading1Char">
    <w:name w:val="Heading 1 Char"/>
    <w:basedOn w:val="DefaultParagraphFont"/>
    <w:link w:val="Heading1"/>
    <w:rsid w:val="00584614"/>
    <w:rPr>
      <w:rFonts w:ascii="Arial" w:hAnsi="Arial" w:cs="Arial"/>
      <w:b/>
      <w:color w:val="464646"/>
      <w:kern w:val="30"/>
      <w:sz w:val="26"/>
      <w:szCs w:val="32"/>
      <w:lang w:val="en-GB" w:eastAsia="en-US"/>
    </w:rPr>
  </w:style>
  <w:style w:type="paragraph" w:customStyle="1" w:styleId="Year">
    <w:name w:val="Year"/>
    <w:next w:val="BodyText1"/>
    <w:link w:val="YearChar"/>
    <w:qFormat/>
    <w:rsid w:val="00DF57F4"/>
    <w:pPr>
      <w:tabs>
        <w:tab w:val="center" w:pos="4734"/>
        <w:tab w:val="right" w:pos="9469"/>
      </w:tabs>
      <w:spacing w:after="200"/>
    </w:pPr>
    <w:rPr>
      <w:rFonts w:ascii="Arial" w:hAnsi="Arial"/>
      <w:lang w:val="en-GB" w:eastAsia="en-GB"/>
    </w:rPr>
  </w:style>
  <w:style w:type="character" w:customStyle="1" w:styleId="YearChar">
    <w:name w:val="Year Char"/>
    <w:basedOn w:val="BodyTextChar0"/>
    <w:link w:val="Year"/>
    <w:rsid w:val="00DF57F4"/>
    <w:rPr>
      <w:rFonts w:ascii="Arial" w:hAnsi="Arial"/>
      <w:szCs w:val="24"/>
      <w:lang w:val="en-GB" w:eastAsia="en-GB"/>
    </w:rPr>
  </w:style>
  <w:style w:type="paragraph" w:customStyle="1" w:styleId="abstracttext">
    <w:name w:val="abstract text"/>
    <w:next w:val="BodyText1"/>
    <w:link w:val="abstracttextChar"/>
    <w:qFormat/>
    <w:rsid w:val="00EF66BA"/>
    <w:pPr>
      <w:spacing w:after="200"/>
      <w:ind w:left="284"/>
      <w:jc w:val="both"/>
    </w:pPr>
    <w:rPr>
      <w:rFonts w:ascii="Arial" w:eastAsiaTheme="minorEastAsia" w:hAnsi="Arial" w:cs="Arial"/>
      <w:lang w:val="en-GB" w:eastAsia="en-GB"/>
    </w:rPr>
  </w:style>
  <w:style w:type="paragraph" w:customStyle="1" w:styleId="Disclaimerboxaround">
    <w:name w:val="Disclaimer box around"/>
    <w:next w:val="BodyText1"/>
    <w:link w:val="DisclaimerboxaroundChar"/>
    <w:qFormat/>
    <w:rsid w:val="00A866AF"/>
    <w:pPr>
      <w:pBdr>
        <w:top w:val="single" w:sz="4" w:space="7" w:color="auto"/>
        <w:left w:val="single" w:sz="4" w:space="7" w:color="auto"/>
        <w:bottom w:val="single" w:sz="4" w:space="7" w:color="auto"/>
        <w:right w:val="single" w:sz="4" w:space="7" w:color="auto"/>
      </w:pBdr>
      <w:spacing w:after="200"/>
      <w:ind w:left="170" w:right="170"/>
      <w:jc w:val="both"/>
    </w:pPr>
    <w:rPr>
      <w:rFonts w:ascii="Arial" w:eastAsiaTheme="minorEastAsia" w:hAnsi="Arial" w:cs="Arial"/>
      <w:lang w:val="en-GB" w:eastAsia="en-GB"/>
    </w:rPr>
  </w:style>
  <w:style w:type="character" w:customStyle="1" w:styleId="abstracttextChar">
    <w:name w:val="abstract text Char"/>
    <w:basedOn w:val="DefaultParagraphFont"/>
    <w:link w:val="abstracttext"/>
    <w:rsid w:val="00EF66BA"/>
    <w:rPr>
      <w:rFonts w:ascii="Arial" w:eastAsiaTheme="minorEastAsia" w:hAnsi="Arial" w:cs="Arial"/>
      <w:lang w:val="en-GB" w:eastAsia="en-GB"/>
    </w:rPr>
  </w:style>
  <w:style w:type="character" w:customStyle="1" w:styleId="DisclaimerboxaroundChar">
    <w:name w:val="Disclaimer box around Char"/>
    <w:basedOn w:val="BodytextChar"/>
    <w:link w:val="Disclaimerboxaround"/>
    <w:rsid w:val="00A866AF"/>
    <w:rPr>
      <w:rFonts w:ascii="Arial" w:eastAsiaTheme="minorEastAsia" w:hAnsi="Arial" w:cs="Arial"/>
      <w:lang w:val="en-GB" w:eastAsia="en-GB"/>
    </w:rPr>
  </w:style>
  <w:style w:type="paragraph" w:customStyle="1" w:styleId="Abbreviations">
    <w:name w:val="Abbreviations"/>
    <w:next w:val="BodyText1"/>
    <w:link w:val="AbbreviationsChar"/>
    <w:qFormat/>
    <w:rsid w:val="00212ED8"/>
    <w:pPr>
      <w:tabs>
        <w:tab w:val="left" w:pos="1134"/>
      </w:tabs>
      <w:spacing w:after="60"/>
      <w:ind w:left="1134" w:hanging="1134"/>
    </w:pPr>
    <w:rPr>
      <w:rFonts w:ascii="Arial" w:eastAsia="Arial" w:hAnsi="Arial" w:cs="Arial"/>
      <w:lang w:val="en-GB" w:eastAsia="en-US"/>
    </w:rPr>
  </w:style>
  <w:style w:type="paragraph" w:styleId="BodyText">
    <w:name w:val="Body Text"/>
    <w:basedOn w:val="Normal"/>
    <w:link w:val="BodyTextChar0"/>
    <w:uiPriority w:val="99"/>
    <w:semiHidden/>
    <w:unhideWhenUsed/>
    <w:rsid w:val="009D7FB0"/>
  </w:style>
  <w:style w:type="character" w:customStyle="1" w:styleId="BodyTextChar0">
    <w:name w:val="Body Text Char"/>
    <w:basedOn w:val="DefaultParagraphFont"/>
    <w:link w:val="BodyText"/>
    <w:uiPriority w:val="99"/>
    <w:semiHidden/>
    <w:rsid w:val="009D7FB0"/>
    <w:rPr>
      <w:rFonts w:ascii="Arial" w:hAnsi="Arial"/>
      <w:szCs w:val="24"/>
      <w:lang w:val="en-GB" w:eastAsia="en-US"/>
    </w:rPr>
  </w:style>
  <w:style w:type="paragraph" w:customStyle="1" w:styleId="Prelimsheading">
    <w:name w:val="Prelims heading"/>
    <w:next w:val="BodyText1"/>
    <w:link w:val="PrelimsheadingChar"/>
    <w:qFormat/>
    <w:rsid w:val="00584614"/>
    <w:pPr>
      <w:keepNext/>
      <w:spacing w:after="400"/>
      <w:contextualSpacing/>
      <w:jc w:val="center"/>
    </w:pPr>
    <w:rPr>
      <w:rFonts w:ascii="Arial" w:eastAsiaTheme="minorEastAsia" w:hAnsi="Arial" w:cs="Arial"/>
      <w:b/>
      <w:kern w:val="30"/>
      <w:sz w:val="28"/>
      <w:szCs w:val="32"/>
      <w:lang w:val="en-GB" w:eastAsia="en-US"/>
    </w:rPr>
  </w:style>
  <w:style w:type="character" w:customStyle="1" w:styleId="AbbreviationsChar">
    <w:name w:val="Abbreviations Char"/>
    <w:basedOn w:val="BodytextChar"/>
    <w:link w:val="Abbreviations"/>
    <w:rsid w:val="00212ED8"/>
    <w:rPr>
      <w:rFonts w:ascii="Arial" w:eastAsia="Arial" w:hAnsi="Arial" w:cs="Arial"/>
      <w:lang w:val="en-GB" w:eastAsia="en-US"/>
    </w:rPr>
  </w:style>
  <w:style w:type="character" w:customStyle="1" w:styleId="PrelimsheadingChar">
    <w:name w:val="Prelims heading Char"/>
    <w:basedOn w:val="Heading1Char"/>
    <w:link w:val="Prelimsheading"/>
    <w:rsid w:val="00584614"/>
    <w:rPr>
      <w:rFonts w:ascii="Arial" w:eastAsiaTheme="minorEastAsia" w:hAnsi="Arial" w:cs="Arial"/>
      <w:b/>
      <w:color w:val="464646"/>
      <w:kern w:val="30"/>
      <w:sz w:val="28"/>
      <w:szCs w:val="32"/>
      <w:lang w:val="en-GB" w:eastAsia="en-US"/>
    </w:rPr>
  </w:style>
  <w:style w:type="paragraph" w:customStyle="1" w:styleId="Bullet3">
    <w:name w:val="Bullet 3"/>
    <w:next w:val="BodyText1"/>
    <w:link w:val="Bullet3Char"/>
    <w:qFormat/>
    <w:rsid w:val="003138FB"/>
    <w:pPr>
      <w:numPr>
        <w:ilvl w:val="2"/>
        <w:numId w:val="4"/>
      </w:numPr>
      <w:spacing w:after="200"/>
      <w:jc w:val="both"/>
    </w:pPr>
    <w:rPr>
      <w:rFonts w:ascii="Arial" w:hAnsi="Arial"/>
      <w:lang w:val="en-GB" w:eastAsia="en-US"/>
    </w:rPr>
  </w:style>
  <w:style w:type="paragraph" w:customStyle="1" w:styleId="ChapterNoandTitle">
    <w:name w:val="Chapter No. and Title"/>
    <w:next w:val="BodyText1"/>
    <w:link w:val="ChapterNoandTitleChar"/>
    <w:qFormat/>
    <w:rsid w:val="00D83BF7"/>
    <w:pPr>
      <w:keepNext/>
      <w:tabs>
        <w:tab w:val="left" w:pos="1701"/>
      </w:tabs>
      <w:spacing w:after="400"/>
      <w:ind w:left="1701" w:hanging="1701"/>
    </w:pPr>
    <w:rPr>
      <w:rFonts w:ascii="Arial" w:hAnsi="Arial"/>
      <w:b/>
      <w:sz w:val="30"/>
      <w:szCs w:val="24"/>
      <w:lang w:val="en-GB" w:eastAsia="en-US"/>
    </w:rPr>
  </w:style>
  <w:style w:type="paragraph" w:customStyle="1" w:styleId="abstractandcontentsheading">
    <w:name w:val="abstract and contents heading"/>
    <w:next w:val="BodyText1"/>
    <w:link w:val="abstractandcontentsheadingChar"/>
    <w:qFormat/>
    <w:rsid w:val="006D14A5"/>
    <w:pPr>
      <w:spacing w:after="400"/>
      <w:jc w:val="center"/>
    </w:pPr>
    <w:rPr>
      <w:rFonts w:ascii="Arial" w:eastAsia="Arial" w:hAnsi="Arial" w:cs="Arial"/>
      <w:b/>
      <w:kern w:val="30"/>
      <w:sz w:val="28"/>
      <w:szCs w:val="28"/>
      <w:lang w:val="en-GB" w:eastAsia="en-US"/>
    </w:rPr>
  </w:style>
  <w:style w:type="character" w:customStyle="1" w:styleId="ChapterNoandTitleChar">
    <w:name w:val="Chapter No. and Title Char"/>
    <w:basedOn w:val="DefaultParagraphFont"/>
    <w:link w:val="ChapterNoandTitle"/>
    <w:rsid w:val="00D83BF7"/>
    <w:rPr>
      <w:rFonts w:ascii="Arial" w:hAnsi="Arial"/>
      <w:b/>
      <w:sz w:val="30"/>
      <w:szCs w:val="24"/>
      <w:lang w:val="en-GB" w:eastAsia="en-US"/>
    </w:rPr>
  </w:style>
  <w:style w:type="character" w:customStyle="1" w:styleId="abstractandcontentsheadingChar">
    <w:name w:val="abstract and contents heading Char"/>
    <w:basedOn w:val="PrelimsheadingChar"/>
    <w:link w:val="abstractandcontentsheading"/>
    <w:rsid w:val="006D14A5"/>
    <w:rPr>
      <w:rFonts w:ascii="Arial" w:eastAsia="Arial" w:hAnsi="Arial" w:cs="Arial"/>
      <w:b/>
      <w:color w:val="464646"/>
      <w:kern w:val="30"/>
      <w:sz w:val="28"/>
      <w:szCs w:val="28"/>
      <w:lang w:val="en-GB" w:eastAsia="en-US"/>
    </w:rPr>
  </w:style>
  <w:style w:type="character" w:customStyle="1" w:styleId="Bullet3Char">
    <w:name w:val="Bullet 3 Char"/>
    <w:basedOn w:val="DefaultParagraphFont"/>
    <w:link w:val="Bullet3"/>
    <w:rsid w:val="003138FB"/>
    <w:rPr>
      <w:rFonts w:ascii="Arial" w:hAnsi="Arial"/>
      <w:lang w:val="en-GB" w:eastAsia="en-US"/>
    </w:rPr>
  </w:style>
  <w:style w:type="paragraph" w:styleId="NoSpacing">
    <w:name w:val="No Spacing"/>
    <w:next w:val="BodyText1"/>
    <w:uiPriority w:val="1"/>
    <w:semiHidden/>
    <w:rsid w:val="009F3445"/>
    <w:pPr>
      <w:jc w:val="both"/>
    </w:pPr>
    <w:rPr>
      <w:rFonts w:ascii="Arial" w:hAnsi="Arial"/>
      <w:szCs w:val="24"/>
      <w:lang w:val="en-GB" w:eastAsia="en-US"/>
    </w:rPr>
  </w:style>
  <w:style w:type="character" w:styleId="Emphasis">
    <w:name w:val="Emphasis"/>
    <w:basedOn w:val="DefaultParagraphFont"/>
    <w:uiPriority w:val="20"/>
    <w:semiHidden/>
    <w:rsid w:val="009F3445"/>
    <w:rPr>
      <w:rFonts w:ascii="Arial" w:hAnsi="Arial"/>
      <w:i/>
      <w:iCs/>
      <w:sz w:val="20"/>
      <w:lang w:val="en-GB"/>
    </w:rPr>
  </w:style>
  <w:style w:type="character" w:styleId="SubtleEmphasis">
    <w:name w:val="Subtle Emphasis"/>
    <w:basedOn w:val="DefaultParagraphFont"/>
    <w:uiPriority w:val="19"/>
    <w:semiHidden/>
    <w:rsid w:val="009F3445"/>
    <w:rPr>
      <w:rFonts w:ascii="Arial" w:hAnsi="Arial"/>
      <w:i/>
      <w:iCs/>
      <w:color w:val="BFBFBF" w:themeColor="text1" w:themeTint="7F"/>
      <w:sz w:val="20"/>
      <w:lang w:val="en-GB"/>
    </w:rPr>
  </w:style>
  <w:style w:type="character" w:customStyle="1" w:styleId="BoxbodytextChar">
    <w:name w:val="Box body text Char"/>
    <w:basedOn w:val="DefaultParagraphFont"/>
    <w:link w:val="Boxbodytext"/>
    <w:rsid w:val="00C66D9B"/>
    <w:rPr>
      <w:rFonts w:ascii="Arial" w:hAnsi="Arial"/>
      <w:sz w:val="18"/>
      <w:lang w:val="en-GB" w:eastAsia="en-US"/>
    </w:rPr>
  </w:style>
  <w:style w:type="paragraph" w:styleId="Caption">
    <w:name w:val="caption"/>
    <w:basedOn w:val="Normal"/>
    <w:next w:val="Normal"/>
    <w:uiPriority w:val="35"/>
    <w:unhideWhenUsed/>
    <w:qFormat/>
    <w:rsid w:val="00E9528E"/>
    <w:pPr>
      <w:spacing w:before="20" w:after="200"/>
    </w:pPr>
    <w:rPr>
      <w:bCs/>
      <w:sz w:val="16"/>
      <w:szCs w:val="18"/>
    </w:rPr>
  </w:style>
  <w:style w:type="paragraph" w:styleId="TableofFigures">
    <w:name w:val="table of figures"/>
    <w:basedOn w:val="Normal"/>
    <w:next w:val="Normal"/>
    <w:uiPriority w:val="99"/>
    <w:unhideWhenUsed/>
    <w:rsid w:val="009F3445"/>
    <w:pPr>
      <w:spacing w:after="0"/>
      <w:ind w:left="400" w:hanging="400"/>
      <w:jc w:val="left"/>
    </w:pPr>
    <w:rPr>
      <w:rFonts w:asciiTheme="minorHAnsi" w:hAnsiTheme="minorHAnsi"/>
      <w:b/>
      <w:bCs/>
      <w:szCs w:val="20"/>
    </w:rPr>
  </w:style>
  <w:style w:type="paragraph" w:customStyle="1" w:styleId="BoxNoandTitle">
    <w:name w:val="Box No. and Title"/>
    <w:basedOn w:val="TableNoandTitle"/>
    <w:next w:val="BodyText1"/>
    <w:link w:val="BoxNoandTitleChar"/>
    <w:qFormat/>
    <w:rsid w:val="004A404C"/>
    <w:pPr>
      <w:ind w:left="1247" w:right="113"/>
    </w:pPr>
  </w:style>
  <w:style w:type="paragraph" w:customStyle="1" w:styleId="FigureNoandTitle">
    <w:name w:val="Figure No. and Title"/>
    <w:basedOn w:val="TableNoandTitle"/>
    <w:next w:val="BodyText1"/>
    <w:link w:val="FigureNoandTitleChar"/>
    <w:qFormat/>
    <w:rsid w:val="003E2CF4"/>
  </w:style>
  <w:style w:type="character" w:customStyle="1" w:styleId="TableNoandTitleChar">
    <w:name w:val="Table No. and Title Char"/>
    <w:basedOn w:val="DefaultParagraphFont"/>
    <w:link w:val="TableNoandTitle"/>
    <w:rsid w:val="002A1F1F"/>
    <w:rPr>
      <w:rFonts w:ascii="Arial" w:hAnsi="Arial" w:cs="Arial"/>
      <w:b/>
      <w:bCs/>
      <w:kern w:val="36"/>
      <w:sz w:val="22"/>
      <w:szCs w:val="32"/>
      <w:lang w:val="en-GB" w:eastAsia="en-US"/>
    </w:rPr>
  </w:style>
  <w:style w:type="character" w:customStyle="1" w:styleId="BoxNoandTitleChar">
    <w:name w:val="Box No. and Title Char"/>
    <w:basedOn w:val="TableNoandTitleChar"/>
    <w:link w:val="BoxNoandTitle"/>
    <w:rsid w:val="004A404C"/>
    <w:rPr>
      <w:rFonts w:ascii="Arial" w:hAnsi="Arial" w:cs="Arial"/>
      <w:b/>
      <w:bCs/>
      <w:kern w:val="36"/>
      <w:sz w:val="22"/>
      <w:szCs w:val="32"/>
      <w:lang w:val="en-GB" w:eastAsia="en-US"/>
    </w:rPr>
  </w:style>
  <w:style w:type="character" w:customStyle="1" w:styleId="FigureNoandTitleChar">
    <w:name w:val="Figure No. and Title Char"/>
    <w:basedOn w:val="TableNoandTitleChar"/>
    <w:link w:val="FigureNoandTitle"/>
    <w:rsid w:val="003E2CF4"/>
    <w:rPr>
      <w:rFonts w:ascii="Arial" w:hAnsi="Arial" w:cs="Arial"/>
      <w:b/>
      <w:bCs/>
      <w:kern w:val="36"/>
      <w:sz w:val="22"/>
      <w:szCs w:val="32"/>
      <w:lang w:val="en-GB" w:eastAsia="en-US"/>
    </w:rPr>
  </w:style>
  <w:style w:type="paragraph" w:customStyle="1" w:styleId="Heading1A">
    <w:name w:val="Heading 1A"/>
    <w:basedOn w:val="Heading1"/>
    <w:next w:val="BodyText1"/>
    <w:link w:val="Heading1AChar"/>
    <w:qFormat/>
    <w:rsid w:val="00584614"/>
    <w:pPr>
      <w:numPr>
        <w:numId w:val="0"/>
      </w:numPr>
    </w:pPr>
  </w:style>
  <w:style w:type="paragraph" w:customStyle="1" w:styleId="Heading2A">
    <w:name w:val="Heading 2A"/>
    <w:next w:val="BodyText1"/>
    <w:link w:val="Heading2AChar"/>
    <w:qFormat/>
    <w:rsid w:val="00584614"/>
    <w:pPr>
      <w:keepNext/>
      <w:spacing w:before="300" w:after="160"/>
    </w:pPr>
    <w:rPr>
      <w:rFonts w:ascii="Arial" w:hAnsi="Arial" w:cs="Arial"/>
      <w:b/>
      <w:bCs/>
      <w:iCs/>
      <w:kern w:val="28"/>
      <w:sz w:val="24"/>
      <w:szCs w:val="28"/>
      <w:lang w:val="en-GB" w:eastAsia="en-US"/>
    </w:rPr>
  </w:style>
  <w:style w:type="character" w:customStyle="1" w:styleId="Heading1AChar">
    <w:name w:val="Heading 1A Char"/>
    <w:basedOn w:val="Heading1Char"/>
    <w:link w:val="Heading1A"/>
    <w:rsid w:val="00584614"/>
    <w:rPr>
      <w:rFonts w:ascii="Arial" w:hAnsi="Arial" w:cs="Arial"/>
      <w:b/>
      <w:color w:val="464646"/>
      <w:kern w:val="30"/>
      <w:sz w:val="26"/>
      <w:szCs w:val="32"/>
      <w:lang w:val="en-GB" w:eastAsia="en-US"/>
    </w:rPr>
  </w:style>
  <w:style w:type="paragraph" w:customStyle="1" w:styleId="Heading3A">
    <w:name w:val="Heading 3A"/>
    <w:next w:val="BodyText1"/>
    <w:link w:val="Heading3AChar"/>
    <w:qFormat/>
    <w:rsid w:val="00584614"/>
    <w:pPr>
      <w:keepNext/>
      <w:spacing w:before="240" w:after="160"/>
      <w:ind w:left="567"/>
    </w:pPr>
    <w:rPr>
      <w:rFonts w:ascii="Arial" w:hAnsi="Arial" w:cs="Arial"/>
      <w:b/>
      <w:iCs/>
      <w:color w:val="464646"/>
      <w:kern w:val="26"/>
      <w:sz w:val="22"/>
      <w:szCs w:val="26"/>
      <w:lang w:val="en-GB" w:eastAsia="en-US"/>
    </w:rPr>
  </w:style>
  <w:style w:type="character" w:customStyle="1" w:styleId="Heading2Char">
    <w:name w:val="Heading 2 Char"/>
    <w:basedOn w:val="DefaultParagraphFont"/>
    <w:link w:val="Heading2"/>
    <w:rsid w:val="00584614"/>
    <w:rPr>
      <w:rFonts w:ascii="Arial" w:hAnsi="Arial" w:cs="Arial"/>
      <w:b/>
      <w:bCs/>
      <w:iCs/>
      <w:kern w:val="28"/>
      <w:sz w:val="24"/>
      <w:szCs w:val="28"/>
      <w:lang w:val="en-GB" w:eastAsia="en-US"/>
    </w:rPr>
  </w:style>
  <w:style w:type="character" w:customStyle="1" w:styleId="Heading2AChar">
    <w:name w:val="Heading 2A Char"/>
    <w:basedOn w:val="Heading2Char"/>
    <w:link w:val="Heading2A"/>
    <w:rsid w:val="00584614"/>
    <w:rPr>
      <w:rFonts w:ascii="Arial" w:hAnsi="Arial" w:cs="Arial"/>
      <w:b/>
      <w:bCs/>
      <w:iCs/>
      <w:kern w:val="28"/>
      <w:sz w:val="24"/>
      <w:szCs w:val="28"/>
      <w:lang w:val="en-GB" w:eastAsia="en-US"/>
    </w:rPr>
  </w:style>
  <w:style w:type="character" w:customStyle="1" w:styleId="Heading3Char">
    <w:name w:val="Heading 3 Char"/>
    <w:basedOn w:val="DefaultParagraphFont"/>
    <w:link w:val="Heading3"/>
    <w:rsid w:val="00584614"/>
    <w:rPr>
      <w:rFonts w:ascii="Arial" w:hAnsi="Arial" w:cs="Arial"/>
      <w:b/>
      <w:iCs/>
      <w:color w:val="464646"/>
      <w:kern w:val="26"/>
      <w:sz w:val="22"/>
      <w:szCs w:val="26"/>
      <w:lang w:val="en-GB" w:eastAsia="en-US"/>
    </w:rPr>
  </w:style>
  <w:style w:type="character" w:customStyle="1" w:styleId="Heading3AChar">
    <w:name w:val="Heading 3A Char"/>
    <w:basedOn w:val="Heading3Char"/>
    <w:link w:val="Heading3A"/>
    <w:rsid w:val="00584614"/>
    <w:rPr>
      <w:rFonts w:ascii="Arial" w:hAnsi="Arial" w:cs="Arial"/>
      <w:b/>
      <w:iCs/>
      <w:color w:val="464646"/>
      <w:kern w:val="26"/>
      <w:sz w:val="22"/>
      <w:szCs w:val="26"/>
      <w:lang w:val="en-GB" w:eastAsia="en-US"/>
    </w:rPr>
  </w:style>
  <w:style w:type="paragraph" w:customStyle="1" w:styleId="Quoteauthor">
    <w:name w:val="Quote author"/>
    <w:link w:val="QuoteauthorChar"/>
    <w:qFormat/>
    <w:rsid w:val="00170E87"/>
    <w:pPr>
      <w:pBdr>
        <w:top w:val="single" w:sz="36" w:space="6" w:color="00B0F0"/>
        <w:bottom w:val="single" w:sz="36" w:space="4" w:color="00B0F0"/>
      </w:pBdr>
      <w:tabs>
        <w:tab w:val="left" w:pos="709"/>
      </w:tabs>
      <w:jc w:val="right"/>
    </w:pPr>
    <w:rPr>
      <w:rFonts w:ascii="Arial" w:hAnsi="Arial"/>
      <w:color w:val="00AEEF" w:themeColor="text2"/>
      <w:sz w:val="18"/>
      <w:szCs w:val="18"/>
      <w:lang w:val="en-GB" w:eastAsia="en-US"/>
    </w:rPr>
  </w:style>
  <w:style w:type="character" w:customStyle="1" w:styleId="QuoteauthorChar">
    <w:name w:val="Quote author Char"/>
    <w:basedOn w:val="DefaultParagraphFont"/>
    <w:link w:val="Quoteauthor"/>
    <w:rsid w:val="00170E87"/>
    <w:rPr>
      <w:rFonts w:ascii="Arial" w:hAnsi="Arial"/>
      <w:color w:val="00AEEF" w:themeColor="text2"/>
      <w:sz w:val="18"/>
      <w:szCs w:val="18"/>
      <w:lang w:val="en-GB" w:eastAsia="en-US"/>
    </w:rPr>
  </w:style>
  <w:style w:type="paragraph" w:customStyle="1" w:styleId="BodyText10">
    <w:name w:val="Body Text1"/>
    <w:qFormat/>
    <w:rsid w:val="00950731"/>
    <w:pPr>
      <w:spacing w:after="200"/>
      <w:jc w:val="both"/>
    </w:pPr>
    <w:rPr>
      <w:rFonts w:ascii="Arial" w:eastAsia="Arial" w:hAnsi="Arial" w:cs="Arial"/>
      <w:lang w:val="en-GB" w:eastAsia="en-US"/>
    </w:rPr>
  </w:style>
  <w:style w:type="paragraph" w:customStyle="1" w:styleId="Boxbullet">
    <w:name w:val="Box bullet"/>
    <w:basedOn w:val="BodyText10"/>
    <w:link w:val="BoxbulletChar"/>
    <w:qFormat/>
    <w:rsid w:val="00C66D9B"/>
    <w:pPr>
      <w:numPr>
        <w:numId w:val="23"/>
      </w:numPr>
      <w:spacing w:after="60"/>
      <w:ind w:right="113"/>
    </w:pPr>
    <w:rPr>
      <w:rFonts w:cs="Tahoma"/>
      <w:color w:val="181818"/>
      <w:sz w:val="18"/>
      <w:lang w:val="fr-CH" w:eastAsia="fr-CA"/>
    </w:rPr>
  </w:style>
  <w:style w:type="character" w:customStyle="1" w:styleId="BoxbulletChar">
    <w:name w:val="Box bullet Char"/>
    <w:basedOn w:val="BodytextChar"/>
    <w:link w:val="Boxbullet"/>
    <w:rsid w:val="00C66D9B"/>
    <w:rPr>
      <w:rFonts w:ascii="Arial" w:eastAsia="Arial" w:hAnsi="Arial" w:cs="Tahoma"/>
      <w:color w:val="181818"/>
      <w:sz w:val="18"/>
      <w:lang w:val="en-GB" w:eastAsia="fr-CA"/>
    </w:rPr>
  </w:style>
  <w:style w:type="character" w:styleId="CommentReference">
    <w:name w:val="annotation reference"/>
    <w:basedOn w:val="DefaultParagraphFont"/>
    <w:uiPriority w:val="99"/>
    <w:semiHidden/>
    <w:unhideWhenUsed/>
    <w:rsid w:val="00D820FE"/>
    <w:rPr>
      <w:sz w:val="16"/>
      <w:szCs w:val="16"/>
    </w:rPr>
  </w:style>
  <w:style w:type="paragraph" w:styleId="CommentText">
    <w:name w:val="annotation text"/>
    <w:basedOn w:val="Normal"/>
    <w:link w:val="CommentTextChar"/>
    <w:uiPriority w:val="99"/>
    <w:semiHidden/>
    <w:unhideWhenUsed/>
    <w:rsid w:val="00D820FE"/>
    <w:rPr>
      <w:szCs w:val="20"/>
    </w:rPr>
  </w:style>
  <w:style w:type="character" w:customStyle="1" w:styleId="CommentTextChar">
    <w:name w:val="Comment Text Char"/>
    <w:basedOn w:val="DefaultParagraphFont"/>
    <w:link w:val="CommentText"/>
    <w:uiPriority w:val="99"/>
    <w:semiHidden/>
    <w:rsid w:val="00D820FE"/>
    <w:rPr>
      <w:rFonts w:ascii="Arial" w:hAnsi="Arial"/>
      <w:lang w:val="en-GB" w:eastAsia="en-US"/>
    </w:rPr>
  </w:style>
  <w:style w:type="paragraph" w:styleId="CommentSubject">
    <w:name w:val="annotation subject"/>
    <w:basedOn w:val="CommentText"/>
    <w:next w:val="CommentText"/>
    <w:link w:val="CommentSubjectChar"/>
    <w:uiPriority w:val="99"/>
    <w:semiHidden/>
    <w:unhideWhenUsed/>
    <w:rsid w:val="00D820FE"/>
    <w:rPr>
      <w:b/>
      <w:bCs/>
    </w:rPr>
  </w:style>
  <w:style w:type="character" w:customStyle="1" w:styleId="CommentSubjectChar">
    <w:name w:val="Comment Subject Char"/>
    <w:basedOn w:val="CommentTextChar"/>
    <w:link w:val="CommentSubject"/>
    <w:uiPriority w:val="99"/>
    <w:semiHidden/>
    <w:rsid w:val="00D820FE"/>
    <w:rPr>
      <w:rFonts w:ascii="Arial" w:hAnsi="Arial"/>
      <w:b/>
      <w:bCs/>
      <w:lang w:val="en-GB" w:eastAsia="en-US"/>
    </w:rPr>
  </w:style>
  <w:style w:type="paragraph" w:styleId="Revision">
    <w:name w:val="Revision"/>
    <w:hidden/>
    <w:uiPriority w:val="99"/>
    <w:semiHidden/>
    <w:rsid w:val="005F4B9C"/>
    <w:rPr>
      <w:rFonts w:ascii="Arial" w:hAnsi="Arial"/>
      <w:szCs w:val="24"/>
      <w:lang w:val="en-GB" w:eastAsia="en-US"/>
    </w:rPr>
  </w:style>
  <w:style w:type="character" w:customStyle="1" w:styleId="FooterChar">
    <w:name w:val="Footer Char"/>
    <w:basedOn w:val="DefaultParagraphFont"/>
    <w:link w:val="Footer"/>
    <w:uiPriority w:val="99"/>
    <w:rsid w:val="006439E1"/>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888935">
      <w:bodyDiv w:val="1"/>
      <w:marLeft w:val="54"/>
      <w:marRight w:val="54"/>
      <w:marTop w:val="54"/>
      <w:marBottom w:val="14"/>
      <w:divBdr>
        <w:top w:val="none" w:sz="0" w:space="0" w:color="auto"/>
        <w:left w:val="none" w:sz="0" w:space="0" w:color="auto"/>
        <w:bottom w:val="none" w:sz="0" w:space="0" w:color="auto"/>
        <w:right w:val="none" w:sz="0" w:space="0" w:color="auto"/>
      </w:divBdr>
      <w:divsChild>
        <w:div w:id="2107386947">
          <w:marLeft w:val="0"/>
          <w:marRight w:val="0"/>
          <w:marTop w:val="0"/>
          <w:marBottom w:val="0"/>
          <w:divBdr>
            <w:top w:val="none" w:sz="0" w:space="0" w:color="auto"/>
            <w:left w:val="none" w:sz="0" w:space="0" w:color="auto"/>
            <w:bottom w:val="none" w:sz="0" w:space="0" w:color="auto"/>
            <w:right w:val="none" w:sz="0" w:space="0" w:color="auto"/>
          </w:divBdr>
        </w:div>
        <w:div w:id="436214075">
          <w:marLeft w:val="0"/>
          <w:marRight w:val="0"/>
          <w:marTop w:val="0"/>
          <w:marBottom w:val="0"/>
          <w:divBdr>
            <w:top w:val="none" w:sz="0" w:space="0" w:color="auto"/>
            <w:left w:val="none" w:sz="0" w:space="0" w:color="auto"/>
            <w:bottom w:val="none" w:sz="0" w:space="0" w:color="auto"/>
            <w:right w:val="none" w:sz="0" w:space="0" w:color="auto"/>
          </w:divBdr>
        </w:div>
        <w:div w:id="1885633551">
          <w:marLeft w:val="0"/>
          <w:marRight w:val="0"/>
          <w:marTop w:val="0"/>
          <w:marBottom w:val="0"/>
          <w:divBdr>
            <w:top w:val="none" w:sz="0" w:space="0" w:color="auto"/>
            <w:left w:val="none" w:sz="0" w:space="0" w:color="auto"/>
            <w:bottom w:val="none" w:sz="0" w:space="0" w:color="auto"/>
            <w:right w:val="none" w:sz="0" w:space="0" w:color="auto"/>
          </w:divBdr>
        </w:div>
        <w:div w:id="104425577">
          <w:marLeft w:val="0"/>
          <w:marRight w:val="0"/>
          <w:marTop w:val="0"/>
          <w:marBottom w:val="0"/>
          <w:divBdr>
            <w:top w:val="none" w:sz="0" w:space="0" w:color="auto"/>
            <w:left w:val="none" w:sz="0" w:space="0" w:color="auto"/>
            <w:bottom w:val="none" w:sz="0" w:space="0" w:color="auto"/>
            <w:right w:val="none" w:sz="0" w:space="0" w:color="auto"/>
          </w:divBdr>
        </w:div>
        <w:div w:id="443579315">
          <w:marLeft w:val="0"/>
          <w:marRight w:val="0"/>
          <w:marTop w:val="0"/>
          <w:marBottom w:val="0"/>
          <w:divBdr>
            <w:top w:val="none" w:sz="0" w:space="0" w:color="auto"/>
            <w:left w:val="none" w:sz="0" w:space="0" w:color="auto"/>
            <w:bottom w:val="none" w:sz="0" w:space="0" w:color="auto"/>
            <w:right w:val="none" w:sz="0" w:space="0" w:color="auto"/>
          </w:divBdr>
        </w:div>
      </w:divsChild>
    </w:div>
    <w:div w:id="806553796">
      <w:bodyDiv w:val="1"/>
      <w:marLeft w:val="0"/>
      <w:marRight w:val="0"/>
      <w:marTop w:val="0"/>
      <w:marBottom w:val="0"/>
      <w:divBdr>
        <w:top w:val="none" w:sz="0" w:space="0" w:color="auto"/>
        <w:left w:val="none" w:sz="0" w:space="0" w:color="auto"/>
        <w:bottom w:val="none" w:sz="0" w:space="0" w:color="auto"/>
        <w:right w:val="none" w:sz="0" w:space="0" w:color="auto"/>
      </w:divBdr>
    </w:div>
    <w:div w:id="1031803171">
      <w:bodyDiv w:val="1"/>
      <w:marLeft w:val="0"/>
      <w:marRight w:val="0"/>
      <w:marTop w:val="0"/>
      <w:marBottom w:val="0"/>
      <w:divBdr>
        <w:top w:val="none" w:sz="0" w:space="0" w:color="auto"/>
        <w:left w:val="none" w:sz="0" w:space="0" w:color="auto"/>
        <w:bottom w:val="none" w:sz="0" w:space="0" w:color="auto"/>
        <w:right w:val="none" w:sz="0" w:space="0" w:color="auto"/>
      </w:divBdr>
    </w:div>
    <w:div w:id="1038819740">
      <w:bodyDiv w:val="1"/>
      <w:marLeft w:val="0"/>
      <w:marRight w:val="0"/>
      <w:marTop w:val="0"/>
      <w:marBottom w:val="0"/>
      <w:divBdr>
        <w:top w:val="none" w:sz="0" w:space="0" w:color="auto"/>
        <w:left w:val="none" w:sz="0" w:space="0" w:color="auto"/>
        <w:bottom w:val="none" w:sz="0" w:space="0" w:color="auto"/>
        <w:right w:val="none" w:sz="0" w:space="0" w:color="auto"/>
      </w:divBdr>
    </w:div>
    <w:div w:id="1409616094">
      <w:bodyDiv w:val="1"/>
      <w:marLeft w:val="0"/>
      <w:marRight w:val="0"/>
      <w:marTop w:val="0"/>
      <w:marBottom w:val="0"/>
      <w:divBdr>
        <w:top w:val="none" w:sz="0" w:space="0" w:color="auto"/>
        <w:left w:val="none" w:sz="0" w:space="0" w:color="auto"/>
        <w:bottom w:val="none" w:sz="0" w:space="0" w:color="auto"/>
        <w:right w:val="none" w:sz="0" w:space="0" w:color="auto"/>
      </w:divBdr>
    </w:div>
    <w:div w:id="1512910474">
      <w:bodyDiv w:val="1"/>
      <w:marLeft w:val="0"/>
      <w:marRight w:val="0"/>
      <w:marTop w:val="0"/>
      <w:marBottom w:val="0"/>
      <w:divBdr>
        <w:top w:val="none" w:sz="0" w:space="0" w:color="auto"/>
        <w:left w:val="none" w:sz="0" w:space="0" w:color="auto"/>
        <w:bottom w:val="none" w:sz="0" w:space="0" w:color="auto"/>
        <w:right w:val="none" w:sz="0" w:space="0" w:color="auto"/>
      </w:divBdr>
    </w:div>
    <w:div w:id="1625305131">
      <w:bodyDiv w:val="1"/>
      <w:marLeft w:val="0"/>
      <w:marRight w:val="0"/>
      <w:marTop w:val="0"/>
      <w:marBottom w:val="0"/>
      <w:divBdr>
        <w:top w:val="none" w:sz="0" w:space="0" w:color="auto"/>
        <w:left w:val="none" w:sz="0" w:space="0" w:color="auto"/>
        <w:bottom w:val="none" w:sz="0" w:space="0" w:color="auto"/>
        <w:right w:val="none" w:sz="0" w:space="0" w:color="auto"/>
      </w:divBdr>
    </w:div>
    <w:div w:id="1808621638">
      <w:bodyDiv w:val="1"/>
      <w:marLeft w:val="0"/>
      <w:marRight w:val="0"/>
      <w:marTop w:val="0"/>
      <w:marBottom w:val="0"/>
      <w:divBdr>
        <w:top w:val="none" w:sz="0" w:space="0" w:color="auto"/>
        <w:left w:val="none" w:sz="0" w:space="0" w:color="auto"/>
        <w:bottom w:val="none" w:sz="0" w:space="0" w:color="auto"/>
        <w:right w:val="none" w:sz="0" w:space="0" w:color="auto"/>
      </w:divBdr>
    </w:div>
    <w:div w:id="2040734335">
      <w:bodyDiv w:val="1"/>
      <w:marLeft w:val="0"/>
      <w:marRight w:val="0"/>
      <w:marTop w:val="0"/>
      <w:marBottom w:val="0"/>
      <w:divBdr>
        <w:top w:val="none" w:sz="0" w:space="0" w:color="auto"/>
        <w:left w:val="none" w:sz="0" w:space="0" w:color="auto"/>
        <w:bottom w:val="none" w:sz="0" w:space="0" w:color="auto"/>
        <w:right w:val="none" w:sz="0" w:space="0" w:color="auto"/>
      </w:divBdr>
    </w:div>
    <w:div w:id="211347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mailto:leila.baghdadi@tbs.rnu.t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ITCUTIL\Brand-2008\Templates\Publications\paper_template_EN.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laboratoire%20GC\ITC\Results\2_stat_Comm_Ext_matriceV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boratoire%20GC\ITC\Results\2_stat_Comm_Ext_matriceV4.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aboratoire%20GC\ITC\2_stat_Comm_Ext_matriceV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aboratoire%20GC\ITC\2_stat_Comm_Ext_matriceV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'Statistiques Contributions '!$AB$39</c:f>
              <c:strCache>
                <c:ptCount val="1"/>
                <c:pt idx="0">
                  <c:v>% of offshoring firms</c:v>
                </c:pt>
              </c:strCache>
            </c:strRef>
          </c:tx>
          <c:spPr>
            <a:solidFill>
              <a:srgbClr val="00B0F0"/>
            </a:solidFill>
          </c:spPr>
          <c:invertIfNegative val="0"/>
          <c:cat>
            <c:strRef>
              <c:f>'Statistiques Contributions '!$AA$40:$AA$48</c:f>
              <c:strCache>
                <c:ptCount val="9"/>
                <c:pt idx="0">
                  <c:v>Agriculture, fishing and hunting, forestry, aquaculture and fish</c:v>
                </c:pt>
                <c:pt idx="1">
                  <c:v>Extractive industries</c:v>
                </c:pt>
                <c:pt idx="2">
                  <c:v>Agriculture and food industry</c:v>
                </c:pt>
                <c:pt idx="3">
                  <c:v>Textile, clothing, leather and footwear</c:v>
                </c:pt>
                <c:pt idx="4">
                  <c:v>Chemical industry</c:v>
                </c:pt>
                <c:pt idx="5">
                  <c:v>Machinery and mechanical equipment,  electrical and electronic manufacturing</c:v>
                </c:pt>
                <c:pt idx="6">
                  <c:v>Other industries</c:v>
                </c:pt>
                <c:pt idx="7">
                  <c:v>Trade</c:v>
                </c:pt>
                <c:pt idx="8">
                  <c:v>Real Estate, rentals and business Services</c:v>
                </c:pt>
              </c:strCache>
            </c:strRef>
          </c:cat>
          <c:val>
            <c:numRef>
              <c:f>'Statistiques Contributions '!$AB$40:$AB$48</c:f>
              <c:numCache>
                <c:formatCode>#,##0</c:formatCode>
                <c:ptCount val="9"/>
                <c:pt idx="0">
                  <c:v>2.9924767788845461</c:v>
                </c:pt>
                <c:pt idx="1">
                  <c:v>4.0635657789710455</c:v>
                </c:pt>
                <c:pt idx="2">
                  <c:v>2.4200404284661743</c:v>
                </c:pt>
                <c:pt idx="3">
                  <c:v>23.698580269384784</c:v>
                </c:pt>
                <c:pt idx="4">
                  <c:v>6.2468063362289215</c:v>
                </c:pt>
                <c:pt idx="5">
                  <c:v>15.182549168749423</c:v>
                </c:pt>
                <c:pt idx="6">
                  <c:v>1.7335162955473158</c:v>
                </c:pt>
                <c:pt idx="7">
                  <c:v>0.66916322895085079</c:v>
                </c:pt>
                <c:pt idx="8">
                  <c:v>8.6866815233993524</c:v>
                </c:pt>
              </c:numCache>
            </c:numRef>
          </c:val>
        </c:ser>
        <c:ser>
          <c:idx val="1"/>
          <c:order val="1"/>
          <c:tx>
            <c:strRef>
              <c:f>'Statistiques Contributions '!$AC$39</c:f>
              <c:strCache>
                <c:ptCount val="1"/>
                <c:pt idx="0">
                  <c:v>% of importing and/or exporting firms</c:v>
                </c:pt>
              </c:strCache>
            </c:strRef>
          </c:tx>
          <c:spPr>
            <a:solidFill>
              <a:schemeClr val="bg1">
                <a:lumMod val="50000"/>
              </a:schemeClr>
            </a:solidFill>
          </c:spPr>
          <c:invertIfNegative val="0"/>
          <c:cat>
            <c:strRef>
              <c:f>'Statistiques Contributions '!$AA$40:$AA$48</c:f>
              <c:strCache>
                <c:ptCount val="9"/>
                <c:pt idx="0">
                  <c:v>Agriculture, fishing and hunting, forestry, aquaculture and fish</c:v>
                </c:pt>
                <c:pt idx="1">
                  <c:v>Extractive industries</c:v>
                </c:pt>
                <c:pt idx="2">
                  <c:v>Agriculture and food industry</c:v>
                </c:pt>
                <c:pt idx="3">
                  <c:v>Textile, clothing, leather and footwear</c:v>
                </c:pt>
                <c:pt idx="4">
                  <c:v>Chemical industry</c:v>
                </c:pt>
                <c:pt idx="5">
                  <c:v>Machinery and mechanical equipment,  electrical and electronic manufacturing</c:v>
                </c:pt>
                <c:pt idx="6">
                  <c:v>Other industries</c:v>
                </c:pt>
                <c:pt idx="7">
                  <c:v>Trade</c:v>
                </c:pt>
                <c:pt idx="8">
                  <c:v>Real Estate, rentals and business Services</c:v>
                </c:pt>
              </c:strCache>
            </c:strRef>
          </c:cat>
          <c:val>
            <c:numRef>
              <c:f>'Statistiques Contributions '!$AC$40:$AC$48</c:f>
              <c:numCache>
                <c:formatCode>0</c:formatCode>
                <c:ptCount val="9"/>
                <c:pt idx="0">
                  <c:v>9.4868238557558957</c:v>
                </c:pt>
                <c:pt idx="1">
                  <c:v>19.827298454393731</c:v>
                </c:pt>
                <c:pt idx="2">
                  <c:v>6.4327546143237724</c:v>
                </c:pt>
                <c:pt idx="3">
                  <c:v>27.07146799441033</c:v>
                </c:pt>
                <c:pt idx="4">
                  <c:v>24.359351047521717</c:v>
                </c:pt>
                <c:pt idx="5">
                  <c:v>23.79169835923069</c:v>
                </c:pt>
                <c:pt idx="6">
                  <c:v>5.2516744083503824</c:v>
                </c:pt>
                <c:pt idx="7">
                  <c:v>2.6068078022002745</c:v>
                </c:pt>
                <c:pt idx="8">
                  <c:v>8.296341738237718</c:v>
                </c:pt>
              </c:numCache>
            </c:numRef>
          </c:val>
        </c:ser>
        <c:dLbls>
          <c:showLegendKey val="0"/>
          <c:showVal val="0"/>
          <c:showCatName val="0"/>
          <c:showSerName val="0"/>
          <c:showPercent val="0"/>
          <c:showBubbleSize val="0"/>
        </c:dLbls>
        <c:gapWidth val="75"/>
        <c:overlap val="-25"/>
        <c:axId val="420103576"/>
        <c:axId val="420103968"/>
      </c:barChart>
      <c:catAx>
        <c:axId val="420103576"/>
        <c:scaling>
          <c:orientation val="minMax"/>
        </c:scaling>
        <c:delete val="0"/>
        <c:axPos val="l"/>
        <c:numFmt formatCode="General" sourceLinked="0"/>
        <c:majorTickMark val="none"/>
        <c:minorTickMark val="none"/>
        <c:tickLblPos val="nextTo"/>
        <c:txPr>
          <a:bodyPr/>
          <a:lstStyle/>
          <a:p>
            <a:pPr>
              <a:defRPr lang="en-GB"/>
            </a:pPr>
            <a:endParaRPr lang="en-US"/>
          </a:p>
        </c:txPr>
        <c:crossAx val="420103968"/>
        <c:crosses val="autoZero"/>
        <c:auto val="1"/>
        <c:lblAlgn val="ctr"/>
        <c:lblOffset val="100"/>
        <c:noMultiLvlLbl val="0"/>
      </c:catAx>
      <c:valAx>
        <c:axId val="420103968"/>
        <c:scaling>
          <c:orientation val="minMax"/>
        </c:scaling>
        <c:delete val="0"/>
        <c:axPos val="b"/>
        <c:majorGridlines/>
        <c:numFmt formatCode="#,##0" sourceLinked="1"/>
        <c:majorTickMark val="none"/>
        <c:minorTickMark val="none"/>
        <c:tickLblPos val="nextTo"/>
        <c:spPr>
          <a:ln w="9525">
            <a:noFill/>
          </a:ln>
        </c:spPr>
        <c:txPr>
          <a:bodyPr/>
          <a:lstStyle/>
          <a:p>
            <a:pPr>
              <a:defRPr lang="en-GB"/>
            </a:pPr>
            <a:endParaRPr lang="en-US"/>
          </a:p>
        </c:txPr>
        <c:crossAx val="420103576"/>
        <c:crosses val="autoZero"/>
        <c:crossBetween val="between"/>
      </c:valAx>
    </c:plotArea>
    <c:legend>
      <c:legendPos val="b"/>
      <c:overlay val="0"/>
      <c:txPr>
        <a:bodyPr/>
        <a:lstStyle/>
        <a:p>
          <a:pPr>
            <a:defRPr lang="en-GB"/>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'Statistiques Contributions '!$AB$60</c:f>
              <c:strCache>
                <c:ptCount val="1"/>
                <c:pt idx="0">
                  <c:v>% of employees employed by offshoring firms</c:v>
                </c:pt>
              </c:strCache>
            </c:strRef>
          </c:tx>
          <c:spPr>
            <a:solidFill>
              <a:schemeClr val="bg1">
                <a:lumMod val="50000"/>
              </a:schemeClr>
            </a:solidFill>
          </c:spPr>
          <c:invertIfNegative val="0"/>
          <c:cat>
            <c:strRef>
              <c:f>'Statistiques Contributions '!$AA$61:$AA$69</c:f>
              <c:strCache>
                <c:ptCount val="9"/>
                <c:pt idx="0">
                  <c:v>Agriculture, fishing and hunting, forestry, aquaculture and fish</c:v>
                </c:pt>
                <c:pt idx="1">
                  <c:v>Extractive industries</c:v>
                </c:pt>
                <c:pt idx="2">
                  <c:v>Agriculture and food industry</c:v>
                </c:pt>
                <c:pt idx="3">
                  <c:v>Textile, clothing, leather and footwear</c:v>
                </c:pt>
                <c:pt idx="4">
                  <c:v>Chemical industry</c:v>
                </c:pt>
                <c:pt idx="5">
                  <c:v>Machinery and mechanical equipment,  electrical and electronic manufacturing</c:v>
                </c:pt>
                <c:pt idx="6">
                  <c:v>Other industries</c:v>
                </c:pt>
                <c:pt idx="7">
                  <c:v>Trade</c:v>
                </c:pt>
                <c:pt idx="8">
                  <c:v>Real Estate, rentals and business Services</c:v>
                </c:pt>
              </c:strCache>
            </c:strRef>
          </c:cat>
          <c:val>
            <c:numRef>
              <c:f>'Statistiques Contributions '!$AB$61:$AB$69</c:f>
              <c:numCache>
                <c:formatCode>#,##0</c:formatCode>
                <c:ptCount val="9"/>
                <c:pt idx="0">
                  <c:v>5.2534808555358286</c:v>
                </c:pt>
                <c:pt idx="1">
                  <c:v>1.884569831998353</c:v>
                </c:pt>
                <c:pt idx="2">
                  <c:v>5.8183899898645794</c:v>
                </c:pt>
                <c:pt idx="3">
                  <c:v>84.562424209118944</c:v>
                </c:pt>
                <c:pt idx="4">
                  <c:v>10.526356026145796</c:v>
                </c:pt>
                <c:pt idx="5">
                  <c:v>75.75829599378315</c:v>
                </c:pt>
                <c:pt idx="6">
                  <c:v>8.9522967293444768</c:v>
                </c:pt>
                <c:pt idx="7">
                  <c:v>4.6639010323314345</c:v>
                </c:pt>
                <c:pt idx="8">
                  <c:v>16.033891184186544</c:v>
                </c:pt>
              </c:numCache>
            </c:numRef>
          </c:val>
        </c:ser>
        <c:ser>
          <c:idx val="1"/>
          <c:order val="1"/>
          <c:tx>
            <c:strRef>
              <c:f>'Statistiques Contributions '!$AC$60</c:f>
              <c:strCache>
                <c:ptCount val="1"/>
                <c:pt idx="0">
                  <c:v>% of employees employed by % importing and/or exporting firms</c:v>
                </c:pt>
              </c:strCache>
            </c:strRef>
          </c:tx>
          <c:spPr>
            <a:solidFill>
              <a:srgbClr val="00B0F0"/>
            </a:solidFill>
          </c:spPr>
          <c:invertIfNegative val="0"/>
          <c:cat>
            <c:strRef>
              <c:f>'Statistiques Contributions '!$AA$61:$AA$69</c:f>
              <c:strCache>
                <c:ptCount val="9"/>
                <c:pt idx="0">
                  <c:v>Agriculture, fishing and hunting, forestry, aquaculture and fish</c:v>
                </c:pt>
                <c:pt idx="1">
                  <c:v>Extractive industries</c:v>
                </c:pt>
                <c:pt idx="2">
                  <c:v>Agriculture and food industry</c:v>
                </c:pt>
                <c:pt idx="3">
                  <c:v>Textile, clothing, leather and footwear</c:v>
                </c:pt>
                <c:pt idx="4">
                  <c:v>Chemical industry</c:v>
                </c:pt>
                <c:pt idx="5">
                  <c:v>Machinery and mechanical equipment,  electrical and electronic manufacturing</c:v>
                </c:pt>
                <c:pt idx="6">
                  <c:v>Other industries</c:v>
                </c:pt>
                <c:pt idx="7">
                  <c:v>Trade</c:v>
                </c:pt>
                <c:pt idx="8">
                  <c:v>Real Estate, rentals and business Services</c:v>
                </c:pt>
              </c:strCache>
            </c:strRef>
          </c:cat>
          <c:val>
            <c:numRef>
              <c:f>'Statistiques Contributions '!$AC$61:$AC$69</c:f>
              <c:numCache>
                <c:formatCode>#,##0</c:formatCode>
                <c:ptCount val="9"/>
                <c:pt idx="0">
                  <c:v>40.771184310138381</c:v>
                </c:pt>
                <c:pt idx="1">
                  <c:v>73.988088276882394</c:v>
                </c:pt>
                <c:pt idx="2">
                  <c:v>58.948883195174872</c:v>
                </c:pt>
                <c:pt idx="3">
                  <c:v>95.698868082650677</c:v>
                </c:pt>
                <c:pt idx="4">
                  <c:v>89.607956882382183</c:v>
                </c:pt>
                <c:pt idx="5">
                  <c:v>89.825831583472166</c:v>
                </c:pt>
                <c:pt idx="6">
                  <c:v>62.196997412410205</c:v>
                </c:pt>
                <c:pt idx="7">
                  <c:v>45.552891365792938</c:v>
                </c:pt>
                <c:pt idx="8">
                  <c:v>22.847627328632939</c:v>
                </c:pt>
              </c:numCache>
            </c:numRef>
          </c:val>
        </c:ser>
        <c:dLbls>
          <c:showLegendKey val="0"/>
          <c:showVal val="0"/>
          <c:showCatName val="0"/>
          <c:showSerName val="0"/>
          <c:showPercent val="0"/>
          <c:showBubbleSize val="0"/>
        </c:dLbls>
        <c:gapWidth val="75"/>
        <c:overlap val="-25"/>
        <c:axId val="420104752"/>
        <c:axId val="420105144"/>
      </c:barChart>
      <c:catAx>
        <c:axId val="420104752"/>
        <c:scaling>
          <c:orientation val="minMax"/>
        </c:scaling>
        <c:delete val="0"/>
        <c:axPos val="l"/>
        <c:numFmt formatCode="General" sourceLinked="1"/>
        <c:majorTickMark val="none"/>
        <c:minorTickMark val="none"/>
        <c:tickLblPos val="nextTo"/>
        <c:txPr>
          <a:bodyPr/>
          <a:lstStyle/>
          <a:p>
            <a:pPr>
              <a:defRPr lang="en-GB"/>
            </a:pPr>
            <a:endParaRPr lang="en-US"/>
          </a:p>
        </c:txPr>
        <c:crossAx val="420105144"/>
        <c:crosses val="autoZero"/>
        <c:auto val="1"/>
        <c:lblAlgn val="ctr"/>
        <c:lblOffset val="100"/>
        <c:noMultiLvlLbl val="0"/>
      </c:catAx>
      <c:valAx>
        <c:axId val="420105144"/>
        <c:scaling>
          <c:orientation val="minMax"/>
        </c:scaling>
        <c:delete val="0"/>
        <c:axPos val="b"/>
        <c:majorGridlines/>
        <c:numFmt formatCode="#,##0" sourceLinked="1"/>
        <c:majorTickMark val="none"/>
        <c:minorTickMark val="none"/>
        <c:tickLblPos val="nextTo"/>
        <c:spPr>
          <a:ln w="9525">
            <a:noFill/>
          </a:ln>
        </c:spPr>
        <c:txPr>
          <a:bodyPr/>
          <a:lstStyle/>
          <a:p>
            <a:pPr>
              <a:defRPr lang="en-GB"/>
            </a:pPr>
            <a:endParaRPr lang="en-US"/>
          </a:p>
        </c:txPr>
        <c:crossAx val="420104752"/>
        <c:crosses val="autoZero"/>
        <c:crossBetween val="between"/>
      </c:valAx>
    </c:plotArea>
    <c:legend>
      <c:legendPos val="b"/>
      <c:overlay val="0"/>
      <c:txPr>
        <a:bodyPr/>
        <a:lstStyle/>
        <a:p>
          <a:pPr>
            <a:defRPr lang="en-GB"/>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GB"/>
            </a:pPr>
            <a:endParaRPr lang="fr-FR" sz="1400">
              <a:latin typeface="+mn-lt"/>
            </a:endParaRPr>
          </a:p>
          <a:p>
            <a:pPr>
              <a:defRPr lang="en-GB"/>
            </a:pPr>
            <a:endParaRPr lang="fr-FR"/>
          </a:p>
        </c:rich>
      </c:tx>
      <c:overlay val="0"/>
    </c:title>
    <c:autoTitleDeleted val="0"/>
    <c:view3D>
      <c:rotX val="15"/>
      <c:rotY val="20"/>
      <c:depthPercent val="100"/>
      <c:rAngAx val="1"/>
    </c:view3D>
    <c:floor>
      <c:thickness val="0"/>
      <c:spPr>
        <a:noFill/>
        <a:ln w="9525">
          <a:noFill/>
        </a:ln>
      </c:spPr>
    </c:floor>
    <c:sideWall>
      <c:thickness val="0"/>
    </c:sideWall>
    <c:backWall>
      <c:thickness val="0"/>
    </c:backWall>
    <c:plotArea>
      <c:layout/>
      <c:bar3DChart>
        <c:barDir val="col"/>
        <c:grouping val="clustered"/>
        <c:varyColors val="0"/>
        <c:ser>
          <c:idx val="0"/>
          <c:order val="0"/>
          <c:tx>
            <c:strRef>
              <c:f>'short term Transition matrices'!$N$13</c:f>
              <c:strCache>
                <c:ptCount val="1"/>
                <c:pt idx="0">
                  <c:v>Micro </c:v>
                </c:pt>
              </c:strCache>
            </c:strRef>
          </c:tx>
          <c:invertIfNegative val="0"/>
          <c:cat>
            <c:strRef>
              <c:f>'short term Transition matrices'!$M$14:$M$18</c:f>
              <c:strCache>
                <c:ptCount val="5"/>
                <c:pt idx="0">
                  <c:v>all</c:v>
                </c:pt>
                <c:pt idx="1">
                  <c:v>onshore</c:v>
                </c:pt>
                <c:pt idx="2">
                  <c:v>offshore</c:v>
                </c:pt>
                <c:pt idx="3">
                  <c:v>exporter</c:v>
                </c:pt>
                <c:pt idx="4">
                  <c:v>exporter and/or importer</c:v>
                </c:pt>
              </c:strCache>
            </c:strRef>
          </c:cat>
          <c:val>
            <c:numRef>
              <c:f>'short term Transition matrices'!$N$14:$N$18</c:f>
              <c:numCache>
                <c:formatCode>0.00</c:formatCode>
                <c:ptCount val="5"/>
                <c:pt idx="0">
                  <c:v>0.47279246703346839</c:v>
                </c:pt>
                <c:pt idx="1">
                  <c:v>0.40750434835061666</c:v>
                </c:pt>
                <c:pt idx="2">
                  <c:v>4.9943295195165005</c:v>
                </c:pt>
                <c:pt idx="3">
                  <c:v>5.5421568747473753</c:v>
                </c:pt>
                <c:pt idx="4">
                  <c:v>6.1716667474434184</c:v>
                </c:pt>
              </c:numCache>
            </c:numRef>
          </c:val>
        </c:ser>
        <c:ser>
          <c:idx val="1"/>
          <c:order val="1"/>
          <c:tx>
            <c:strRef>
              <c:f>'short term Transition matrices'!$O$13</c:f>
              <c:strCache>
                <c:ptCount val="1"/>
                <c:pt idx="0">
                  <c:v>Small</c:v>
                </c:pt>
              </c:strCache>
            </c:strRef>
          </c:tx>
          <c:invertIfNegative val="0"/>
          <c:cat>
            <c:strRef>
              <c:f>'short term Transition matrices'!$M$14:$M$18</c:f>
              <c:strCache>
                <c:ptCount val="5"/>
                <c:pt idx="0">
                  <c:v>all</c:v>
                </c:pt>
                <c:pt idx="1">
                  <c:v>onshore</c:v>
                </c:pt>
                <c:pt idx="2">
                  <c:v>offshore</c:v>
                </c:pt>
                <c:pt idx="3">
                  <c:v>exporter</c:v>
                </c:pt>
                <c:pt idx="4">
                  <c:v>exporter and/or importer</c:v>
                </c:pt>
              </c:strCache>
            </c:strRef>
          </c:cat>
          <c:val>
            <c:numRef>
              <c:f>'short term Transition matrices'!$O$14:$O$18</c:f>
              <c:numCache>
                <c:formatCode>0.00</c:formatCode>
                <c:ptCount val="5"/>
                <c:pt idx="0">
                  <c:v>2.6228087005336573</c:v>
                </c:pt>
                <c:pt idx="1">
                  <c:v>1.8040908656450123</c:v>
                </c:pt>
                <c:pt idx="2">
                  <c:v>9.3945582712958693</c:v>
                </c:pt>
                <c:pt idx="3">
                  <c:v>7.1898339092631813</c:v>
                </c:pt>
                <c:pt idx="4">
                  <c:v>5.1564337802869895</c:v>
                </c:pt>
              </c:numCache>
            </c:numRef>
          </c:val>
        </c:ser>
        <c:ser>
          <c:idx val="2"/>
          <c:order val="2"/>
          <c:tx>
            <c:strRef>
              <c:f>'short term Transition matrices'!$P$13</c:f>
              <c:strCache>
                <c:ptCount val="1"/>
                <c:pt idx="0">
                  <c:v>Medium</c:v>
                </c:pt>
              </c:strCache>
            </c:strRef>
          </c:tx>
          <c:invertIfNegative val="0"/>
          <c:cat>
            <c:strRef>
              <c:f>'short term Transition matrices'!$M$14:$M$18</c:f>
              <c:strCache>
                <c:ptCount val="5"/>
                <c:pt idx="0">
                  <c:v>all</c:v>
                </c:pt>
                <c:pt idx="1">
                  <c:v>onshore</c:v>
                </c:pt>
                <c:pt idx="2">
                  <c:v>offshore</c:v>
                </c:pt>
                <c:pt idx="3">
                  <c:v>exporter</c:v>
                </c:pt>
                <c:pt idx="4">
                  <c:v>exporter and/or importer</c:v>
                </c:pt>
              </c:strCache>
            </c:strRef>
          </c:cat>
          <c:val>
            <c:numRef>
              <c:f>'short term Transition matrices'!$P$14:$P$18</c:f>
              <c:numCache>
                <c:formatCode>0.00</c:formatCode>
                <c:ptCount val="5"/>
                <c:pt idx="0">
                  <c:v>4.3531118867406455</c:v>
                </c:pt>
                <c:pt idx="1">
                  <c:v>4.0194126431060226</c:v>
                </c:pt>
                <c:pt idx="2">
                  <c:v>4.9220324599554255</c:v>
                </c:pt>
                <c:pt idx="3">
                  <c:v>4.2752867570385815</c:v>
                </c:pt>
                <c:pt idx="4">
                  <c:v>4.2819181060514557</c:v>
                </c:pt>
              </c:numCache>
            </c:numRef>
          </c:val>
        </c:ser>
        <c:dLbls>
          <c:showLegendKey val="0"/>
          <c:showVal val="0"/>
          <c:showCatName val="0"/>
          <c:showSerName val="0"/>
          <c:showPercent val="0"/>
          <c:showBubbleSize val="0"/>
        </c:dLbls>
        <c:gapWidth val="75"/>
        <c:shape val="cone"/>
        <c:axId val="420105928"/>
        <c:axId val="420106320"/>
        <c:axId val="0"/>
      </c:bar3DChart>
      <c:catAx>
        <c:axId val="420105928"/>
        <c:scaling>
          <c:orientation val="minMax"/>
        </c:scaling>
        <c:delete val="0"/>
        <c:axPos val="b"/>
        <c:numFmt formatCode="General" sourceLinked="1"/>
        <c:majorTickMark val="none"/>
        <c:minorTickMark val="none"/>
        <c:tickLblPos val="nextTo"/>
        <c:txPr>
          <a:bodyPr/>
          <a:lstStyle/>
          <a:p>
            <a:pPr>
              <a:defRPr lang="en-GB"/>
            </a:pPr>
            <a:endParaRPr lang="en-US"/>
          </a:p>
        </c:txPr>
        <c:crossAx val="420106320"/>
        <c:crosses val="autoZero"/>
        <c:auto val="1"/>
        <c:lblAlgn val="ctr"/>
        <c:lblOffset val="100"/>
        <c:noMultiLvlLbl val="0"/>
      </c:catAx>
      <c:valAx>
        <c:axId val="420106320"/>
        <c:scaling>
          <c:orientation val="minMax"/>
        </c:scaling>
        <c:delete val="0"/>
        <c:axPos val="l"/>
        <c:numFmt formatCode="0.00" sourceLinked="1"/>
        <c:majorTickMark val="none"/>
        <c:minorTickMark val="none"/>
        <c:tickLblPos val="nextTo"/>
        <c:spPr>
          <a:ln w="9525">
            <a:noFill/>
          </a:ln>
        </c:spPr>
        <c:txPr>
          <a:bodyPr/>
          <a:lstStyle/>
          <a:p>
            <a:pPr>
              <a:defRPr lang="en-GB"/>
            </a:pPr>
            <a:endParaRPr lang="en-US"/>
          </a:p>
        </c:txPr>
        <c:crossAx val="420105928"/>
        <c:crosses val="autoZero"/>
        <c:crossBetween val="between"/>
      </c:valAx>
      <c:spPr>
        <a:noFill/>
        <a:ln w="25400">
          <a:noFill/>
        </a:ln>
      </c:spPr>
    </c:plotArea>
    <c:legend>
      <c:legendPos val="b"/>
      <c:overlay val="0"/>
      <c:txPr>
        <a:bodyPr/>
        <a:lstStyle/>
        <a:p>
          <a:pPr>
            <a:defRPr lang="en-GB"/>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NJC!$B$8</c:f>
              <c:strCache>
                <c:ptCount val="1"/>
                <c:pt idx="0">
                  <c:v>OffShore</c:v>
                </c:pt>
              </c:strCache>
            </c:strRef>
          </c:tx>
          <c:xVal>
            <c:numRef>
              <c:f>NJC!$C$6:$M$6</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xVal>
          <c:yVal>
            <c:numRef>
              <c:f>NJC!$C$8:$M$8</c:f>
              <c:numCache>
                <c:formatCode>#,##0</c:formatCode>
                <c:ptCount val="11"/>
                <c:pt idx="0">
                  <c:v>15330.42</c:v>
                </c:pt>
                <c:pt idx="1">
                  <c:v>24352</c:v>
                </c:pt>
                <c:pt idx="2">
                  <c:v>13844.33</c:v>
                </c:pt>
                <c:pt idx="3">
                  <c:v>11597.25</c:v>
                </c:pt>
                <c:pt idx="4">
                  <c:v>10608.92</c:v>
                </c:pt>
                <c:pt idx="5">
                  <c:v>12213.58</c:v>
                </c:pt>
                <c:pt idx="6">
                  <c:v>13593.08</c:v>
                </c:pt>
                <c:pt idx="7">
                  <c:v>32489.919999999896</c:v>
                </c:pt>
                <c:pt idx="8">
                  <c:v>23160.75</c:v>
                </c:pt>
                <c:pt idx="9">
                  <c:v>-2642.17</c:v>
                </c:pt>
                <c:pt idx="10">
                  <c:v>12212.67</c:v>
                </c:pt>
              </c:numCache>
            </c:numRef>
          </c:yVal>
          <c:smooth val="0"/>
        </c:ser>
        <c:ser>
          <c:idx val="1"/>
          <c:order val="1"/>
          <c:tx>
            <c:strRef>
              <c:f>NJC!$B$9</c:f>
              <c:strCache>
                <c:ptCount val="1"/>
                <c:pt idx="0">
                  <c:v>total</c:v>
                </c:pt>
              </c:strCache>
            </c:strRef>
          </c:tx>
          <c:xVal>
            <c:numRef>
              <c:f>NJC!$C$6:$M$6</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xVal>
          <c:yVal>
            <c:numRef>
              <c:f>NJC!$C$9:$M$9</c:f>
              <c:numCache>
                <c:formatCode>#,##0</c:formatCode>
                <c:ptCount val="11"/>
                <c:pt idx="0">
                  <c:v>47731.33</c:v>
                </c:pt>
                <c:pt idx="1">
                  <c:v>60821.75</c:v>
                </c:pt>
                <c:pt idx="2">
                  <c:v>40840.42</c:v>
                </c:pt>
                <c:pt idx="3">
                  <c:v>410.67</c:v>
                </c:pt>
                <c:pt idx="4">
                  <c:v>38012.33</c:v>
                </c:pt>
                <c:pt idx="5">
                  <c:v>16940.75</c:v>
                </c:pt>
                <c:pt idx="6">
                  <c:v>45380.67</c:v>
                </c:pt>
                <c:pt idx="7">
                  <c:v>49303.08</c:v>
                </c:pt>
                <c:pt idx="8">
                  <c:v>63853.08</c:v>
                </c:pt>
                <c:pt idx="9">
                  <c:v>34475.25</c:v>
                </c:pt>
                <c:pt idx="10">
                  <c:v>50451.25</c:v>
                </c:pt>
              </c:numCache>
            </c:numRef>
          </c:yVal>
          <c:smooth val="0"/>
        </c:ser>
        <c:ser>
          <c:idx val="2"/>
          <c:order val="2"/>
          <c:tx>
            <c:strRef>
              <c:f>NJC!$B$13</c:f>
              <c:strCache>
                <c:ptCount val="1"/>
                <c:pt idx="0">
                  <c:v>Exporter</c:v>
                </c:pt>
              </c:strCache>
            </c:strRef>
          </c:tx>
          <c:xVal>
            <c:numRef>
              <c:f>NJC!$C$6:$M$6</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xVal>
          <c:yVal>
            <c:numRef>
              <c:f>NJC!$C$13:$M$13</c:f>
              <c:numCache>
                <c:formatCode>#,##0</c:formatCode>
                <c:ptCount val="11"/>
                <c:pt idx="0">
                  <c:v>18554.919999999896</c:v>
                </c:pt>
                <c:pt idx="1">
                  <c:v>29094.080000000005</c:v>
                </c:pt>
                <c:pt idx="2">
                  <c:v>11747.42</c:v>
                </c:pt>
                <c:pt idx="3">
                  <c:v>8223.75</c:v>
                </c:pt>
                <c:pt idx="4">
                  <c:v>10599.5</c:v>
                </c:pt>
                <c:pt idx="5">
                  <c:v>10274.92</c:v>
                </c:pt>
                <c:pt idx="6">
                  <c:v>15448.17</c:v>
                </c:pt>
                <c:pt idx="7">
                  <c:v>33770.58</c:v>
                </c:pt>
                <c:pt idx="8">
                  <c:v>26789.58</c:v>
                </c:pt>
                <c:pt idx="9">
                  <c:v>1755.83</c:v>
                </c:pt>
                <c:pt idx="10">
                  <c:v>16705.25</c:v>
                </c:pt>
              </c:numCache>
            </c:numRef>
          </c:yVal>
          <c:smooth val="0"/>
        </c:ser>
        <c:ser>
          <c:idx val="3"/>
          <c:order val="3"/>
          <c:tx>
            <c:strRef>
              <c:f>NJC!$B$18</c:f>
              <c:strCache>
                <c:ptCount val="1"/>
                <c:pt idx="0">
                  <c:v>Exporter and/or importer</c:v>
                </c:pt>
              </c:strCache>
            </c:strRef>
          </c:tx>
          <c:xVal>
            <c:numRef>
              <c:f>NJC!$C$6:$M$6</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xVal>
          <c:yVal>
            <c:numRef>
              <c:f>NJC!$C$18:$M$18</c:f>
              <c:numCache>
                <c:formatCode>#,##0</c:formatCode>
                <c:ptCount val="11"/>
                <c:pt idx="0">
                  <c:v>29075.420000000009</c:v>
                </c:pt>
                <c:pt idx="1">
                  <c:v>40627.42</c:v>
                </c:pt>
                <c:pt idx="2">
                  <c:v>13868.92</c:v>
                </c:pt>
                <c:pt idx="3">
                  <c:v>8020</c:v>
                </c:pt>
                <c:pt idx="4">
                  <c:v>11232.75</c:v>
                </c:pt>
                <c:pt idx="5">
                  <c:v>12609.92</c:v>
                </c:pt>
                <c:pt idx="6">
                  <c:v>17480.330000000002</c:v>
                </c:pt>
                <c:pt idx="7">
                  <c:v>40710.33</c:v>
                </c:pt>
                <c:pt idx="8">
                  <c:v>34956.58</c:v>
                </c:pt>
                <c:pt idx="9">
                  <c:v>8179.92</c:v>
                </c:pt>
              </c:numCache>
            </c:numRef>
          </c:yVal>
          <c:smooth val="0"/>
        </c:ser>
        <c:dLbls>
          <c:showLegendKey val="0"/>
          <c:showVal val="0"/>
          <c:showCatName val="0"/>
          <c:showSerName val="0"/>
          <c:showPercent val="0"/>
          <c:showBubbleSize val="0"/>
        </c:dLbls>
        <c:axId val="420107104"/>
        <c:axId val="417143520"/>
      </c:scatterChart>
      <c:valAx>
        <c:axId val="420107104"/>
        <c:scaling>
          <c:orientation val="minMax"/>
        </c:scaling>
        <c:delete val="0"/>
        <c:axPos val="b"/>
        <c:numFmt formatCode="General" sourceLinked="1"/>
        <c:majorTickMark val="none"/>
        <c:minorTickMark val="none"/>
        <c:tickLblPos val="nextTo"/>
        <c:txPr>
          <a:bodyPr rot="0" vert="horz"/>
          <a:lstStyle/>
          <a:p>
            <a:pPr>
              <a:defRPr lang="en-GB" sz="1000" b="0" i="0" u="none" strike="noStrike" baseline="0">
                <a:solidFill>
                  <a:srgbClr val="000000"/>
                </a:solidFill>
                <a:latin typeface="Calibri"/>
                <a:ea typeface="Calibri"/>
                <a:cs typeface="Calibri"/>
              </a:defRPr>
            </a:pPr>
            <a:endParaRPr lang="en-US"/>
          </a:p>
        </c:txPr>
        <c:crossAx val="417143520"/>
        <c:crosses val="autoZero"/>
        <c:crossBetween val="midCat"/>
      </c:valAx>
      <c:valAx>
        <c:axId val="417143520"/>
        <c:scaling>
          <c:orientation val="minMax"/>
        </c:scaling>
        <c:delete val="0"/>
        <c:axPos val="l"/>
        <c:numFmt formatCode="#,##0" sourceLinked="1"/>
        <c:majorTickMark val="none"/>
        <c:minorTickMark val="none"/>
        <c:tickLblPos val="nextTo"/>
        <c:txPr>
          <a:bodyPr/>
          <a:lstStyle/>
          <a:p>
            <a:pPr>
              <a:defRPr lang="en-GB"/>
            </a:pPr>
            <a:endParaRPr lang="en-US"/>
          </a:p>
        </c:txPr>
        <c:crossAx val="420107104"/>
        <c:crosses val="autoZero"/>
        <c:crossBetween val="midCat"/>
      </c:valAx>
    </c:plotArea>
    <c:legend>
      <c:legendPos val="b"/>
      <c:overlay val="0"/>
      <c:txPr>
        <a:bodyPr/>
        <a:lstStyle/>
        <a:p>
          <a:pPr>
            <a:defRPr lang="en-GB"/>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ITC Color Word">
      <a:dk1>
        <a:srgbClr val="808080"/>
      </a:dk1>
      <a:lt1>
        <a:srgbClr val="FFFFFF"/>
      </a:lt1>
      <a:dk2>
        <a:srgbClr val="00AEEF"/>
      </a:dk2>
      <a:lt2>
        <a:srgbClr val="FFFFFF"/>
      </a:lt2>
      <a:accent1>
        <a:srgbClr val="00AEEF"/>
      </a:accent1>
      <a:accent2>
        <a:srgbClr val="808080"/>
      </a:accent2>
      <a:accent3>
        <a:srgbClr val="B32317"/>
      </a:accent3>
      <a:accent4>
        <a:srgbClr val="00703C"/>
      </a:accent4>
      <a:accent5>
        <a:srgbClr val="FCC71E"/>
      </a:accent5>
      <a:accent6>
        <a:srgbClr val="E40E62"/>
      </a:accent6>
      <a:hlink>
        <a:srgbClr val="00AEEF"/>
      </a:hlink>
      <a:folHlink>
        <a:srgbClr val="00AEEF"/>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1036B-D6DD-47CC-94E1-72AE43442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paper_template_EN.dotx</Template>
  <TotalTime>0</TotalTime>
  <Pages>20</Pages>
  <Words>7166</Words>
  <Characters>40849</Characters>
  <Application>Microsoft Office Word</Application>
  <DocSecurity>0</DocSecurity>
  <Lines>340</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TITLE</vt:lpstr>
      <vt:lpstr>TITLE</vt:lpstr>
    </vt:vector>
  </TitlesOfParts>
  <LinksUpToDate>false</LinksUpToDate>
  <CharactersWithSpaces>47920</CharactersWithSpaces>
  <SharedDoc>false</SharedDoc>
  <HLinks>
    <vt:vector size="6" baseType="variant">
      <vt:variant>
        <vt:i4>1507382</vt:i4>
      </vt:variant>
      <vt:variant>
        <vt:i4>2</vt:i4>
      </vt:variant>
      <vt:variant>
        <vt:i4>0</vt:i4>
      </vt:variant>
      <vt:variant>
        <vt:i4>5</vt:i4>
      </vt:variant>
      <vt:variant>
        <vt:lpwstr/>
      </vt:variant>
      <vt:variant>
        <vt:lpwstr>_Toc76457221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cp:lastModifiedBy/>
  <cp:revision>1</cp:revision>
  <dcterms:created xsi:type="dcterms:W3CDTF">2016-02-24T14:14:00Z</dcterms:created>
  <dcterms:modified xsi:type="dcterms:W3CDTF">2016-04-11T18:35:00Z</dcterms:modified>
</cp:coreProperties>
</file>